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31"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54"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fiscal year ended December 31, 2025</w:t>
      </w: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30" w:lineRule="exact"/>
        <w:rPr>
          <w:sz w:val="24"/>
          <w:szCs w:val="24"/>
          <w:color w:val="auto"/>
        </w:rPr>
      </w:pPr>
    </w:p>
    <w:p>
      <w:pPr>
        <w:ind w:left="4340" w:right="2500" w:hanging="4314"/>
        <w:spacing w:after="0" w:line="420" w:lineRule="auto"/>
        <w:tabs>
          <w:tab w:leader="none" w:pos="39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-90805</wp:posOffset>
            </wp:positionV>
            <wp:extent cx="934085" cy="368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085" cy="36893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BIOGEN INC.</w:t>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00"/>
          </w:cols>
          <w:pgMar w:left="320" w:top="912" w:right="379" w:bottom="1440" w:gutter="0" w:footer="0" w:header="0"/>
        </w:sectPr>
      </w:pPr>
    </w:p>
    <w:p>
      <w:pPr>
        <w:spacing w:after="0" w:line="15" w:lineRule="exact"/>
        <w:rPr>
          <w:sz w:val="24"/>
          <w:szCs w:val="24"/>
          <w:color w:val="auto"/>
        </w:rPr>
      </w:pPr>
    </w:p>
    <w:p>
      <w:pPr>
        <w:jc w:val="center"/>
        <w:ind w:right="900"/>
        <w:spacing w:after="0"/>
        <w:rPr>
          <w:sz w:val="20"/>
          <w:szCs w:val="20"/>
          <w:color w:val="auto"/>
        </w:rPr>
      </w:pPr>
      <w:r>
        <w:rPr>
          <w:rFonts w:ascii="Arial" w:cs="Arial" w:eastAsia="Arial" w:hAnsi="Arial"/>
          <w:sz w:val="16"/>
          <w:szCs w:val="16"/>
          <w:b w:val="1"/>
          <w:bCs w:val="1"/>
          <w:color w:val="auto"/>
        </w:rPr>
        <w:t>Delaware</w:t>
      </w:r>
    </w:p>
    <w:p>
      <w:pPr>
        <w:spacing w:after="0" w:line="33" w:lineRule="exact"/>
        <w:rPr>
          <w:sz w:val="24"/>
          <w:szCs w:val="24"/>
          <w:color w:val="auto"/>
        </w:rPr>
      </w:pPr>
    </w:p>
    <w:p>
      <w:pPr>
        <w:jc w:val="center"/>
        <w:ind w:right="90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6"/>
          <w:szCs w:val="16"/>
          <w:b w:val="1"/>
          <w:bCs w:val="1"/>
          <w:color w:val="auto"/>
        </w:rPr>
        <w:t>33-0112644</w:t>
      </w:r>
    </w:p>
    <w:p>
      <w:pPr>
        <w:spacing w:after="0" w:line="33" w:lineRule="exact"/>
        <w:rPr>
          <w:sz w:val="24"/>
          <w:szCs w:val="24"/>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 Identification No.)</w:t>
      </w:r>
    </w:p>
    <w:p>
      <w:pPr>
        <w:spacing w:after="0" w:line="133" w:lineRule="exact"/>
        <w:rPr>
          <w:sz w:val="24"/>
          <w:szCs w:val="24"/>
          <w:color w:val="auto"/>
        </w:rPr>
      </w:pPr>
    </w:p>
    <w:p>
      <w:pPr>
        <w:sectPr>
          <w:pgSz w:w="11900" w:h="16838" w:orient="portrait"/>
          <w:cols w:equalWidth="0" w:num="2">
            <w:col w:w="6480" w:space="720"/>
            <w:col w:w="4000"/>
          </w:cols>
          <w:pgMar w:left="320" w:top="912"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225 Binney Street, Cambridge, MA 02142</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(617) 679-2000</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(Address, including zip code, and telephone number, including area code, of Registrant’s principal executive offices)</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Pr>
          <w:p>
            <w:pPr>
              <w:spacing w:after="0"/>
              <w:rPr>
                <w:sz w:val="19"/>
                <w:szCs w:val="19"/>
                <w:color w:val="auto"/>
              </w:rPr>
            </w:pPr>
          </w:p>
        </w:tc>
        <w:tc>
          <w:tcPr>
            <w:tcW w:w="8200" w:type="dxa"/>
            <w:vAlign w:val="bottom"/>
            <w:gridSpan w:val="5"/>
          </w:tcPr>
          <w:p>
            <w:pPr>
              <w:jc w:val="center"/>
              <w:ind w:left="2319"/>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Title of Each Class</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Trading Symbol(s)</w:t>
            </w:r>
          </w:p>
        </w:tc>
        <w:tc>
          <w:tcPr>
            <w:tcW w:w="4720" w:type="dxa"/>
            <w:vAlign w:val="bottom"/>
            <w:gridSpan w:val="3"/>
          </w:tcPr>
          <w:p>
            <w:pPr>
              <w:ind w:left="60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6"/>
        </w:trPr>
        <w:tc>
          <w:tcPr>
            <w:tcW w:w="320" w:type="dxa"/>
            <w:vAlign w:val="bottom"/>
          </w:tcPr>
          <w:p>
            <w:pPr>
              <w:spacing w:after="0"/>
              <w:rPr>
                <w:sz w:val="18"/>
                <w:szCs w:val="18"/>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$0.0005 par value</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BIIB</w:t>
            </w:r>
          </w:p>
        </w:tc>
        <w:tc>
          <w:tcPr>
            <w:tcW w:w="120" w:type="dxa"/>
            <w:vAlign w:val="bottom"/>
          </w:tcPr>
          <w:p>
            <w:pPr>
              <w:spacing w:after="0"/>
              <w:rPr>
                <w:sz w:val="18"/>
                <w:szCs w:val="18"/>
                <w:color w:val="auto"/>
              </w:rPr>
            </w:pPr>
          </w:p>
        </w:tc>
        <w:tc>
          <w:tcPr>
            <w:tcW w:w="4720" w:type="dxa"/>
            <w:vAlign w:val="bottom"/>
            <w:tcBorders>
              <w:top w:val="single" w:sz="8" w:color="auto"/>
            </w:tcBorders>
            <w:gridSpan w:val="3"/>
          </w:tcPr>
          <w:p>
            <w:pPr>
              <w:ind w:left="820"/>
              <w:spacing w:after="0"/>
              <w:rPr>
                <w:sz w:val="20"/>
                <w:szCs w:val="20"/>
                <w:color w:val="auto"/>
              </w:rPr>
            </w:pPr>
            <w:r>
              <w:rPr>
                <w:rFonts w:ascii="Arial" w:cs="Arial" w:eastAsia="Arial" w:hAnsi="Arial"/>
                <w:sz w:val="16"/>
                <w:szCs w:val="16"/>
                <w:b w:val="1"/>
                <w:bCs w:val="1"/>
                <w:color w:val="auto"/>
              </w:rPr>
              <w:t>The Nasdaq Global Select Market</w:t>
            </w:r>
          </w:p>
        </w:tc>
      </w:tr>
      <w:tr>
        <w:trPr>
          <w:trHeight w:val="283"/>
        </w:trPr>
        <w:tc>
          <w:tcPr>
            <w:tcW w:w="320" w:type="dxa"/>
            <w:vAlign w:val="bottom"/>
          </w:tcPr>
          <w:p>
            <w:pPr>
              <w:spacing w:after="0"/>
              <w:rPr>
                <w:sz w:val="24"/>
                <w:szCs w:val="24"/>
                <w:color w:val="auto"/>
              </w:rPr>
            </w:pPr>
          </w:p>
        </w:tc>
        <w:tc>
          <w:tcPr>
            <w:tcW w:w="8200" w:type="dxa"/>
            <w:vAlign w:val="bottom"/>
            <w:gridSpan w:val="5"/>
          </w:tcPr>
          <w:p>
            <w:pPr>
              <w:jc w:val="center"/>
              <w:ind w:left="2339"/>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7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49"/>
        </w:trPr>
        <w:tc>
          <w:tcPr>
            <w:tcW w:w="8520" w:type="dxa"/>
            <w:vAlign w:val="bottom"/>
            <w:gridSpan w:val="6"/>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720" w:type="dxa"/>
            <w:vAlign w:val="bottom"/>
          </w:tcPr>
          <w:p>
            <w:pPr>
              <w:ind w:left="40"/>
              <w:spacing w:after="0"/>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x</w:t>
            </w:r>
          </w:p>
        </w:tc>
        <w:tc>
          <w:tcPr>
            <w:tcW w:w="1680" w:type="dxa"/>
            <w:vAlign w:val="bottom"/>
          </w:tcPr>
          <w:p>
            <w:pPr>
              <w:ind w:left="160"/>
              <w:spacing w:after="0"/>
              <w:rPr>
                <w:sz w:val="20"/>
                <w:szCs w:val="20"/>
                <w:color w:val="auto"/>
              </w:rPr>
            </w:pPr>
            <w:r>
              <w:rPr>
                <w:rFonts w:ascii="Arial" w:cs="Arial" w:eastAsia="Arial" w:hAnsi="Arial"/>
                <w:sz w:val="16"/>
                <w:szCs w:val="16"/>
                <w:color w:val="auto"/>
              </w:rPr>
              <w:t xml:space="preserve">No </w:t>
            </w:r>
            <w:r>
              <w:rPr>
                <w:rFonts w:ascii="Wingdings" w:cs="Wingdings" w:eastAsia="Wingdings" w:hAnsi="Wingdings"/>
                <w:sz w:val="16"/>
                <w:szCs w:val="16"/>
                <w:b w:val="1"/>
                <w:bCs w:val="1"/>
                <w:color w:val="auto"/>
              </w:rPr>
              <w:t>o</w:t>
            </w:r>
          </w:p>
        </w:tc>
      </w:tr>
      <w:tr>
        <w:trPr>
          <w:trHeight w:val="243"/>
        </w:trPr>
        <w:tc>
          <w:tcPr>
            <w:tcW w:w="8520" w:type="dxa"/>
            <w:vAlign w:val="bottom"/>
            <w:gridSpan w:val="6"/>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720" w:type="dxa"/>
            <w:vAlign w:val="bottom"/>
          </w:tcPr>
          <w:p>
            <w:pPr>
              <w:ind w:left="120"/>
              <w:spacing w:after="0"/>
              <w:rPr>
                <w:sz w:val="20"/>
                <w:szCs w:val="20"/>
                <w:color w:val="auto"/>
              </w:rPr>
            </w:pPr>
            <w:r>
              <w:rPr>
                <w:rFonts w:ascii="Arial" w:cs="Arial" w:eastAsia="Arial" w:hAnsi="Arial"/>
                <w:sz w:val="16"/>
                <w:szCs w:val="16"/>
                <w:color w:val="auto"/>
              </w:rPr>
              <w:t xml:space="preserve">Yes </w:t>
            </w:r>
            <w:r>
              <w:rPr>
                <w:rFonts w:ascii="Wingdings" w:cs="Wingdings" w:eastAsia="Wingdings" w:hAnsi="Wingdings"/>
                <w:sz w:val="16"/>
                <w:szCs w:val="16"/>
                <w:b w:val="1"/>
                <w:bCs w:val="1"/>
                <w:color w:val="auto"/>
              </w:rPr>
              <w:t>o</w:t>
            </w:r>
          </w:p>
        </w:tc>
        <w:tc>
          <w:tcPr>
            <w:tcW w:w="1680" w:type="dxa"/>
            <w:vAlign w:val="bottom"/>
          </w:tcPr>
          <w:p>
            <w:pPr>
              <w:ind w:left="220"/>
              <w:spacing w:after="0"/>
              <w:rPr>
                <w:sz w:val="20"/>
                <w:szCs w:val="20"/>
                <w:color w:val="auto"/>
              </w:rPr>
            </w:pPr>
            <w:r>
              <w:rPr>
                <w:rFonts w:ascii="Arial" w:cs="Arial" w:eastAsia="Arial" w:hAnsi="Arial"/>
                <w:sz w:val="16"/>
                <w:szCs w:val="16"/>
                <w:color w:val="auto"/>
              </w:rPr>
              <w:t xml:space="preserve">No </w:t>
            </w:r>
            <w:r>
              <w:rPr>
                <w:rFonts w:ascii="Wingdings" w:cs="Wingdings" w:eastAsia="Wingdings" w:hAnsi="Wingdings"/>
                <w:sz w:val="16"/>
                <w:szCs w:val="16"/>
                <w:b w:val="1"/>
                <w:bCs w:val="1"/>
                <w:color w:val="auto"/>
              </w:rPr>
              <w:t>x</w:t>
            </w:r>
          </w:p>
        </w:tc>
      </w:tr>
    </w:tbl>
    <w:p>
      <w:pPr>
        <w:spacing w:after="0" w:line="28" w:lineRule="exact"/>
        <w:rPr>
          <w:sz w:val="24"/>
          <w:szCs w:val="24"/>
          <w:color w:val="auto"/>
        </w:rPr>
      </w:pPr>
    </w:p>
    <w:p>
      <w:pPr>
        <w:jc w:val="both"/>
        <w:ind w:right="420"/>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43" w:lineRule="exact"/>
        <w:rPr>
          <w:sz w:val="24"/>
          <w:szCs w:val="24"/>
          <w:color w:val="auto"/>
        </w:rPr>
      </w:pPr>
    </w:p>
    <w:p>
      <w:pPr>
        <w:ind w:right="440"/>
        <w:spacing w:after="0" w:line="275"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43" w:lineRule="exact"/>
        <w:rPr>
          <w:sz w:val="24"/>
          <w:szCs w:val="24"/>
          <w:color w:val="auto"/>
        </w:rPr>
      </w:pPr>
    </w:p>
    <w:p>
      <w:pPr>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60" w:type="dxa"/>
            <w:vAlign w:val="bottom"/>
          </w:tcPr>
          <w:p>
            <w:pPr>
              <w:ind w:left="680"/>
              <w:spacing w:after="0"/>
              <w:rPr>
                <w:sz w:val="20"/>
                <w:szCs w:val="20"/>
                <w:color w:val="auto"/>
              </w:rPr>
            </w:pPr>
            <w:r>
              <w:rPr>
                <w:rFonts w:ascii="Wingdings" w:cs="Wingdings" w:eastAsia="Wingdings" w:hAnsi="Wingdings"/>
                <w:sz w:val="16"/>
                <w:szCs w:val="16"/>
                <w:b w:val="1"/>
                <w:bCs w:val="1"/>
                <w:color w:val="auto"/>
              </w:rPr>
              <w:t>x</w:t>
            </w:r>
          </w:p>
        </w:tc>
        <w:tc>
          <w:tcPr>
            <w:tcW w:w="4820" w:type="dxa"/>
            <w:vAlign w:val="bottom"/>
          </w:tcPr>
          <w:p>
            <w:pPr>
              <w:ind w:left="220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20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820" w:type="dxa"/>
            <w:vAlign w:val="bottom"/>
          </w:tcPr>
          <w:p>
            <w:pPr>
              <w:ind w:left="220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0" w:lineRule="exact"/>
        <w:rPr>
          <w:sz w:val="24"/>
          <w:szCs w:val="24"/>
          <w:color w:val="auto"/>
        </w:rPr>
      </w:pPr>
    </w:p>
    <w:p>
      <w:pPr>
        <w:ind w:right="10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x</w:t>
      </w:r>
    </w:p>
    <w:p>
      <w:pPr>
        <w:spacing w:after="0" w:line="43"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1" w:lineRule="exact"/>
        <w:rPr>
          <w:sz w:val="24"/>
          <w:szCs w:val="24"/>
          <w:color w:val="auto"/>
        </w:rPr>
      </w:pPr>
    </w:p>
    <w:p>
      <w:pPr>
        <w:ind w:right="40"/>
        <w:spacing w:after="0" w:line="21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7500" w:val="left"/>
          <w:tab w:leader="none" w:pos="8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 </w:t>
      </w:r>
      <w:r>
        <w:rPr>
          <w:rFonts w:ascii="Wingdings" w:cs="Wingdings" w:eastAsia="Wingdings" w:hAnsi="Wingdings"/>
          <w:sz w:val="16"/>
          <w:szCs w:val="16"/>
          <w:b w:val="1"/>
          <w:bCs w:val="1"/>
          <w:color w:val="auto"/>
        </w:rPr>
        <w:t>x</w:t>
      </w:r>
    </w:p>
    <w:p>
      <w:pPr>
        <w:spacing w:after="0" w:line="135"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$18,378,285,308.</w:t>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4, 2026, the registrant had 146,758,528 shares of common stock, $0.0005 par value, outstanding.</w:t>
      </w:r>
    </w:p>
    <w:p>
      <w:pPr>
        <w:spacing w:after="0" w:line="100" w:lineRule="exact"/>
        <w:rPr>
          <w:sz w:val="24"/>
          <w:szCs w:val="24"/>
          <w:color w:val="auto"/>
        </w:rPr>
      </w:pPr>
    </w:p>
    <w:p>
      <w:pPr>
        <w:ind w:left="37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definitive proxy statement for our 2026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12"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BIOGEN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ANNUAL REPORT ON FORM 10-K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For the Year Ended December 31, 2025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TABLE OF CONTENTS</w:t>
      </w:r>
    </w:p>
    <w:p>
      <w:pPr>
        <w:spacing w:after="0" w:line="200" w:lineRule="exact"/>
        <w:rPr>
          <w:sz w:val="20"/>
          <w:szCs w:val="20"/>
          <w:color w:val="auto"/>
        </w:rPr>
      </w:pPr>
    </w:p>
    <w:p>
      <w:pPr>
        <w:spacing w:after="0" w:line="32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3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Page</w:t>
            </w:r>
          </w:p>
        </w:tc>
      </w:tr>
      <w:tr>
        <w:trPr>
          <w:trHeight w:val="143"/>
        </w:trPr>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780" w:type="dxa"/>
            <w:vAlign w:val="bottom"/>
            <w:gridSpan w:val="3"/>
          </w:tcPr>
          <w:p>
            <w:pPr>
              <w:ind w:left="1240"/>
              <w:spacing w:after="0" w:line="143" w:lineRule="exact"/>
              <w:rPr>
                <w:sz w:val="20"/>
                <w:szCs w:val="20"/>
                <w:color w:val="auto"/>
              </w:rPr>
            </w:pPr>
            <w:r>
              <w:rPr>
                <w:rFonts w:ascii="Arial" w:cs="Arial" w:eastAsia="Arial" w:hAnsi="Arial"/>
                <w:sz w:val="14"/>
                <w:szCs w:val="14"/>
                <w:b w:val="1"/>
                <w:bCs w:val="1"/>
                <w:color w:val="0000FF"/>
              </w:rPr>
              <w:t>PART I</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1.</w:t>
            </w:r>
          </w:p>
        </w:tc>
        <w:tc>
          <w:tcPr>
            <w:tcW w:w="3320" w:type="dxa"/>
            <w:vAlign w:val="bottom"/>
            <w:gridSpan w:val="9"/>
          </w:tcPr>
          <w:p>
            <w:pPr>
              <w:ind w:left="280"/>
              <w:spacing w:after="0"/>
              <w:rPr>
                <w:sz w:val="20"/>
                <w:szCs w:val="20"/>
                <w:color w:val="auto"/>
              </w:rPr>
            </w:pPr>
            <w:r>
              <w:rPr>
                <w:rFonts w:ascii="Arial" w:cs="Arial" w:eastAsia="Arial" w:hAnsi="Arial"/>
                <w:sz w:val="14"/>
                <w:szCs w:val="14"/>
                <w:color w:val="0000FF"/>
              </w:rPr>
              <w:t>Business</w:t>
            </w:r>
          </w:p>
        </w:tc>
        <w:tc>
          <w:tcPr>
            <w:tcW w:w="1240" w:type="dxa"/>
            <w:vAlign w:val="bottom"/>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5380" w:type="dxa"/>
            <w:vAlign w:val="bottom"/>
            <w:gridSpan w:val="5"/>
          </w:tcPr>
          <w:p>
            <w:pPr>
              <w:jc w:val="right"/>
              <w:ind w:right="20"/>
              <w:spacing w:after="0"/>
              <w:rPr>
                <w:sz w:val="20"/>
                <w:szCs w:val="20"/>
                <w:color w:val="auto"/>
              </w:rPr>
            </w:pPr>
            <w:r>
              <w:rPr>
                <w:rFonts w:ascii="Arial" w:cs="Arial" w:eastAsia="Arial" w:hAnsi="Arial"/>
                <w:sz w:val="14"/>
                <w:szCs w:val="14"/>
                <w:color w:val="0000FF"/>
              </w:rPr>
              <w:t>1</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1A.</w:t>
            </w:r>
          </w:p>
        </w:tc>
        <w:tc>
          <w:tcPr>
            <w:tcW w:w="3320" w:type="dxa"/>
            <w:vAlign w:val="bottom"/>
            <w:gridSpan w:val="9"/>
          </w:tcPr>
          <w:p>
            <w:pPr>
              <w:ind w:left="280"/>
              <w:spacing w:after="0"/>
              <w:rPr>
                <w:sz w:val="20"/>
                <w:szCs w:val="20"/>
                <w:color w:val="auto"/>
              </w:rPr>
            </w:pPr>
            <w:r>
              <w:rPr>
                <w:rFonts w:ascii="Arial" w:cs="Arial" w:eastAsia="Arial" w:hAnsi="Arial"/>
                <w:sz w:val="14"/>
                <w:szCs w:val="14"/>
                <w:color w:val="0000FF"/>
              </w:rPr>
              <w:t>Risk Factors</w:t>
            </w:r>
          </w:p>
        </w:tc>
        <w:tc>
          <w:tcPr>
            <w:tcW w:w="7080" w:type="dxa"/>
            <w:vAlign w:val="bottom"/>
            <w:gridSpan w:val="7"/>
          </w:tcPr>
          <w:p>
            <w:pPr>
              <w:jc w:val="right"/>
              <w:ind w:right="20"/>
              <w:spacing w:after="0"/>
              <w:rPr>
                <w:sz w:val="20"/>
                <w:szCs w:val="20"/>
                <w:color w:val="auto"/>
              </w:rPr>
            </w:pPr>
            <w:r>
              <w:rPr>
                <w:rFonts w:ascii="Arial" w:cs="Arial" w:eastAsia="Arial" w:hAnsi="Arial"/>
                <w:sz w:val="14"/>
                <w:szCs w:val="14"/>
                <w:color w:val="0000FF"/>
              </w:rPr>
              <w:t>39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1B.</w:t>
            </w:r>
          </w:p>
        </w:tc>
        <w:tc>
          <w:tcPr>
            <w:tcW w:w="3320" w:type="dxa"/>
            <w:vAlign w:val="bottom"/>
            <w:gridSpan w:val="9"/>
          </w:tcPr>
          <w:p>
            <w:pPr>
              <w:ind w:left="280"/>
              <w:spacing w:after="0"/>
              <w:rPr>
                <w:sz w:val="20"/>
                <w:szCs w:val="20"/>
                <w:color w:val="auto"/>
              </w:rPr>
            </w:pPr>
            <w:r>
              <w:rPr>
                <w:rFonts w:ascii="Arial" w:cs="Arial" w:eastAsia="Arial" w:hAnsi="Arial"/>
                <w:sz w:val="14"/>
                <w:szCs w:val="14"/>
                <w:color w:val="0000FF"/>
              </w:rPr>
              <w:t>Unresolved Staff Comments</w:t>
            </w:r>
          </w:p>
        </w:tc>
        <w:tc>
          <w:tcPr>
            <w:tcW w:w="7080" w:type="dxa"/>
            <w:vAlign w:val="bottom"/>
            <w:gridSpan w:val="7"/>
          </w:tcPr>
          <w:p>
            <w:pPr>
              <w:jc w:val="right"/>
              <w:ind w:right="20"/>
              <w:spacing w:after="0"/>
              <w:rPr>
                <w:sz w:val="20"/>
                <w:szCs w:val="20"/>
                <w:color w:val="auto"/>
              </w:rPr>
            </w:pPr>
            <w:r>
              <w:rPr>
                <w:rFonts w:ascii="Arial" w:cs="Arial" w:eastAsia="Arial" w:hAnsi="Arial"/>
                <w:sz w:val="14"/>
                <w:szCs w:val="14"/>
                <w:color w:val="0000FF"/>
              </w:rPr>
              <w:t>54</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00" w:type="dxa"/>
            <w:vAlign w:val="bottom"/>
            <w:gridSpan w:val="4"/>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1C.</w:t>
            </w:r>
          </w:p>
        </w:tc>
        <w:tc>
          <w:tcPr>
            <w:tcW w:w="3320" w:type="dxa"/>
            <w:vAlign w:val="bottom"/>
            <w:gridSpan w:val="9"/>
          </w:tcPr>
          <w:p>
            <w:pPr>
              <w:ind w:left="280"/>
              <w:spacing w:after="0"/>
              <w:rPr>
                <w:sz w:val="20"/>
                <w:szCs w:val="20"/>
                <w:color w:val="auto"/>
              </w:rPr>
            </w:pPr>
            <w:r>
              <w:rPr>
                <w:rFonts w:ascii="Arial" w:cs="Arial" w:eastAsia="Arial" w:hAnsi="Arial"/>
                <w:sz w:val="14"/>
                <w:szCs w:val="14"/>
                <w:color w:val="0000FF"/>
              </w:rPr>
              <w:t>Cybersecurity</w:t>
            </w:r>
          </w:p>
        </w:tc>
        <w:tc>
          <w:tcPr>
            <w:tcW w:w="7080" w:type="dxa"/>
            <w:vAlign w:val="bottom"/>
            <w:gridSpan w:val="7"/>
          </w:tcPr>
          <w:p>
            <w:pPr>
              <w:jc w:val="right"/>
              <w:ind w:right="20"/>
              <w:spacing w:after="0"/>
              <w:rPr>
                <w:sz w:val="20"/>
                <w:szCs w:val="20"/>
                <w:color w:val="auto"/>
              </w:rPr>
            </w:pPr>
            <w:r>
              <w:rPr>
                <w:rFonts w:ascii="Arial" w:cs="Arial" w:eastAsia="Arial" w:hAnsi="Arial"/>
                <w:sz w:val="14"/>
                <w:szCs w:val="14"/>
                <w:color w:val="0000FF"/>
              </w:rPr>
              <w:t>54</w:t>
            </w: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80" w:type="dxa"/>
            <w:vAlign w:val="bottom"/>
            <w:gridSpan w:val="7"/>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2.</w:t>
            </w:r>
          </w:p>
        </w:tc>
        <w:tc>
          <w:tcPr>
            <w:tcW w:w="3320" w:type="dxa"/>
            <w:vAlign w:val="bottom"/>
            <w:gridSpan w:val="9"/>
          </w:tcPr>
          <w:p>
            <w:pPr>
              <w:ind w:left="280"/>
              <w:spacing w:after="0"/>
              <w:rPr>
                <w:sz w:val="20"/>
                <w:szCs w:val="20"/>
                <w:color w:val="auto"/>
              </w:rPr>
            </w:pPr>
            <w:r>
              <w:rPr>
                <w:rFonts w:ascii="Arial" w:cs="Arial" w:eastAsia="Arial" w:hAnsi="Arial"/>
                <w:sz w:val="14"/>
                <w:szCs w:val="14"/>
                <w:color w:val="0000FF"/>
              </w:rPr>
              <w:t>Properties</w:t>
            </w:r>
          </w:p>
        </w:tc>
        <w:tc>
          <w:tcPr>
            <w:tcW w:w="7080" w:type="dxa"/>
            <w:vAlign w:val="bottom"/>
            <w:gridSpan w:val="7"/>
          </w:tcPr>
          <w:p>
            <w:pPr>
              <w:jc w:val="right"/>
              <w:ind w:right="20"/>
              <w:spacing w:after="0"/>
              <w:rPr>
                <w:sz w:val="20"/>
                <w:szCs w:val="20"/>
                <w:color w:val="auto"/>
              </w:rPr>
            </w:pPr>
            <w:r>
              <w:rPr>
                <w:rFonts w:ascii="Arial" w:cs="Arial" w:eastAsia="Arial" w:hAnsi="Arial"/>
                <w:sz w:val="14"/>
                <w:szCs w:val="14"/>
                <w:color w:val="0000FF"/>
              </w:rPr>
              <w:t>55</w:t>
            </w: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80" w:type="dxa"/>
            <w:vAlign w:val="bottom"/>
            <w:gridSpan w:val="7"/>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3320" w:type="dxa"/>
            <w:vAlign w:val="bottom"/>
            <w:gridSpan w:val="9"/>
          </w:tcPr>
          <w:p>
            <w:pPr>
              <w:ind w:left="280"/>
              <w:spacing w:after="0"/>
              <w:rPr>
                <w:sz w:val="20"/>
                <w:szCs w:val="20"/>
                <w:color w:val="auto"/>
              </w:rPr>
            </w:pPr>
            <w:r>
              <w:rPr>
                <w:rFonts w:ascii="Arial" w:cs="Arial" w:eastAsia="Arial" w:hAnsi="Arial"/>
                <w:sz w:val="14"/>
                <w:szCs w:val="14"/>
                <w:color w:val="0000FF"/>
              </w:rPr>
              <w:t>Legal Proceedings</w:t>
            </w:r>
          </w:p>
        </w:tc>
        <w:tc>
          <w:tcPr>
            <w:tcW w:w="7080" w:type="dxa"/>
            <w:vAlign w:val="bottom"/>
            <w:gridSpan w:val="7"/>
          </w:tcPr>
          <w:p>
            <w:pPr>
              <w:jc w:val="right"/>
              <w:ind w:right="20"/>
              <w:spacing w:after="0"/>
              <w:rPr>
                <w:sz w:val="20"/>
                <w:szCs w:val="20"/>
                <w:color w:val="auto"/>
              </w:rPr>
            </w:pPr>
            <w:r>
              <w:rPr>
                <w:rFonts w:ascii="Arial" w:cs="Arial" w:eastAsia="Arial" w:hAnsi="Arial"/>
                <w:sz w:val="14"/>
                <w:szCs w:val="14"/>
                <w:color w:val="0000FF"/>
              </w:rPr>
              <w:t>56</w:t>
            </w:r>
          </w:p>
        </w:tc>
      </w:tr>
      <w:tr>
        <w:trPr>
          <w:trHeight w:val="20"/>
        </w:trPr>
        <w:tc>
          <w:tcPr>
            <w:tcW w:w="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080" w:type="dxa"/>
            <w:vAlign w:val="bottom"/>
            <w:gridSpan w:val="7"/>
          </w:tcPr>
          <w:p>
            <w:pPr>
              <w:spacing w:after="0" w:line="20" w:lineRule="exact"/>
              <w:rPr>
                <w:sz w:val="1"/>
                <w:szCs w:val="1"/>
                <w:color w:val="auto"/>
              </w:rPr>
            </w:pPr>
          </w:p>
        </w:tc>
      </w:tr>
      <w:tr>
        <w:trPr>
          <w:trHeight w:val="183"/>
        </w:trPr>
        <w:tc>
          <w:tcPr>
            <w:tcW w:w="82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3320" w:type="dxa"/>
            <w:vAlign w:val="bottom"/>
            <w:gridSpan w:val="9"/>
          </w:tcPr>
          <w:p>
            <w:pPr>
              <w:ind w:left="280"/>
              <w:spacing w:after="0"/>
              <w:rPr>
                <w:sz w:val="20"/>
                <w:szCs w:val="20"/>
                <w:color w:val="auto"/>
              </w:rPr>
            </w:pPr>
            <w:r>
              <w:rPr>
                <w:rFonts w:ascii="Arial" w:cs="Arial" w:eastAsia="Arial" w:hAnsi="Arial"/>
                <w:sz w:val="14"/>
                <w:szCs w:val="14"/>
                <w:color w:val="0000FF"/>
              </w:rPr>
              <w:t>Mine Safety Disclosures</w:t>
            </w:r>
          </w:p>
        </w:tc>
        <w:tc>
          <w:tcPr>
            <w:tcW w:w="7080" w:type="dxa"/>
            <w:vAlign w:val="bottom"/>
            <w:gridSpan w:val="7"/>
          </w:tcPr>
          <w:p>
            <w:pPr>
              <w:jc w:val="right"/>
              <w:ind w:right="20"/>
              <w:spacing w:after="0"/>
              <w:rPr>
                <w:sz w:val="20"/>
                <w:szCs w:val="20"/>
                <w:color w:val="auto"/>
              </w:rPr>
            </w:pPr>
            <w:r>
              <w:rPr>
                <w:rFonts w:ascii="Arial" w:cs="Arial" w:eastAsia="Arial" w:hAnsi="Arial"/>
                <w:sz w:val="14"/>
                <w:szCs w:val="14"/>
                <w:color w:val="0000FF"/>
              </w:rPr>
              <w:t>56</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Borders>
              <w:bottom w:val="single" w:sz="8" w:color="0000FF"/>
            </w:tcBorders>
          </w:tcPr>
          <w:p>
            <w:pPr>
              <w:spacing w:after="0"/>
              <w:rPr>
                <w:sz w:val="20"/>
                <w:szCs w:val="20"/>
                <w:color w:val="auto"/>
              </w:rPr>
            </w:pPr>
            <w:r>
              <w:rPr>
                <w:rFonts w:ascii="Arial" w:cs="Arial" w:eastAsia="Arial" w:hAnsi="Arial"/>
                <w:sz w:val="14"/>
                <w:szCs w:val="14"/>
                <w:b w:val="1"/>
                <w:bCs w:val="1"/>
                <w:color w:val="0000FF"/>
                <w:w w:val="84"/>
              </w:rPr>
              <w:t>PART II</w:t>
            </w:r>
          </w:p>
        </w:tc>
        <w:tc>
          <w:tcPr>
            <w:tcW w:w="5180" w:type="dxa"/>
            <w:vAlign w:val="bottom"/>
            <w:gridSpan w:val="4"/>
          </w:tcPr>
          <w:p>
            <w:pPr>
              <w:spacing w:after="0"/>
              <w:rPr>
                <w:sz w:val="14"/>
                <w:szCs w:val="14"/>
                <w:color w:val="auto"/>
              </w:rPr>
            </w:pPr>
          </w:p>
        </w:tc>
        <w:tc>
          <w:tcPr>
            <w:tcW w:w="160" w:type="dxa"/>
            <w:vAlign w:val="bottom"/>
          </w:tcPr>
          <w:p>
            <w:pPr>
              <w:spacing w:after="0"/>
              <w:rPr>
                <w:sz w:val="14"/>
                <w:szCs w:val="14"/>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rPr>
              <w:t>Item 5.</w:t>
            </w:r>
          </w:p>
        </w:tc>
        <w:tc>
          <w:tcPr>
            <w:tcW w:w="10500" w:type="dxa"/>
            <w:vAlign w:val="bottom"/>
            <w:gridSpan w:val="12"/>
          </w:tcPr>
          <w:p>
            <w:pPr>
              <w:ind w:left="560"/>
              <w:spacing w:after="0"/>
              <w:rPr>
                <w:sz w:val="20"/>
                <w:szCs w:val="20"/>
                <w:color w:val="auto"/>
              </w:rPr>
            </w:pPr>
            <w:r>
              <w:rPr>
                <w:rFonts w:ascii="Arial" w:cs="Arial" w:eastAsia="Arial" w:hAnsi="Arial"/>
                <w:sz w:val="14"/>
                <w:szCs w:val="14"/>
                <w:color w:val="0000FF"/>
              </w:rPr>
              <w:t>Market for Registrant’s Common Equity, Related Stockholder Matters and Issuer Purchases of Equity Securities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57</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rPr>
              <w:t>Item 6.</w:t>
            </w:r>
          </w:p>
        </w:tc>
        <w:tc>
          <w:tcPr>
            <w:tcW w:w="10500" w:type="dxa"/>
            <w:vAlign w:val="bottom"/>
            <w:gridSpan w:val="12"/>
          </w:tcPr>
          <w:p>
            <w:pPr>
              <w:ind w:left="560"/>
              <w:spacing w:after="0"/>
              <w:rPr>
                <w:sz w:val="20"/>
                <w:szCs w:val="20"/>
                <w:color w:val="auto"/>
              </w:rPr>
            </w:pPr>
            <w:r>
              <w:rPr>
                <w:rFonts w:ascii="Arial" w:cs="Arial" w:eastAsia="Arial" w:hAnsi="Arial"/>
                <w:sz w:val="14"/>
                <w:szCs w:val="14"/>
                <w:color w:val="0000FF"/>
              </w:rPr>
              <w:t>Reserved</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58</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rPr>
              <w:t>Item 7.</w:t>
            </w:r>
          </w:p>
        </w:tc>
        <w:tc>
          <w:tcPr>
            <w:tcW w:w="10500" w:type="dxa"/>
            <w:vAlign w:val="bottom"/>
            <w:gridSpan w:val="12"/>
          </w:tcPr>
          <w:p>
            <w:pPr>
              <w:ind w:left="56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59</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w w:val="99"/>
              </w:rPr>
              <w:t>Item 7A.</w:t>
            </w:r>
          </w:p>
        </w:tc>
        <w:tc>
          <w:tcPr>
            <w:tcW w:w="10500" w:type="dxa"/>
            <w:vAlign w:val="bottom"/>
            <w:gridSpan w:val="12"/>
          </w:tcPr>
          <w:p>
            <w:pPr>
              <w:ind w:left="560"/>
              <w:spacing w:after="0"/>
              <w:rPr>
                <w:sz w:val="20"/>
                <w:szCs w:val="20"/>
                <w:color w:val="auto"/>
              </w:rPr>
            </w:pPr>
            <w:r>
              <w:rPr>
                <w:rFonts w:ascii="Arial" w:cs="Arial" w:eastAsia="Arial" w:hAnsi="Arial"/>
                <w:sz w:val="14"/>
                <w:szCs w:val="14"/>
                <w:color w:val="0000FF"/>
              </w:rPr>
              <w:t>Quantitative and Qualitative Disclosures About Market Risk</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93</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rPr>
              <w:t>Item 8.</w:t>
            </w:r>
          </w:p>
        </w:tc>
        <w:tc>
          <w:tcPr>
            <w:tcW w:w="10500" w:type="dxa"/>
            <w:vAlign w:val="bottom"/>
            <w:gridSpan w:val="12"/>
          </w:tcPr>
          <w:p>
            <w:pPr>
              <w:ind w:left="560"/>
              <w:spacing w:after="0"/>
              <w:rPr>
                <w:sz w:val="20"/>
                <w:szCs w:val="20"/>
                <w:color w:val="auto"/>
              </w:rPr>
            </w:pPr>
            <w:r>
              <w:rPr>
                <w:rFonts w:ascii="Arial" w:cs="Arial" w:eastAsia="Arial" w:hAnsi="Arial"/>
                <w:sz w:val="14"/>
                <w:szCs w:val="14"/>
                <w:color w:val="0000FF"/>
              </w:rPr>
              <w:t>Financial Statements and Supplementary Data</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94</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rPr>
              <w:t>Item 9.</w:t>
            </w:r>
          </w:p>
        </w:tc>
        <w:tc>
          <w:tcPr>
            <w:tcW w:w="10500" w:type="dxa"/>
            <w:vAlign w:val="bottom"/>
            <w:gridSpan w:val="12"/>
          </w:tcPr>
          <w:p>
            <w:pPr>
              <w:ind w:left="56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94</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20" w:type="dxa"/>
            <w:vAlign w:val="bottom"/>
            <w:tcBorders>
              <w:right w:val="single" w:sz="8" w:color="0000FF"/>
            </w:tcBorders>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w w:val="99"/>
              </w:rPr>
              <w:t>Item 9A.</w:t>
            </w:r>
          </w:p>
        </w:tc>
        <w:tc>
          <w:tcPr>
            <w:tcW w:w="10500" w:type="dxa"/>
            <w:vAlign w:val="bottom"/>
            <w:gridSpan w:val="12"/>
          </w:tcPr>
          <w:p>
            <w:pPr>
              <w:ind w:left="560"/>
              <w:spacing w:after="0"/>
              <w:rPr>
                <w:sz w:val="20"/>
                <w:szCs w:val="20"/>
                <w:color w:val="auto"/>
              </w:rPr>
            </w:pPr>
            <w:r>
              <w:rPr>
                <w:rFonts w:ascii="Arial" w:cs="Arial" w:eastAsia="Arial" w:hAnsi="Arial"/>
                <w:sz w:val="14"/>
                <w:szCs w:val="14"/>
                <w:color w:val="0000FF"/>
              </w:rPr>
              <w:t>Controls and Procedures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94</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w w:val="99"/>
              </w:rPr>
              <w:t>Item 9B.</w:t>
            </w:r>
          </w:p>
        </w:tc>
        <w:tc>
          <w:tcPr>
            <w:tcW w:w="10500" w:type="dxa"/>
            <w:vAlign w:val="bottom"/>
            <w:gridSpan w:val="12"/>
          </w:tcPr>
          <w:p>
            <w:pPr>
              <w:ind w:left="560"/>
              <w:spacing w:after="0"/>
              <w:rPr>
                <w:sz w:val="20"/>
                <w:szCs w:val="20"/>
                <w:color w:val="auto"/>
              </w:rPr>
            </w:pPr>
            <w:r>
              <w:rPr>
                <w:rFonts w:ascii="Arial" w:cs="Arial" w:eastAsia="Arial" w:hAnsi="Arial"/>
                <w:sz w:val="14"/>
                <w:szCs w:val="14"/>
                <w:color w:val="0000FF"/>
              </w:rPr>
              <w:t>Other Information</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95</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5620" w:type="dxa"/>
            <w:vAlign w:val="bottom"/>
            <w:gridSpan w:val="5"/>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0000FF"/>
                <w:w w:val="98"/>
              </w:rPr>
              <w:t>Item 9C.</w:t>
            </w:r>
          </w:p>
        </w:tc>
        <w:tc>
          <w:tcPr>
            <w:tcW w:w="10500" w:type="dxa"/>
            <w:vAlign w:val="bottom"/>
            <w:gridSpan w:val="12"/>
          </w:tcPr>
          <w:p>
            <w:pPr>
              <w:ind w:left="56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95</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4"/>
                <w:szCs w:val="14"/>
                <w:b w:val="1"/>
                <w:bCs w:val="1"/>
                <w:color w:val="0000FF"/>
                <w:w w:val="96"/>
              </w:rPr>
              <w:t>PART III</w:t>
            </w:r>
          </w:p>
        </w:tc>
        <w:tc>
          <w:tcPr>
            <w:tcW w:w="516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0000FF"/>
                <w:w w:val="98"/>
              </w:rPr>
              <w:t>Item 10.</w:t>
            </w:r>
          </w:p>
        </w:tc>
        <w:tc>
          <w:tcPr>
            <w:tcW w:w="10520" w:type="dxa"/>
            <w:vAlign w:val="bottom"/>
            <w:gridSpan w:val="9"/>
          </w:tcPr>
          <w:p>
            <w:pPr>
              <w:ind w:left="580"/>
              <w:spacing w:after="0"/>
              <w:rPr>
                <w:sz w:val="20"/>
                <w:szCs w:val="20"/>
                <w:color w:val="auto"/>
              </w:rPr>
            </w:pPr>
            <w:r>
              <w:rPr>
                <w:rFonts w:ascii="Arial" w:cs="Arial" w:eastAsia="Arial" w:hAnsi="Arial"/>
                <w:sz w:val="14"/>
                <w:szCs w:val="14"/>
                <w:color w:val="0000FF"/>
              </w:rPr>
              <w:t>Directors, Executive Officers and Corporate Governance</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96</w:t>
            </w:r>
          </w:p>
        </w:tc>
      </w:tr>
      <w:tr>
        <w:trPr>
          <w:trHeight w:val="20"/>
        </w:trPr>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0000FF"/>
                <w:w w:val="98"/>
              </w:rPr>
              <w:t>Item 11.</w:t>
            </w:r>
          </w:p>
        </w:tc>
        <w:tc>
          <w:tcPr>
            <w:tcW w:w="10520" w:type="dxa"/>
            <w:vAlign w:val="bottom"/>
            <w:gridSpan w:val="9"/>
          </w:tcPr>
          <w:p>
            <w:pPr>
              <w:ind w:left="580"/>
              <w:spacing w:after="0"/>
              <w:rPr>
                <w:sz w:val="20"/>
                <w:szCs w:val="20"/>
                <w:color w:val="auto"/>
              </w:rPr>
            </w:pPr>
            <w:r>
              <w:rPr>
                <w:rFonts w:ascii="Arial" w:cs="Arial" w:eastAsia="Arial" w:hAnsi="Arial"/>
                <w:sz w:val="14"/>
                <w:szCs w:val="14"/>
                <w:color w:val="0000FF"/>
              </w:rPr>
              <w:t>Executive Compensation</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96</w:t>
            </w:r>
          </w:p>
        </w:tc>
      </w:tr>
      <w:tr>
        <w:trPr>
          <w:trHeight w:val="20"/>
        </w:trPr>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0000FF"/>
                <w:w w:val="98"/>
              </w:rPr>
              <w:t>Item 12.</w:t>
            </w:r>
          </w:p>
        </w:tc>
        <w:tc>
          <w:tcPr>
            <w:tcW w:w="10520" w:type="dxa"/>
            <w:vAlign w:val="bottom"/>
            <w:gridSpan w:val="9"/>
          </w:tcPr>
          <w:p>
            <w:pPr>
              <w:ind w:left="580"/>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96</w:t>
            </w:r>
          </w:p>
        </w:tc>
      </w:tr>
      <w:tr>
        <w:trPr>
          <w:trHeight w:val="20"/>
        </w:trPr>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0000FF"/>
                <w:w w:val="98"/>
              </w:rPr>
              <w:t>Item 13.</w:t>
            </w:r>
          </w:p>
        </w:tc>
        <w:tc>
          <w:tcPr>
            <w:tcW w:w="10520" w:type="dxa"/>
            <w:vAlign w:val="bottom"/>
            <w:gridSpan w:val="9"/>
          </w:tcPr>
          <w:p>
            <w:pPr>
              <w:ind w:left="580"/>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96</w:t>
            </w:r>
          </w:p>
        </w:tc>
      </w:tr>
      <w:tr>
        <w:trPr>
          <w:trHeight w:val="20"/>
        </w:trPr>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183"/>
        </w:trPr>
        <w:tc>
          <w:tcPr>
            <w:tcW w:w="520" w:type="dxa"/>
            <w:vAlign w:val="bottom"/>
          </w:tcPr>
          <w:p>
            <w:pPr>
              <w:spacing w:after="0"/>
              <w:rPr>
                <w:sz w:val="20"/>
                <w:szCs w:val="20"/>
                <w:color w:val="auto"/>
              </w:rPr>
            </w:pPr>
            <w:r>
              <w:rPr>
                <w:rFonts w:ascii="Arial" w:cs="Arial" w:eastAsia="Arial" w:hAnsi="Arial"/>
                <w:sz w:val="14"/>
                <w:szCs w:val="14"/>
                <w:color w:val="0000FF"/>
                <w:w w:val="98"/>
              </w:rPr>
              <w:t>Item 14.</w:t>
            </w:r>
          </w:p>
        </w:tc>
        <w:tc>
          <w:tcPr>
            <w:tcW w:w="10520" w:type="dxa"/>
            <w:vAlign w:val="bottom"/>
            <w:gridSpan w:val="9"/>
          </w:tcPr>
          <w:p>
            <w:pPr>
              <w:ind w:left="580"/>
              <w:spacing w:after="0"/>
              <w:rPr>
                <w:sz w:val="20"/>
                <w:szCs w:val="20"/>
                <w:color w:val="auto"/>
              </w:rPr>
            </w:pPr>
            <w:r>
              <w:rPr>
                <w:rFonts w:ascii="Arial" w:cs="Arial" w:eastAsia="Arial" w:hAnsi="Arial"/>
                <w:sz w:val="14"/>
                <w:szCs w:val="14"/>
                <w:color w:val="0000FF"/>
              </w:rPr>
              <w:t>Principal Accountant Fees and Services</w:t>
            </w:r>
          </w:p>
        </w:tc>
        <w:tc>
          <w:tcPr>
            <w:tcW w:w="160" w:type="dxa"/>
            <w:vAlign w:val="bottom"/>
          </w:tcPr>
          <w:p>
            <w:pPr>
              <w:jc w:val="right"/>
              <w:spacing w:after="0"/>
              <w:rPr>
                <w:sz w:val="20"/>
                <w:szCs w:val="20"/>
                <w:color w:val="auto"/>
              </w:rPr>
            </w:pPr>
            <w:r>
              <w:rPr>
                <w:rFonts w:ascii="Arial" w:cs="Arial" w:eastAsia="Arial" w:hAnsi="Arial"/>
                <w:sz w:val="14"/>
                <w:szCs w:val="14"/>
                <w:color w:val="0000FF"/>
                <w:w w:val="89"/>
              </w:rPr>
              <w:t>96</w:t>
            </w:r>
          </w:p>
        </w:tc>
      </w:tr>
      <w:tr>
        <w:trPr>
          <w:trHeight w:val="20"/>
        </w:trPr>
        <w:tc>
          <w:tcPr>
            <w:tcW w:w="5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900" w:type="dxa"/>
            <w:vAlign w:val="bottom"/>
            <w:gridSpan w:val="6"/>
          </w:tcPr>
          <w:p>
            <w:pPr>
              <w:jc w:val="right"/>
              <w:ind w:right="5340"/>
              <w:spacing w:after="0"/>
              <w:rPr>
                <w:sz w:val="20"/>
                <w:szCs w:val="20"/>
                <w:color w:val="auto"/>
              </w:rPr>
            </w:pPr>
            <w:r>
              <w:rPr>
                <w:rFonts w:ascii="Arial" w:cs="Arial" w:eastAsia="Arial" w:hAnsi="Arial"/>
                <w:sz w:val="14"/>
                <w:szCs w:val="14"/>
                <w:b w:val="1"/>
                <w:bCs w:val="1"/>
                <w:color w:val="0000FF"/>
                <w:w w:val="97"/>
              </w:rPr>
              <w:t>PART IV</w:t>
            </w:r>
          </w:p>
        </w:tc>
      </w:tr>
      <w:tr>
        <w:trPr>
          <w:trHeight w:val="183"/>
        </w:trPr>
        <w:tc>
          <w:tcPr>
            <w:tcW w:w="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0000FF"/>
              </w:rPr>
              <w:t>Item 15.</w:t>
            </w:r>
          </w:p>
        </w:tc>
        <w:tc>
          <w:tcPr>
            <w:tcW w:w="4620" w:type="dxa"/>
            <w:vAlign w:val="bottom"/>
            <w:gridSpan w:val="5"/>
          </w:tcPr>
          <w:p>
            <w:pPr>
              <w:ind w:left="400"/>
              <w:spacing w:after="0"/>
              <w:rPr>
                <w:sz w:val="20"/>
                <w:szCs w:val="20"/>
                <w:color w:val="auto"/>
              </w:rPr>
            </w:pPr>
            <w:r>
              <w:rPr>
                <w:rFonts w:ascii="Arial" w:cs="Arial" w:eastAsia="Arial" w:hAnsi="Arial"/>
                <w:sz w:val="14"/>
                <w:szCs w:val="14"/>
                <w:color w:val="0000FF"/>
              </w:rPr>
              <w:t>Exhibits and Financial Statement Schedules</w:t>
            </w:r>
          </w:p>
        </w:tc>
        <w:tc>
          <w:tcPr>
            <w:tcW w:w="560" w:type="dxa"/>
            <w:vAlign w:val="bottom"/>
            <w:tcBorders>
              <w:top w:val="single" w:sz="8" w:color="0000FF"/>
            </w:tcBorders>
          </w:tcPr>
          <w:p>
            <w:pPr>
              <w:spacing w:after="0"/>
              <w:rPr>
                <w:sz w:val="15"/>
                <w:szCs w:val="15"/>
                <w:color w:val="auto"/>
              </w:rPr>
            </w:pPr>
          </w:p>
        </w:tc>
        <w:tc>
          <w:tcPr>
            <w:tcW w:w="5340" w:type="dxa"/>
            <w:vAlign w:val="bottom"/>
            <w:gridSpan w:val="5"/>
          </w:tcPr>
          <w:p>
            <w:pPr>
              <w:jc w:val="right"/>
              <w:ind w:right="20"/>
              <w:spacing w:after="0"/>
              <w:rPr>
                <w:sz w:val="20"/>
                <w:szCs w:val="20"/>
                <w:color w:val="auto"/>
              </w:rPr>
            </w:pPr>
            <w:r>
              <w:rPr>
                <w:rFonts w:ascii="Arial" w:cs="Arial" w:eastAsia="Arial" w:hAnsi="Arial"/>
                <w:sz w:val="14"/>
                <w:szCs w:val="14"/>
                <w:color w:val="0000FF"/>
              </w:rPr>
              <w:t>97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0000FF"/>
              </w:rPr>
              <w:t>Item 16.</w:t>
            </w:r>
          </w:p>
        </w:tc>
        <w:tc>
          <w:tcPr>
            <w:tcW w:w="4620" w:type="dxa"/>
            <w:vAlign w:val="bottom"/>
            <w:gridSpan w:val="5"/>
          </w:tcPr>
          <w:p>
            <w:pPr>
              <w:ind w:left="400"/>
              <w:spacing w:after="0"/>
              <w:rPr>
                <w:sz w:val="20"/>
                <w:szCs w:val="20"/>
                <w:color w:val="auto"/>
              </w:rPr>
            </w:pPr>
            <w:r>
              <w:rPr>
                <w:rFonts w:ascii="Arial" w:cs="Arial" w:eastAsia="Arial" w:hAnsi="Arial"/>
                <w:sz w:val="14"/>
                <w:szCs w:val="14"/>
                <w:color w:val="0000FF"/>
              </w:rPr>
              <w:t>Form 10-K Summary</w:t>
            </w:r>
          </w:p>
        </w:tc>
        <w:tc>
          <w:tcPr>
            <w:tcW w:w="5900" w:type="dxa"/>
            <w:vAlign w:val="bottom"/>
            <w:gridSpan w:val="6"/>
          </w:tcPr>
          <w:p>
            <w:pPr>
              <w:jc w:val="right"/>
              <w:ind w:right="20"/>
              <w:spacing w:after="0"/>
              <w:rPr>
                <w:sz w:val="20"/>
                <w:szCs w:val="20"/>
                <w:color w:val="auto"/>
              </w:rPr>
            </w:pPr>
            <w:r>
              <w:rPr>
                <w:rFonts w:ascii="Arial" w:cs="Arial" w:eastAsia="Arial" w:hAnsi="Arial"/>
                <w:sz w:val="14"/>
                <w:szCs w:val="14"/>
                <w:color w:val="0000FF"/>
              </w:rPr>
              <w:t>97</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0000FF"/>
              </w:rPr>
              <w:t>Signatures</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40" w:type="dxa"/>
            <w:vAlign w:val="bottom"/>
            <w:gridSpan w:val="3"/>
          </w:tcPr>
          <w:p>
            <w:pPr>
              <w:spacing w:after="0"/>
              <w:rPr>
                <w:sz w:val="24"/>
                <w:szCs w:val="24"/>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4"/>
                <w:szCs w:val="14"/>
                <w:color w:val="0000FF"/>
                <w:w w:val="94"/>
              </w:rPr>
              <w:t>100</w:t>
            </w:r>
          </w:p>
        </w:tc>
      </w:tr>
      <w:tr>
        <w:trPr>
          <w:trHeight w:val="20"/>
        </w:trPr>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320" w:type="dxa"/>
            <w:vAlign w:val="bottom"/>
            <w:gridSpan w:val="7"/>
          </w:tcPr>
          <w:p>
            <w:pPr>
              <w:spacing w:after="0"/>
              <w:rPr>
                <w:sz w:val="20"/>
                <w:szCs w:val="20"/>
                <w:color w:val="auto"/>
              </w:rPr>
            </w:pPr>
            <w:r>
              <w:rPr>
                <w:rFonts w:ascii="Arial" w:cs="Arial" w:eastAsia="Arial" w:hAnsi="Arial"/>
                <w:sz w:val="14"/>
                <w:szCs w:val="14"/>
                <w:color w:val="0000FF"/>
              </w:rPr>
              <w:t>Consolidated Financial Statements</w:t>
            </w:r>
          </w:p>
        </w:tc>
        <w:tc>
          <w:tcPr>
            <w:tcW w:w="560" w:type="dxa"/>
            <w:vAlign w:val="bottom"/>
          </w:tcPr>
          <w:p>
            <w:pPr>
              <w:spacing w:after="0"/>
              <w:rPr>
                <w:sz w:val="15"/>
                <w:szCs w:val="15"/>
                <w:color w:val="auto"/>
              </w:rPr>
            </w:pPr>
          </w:p>
        </w:tc>
        <w:tc>
          <w:tcPr>
            <w:tcW w:w="5340" w:type="dxa"/>
            <w:vAlign w:val="bottom"/>
            <w:gridSpan w:val="5"/>
          </w:tcPr>
          <w:p>
            <w:pPr>
              <w:jc w:val="right"/>
              <w:ind w:right="20"/>
              <w:spacing w:after="0"/>
              <w:rPr>
                <w:sz w:val="20"/>
                <w:szCs w:val="20"/>
                <w:color w:val="auto"/>
              </w:rPr>
            </w:pPr>
            <w:r>
              <w:rPr>
                <w:rFonts w:ascii="Arial" w:cs="Arial" w:eastAsia="Arial" w:hAnsi="Arial"/>
                <w:sz w:val="14"/>
                <w:szCs w:val="14"/>
                <w:color w:val="0000FF"/>
              </w:rPr>
              <w:t>F- 1</w:t>
            </w:r>
          </w:p>
        </w:tc>
      </w:tr>
      <w:tr>
        <w:trPr>
          <w:trHeight w:val="1391"/>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FORWARD-LOOKING STATEMENTS</w:t>
      </w:r>
    </w:p>
    <w:p>
      <w:pPr>
        <w:spacing w:after="0" w:line="11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contains forward-looking statements that are being made pursuant to the provisions of the Private Securities Litigation Reform Act of 1995 (the PSLRA) with the intention of obtaining the benefits of the “Safe Harbor” provisions of the PSLRA. These forward-looking statements may be accompanied by such words as “aim,” “anticipate,” "assume," “believe,” “contemplate,” “continue," "could," “estimate,” “expect,” “forecast,” “goal,” “guidance,” “hope,” “intend,” “may,” “objective,” "outlook," “plan,” “possible,” "potential," “predict,” “project,” “should,” “target,” “will,” “would” or the negative of these words or other words and terms of similar meaning. Given their forward-looking nature, these statements involve substantial risks and uncertainties and may be based on inaccurate assumptions. This report includes, among others, forward-looking statements regarding:</w:t>
      </w:r>
    </w:p>
    <w:p>
      <w:pPr>
        <w:spacing w:after="0" w:line="88" w:lineRule="exact"/>
        <w:rPr>
          <w:sz w:val="20"/>
          <w:szCs w:val="20"/>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financial and operating performance;</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long-term strategy and supporting business plans, including our product pipeline;</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growth through acquisitions and key collaborative relationships and funding arrangements;</w:t>
      </w:r>
    </w:p>
    <w:p>
      <w:pPr>
        <w:spacing w:after="0" w:line="130" w:lineRule="exact"/>
        <w:rPr>
          <w:rFonts w:ascii="Arial" w:cs="Arial" w:eastAsia="Arial" w:hAnsi="Arial"/>
          <w:sz w:val="18"/>
          <w:szCs w:val="18"/>
          <w:color w:val="auto"/>
        </w:rPr>
      </w:pPr>
    </w:p>
    <w:p>
      <w:pPr>
        <w:ind w:left="420" w:right="40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w:t>
      </w:r>
    </w:p>
    <w:p>
      <w:pPr>
        <w:spacing w:after="0" w:line="76"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adequate coverage, pricing and reimbursement from third-party payors and governments;</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certain legal and regulatory proceedings and investigations; and</w:t>
      </w:r>
    </w:p>
    <w:p>
      <w:pPr>
        <w:spacing w:after="0" w:line="130" w:lineRule="exact"/>
        <w:rPr>
          <w:rFonts w:ascii="Arial" w:cs="Arial" w:eastAsia="Arial" w:hAnsi="Arial"/>
          <w:sz w:val="18"/>
          <w:szCs w:val="18"/>
          <w:color w:val="auto"/>
        </w:rPr>
      </w:pPr>
    </w:p>
    <w:p>
      <w:pPr>
        <w:ind w:left="420" w:right="4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be materially different from those stated or implied in this document, including, among others, factors relating to:</w:t>
      </w:r>
    </w:p>
    <w:p>
      <w:pPr>
        <w:spacing w:after="0" w:line="82" w:lineRule="exact"/>
        <w:rPr>
          <w:sz w:val="20"/>
          <w:szCs w:val="20"/>
          <w:color w:val="auto"/>
        </w:rPr>
      </w:pPr>
    </w:p>
    <w:p>
      <w:pPr>
        <w:ind w:left="420" w:right="420" w:hanging="331"/>
        <w:spacing w:after="0" w:line="268"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substantial dependence on the anticipated amount, timing and accounting of revenue from our products, including from the successful development of new products and approval of additional indications for our existing products, including but not limited to LEQEMBI and SKYCLARYS;</w:t>
      </w:r>
    </w:p>
    <w:p>
      <w:pPr>
        <w:spacing w:after="0" w:line="76" w:lineRule="exact"/>
        <w:rPr>
          <w:rFonts w:ascii="Arial" w:cs="Arial" w:eastAsia="Arial" w:hAnsi="Arial"/>
          <w:sz w:val="18"/>
          <w:szCs w:val="18"/>
          <w:color w:val="auto"/>
        </w:rPr>
      </w:pPr>
    </w:p>
    <w:p>
      <w:pPr>
        <w:ind w:left="420" w:right="20" w:hanging="331"/>
        <w:spacing w:after="0" w:line="259"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anticipated amount, timing and accounting of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 including for goodwill balances;</w:t>
      </w:r>
    </w:p>
    <w:p>
      <w:pPr>
        <w:spacing w:after="0" w:line="98" w:lineRule="exact"/>
        <w:rPr>
          <w:rFonts w:ascii="Arial" w:cs="Arial" w:eastAsia="Arial" w:hAnsi="Arial"/>
          <w:sz w:val="18"/>
          <w:szCs w:val="18"/>
          <w:color w:val="auto"/>
        </w:rPr>
      </w:pPr>
    </w:p>
    <w:p>
      <w:pPr>
        <w:ind w:left="420" w:hanging="331"/>
        <w:spacing w:after="0" w:line="259"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plans, prospects and the timing of actions relating to product approvals, approvals of additional indications for our existing products, sales, pricing, growth, reimbursement and launch of our marketed and pipeline products all of which is subject to governmental and regulatory oversight, and therefore subject to risks and uncertainties, including but not limited to those related to approvals, unfavorable or delayed reimbursements and coverage determinations, and changes in reimbursement policies or practices of payors and other third parties;</w:t>
      </w:r>
    </w:p>
    <w:p>
      <w:pPr>
        <w:spacing w:after="0" w:line="84" w:lineRule="exact"/>
        <w:rPr>
          <w:rFonts w:ascii="Arial" w:cs="Arial" w:eastAsia="Arial" w:hAnsi="Arial"/>
          <w:sz w:val="18"/>
          <w:szCs w:val="18"/>
          <w:color w:val="auto"/>
        </w:rPr>
      </w:pPr>
    </w:p>
    <w:p>
      <w:pPr>
        <w:ind w:left="420" w:right="160" w:hanging="331"/>
        <w:spacing w:after="0" w:line="259"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biopharmaceutical and healthcare industry, as well as any other markets in which we compete, including increased competition from new originator therapies, generics, prodrugs and biosimilars of existing products and products approved under abbreviated regulatory pathways, including generic, prodrugs or biosimilar versions of our marketed products or competing products, including but not limited to, increased competition from TECFIDERA generic entrants and a biosimilar entrant of TYSABRI;</w:t>
      </w:r>
    </w:p>
    <w:p>
      <w:pPr>
        <w:spacing w:after="0" w:line="84" w:lineRule="exact"/>
        <w:rPr>
          <w:rFonts w:ascii="Arial" w:cs="Arial" w:eastAsia="Arial" w:hAnsi="Arial"/>
          <w:sz w:val="18"/>
          <w:szCs w:val="18"/>
          <w:color w:val="auto"/>
        </w:rPr>
      </w:pPr>
    </w:p>
    <w:p>
      <w:pPr>
        <w:ind w:left="420" w:right="300" w:hanging="331"/>
        <w:spacing w:after="0" w:line="287"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periods of regulatory exclusivities, as well as our ability to adequately enforce existing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right="44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implement our corporate strategy which includes significant investment in product and pipeline candidates, including but not limited to felzartamab, litifilimab and salanersen;</w:t>
      </w:r>
    </w:p>
    <w:p>
      <w:pPr>
        <w:spacing w:after="0" w:line="71" w:lineRule="exact"/>
        <w:rPr>
          <w:rFonts w:ascii="Arial" w:cs="Arial" w:eastAsia="Arial" w:hAnsi="Arial"/>
          <w:sz w:val="18"/>
          <w:szCs w:val="18"/>
          <w:color w:val="auto"/>
        </w:rPr>
      </w:pPr>
    </w:p>
    <w:p>
      <w:pPr>
        <w:jc w:val="both"/>
        <w:ind w:left="420" w:right="14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execution of our strategic and growth initiatives, including acquisitions, and our ability to realize the anticipated benefits from our acquisitions of Reata, HI-Bio and Alcyone, including future performance of the SKYCLARYS product, further development of the felzartamab product and future development of drug delivery solutions;</w:t>
      </w:r>
    </w:p>
    <w:p>
      <w:pPr>
        <w:spacing w:after="0" w:line="76" w:lineRule="exact"/>
        <w:rPr>
          <w:rFonts w:ascii="Arial" w:cs="Arial" w:eastAsia="Arial" w:hAnsi="Arial"/>
          <w:sz w:val="18"/>
          <w:szCs w:val="18"/>
          <w:color w:val="auto"/>
        </w:rPr>
      </w:pPr>
    </w:p>
    <w:p>
      <w:pPr>
        <w:ind w:left="420" w:right="14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drivers for growing our business, including our plans and intention to commit resources relating to discovery, research and development programs and business development opportunities, including collaboration agreements, as well as the potential benefits and results of, and the anticipated completion of, certain business development transactions, reorganizations and cost-reduction measures, including our Fit for Growth program;</w:t>
      </w:r>
    </w:p>
    <w:p>
      <w:pPr>
        <w:spacing w:after="0" w:line="81" w:lineRule="exact"/>
        <w:rPr>
          <w:rFonts w:ascii="Arial" w:cs="Arial" w:eastAsia="Arial" w:hAnsi="Arial"/>
          <w:sz w:val="18"/>
          <w:szCs w:val="18"/>
          <w:color w:val="auto"/>
        </w:rPr>
      </w:pPr>
    </w:p>
    <w:p>
      <w:pPr>
        <w:ind w:left="420" w:right="2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regulatory filing approvals and/or discontinuation, of our products, drug candidates and pipeline programs, including collaborations with third parties including but not limited to Eisai and Supernus, as well as the potential therapeutic scope of the development and commercialization of our and our collaborators’ products;</w:t>
      </w:r>
    </w:p>
    <w:p>
      <w:pPr>
        <w:spacing w:after="0" w:line="95" w:lineRule="exact"/>
        <w:rPr>
          <w:rFonts w:ascii="Arial" w:cs="Arial" w:eastAsia="Arial" w:hAnsi="Arial"/>
          <w:sz w:val="18"/>
          <w:szCs w:val="18"/>
          <w:color w:val="auto"/>
        </w:rPr>
      </w:pPr>
    </w:p>
    <w:p>
      <w:pPr>
        <w:ind w:left="420" w:right="26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impacts of disruptions, turnover or changes in strategy, priorities or capabilities at our collaborators resulting from, for example, a change in control, and the related impacts on the commercialization or manufacturing of our shared products;</w:t>
      </w:r>
    </w:p>
    <w:p>
      <w:pPr>
        <w:spacing w:after="0" w:line="58" w:lineRule="exact"/>
        <w:rPr>
          <w:rFonts w:ascii="Arial" w:cs="Arial" w:eastAsia="Arial" w:hAnsi="Arial"/>
          <w:sz w:val="18"/>
          <w:szCs w:val="18"/>
          <w:color w:val="auto"/>
        </w:rPr>
      </w:pPr>
    </w:p>
    <w:p>
      <w:pPr>
        <w:ind w:left="420" w:right="30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including those related to our patents and other proprietary and intellectual property rights, tax audits, assessments and settlements, pricing matters, sales and promotional practices, product liability, investigations and other matters;</w:t>
      </w:r>
    </w:p>
    <w:p>
      <w:pPr>
        <w:spacing w:after="0" w:line="76" w:lineRule="exact"/>
        <w:rPr>
          <w:rFonts w:ascii="Arial" w:cs="Arial" w:eastAsia="Arial" w:hAnsi="Arial"/>
          <w:sz w:val="18"/>
          <w:szCs w:val="18"/>
          <w:color w:val="auto"/>
        </w:rPr>
      </w:pPr>
    </w:p>
    <w:p>
      <w:pPr>
        <w:ind w:left="420" w:hanging="331"/>
        <w:spacing w:after="0" w:line="31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commercialize biosimilars, which is subject to risks such as our reliance on third parties, competitive challenges, regulatory compliance, adequate supply, intellectual property and regulatory challenges and failure to gain market and patient acceptance;</w:t>
      </w:r>
    </w:p>
    <w:p>
      <w:pPr>
        <w:spacing w:after="0" w:line="48" w:lineRule="exact"/>
        <w:rPr>
          <w:rFonts w:ascii="Arial" w:cs="Arial" w:eastAsia="Arial" w:hAnsi="Arial"/>
          <w:sz w:val="17"/>
          <w:szCs w:val="17"/>
          <w:color w:val="auto"/>
        </w:rPr>
      </w:pPr>
    </w:p>
    <w:p>
      <w:pPr>
        <w:ind w:left="360" w:hanging="27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finance our present and future operations and business initiatives and obtain funding for such activities on favorable terms;</w:t>
      </w:r>
    </w:p>
    <w:p>
      <w:pPr>
        <w:spacing w:after="0" w:line="130" w:lineRule="exact"/>
        <w:rPr>
          <w:rFonts w:ascii="Arial" w:cs="Arial" w:eastAsia="Arial" w:hAnsi="Arial"/>
          <w:sz w:val="18"/>
          <w:szCs w:val="18"/>
          <w:color w:val="auto"/>
        </w:rPr>
      </w:pPr>
    </w:p>
    <w:p>
      <w:pPr>
        <w:ind w:left="420" w:right="10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retain and motivate qualified individuals for management and other employee positions in a highly competitive environment, including potential difficulty in retaining talent following acquisitions or following the discontinuation or underperformance of one or more marketed, preclinical or clinical programs;</w:t>
      </w:r>
    </w:p>
    <w:p>
      <w:pPr>
        <w:spacing w:after="0" w:line="76" w:lineRule="exact"/>
        <w:rPr>
          <w:rFonts w:ascii="Arial" w:cs="Arial" w:eastAsia="Arial" w:hAnsi="Arial"/>
          <w:sz w:val="18"/>
          <w:szCs w:val="18"/>
          <w:color w:val="auto"/>
        </w:rPr>
      </w:pPr>
    </w:p>
    <w:p>
      <w:pPr>
        <w:ind w:left="420" w:right="4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safety events involving our marketed or pipeline products, generic, prodrugs or biosimilar versions of our marketed products or any other products from the same class as one of our products;</w:t>
      </w:r>
    </w:p>
    <w:p>
      <w:pPr>
        <w:spacing w:after="0" w:line="71" w:lineRule="exact"/>
        <w:rPr>
          <w:rFonts w:ascii="Arial" w:cs="Arial" w:eastAsia="Arial" w:hAnsi="Arial"/>
          <w:sz w:val="18"/>
          <w:szCs w:val="18"/>
          <w:color w:val="auto"/>
        </w:rPr>
      </w:pPr>
    </w:p>
    <w:p>
      <w:pPr>
        <w:ind w:left="420" w:right="120" w:hanging="331"/>
        <w:spacing w:after="0" w:line="262"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and potential impacts of geopolitical tensions, acts of war and other large-scale crises, including impacts to our operations, sales and the possible disruptions or delay in our plans to conduct clinical trial activities in areas of geopolitical tension, including tensions between the U.S., and China and other countries, regions affected by Russia's invasion of Ukraine and the military conflict in the Middle East;</w:t>
      </w:r>
    </w:p>
    <w:p>
      <w:pPr>
        <w:spacing w:after="0" w:line="81" w:lineRule="exact"/>
        <w:rPr>
          <w:rFonts w:ascii="Arial" w:cs="Arial" w:eastAsia="Arial" w:hAnsi="Arial"/>
          <w:sz w:val="18"/>
          <w:szCs w:val="18"/>
          <w:color w:val="auto"/>
        </w:rPr>
      </w:pPr>
    </w:p>
    <w:p>
      <w:pPr>
        <w:ind w:left="420" w:right="8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new laws, regulatory actions, judicial decisions, accounting standards and tariffs or trade restrictions, including any newly imposed U.S. tariffs and any responsive non-U.S. tariffs applicable to our products or operations, as well as the potential global macroeconomic effect of tariffs or trade restrictions;</w:t>
      </w:r>
    </w:p>
    <w:p>
      <w:pPr>
        <w:spacing w:after="0" w:line="76" w:lineRule="exact"/>
        <w:rPr>
          <w:rFonts w:ascii="Arial" w:cs="Arial" w:eastAsia="Arial" w:hAnsi="Arial"/>
          <w:sz w:val="18"/>
          <w:szCs w:val="18"/>
          <w:color w:val="auto"/>
        </w:rPr>
      </w:pPr>
    </w:p>
    <w:p>
      <w:pPr>
        <w:ind w:left="420" w:right="240" w:hanging="331"/>
        <w:spacing w:after="0" w:line="31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direct and indirect impact of global health outbreaks or adverse weather events on our business and operations, including sales, expense, reserves and allowances, the supply chain, manufacturing, research and development costs, clinical trials and employees;</w:t>
      </w:r>
    </w:p>
    <w:p>
      <w:pPr>
        <w:spacing w:after="0" w:line="48" w:lineRule="exact"/>
        <w:rPr>
          <w:rFonts w:ascii="Arial" w:cs="Arial" w:eastAsia="Arial" w:hAnsi="Arial"/>
          <w:sz w:val="17"/>
          <w:szCs w:val="17"/>
          <w:color w:val="auto"/>
        </w:rPr>
      </w:pPr>
    </w:p>
    <w:p>
      <w:pPr>
        <w:ind w:left="420" w:right="6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use of information technology systems and data and the potential impacts of any breakdowns, interruptions, invasions, corruptions, data breaches, destructions and/or other cybersecurity incidents of such systems or those of our business partners;</w:t>
      </w:r>
    </w:p>
    <w:p>
      <w:pPr>
        <w:spacing w:after="0" w:line="58" w:lineRule="exact"/>
        <w:rPr>
          <w:rFonts w:ascii="Arial" w:cs="Arial" w:eastAsia="Arial" w:hAnsi="Arial"/>
          <w:sz w:val="18"/>
          <w:szCs w:val="18"/>
          <w:color w:val="auto"/>
        </w:rPr>
      </w:pPr>
    </w:p>
    <w:p>
      <w:pPr>
        <w:ind w:left="360" w:hanging="27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incorporation of technologies using AI into some of our processes;</w:t>
      </w:r>
    </w:p>
    <w:p>
      <w:pPr>
        <w:spacing w:after="0" w:line="130" w:lineRule="exact"/>
        <w:rPr>
          <w:rFonts w:ascii="Arial" w:cs="Arial" w:eastAsia="Arial" w:hAnsi="Arial"/>
          <w:sz w:val="18"/>
          <w:szCs w:val="18"/>
          <w:color w:val="auto"/>
        </w:rPr>
      </w:pPr>
    </w:p>
    <w:p>
      <w:pPr>
        <w:ind w:left="420" w:right="60" w:hanging="331"/>
        <w:spacing w:after="0" w:line="268"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U.S., including the IRA (or other legislative or executive acts that may modify or replace the IRA, such as the OBBBA) and the impact of the IRA Medicare Part D redesign, and measures being taken worldwide designed to reduce healthcare costs and limit the overall level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8" w:right="4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right="140"/>
        <w:spacing w:after="0" w:line="287" w:lineRule="auto"/>
        <w:rPr>
          <w:sz w:val="20"/>
          <w:szCs w:val="20"/>
          <w:color w:val="auto"/>
        </w:rPr>
      </w:pPr>
      <w:r>
        <w:rPr>
          <w:rFonts w:ascii="Arial" w:cs="Arial" w:eastAsia="Arial" w:hAnsi="Arial"/>
          <w:sz w:val="18"/>
          <w:szCs w:val="18"/>
          <w:color w:val="auto"/>
        </w:rPr>
        <w:t>government expenditures, including the impact of pricing actions and reduced reimbursement for our products, as well as the potential impact of legislative and regulatory changes and priorities, including actions related to MFN drug pricing;</w:t>
      </w:r>
    </w:p>
    <w:p>
      <w:pPr>
        <w:spacing w:after="0" w:line="72" w:lineRule="exact"/>
        <w:rPr>
          <w:sz w:val="20"/>
          <w:szCs w:val="20"/>
          <w:color w:val="auto"/>
        </w:rPr>
      </w:pPr>
    </w:p>
    <w:p>
      <w:pPr>
        <w:ind w:left="420" w:right="340" w:hanging="331"/>
        <w:spacing w:after="0" w:line="268"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manufacturing capacity, including our ability to effectively manufacture biosimilars, reliance on third-party contract manufacturing organizations, plans and timing relating to changes in our manufacturing capabilities, our ability to adequately address global bulk supply risks, our ability to fully utilize our manufacturing facilities, including our Solothurn and RTP facilities;</w:t>
      </w:r>
    </w:p>
    <w:p>
      <w:pPr>
        <w:spacing w:after="0" w:line="76" w:lineRule="exact"/>
        <w:rPr>
          <w:rFonts w:ascii="Arial" w:cs="Arial" w:eastAsia="Arial" w:hAnsi="Arial"/>
          <w:sz w:val="18"/>
          <w:szCs w:val="18"/>
          <w:color w:val="auto"/>
        </w:rPr>
      </w:pPr>
    </w:p>
    <w:p>
      <w:pPr>
        <w:ind w:left="420" w:right="460" w:hanging="331"/>
        <w:spacing w:after="0" w:line="287" w:lineRule="auto"/>
        <w:tabs>
          <w:tab w:leader="none" w:pos="3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and our ability to collect accounts receivable in such countries;</w:t>
      </w:r>
    </w:p>
    <w:p>
      <w:pPr>
        <w:spacing w:after="0" w:line="58" w:lineRule="exact"/>
        <w:rPr>
          <w:rFonts w:ascii="Arial" w:cs="Arial" w:eastAsia="Arial" w:hAnsi="Arial"/>
          <w:sz w:val="18"/>
          <w:szCs w:val="18"/>
          <w:color w:val="auto"/>
        </w:rPr>
      </w:pPr>
    </w:p>
    <w:p>
      <w:pPr>
        <w:ind w:left="360" w:hanging="271"/>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increased volatility in the financial markets on our ability to obtain financing;</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 and</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our effective tax rate and obligations in various jurisdictions in which we are subject to taxation.</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These forward-looking statements involve risks and uncertainties, including those that are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included in this report and elsewhere in this report,</w:t>
      </w:r>
      <w:r>
        <w:rPr>
          <w:rFonts w:ascii="Arial" w:cs="Arial" w:eastAsia="Arial" w:hAnsi="Arial"/>
          <w:sz w:val="18"/>
          <w:szCs w:val="18"/>
          <w:i w:val="1"/>
          <w:iCs w:val="1"/>
          <w:color w:val="auto"/>
        </w:rPr>
        <w:t xml:space="preserve"> </w:t>
      </w:r>
      <w:r>
        <w:rPr>
          <w:rFonts w:ascii="Arial" w:cs="Arial" w:eastAsia="Arial" w:hAnsi="Arial"/>
          <w:sz w:val="18"/>
          <w:szCs w:val="18"/>
          <w:color w:val="auto"/>
        </w:rPr>
        <w:t>that could cause actual results to differ materially from those reflected in such statements. The factors identified above should not be construed as an exhaustive list of factors that could affect our future results and should be read in conjunction with the other cautionary statements that are included in this Annual Report on Form 10-K. Because some of these risks and uncertainties cannot be predicted or quantified and some are beyond our control, you should not rely on our forward-looking statements as predictions of future events and you should not place undue reliance on these statements. Moreover, we operate in a very competitive and rapidly changing environment, new risks and uncertainties may emerge from time to time and it is not possible for us to predict all risks nor identify all uncertainties. Forward-looking statements speak only as of the date of this report and are based on information and estimates available to us at this time. Except as required by law, we do not undertake any obligation to publicly update any forward-looking statements, whether as a result of new information, future developments or otherwise. You should read this report with the understanding that our actual future results, performance, events and circumstances might be materially different from what we expect.</w:t>
      </w: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COMPANY AND PRODUCT REFERENCES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report to:</w:t>
      </w:r>
    </w:p>
    <w:p>
      <w:pPr>
        <w:spacing w:after="0" w:line="117" w:lineRule="exact"/>
        <w:rPr>
          <w:sz w:val="20"/>
          <w:szCs w:val="20"/>
          <w:color w:val="auto"/>
        </w:rPr>
      </w:pPr>
    </w:p>
    <w:p>
      <w:pPr>
        <w:ind w:left="360" w:hanging="271"/>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“Biogen,” the “company,” “we,” “us” and “our” refer to Biogen Inc. and its consolidated subsidiaries; and</w:t>
      </w:r>
    </w:p>
    <w:p>
      <w:pPr>
        <w:spacing w:after="0" w:line="117" w:lineRule="exact"/>
        <w:rPr>
          <w:rFonts w:ascii="Arial" w:cs="Arial" w:eastAsia="Arial" w:hAnsi="Arial"/>
          <w:sz w:val="18"/>
          <w:szCs w:val="18"/>
          <w:color w:val="auto"/>
        </w:rPr>
      </w:pPr>
    </w:p>
    <w:p>
      <w:pPr>
        <w:ind w:left="420" w:right="240" w:hanging="331"/>
        <w:spacing w:after="0" w:line="287" w:lineRule="auto"/>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“RITUXAN” refers to both RITUXAN (the trade name for rituximab in the U.S., Canada and Japan) and MabThera (the trade name for rituximab outside the U.S., Canada and Japan).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TRADEMARKS</w:t>
      </w:r>
    </w:p>
    <w:p>
      <w:pPr>
        <w:spacing w:after="0" w:line="12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ADUHELM®, AVONEX®, PLEGRIDY®, QALSODY®, RITUXAN®, RITUXAN HYCELA®, SKYCLARYS®, SPINRAZA®, TECFIDERA®, THECAFLEX DRX®, TYSABRI® and VUMERITY® are registered trademarks of Biogen.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BENEPALI™, FLIXABI™, FUMADERM™ and IMRALDI™ are trademarks of Biogen.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ACTEMRA®, COLUMVI®, ENBREL®, EYLEA®, FAMPYRA™, GAZYVA®, LEQEMBI®, HUMIRA®, LUCENTIS®, LUNSUMIO®, OCREVUS®, REMICADE®, TOFIDENCE®, ZURZUVAE® and other trademarks referenced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100" w:type="dxa"/>
            <w:vAlign w:val="bottom"/>
            <w:gridSpan w:val="2"/>
          </w:tcPr>
          <w:p>
            <w:pPr>
              <w:ind w:left="1460"/>
              <w:spacing w:after="0"/>
              <w:rPr>
                <w:sz w:val="20"/>
                <w:szCs w:val="20"/>
                <w:color w:val="auto"/>
              </w:rPr>
            </w:pPr>
            <w:r>
              <w:rPr>
                <w:rFonts w:ascii="Arial" w:cs="Arial" w:eastAsia="Arial" w:hAnsi="Arial"/>
                <w:sz w:val="25"/>
                <w:szCs w:val="25"/>
                <w:color w:val="0070C0"/>
              </w:rPr>
              <w:t>DEFINED TERMS</w:t>
            </w:r>
          </w:p>
        </w:tc>
      </w:tr>
      <w:tr>
        <w:trPr>
          <w:trHeight w:val="215"/>
        </w:trPr>
        <w:tc>
          <w:tcPr>
            <w:tcW w:w="40" w:type="dxa"/>
            <w:vAlign w:val="bottom"/>
          </w:tcPr>
          <w:p>
            <w:pPr>
              <w:spacing w:after="0"/>
              <w:rPr>
                <w:sz w:val="18"/>
                <w:szCs w:val="18"/>
                <w:color w:val="auto"/>
              </w:rPr>
            </w:pPr>
          </w:p>
        </w:tc>
        <w:tc>
          <w:tcPr>
            <w:tcW w:w="310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2024 Form 10-K</w:t>
            </w:r>
          </w:p>
        </w:tc>
        <w:tc>
          <w:tcPr>
            <w:tcW w:w="808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Annual Report on Form 10-K for the year ended December 31, 2024</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2020 Share Repurchase Program</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Board of Directors authorized program to repurchase up to $5.0 billion of our common stock</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2024 Omnibus Equity Plan</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Biogen Inc. 2024 Omnibus Equity Plan</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2017 Omnibus Equity Plan</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Biogen Inc. 2017 Omnibus Equity Plan</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2024 ESPP</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Biogen Inc. 2024 Employee Stock Purchase Plan</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2015 ESPP</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Biogen Inc. 2015 Employee Stock Purchase Plan</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2023 Term Loan</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$1.5 billion term loan credit agreement</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AAIC</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Alzheimer's Association International Conference</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AbbVie</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AbbVie Inc.</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Acorda</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Acorda Therapeutics, Inc.</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AI</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Artificial Intelligence</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Alcyone</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Alcyone Therapeutics, Inc.</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Alkermes</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Alkermes plc</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ALS</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Amyotrophic Lateral Sclerosis</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AMP</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Average Manufacturer Price</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AMR</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Antibody-Mediated Rejection</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AOCI</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ASO</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Antisense Oligonucleotide</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ASU</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Accounting Standards Update</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BLA</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Biologics License Application</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Blackstone</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Blackstone Life Sciences</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CCPA</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California Consumer Privacy Act</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CEO</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Chief Executive Officer</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CHMP</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Committee for Medicinal Products for Human Use</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CISO</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Chief Information Security Officer</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CLE</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Cutaneous Lupus Erythematosus</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CLL</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Chronic Lymphocytic Leukemia</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CMS</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Centers for Medicare &amp; Medicaid Services</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CNS</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Central Nervous System</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CODM</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Chief Operating Decision Maker</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Convergence</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Convergence Pharmaceuticals Ltd.</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CRL</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Complete Response Letter</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CROs</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Contract Research Organizations</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CTAD</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Clinical Trials on Alzheimer's Disease</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Dayra</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Dayra Therapeutics, Inc.</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Denali</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Denali Therapeutics Inc.</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Directors Plan</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Biogen Inc. 2015 Non-Employee Directors Equity Plan</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District Court</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District Court for the District of Massachusetts</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DOJ</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Department of Justice</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DPN</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Diabetic Painful Neuropathy</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EC</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Commission</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EHS</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Environment, Health and Safety</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Eisai</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Eisai Co., Ltd.</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EMA</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Medicines Agency</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EPO</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Patent Office</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ERG</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Employee Resource Group</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ERM</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Enterprise Risk Management</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E.U.</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Union</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FA</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Friedreich Ataxia</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FASB</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Financial Accounting Standards Board</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FCPA</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Foreign Corrupt Practices Act</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10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FDA</w:t>
            </w:r>
          </w:p>
        </w:tc>
        <w:tc>
          <w:tcPr>
            <w:tcW w:w="80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Food and Drug Administration</w:t>
            </w:r>
          </w:p>
        </w:tc>
        <w:tc>
          <w:tcPr>
            <w:tcW w:w="20" w:type="dxa"/>
            <w:vAlign w:val="bottom"/>
          </w:tcPr>
          <w:p>
            <w:pPr>
              <w:spacing w:after="0"/>
              <w:rPr>
                <w:sz w:val="18"/>
                <w:szCs w:val="18"/>
                <w:color w:val="auto"/>
              </w:rPr>
            </w:pPr>
          </w:p>
        </w:tc>
      </w:tr>
      <w:tr>
        <w:trPr>
          <w:trHeight w:val="973"/>
        </w:trPr>
        <w:tc>
          <w:tcPr>
            <w:tcW w:w="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8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120" w:type="dxa"/>
            <w:vAlign w:val="bottom"/>
            <w:gridSpan w:val="2"/>
          </w:tcPr>
          <w:p>
            <w:pPr>
              <w:ind w:left="820"/>
              <w:spacing w:after="0"/>
              <w:rPr>
                <w:sz w:val="20"/>
                <w:szCs w:val="20"/>
                <w:color w:val="auto"/>
              </w:rPr>
            </w:pPr>
            <w:r>
              <w:rPr>
                <w:rFonts w:ascii="Arial" w:cs="Arial" w:eastAsia="Arial" w:hAnsi="Arial"/>
                <w:sz w:val="25"/>
                <w:szCs w:val="25"/>
                <w:color w:val="0070C0"/>
              </w:rPr>
              <w:t>DEFINED TERMS (continued)</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08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Fit for Growth</w:t>
            </w:r>
          </w:p>
        </w:tc>
        <w:tc>
          <w:tcPr>
            <w:tcW w:w="810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Cost saving program initiated in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FSS</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Federal Supply Schedule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GCP</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Good Clinical Practices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GDPR</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General Data Protection Regulation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Genentech</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Genentech,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GILTI</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Global Intangible Low-Taxed 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GloBE</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Global Anti-Base Erosion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GMP</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Good Manufacturing Practices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HHS</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Department of Health and Human Services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HI-Bio</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Human Immunology Biosciences,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Humana</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Humana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IgAN</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Immunoglobulin A Nephropathy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IND</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Investigational New Drug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Ionis</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Ionis Pharmaceuticals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IPR&amp;D</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In-process Research and Development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IRA</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Inflation Reduction Act of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IT</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Information Technology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IV</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Intravenous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308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0070C0"/>
              </w:rPr>
              <w:t>LEQEMBI Collaboration Agreement</w:t>
            </w:r>
          </w:p>
        </w:tc>
        <w:tc>
          <w:tcPr>
            <w:tcW w:w="8100" w:type="dxa"/>
            <w:vAlign w:val="bottom"/>
          </w:tcPr>
          <w:p>
            <w:pPr>
              <w:ind w:left="20"/>
              <w:spacing w:after="0" w:line="156" w:lineRule="exact"/>
              <w:rPr>
                <w:sz w:val="20"/>
                <w:szCs w:val="20"/>
                <w:color w:val="auto"/>
              </w:rPr>
            </w:pPr>
            <w:r>
              <w:rPr>
                <w:rFonts w:ascii="Arial" w:cs="Arial" w:eastAsia="Arial" w:hAnsi="Arial"/>
                <w:sz w:val="16"/>
                <w:szCs w:val="16"/>
                <w:color w:val="auto"/>
              </w:rPr>
              <w:t>Amended and Restated Collaboration Agreement entered into by Biogen MA Inc. and Eisai Co., Ltd. on October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3080" w:type="dxa"/>
            <w:vAlign w:val="bottom"/>
            <w:vMerge w:val="continue"/>
            <w:shd w:val="clear" w:color="auto" w:fill="DBDBDB"/>
          </w:tcPr>
          <w:p>
            <w:pPr>
              <w:spacing w:after="0"/>
              <w:rPr>
                <w:sz w:val="11"/>
                <w:szCs w:val="11"/>
                <w:color w:val="auto"/>
              </w:rPr>
            </w:pPr>
          </w:p>
        </w:tc>
        <w:tc>
          <w:tcPr>
            <w:tcW w:w="8120" w:type="dxa"/>
            <w:vAlign w:val="bottom"/>
            <w:gridSpan w:val="2"/>
            <w:vMerge w:val="restart"/>
          </w:tcPr>
          <w:p>
            <w:pPr>
              <w:ind w:left="20"/>
              <w:spacing w:after="0"/>
              <w:rPr>
                <w:sz w:val="20"/>
                <w:szCs w:val="20"/>
                <w:color w:val="auto"/>
              </w:rPr>
            </w:pPr>
            <w:r>
              <w:rPr>
                <w:rFonts w:ascii="Arial" w:cs="Arial" w:eastAsia="Arial" w:hAnsi="Arial"/>
                <w:sz w:val="16"/>
                <w:szCs w:val="16"/>
                <w:color w:val="auto"/>
              </w:rPr>
              <w:t>22, 2017, as amended on March 13, 2022</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3080" w:type="dxa"/>
            <w:vAlign w:val="bottom"/>
            <w:shd w:val="clear" w:color="auto" w:fill="DBDBDB"/>
          </w:tcPr>
          <w:p>
            <w:pPr>
              <w:spacing w:after="0"/>
              <w:rPr>
                <w:sz w:val="7"/>
                <w:szCs w:val="7"/>
                <w:color w:val="auto"/>
              </w:rPr>
            </w:pPr>
          </w:p>
        </w:tc>
        <w:tc>
          <w:tcPr>
            <w:tcW w:w="8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LRRK2</w:t>
            </w:r>
          </w:p>
        </w:tc>
        <w:tc>
          <w:tcPr>
            <w:tcW w:w="810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Leucine-Rich Repeat Kinase 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LTI</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Long-term Incentive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MAA</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Marketing Authorization Application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MFN</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Most-Favored-Nation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MHRA</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Medicines and Healthcare products Regulatory Agency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MorphoSys</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MorphoSys AG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MS</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Multiple Sclerosis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MVI</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Microvascular Inflammation in Kidney Transplant Patients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NDA</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New Drug Application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NDS</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New Drug Submission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Neurimmune</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Neurimmune SubOne AG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NIST</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Institute of Standards and Technology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NMPA</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Medical Products Administration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OBBBA</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One Big Beautiful Bill Act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ODD</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Orphan Drug Designation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OECD</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Organization for Economic Co-operation and Development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OIE</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Other (Income) Expense, Net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Organon</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Organon LLC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PDUFA</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Prescription Drug User Fee Act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PFAS</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Per- and Polyfluoroalkyl Substances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PHS</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Public Health Service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PMN</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Primary Membranous Nephropathy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Polpharma</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Polpharma Biologics 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PPACA</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Patient Protection and Affordable Care Act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PPD</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Postpartum Depression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PPMS</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Primary Progressive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PRV</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Priority Review Voucher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R&amp;D</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Reata</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Reata Pharmaceuticals,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REMS</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Risk Evaluation and Mitigation 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RMS</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Relapsing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8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RNAi</w:t>
            </w:r>
          </w:p>
        </w:tc>
        <w:tc>
          <w:tcPr>
            <w:tcW w:w="810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RNA Interference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3"/>
        </w:trPr>
        <w:tc>
          <w:tcPr>
            <w:tcW w:w="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00" w:type="dxa"/>
            <w:vAlign w:val="bottom"/>
            <w:gridSpan w:val="2"/>
          </w:tcPr>
          <w:p>
            <w:pPr>
              <w:ind w:left="700"/>
              <w:spacing w:after="0"/>
              <w:rPr>
                <w:sz w:val="20"/>
                <w:szCs w:val="20"/>
                <w:color w:val="auto"/>
              </w:rPr>
            </w:pPr>
            <w:r>
              <w:rPr>
                <w:rFonts w:ascii="Arial" w:cs="Arial" w:eastAsia="Arial" w:hAnsi="Arial"/>
                <w:sz w:val="25"/>
                <w:szCs w:val="25"/>
                <w:color w:val="0070C0"/>
              </w:rPr>
              <w:t>DEFINED TERMS (continued)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RRMS</w:t>
            </w:r>
          </w:p>
        </w:tc>
        <w:tc>
          <w:tcPr>
            <w:tcW w:w="798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Relapsing-Remitting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RTP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Research Triangle Park, North Carolina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Sage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Sage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Samsung Bioepis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Samsung Bioepis Co.,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Samsung BioLogics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Samsung BioLogics Co.,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Sangamo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Sangamo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SEC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Securities and Exchange Commission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SG&amp;A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Systemic Lupus Erythematosus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Spinal Muscular Atrophy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SMN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Survival Motor Neuron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SOD1</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Superoxide Dismutase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SPC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Supplementary Protection Certificate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SSP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Supplemental Savings 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Supernus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Supernus Pharmaceuticals,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SWISSMEDIC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Swiss Agency for Therapeutic Products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TNF</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Anti-tumor Necrosis Factor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0070C0"/>
              </w:rPr>
              <w:t>Transition Toll Tax</w:t>
            </w:r>
          </w:p>
        </w:tc>
        <w:tc>
          <w:tcPr>
            <w:tcW w:w="7980" w:type="dxa"/>
            <w:vAlign w:val="bottom"/>
          </w:tcPr>
          <w:p>
            <w:pPr>
              <w:ind w:left="20"/>
              <w:spacing w:after="0" w:line="156" w:lineRule="exact"/>
              <w:rPr>
                <w:sz w:val="20"/>
                <w:szCs w:val="20"/>
                <w:color w:val="auto"/>
              </w:rPr>
            </w:pPr>
            <w:r>
              <w:rPr>
                <w:rFonts w:ascii="Arial" w:cs="Arial" w:eastAsia="Arial" w:hAnsi="Arial"/>
                <w:sz w:val="16"/>
                <w:szCs w:val="16"/>
                <w:color w:val="auto"/>
              </w:rPr>
              <w:t>A one-time mandatory deemed repatriation tax on accumulated foreign subsidiaries' previously untaxed foreign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vMerge w:val="continue"/>
            <w:shd w:val="clear" w:color="auto" w:fill="DBDBDB"/>
          </w:tcPr>
          <w:p>
            <w:pPr>
              <w:spacing w:after="0"/>
              <w:rPr>
                <w:sz w:val="11"/>
                <w:szCs w:val="11"/>
                <w:color w:val="auto"/>
              </w:rPr>
            </w:pPr>
          </w:p>
        </w:tc>
        <w:tc>
          <w:tcPr>
            <w:tcW w:w="8000" w:type="dxa"/>
            <w:vAlign w:val="bottom"/>
            <w:gridSpan w:val="2"/>
            <w:vMerge w:val="restart"/>
          </w:tcPr>
          <w:p>
            <w:pPr>
              <w:ind w:left="20"/>
              <w:spacing w:after="0"/>
              <w:rPr>
                <w:sz w:val="20"/>
                <w:szCs w:val="20"/>
                <w:color w:val="auto"/>
              </w:rPr>
            </w:pPr>
            <w:r>
              <w:rPr>
                <w:rFonts w:ascii="Arial" w:cs="Arial" w:eastAsia="Arial" w:hAnsi="Arial"/>
                <w:sz w:val="16"/>
                <w:szCs w:val="16"/>
                <w:color w:val="auto"/>
              </w:rPr>
              <w:t>earnings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220" w:type="dxa"/>
            <w:vAlign w:val="bottom"/>
            <w:shd w:val="clear" w:color="auto" w:fill="DBDBDB"/>
          </w:tcPr>
          <w:p>
            <w:pPr>
              <w:spacing w:after="0"/>
              <w:rPr>
                <w:sz w:val="7"/>
                <w:szCs w:val="7"/>
                <w:color w:val="auto"/>
              </w:rPr>
            </w:pPr>
          </w:p>
        </w:tc>
        <w:tc>
          <w:tcPr>
            <w:tcW w:w="8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U.K.</w:t>
            </w:r>
          </w:p>
        </w:tc>
        <w:tc>
          <w:tcPr>
            <w:tcW w:w="798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U.S. GAAP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Accounting Principles Generally Accepted in the 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VA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Department of Veterans Affairs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Vanqua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Vanqua Bio,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VAT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Value-added Tax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00587F"/>
        </w:rPr>
        <w:t>PART I</w:t>
      </w:r>
    </w:p>
    <w:p>
      <w:pPr>
        <w:spacing w:after="0" w:line="12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 BUSINESS</w:t>
      </w:r>
    </w:p>
    <w:p>
      <w:pPr>
        <w:spacing w:after="0" w:line="114" w:lineRule="exact"/>
        <w:rPr>
          <w:sz w:val="20"/>
          <w:szCs w:val="20"/>
          <w:color w:val="auto"/>
        </w:rPr>
      </w:pPr>
    </w:p>
    <w:p>
      <w:pPr>
        <w:spacing w:after="0"/>
        <w:rPr>
          <w:sz w:val="20"/>
          <w:szCs w:val="20"/>
          <w:color w:val="auto"/>
        </w:rPr>
      </w:pPr>
      <w:r>
        <w:rPr>
          <w:rFonts w:ascii="Arial" w:cs="Arial" w:eastAsia="Arial" w:hAnsi="Arial"/>
          <w:sz w:val="29"/>
          <w:szCs w:val="29"/>
          <w:color w:val="0070C0"/>
        </w:rPr>
        <w:t>OVERVIEW</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We have a broad portfolio of medicines to treat MS, have introduced the first approved treatment for SMA, co-developed treatments to address a defining pathology of Alzheimer’s disease and launched the first approved treatment to target a genetic cause of ALS. We market the first and only drug approved in the U.S., the E.U. and certain international markets for the treatment of FA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spacing w:after="0" w:line="7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marketed products include VUMERITY, TYSABRI, TECFIDERA, AVONEX and PLEGRIDY for the treatment of MS; SPINRAZA for the treatment of SMA; SKYCLARYS for the treatment of FA; and QALSODY for the treatment of ALS.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Supernus on the commercialization of ZURZUVAE for the treatment of PPD. We have certain business and financial rights with respect to RITUXAN for the treatment of non-Hodgkin's lymphoma, CLL and other conditions; RITUXAN HYCELA for the treatment of non-Hodgkin's lymphoma and CLL; GAZYVA for the treatment of CLL, follicular lymphoma and, following its approval in October 2025, lupus nephritis;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 owned member of the Roche Group.</w:t>
      </w:r>
    </w:p>
    <w:p>
      <w:pPr>
        <w:spacing w:after="0" w:line="7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and FLIXABI, an infliximab biosimilar referencing REMICADE.</w:t>
      </w:r>
    </w:p>
    <w:p>
      <w:pPr>
        <w:spacing w:after="0" w:line="45"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84" w:lineRule="exact"/>
        <w:rPr>
          <w:sz w:val="20"/>
          <w:szCs w:val="20"/>
          <w:color w:val="auto"/>
        </w:rPr>
      </w:pPr>
    </w:p>
    <w:p>
      <w:pPr>
        <w:spacing w:after="0"/>
        <w:rPr>
          <w:sz w:val="20"/>
          <w:szCs w:val="20"/>
          <w:color w:val="auto"/>
        </w:rPr>
      </w:pPr>
      <w:r>
        <w:rPr>
          <w:rFonts w:ascii="Arial" w:cs="Arial" w:eastAsia="Arial" w:hAnsi="Arial"/>
          <w:sz w:val="29"/>
          <w:szCs w:val="29"/>
          <w:b w:val="1"/>
          <w:bCs w:val="1"/>
          <w:color w:val="0070C0"/>
        </w:rPr>
        <w:t>KEY BUSINESS DEVELOPMENTS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developments affecting our business since the beginning of 2025.</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auto"/>
        </w:rPr>
        <w:t>ACQUISITIONS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0070C0"/>
        </w:rPr>
        <w:t>ALCYONE THERAPEUTICS, INC.</w:t>
      </w:r>
    </w:p>
    <w:p>
      <w:pPr>
        <w:spacing w:after="0" w:line="10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November 2025 we completed the acquisition of all of the issued and outstanding shares of Alcyone Therapeutics, Inc., a clinical-stage biotechnology company focused on pediatric care through precision CNS therapeutics and dosing platforms. Alcyone's lead asset is ThecaFlex DRx, an implantable subcutaneous port and catheter device being investigated for the intrathecal delivery of ASOs, including SPINRAZA, which is designed to provide an alternative to repeat lumbar punctures in chronic intrathecal administration of medicines.</w:t>
      </w:r>
    </w:p>
    <w:p>
      <w:pPr>
        <w:spacing w:after="0" w:line="6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Total consideration for this transaction, which was recorded in acquired in-process research and development, upfront and milestone expense in our consolidated statements of income for the year ended December 31, 2025, was approximately $85.0 million, comprising a $50.0 million payment made upon closing and a $ 35.0 million payment that was considered probable as of December 31, 2025, and made upon FDA approval of a supplemental application in January 2026.</w:t>
      </w:r>
    </w:p>
    <w:p>
      <w:pPr>
        <w:spacing w:after="0" w:line="68" w:lineRule="exact"/>
        <w:rPr>
          <w:sz w:val="20"/>
          <w:szCs w:val="20"/>
          <w:color w:val="auto"/>
        </w:rPr>
      </w:pPr>
    </w:p>
    <w:p>
      <w:pPr>
        <w:ind w:right="1020"/>
        <w:spacing w:after="0" w:line="287" w:lineRule="auto"/>
        <w:rPr>
          <w:sz w:val="20"/>
          <w:szCs w:val="20"/>
          <w:color w:val="auto"/>
        </w:rPr>
      </w:pPr>
      <w:r>
        <w:rPr>
          <w:rFonts w:ascii="Arial" w:cs="Arial" w:eastAsia="Arial" w:hAnsi="Arial"/>
          <w:sz w:val="18"/>
          <w:szCs w:val="18"/>
          <w:color w:val="auto"/>
        </w:rPr>
        <w:t>We may pay additional development and regulatory milestone payments to the former shareholders of Alcyone of up to a total of $75.0 million if approval is received for ThecaFlex DRx administration of SPINRAZA or other additional pipeline products.</w:t>
      </w:r>
    </w:p>
    <w:p>
      <w:pPr>
        <w:spacing w:after="0" w:line="4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accounted for this transaction as an asset acquisition as the value being acquired primarily relates to a single asset. Under the terms of this acquisition, we will oversee the end-to-end development, manufacturing and commercialization of ThecaFlex DRx.</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our acquisition of Alcyone,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to our consolidated financial statements 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auto"/>
        </w:rPr>
        <w:t>COLLABORATIVE AND OTHER RELATIONSHIPS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DAYRA THERAPEUTICS, INC. COLLABORATION</w:t>
      </w:r>
    </w:p>
    <w:p>
      <w:pPr>
        <w:spacing w:after="0" w:line="9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October 2025 we entered into a research collaboration with Dayra to discover and develop oral macrocyclic peptides for priority targets in immunological conditions.</w:t>
      </w:r>
    </w:p>
    <w:p>
      <w:pPr>
        <w:spacing w:after="0" w:line="31"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Under the terms of this agreement, both companies will collaborate to identify, validate and optimize oral macrocycle candidates for high-priority immunological targets, with our company advancing the molecules through further development and potential commercialization, including manufacturing.</w:t>
      </w:r>
    </w:p>
    <w:p>
      <w:pPr>
        <w:spacing w:after="0" w:line="4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the closing of this transaction we made an upfront payment of $50.0 million to Dayra, which was recognized in acquired in-process research and development, upfront and milestone expense within our consolidated statements of income for the year ended December 31, 2025.</w:t>
      </w:r>
    </w:p>
    <w:p>
      <w:pPr>
        <w:spacing w:after="0" w:line="36"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This agreement also provides us with the option to acquire the development candidates from Dayra, subject to additional payments per program. Dayra will also be eligible to receive potential preclinical and clinical development milestone payments per program.</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 xml:space="preserve">For additional information on our research arrangement with Dayra,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VANQUA BIO, INC. COLLABORATION</w:t>
      </w:r>
    </w:p>
    <w:p>
      <w:pPr>
        <w:spacing w:after="0" w:line="9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 October 2025 we entered into a license agreement with Vanqua granting us exclusive worldwide rights to further develop, manufacture and commercialize Vanqua's preclinical oral C5aR1 antagonist compound.</w:t>
      </w:r>
    </w:p>
    <w:p>
      <w:pPr>
        <w:spacing w:after="0" w:line="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connection with the closing of this transaction we made an upfront payment of $70.0 million to Vanqua, which was recognized in acquired in-process research and development, upfront and milestone expense within our consolidated statements of income for the year ended December 31, 2025.</w:t>
      </w:r>
    </w:p>
    <w:p>
      <w:pPr>
        <w:spacing w:after="0" w:line="36"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We may pay Vanqua potential development, regulatory or commercial, and sales milestone payments of up to $135.0 million, $295.0 million and $ 560.0 million, respectively, if all the specified milestones set forth in this collaboration are achieved. In addition, we may pay Vanqua tiered royalties on potential net sales of any licensed product under this collaboration in the mid-single digit to low-double digit percentages.</w:t>
      </w:r>
    </w:p>
    <w:p>
      <w:pPr>
        <w:spacing w:after="0" w:line="45"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 xml:space="preserve">For additional information on our license agreement with Vanqua,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CITY THERAPEUTICS, INC. COLLABORATION</w:t>
      </w:r>
    </w:p>
    <w:p>
      <w:pPr>
        <w:spacing w:after="0" w:line="11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May 2025 we entered into a strategic research arrangement with City Therapeutics to develop select novel RNAi therapies. Through this arrangement, City Therapeutics will leverage its next-generation RNAi engineering technologies to develop an RNAi trigger molecule (or molecules) combined with our proprietary drug delivery technology. The collaboration will initially focus on a single target that mediates key CNS diseases, utilizing tissue enhanced delivery technologies with the aim of allowing for systemic administration of medicines. We will be responsible for IND-enabling studies and global clinical development along with any regulatory submissions and all activities related to commercialization, including manufacturing.</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closing of this transaction we made an upfront payment of $16.0 million to City Therapeutics, which was recognized in acquired in-process research and development, upfront and milestone expense within our consolidated statements of income for the year ended December 31, 2025, and invested $30.0 million in exchange for a City Therapeutics convertible note, representing a minority equity interest in City Therapeutics, if converted. This convertible note was recorded as a component of investments and other assets within our consolidated balance sheets as of December 31, 2025.</w:t>
      </w:r>
    </w:p>
    <w:p>
      <w:pPr>
        <w:spacing w:after="0" w:line="7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 xml:space="preserve">For additional information on our strategic research arrangement with City Therapeutics,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STOKE THERAPEUTICS, INC. COLLABORATION</w:t>
      </w:r>
    </w:p>
    <w:p>
      <w:pPr>
        <w:spacing w:after="0" w:line="1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February 2025 we entered into a collaboration and license agreement with Stoke to co-develop and commercialize zorevunersen, an investigational ASO that targets the SCN1A gene for the potential treatment of Dravet syndrome, a rare form of genetic epilepsy associated with refractory seizures and neurodevelopmental impairments. Zorevunersen dosed its first patient in August 2025, advancing zorevunersen to a global Phase 3 trial.</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 the terms of this agreement, Stoke will continue to lead global development and retain exclusive development and commercialization rights for zorevunersen in the U.S., Canada and Mexico and we will have exclusive rights to commercialize zorevunersen in the rest of the world.</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connection with the closing of this transaction we made an upfront payment of $165.0 million to Stoke, which was recognized in acquired in-process research and development, upfront and milestone expense within our consolidated statements of income for the year ended December 31, 2025.</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also have an exclusive option to license certain future follow-on ASO products targeting the SCN1A gene in all territories worldwide other than the U.S., Canada and Mexico, in exchange for separate milestone, cost sharing and royalty considerations.</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 with Stoke,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ROYALTY PHARMA FUNDING ARRANGEMENT</w:t>
      </w:r>
    </w:p>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2025 we entered into a funding agreement with Royalty Pharma under which we received $200.0 million in 2025 and will receive up to $50.0 million in 2026 to co-fund our development costs for the litifilimab program. As there is a substantive transfer of risk to the financial partner for the amount invested, the development funding will be recognized by us as an obligation to perform contractual services. This funding is being recognized as a reduction to research and development expense within our consolidated statements of income, proportionate to the related expense. For the year ended December 31, 2025, we recorded a reduction to research and development expense of $200.0 million within our consolidated statements of income.</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If the litifilimab clinical trials are successful for the indications based on the applicable clinical trials, upon regulatory approval in the U.S. or certain major markets in the world, Royalty Pharma will be eligible to receive approval-based fixed milestone payments of up to $250.0 million. The milestone payments due upon approval will be recorded as a component of other (income) expense, net within our consolidated statements of income, when incurred.</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If litifilimab receives regulatory approval, Royalty Pharma will be eligible to receive royalties of a mid-single digit percentage of the applicable net sales. Royalties on net sales will be recorded as cost of sales within our consolidated statements of income.</w:t>
      </w:r>
    </w:p>
    <w:p>
      <w:pPr>
        <w:spacing w:after="0" w:line="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For additional information on our funding arrangement with Royalty Pharma,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070C0"/>
        </w:rPr>
        <w:t>DEVELOPMENTS IN KEY COLLABORATIVE RELATIONSHIPS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LEQEMBI (lecanemab)</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in the U.S. consisted of the following:</w:t>
      </w:r>
    </w:p>
    <w:p>
      <w:pPr>
        <w:spacing w:after="0" w:line="104" w:lineRule="exact"/>
        <w:rPr>
          <w:sz w:val="20"/>
          <w:szCs w:val="20"/>
          <w:color w:val="auto"/>
        </w:rPr>
      </w:pPr>
    </w:p>
    <w:p>
      <w:pPr>
        <w:ind w:left="340" w:right="520" w:hanging="332"/>
        <w:spacing w:after="0" w:line="287" w:lineRule="auto"/>
        <w:tabs>
          <w:tab w:leader="none" w:pos="295" w:val="left"/>
        </w:tabs>
        <w:numPr>
          <w:ilvl w:val="0"/>
          <w:numId w:val="8"/>
        </w:numPr>
        <w:rPr>
          <w:rFonts w:ascii="Arial" w:cs="Arial" w:eastAsia="Arial" w:hAnsi="Arial"/>
          <w:sz w:val="18"/>
          <w:szCs w:val="18"/>
          <w:color w:val="0070C0"/>
        </w:rPr>
      </w:pPr>
      <w:r>
        <w:rPr>
          <w:rFonts w:ascii="Arial" w:cs="Arial" w:eastAsia="Arial" w:hAnsi="Arial"/>
          <w:sz w:val="18"/>
          <w:szCs w:val="18"/>
          <w:color w:val="auto"/>
        </w:rPr>
        <w:t>In January 2026 the FDA accepted for review the supplemental BLA for LEQEMBI subcutaneous autoinjector, LEQEMBI IQLIK, for weekly starting dose, with a PDUFA action date of May 24, 2026.</w:t>
      </w:r>
    </w:p>
    <w:p>
      <w:pPr>
        <w:spacing w:after="0" w:line="17" w:lineRule="exact"/>
        <w:rPr>
          <w:rFonts w:ascii="Arial" w:cs="Arial" w:eastAsia="Arial" w:hAnsi="Arial"/>
          <w:sz w:val="18"/>
          <w:szCs w:val="18"/>
          <w:color w:val="0070C0"/>
        </w:rPr>
      </w:pPr>
    </w:p>
    <w:p>
      <w:pPr>
        <w:ind w:left="280" w:hanging="272"/>
        <w:spacing w:after="0"/>
        <w:tabs>
          <w:tab w:leader="none" w:pos="280" w:val="left"/>
        </w:tabs>
        <w:numPr>
          <w:ilvl w:val="0"/>
          <w:numId w:val="8"/>
        </w:numPr>
        <w:rPr>
          <w:rFonts w:ascii="Arial" w:cs="Arial" w:eastAsia="Arial" w:hAnsi="Arial"/>
          <w:sz w:val="18"/>
          <w:szCs w:val="18"/>
          <w:color w:val="0070C0"/>
        </w:rPr>
      </w:pPr>
      <w:r>
        <w:rPr>
          <w:rFonts w:ascii="Arial" w:cs="Arial" w:eastAsia="Arial" w:hAnsi="Arial"/>
          <w:sz w:val="18"/>
          <w:szCs w:val="18"/>
          <w:color w:val="auto"/>
        </w:rPr>
        <w:t>In August 2025 the FDA approved the BLA for LEQEMBI subcutaneous autoinjector, LEQEMBI IQLIK, for weekly maintenance dosing.</w:t>
      </w:r>
    </w:p>
    <w:p>
      <w:pPr>
        <w:spacing w:after="0" w:line="103" w:lineRule="exact"/>
        <w:rPr>
          <w:rFonts w:ascii="Arial" w:cs="Arial" w:eastAsia="Arial" w:hAnsi="Arial"/>
          <w:sz w:val="18"/>
          <w:szCs w:val="18"/>
          <w:color w:val="0070C0"/>
        </w:rPr>
      </w:pPr>
    </w:p>
    <w:p>
      <w:pPr>
        <w:ind w:left="280" w:hanging="272"/>
        <w:spacing w:after="0"/>
        <w:tabs>
          <w:tab w:leader="none" w:pos="280" w:val="left"/>
        </w:tabs>
        <w:numPr>
          <w:ilvl w:val="0"/>
          <w:numId w:val="8"/>
        </w:numPr>
        <w:rPr>
          <w:rFonts w:ascii="Arial" w:cs="Arial" w:eastAsia="Arial" w:hAnsi="Arial"/>
          <w:sz w:val="18"/>
          <w:szCs w:val="18"/>
          <w:color w:val="0070C0"/>
        </w:rPr>
      </w:pPr>
      <w:r>
        <w:rPr>
          <w:rFonts w:ascii="Arial" w:cs="Arial" w:eastAsia="Arial" w:hAnsi="Arial"/>
          <w:sz w:val="18"/>
          <w:szCs w:val="18"/>
          <w:color w:val="auto"/>
        </w:rPr>
        <w:t>In January 2025 the FDA approved LEQEMBI monthly IV maintenance dosing for the treatment of early Alzheimer's disease.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Rest of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(lecanemab) in rest of world markets consisted of the following:</w:t>
      </w:r>
    </w:p>
    <w:p>
      <w:pPr>
        <w:spacing w:after="0" w:line="117" w:lineRule="exact"/>
        <w:rPr>
          <w:sz w:val="20"/>
          <w:szCs w:val="20"/>
          <w:color w:val="auto"/>
        </w:rPr>
      </w:pPr>
    </w:p>
    <w:p>
      <w:pPr>
        <w:ind w:left="5580" w:right="1840" w:hanging="5572"/>
        <w:spacing w:after="0" w:line="929" w:lineRule="auto"/>
        <w:tabs>
          <w:tab w:leader="none" w:pos="293" w:val="left"/>
        </w:tabs>
        <w:numPr>
          <w:ilvl w:val="0"/>
          <w:numId w:val="9"/>
        </w:numPr>
        <w:rPr>
          <w:rFonts w:ascii="Arial" w:cs="Arial" w:eastAsia="Arial" w:hAnsi="Arial"/>
          <w:sz w:val="18"/>
          <w:szCs w:val="18"/>
          <w:color w:val="0070C0"/>
        </w:rPr>
      </w:pPr>
      <w:r>
        <w:rPr>
          <w:rFonts w:ascii="Arial" w:cs="Arial" w:eastAsia="Arial" w:hAnsi="Arial"/>
          <w:sz w:val="18"/>
          <w:szCs w:val="18"/>
          <w:color w:val="auto"/>
        </w:rPr>
        <w:t>In January 2026 the BLA for LEQEMBI subcutaneous autoinjector was accepted for review by the NMPA in China.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40" w:right="740" w:hanging="332"/>
        <w:spacing w:after="0" w:line="287" w:lineRule="auto"/>
        <w:tabs>
          <w:tab w:leader="none" w:pos="295"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November 2025 Eisai filed an NDA for LEQEMBI in Japan seeking approval for a subcutaneous autoinjector as a new route of administration to Japan's Pharmaceuticals and Medical Devices Agency.</w:t>
      </w:r>
    </w:p>
    <w:p>
      <w:pPr>
        <w:spacing w:after="0" w:line="17" w:lineRule="exact"/>
        <w:rPr>
          <w:rFonts w:ascii="Arial" w:cs="Arial" w:eastAsia="Arial" w:hAnsi="Arial"/>
          <w:sz w:val="18"/>
          <w:szCs w:val="18"/>
          <w:color w:val="0070C0"/>
        </w:rPr>
      </w:pPr>
    </w:p>
    <w:p>
      <w:pPr>
        <w:ind w:left="340" w:right="600" w:hanging="332"/>
        <w:spacing w:after="0" w:line="287" w:lineRule="auto"/>
        <w:tabs>
          <w:tab w:leader="none" w:pos="295"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November 2025 the MHRA in the UK approved LEQEMBI monthly IV maintenance dosing for the treatment of early Alzheimer's disease.</w:t>
      </w:r>
    </w:p>
    <w:p>
      <w:pPr>
        <w:spacing w:after="0" w:line="31" w:lineRule="exact"/>
        <w:rPr>
          <w:rFonts w:ascii="Arial" w:cs="Arial" w:eastAsia="Arial" w:hAnsi="Arial"/>
          <w:sz w:val="18"/>
          <w:szCs w:val="18"/>
          <w:color w:val="0070C0"/>
        </w:rPr>
      </w:pPr>
    </w:p>
    <w:p>
      <w:pPr>
        <w:ind w:left="340" w:right="340" w:hanging="332"/>
        <w:spacing w:after="0" w:line="268" w:lineRule="auto"/>
        <w:tabs>
          <w:tab w:leader="none" w:pos="295"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October 2025 Health Canada issued a Notice of Compliance with Conditions for LEQEMBI for the treatment of adult patients with a clinical diagnosis of mild cognitive impairment or mild dementia due to Alzheimer's disease who are either apolipoprotein E ε4 non-carriers or heterozygotes and who have confirmed amyloid pathology.</w:t>
      </w:r>
    </w:p>
    <w:p>
      <w:pPr>
        <w:spacing w:after="0" w:line="49" w:lineRule="exact"/>
        <w:rPr>
          <w:rFonts w:ascii="Arial" w:cs="Arial" w:eastAsia="Arial" w:hAnsi="Arial"/>
          <w:sz w:val="18"/>
          <w:szCs w:val="18"/>
          <w:color w:val="0070C0"/>
        </w:rPr>
      </w:pPr>
    </w:p>
    <w:p>
      <w:pPr>
        <w:ind w:left="340" w:right="320" w:hanging="332"/>
        <w:spacing w:after="0" w:line="287" w:lineRule="auto"/>
        <w:tabs>
          <w:tab w:leader="none" w:pos="295"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September 2025 the National Medical Products Administration in China approved LEQEMBI monthly IV maintenance dosing for the treatment of early Alzheimer's disease.</w:t>
      </w:r>
    </w:p>
    <w:p>
      <w:pPr>
        <w:spacing w:after="0" w:line="17" w:lineRule="exact"/>
        <w:rPr>
          <w:rFonts w:ascii="Arial" w:cs="Arial" w:eastAsia="Arial" w:hAnsi="Arial"/>
          <w:sz w:val="18"/>
          <w:szCs w:val="18"/>
          <w:color w:val="0070C0"/>
        </w:rPr>
      </w:pPr>
    </w:p>
    <w:p>
      <w:pPr>
        <w:ind w:left="340" w:right="200" w:hanging="332"/>
        <w:spacing w:after="0" w:line="287" w:lineRule="auto"/>
        <w:tabs>
          <w:tab w:leader="none" w:pos="295"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September 2025 the Therapeutic Goods Administration of Australia approved LEQEMBI for adults who are either apolipoprotein E ε4 non-carriers or heterozygous carriers.</w:t>
      </w:r>
    </w:p>
    <w:p>
      <w:pPr>
        <w:spacing w:after="0" w:line="31" w:lineRule="exact"/>
        <w:rPr>
          <w:rFonts w:ascii="Arial" w:cs="Arial" w:eastAsia="Arial" w:hAnsi="Arial"/>
          <w:sz w:val="18"/>
          <w:szCs w:val="18"/>
          <w:color w:val="0070C0"/>
        </w:rPr>
      </w:pPr>
    </w:p>
    <w:p>
      <w:pPr>
        <w:ind w:left="340" w:hanging="332"/>
        <w:spacing w:after="0" w:line="268" w:lineRule="auto"/>
        <w:tabs>
          <w:tab w:leader="none" w:pos="295"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June 2025 we filed a request for arbitration in the International Court of Arbitration of the International Chamber of Commerce seeking adoption of a budget and commercialization plan for the European Territory that allocates commercialization activities to Biogen and Eisai in an equitable fashion taking into account our respective capabilities and provides a meaningful role for each party.</w:t>
      </w:r>
    </w:p>
    <w:p>
      <w:pPr>
        <w:spacing w:after="0" w:line="49" w:lineRule="exact"/>
        <w:rPr>
          <w:rFonts w:ascii="Arial" w:cs="Arial" w:eastAsia="Arial" w:hAnsi="Arial"/>
          <w:sz w:val="18"/>
          <w:szCs w:val="18"/>
          <w:color w:val="0070C0"/>
        </w:rPr>
      </w:pPr>
    </w:p>
    <w:p>
      <w:pPr>
        <w:ind w:left="340" w:right="420" w:hanging="332"/>
        <w:spacing w:after="0" w:line="268" w:lineRule="auto"/>
        <w:tabs>
          <w:tab w:leader="none" w:pos="295" w:val="left"/>
        </w:tabs>
        <w:numPr>
          <w:ilvl w:val="0"/>
          <w:numId w:val="10"/>
        </w:numPr>
        <w:rPr>
          <w:rFonts w:ascii="Arial" w:cs="Arial" w:eastAsia="Arial" w:hAnsi="Arial"/>
          <w:sz w:val="18"/>
          <w:szCs w:val="18"/>
          <w:color w:val="0070C0"/>
        </w:rPr>
      </w:pPr>
      <w:r>
        <w:rPr>
          <w:rFonts w:ascii="Arial" w:cs="Arial" w:eastAsia="Arial" w:hAnsi="Arial"/>
          <w:sz w:val="18"/>
          <w:szCs w:val="18"/>
          <w:color w:val="auto"/>
        </w:rPr>
        <w:t>In April 2025 the EC approved LEQEMBI in the E.U. for the treatment of adult patients with a clinical diagnosis of mild cognitive impairment and mild dementia due to Alzheimer's disease who are apolipoprotein E ε4 non-carriers or heterozygotes with confirmed amyloid pathology.</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ZURZUVAE (zuranolone)</w:t>
      </w:r>
    </w:p>
    <w:p>
      <w:pPr>
        <w:spacing w:after="0" w:line="106" w:lineRule="exact"/>
        <w:rPr>
          <w:sz w:val="20"/>
          <w:szCs w:val="20"/>
          <w:color w:val="auto"/>
        </w:rPr>
      </w:pPr>
    </w:p>
    <w:p>
      <w:pPr>
        <w:ind w:left="340" w:right="200" w:hanging="332"/>
        <w:spacing w:after="0" w:line="287" w:lineRule="auto"/>
        <w:tabs>
          <w:tab w:leader="none" w:pos="295" w:val="left"/>
        </w:tabs>
        <w:numPr>
          <w:ilvl w:val="0"/>
          <w:numId w:val="11"/>
        </w:numPr>
        <w:rPr>
          <w:rFonts w:ascii="Arial" w:cs="Arial" w:eastAsia="Arial" w:hAnsi="Arial"/>
          <w:sz w:val="18"/>
          <w:szCs w:val="18"/>
          <w:color w:val="0070C0"/>
        </w:rPr>
      </w:pPr>
      <w:r>
        <w:rPr>
          <w:rFonts w:ascii="Arial" w:cs="Arial" w:eastAsia="Arial" w:hAnsi="Arial"/>
          <w:sz w:val="18"/>
          <w:szCs w:val="18"/>
          <w:color w:val="auto"/>
        </w:rPr>
        <w:t>In September 2025 the EC approved ZURZUVAE in the E.U. for the treatment of PPD in adults following childbirth, offering the first and only treatment indicated for PPD in the E.U.</w:t>
      </w:r>
    </w:p>
    <w:p>
      <w:pPr>
        <w:spacing w:after="0" w:line="44" w:lineRule="exact"/>
        <w:rPr>
          <w:rFonts w:ascii="Arial" w:cs="Arial" w:eastAsia="Arial" w:hAnsi="Arial"/>
          <w:sz w:val="18"/>
          <w:szCs w:val="18"/>
          <w:color w:val="0070C0"/>
        </w:rPr>
      </w:pPr>
    </w:p>
    <w:p>
      <w:pPr>
        <w:ind w:left="340" w:hanging="332"/>
        <w:spacing w:after="0" w:line="287" w:lineRule="auto"/>
        <w:tabs>
          <w:tab w:leader="none" w:pos="295" w:val="left"/>
        </w:tabs>
        <w:numPr>
          <w:ilvl w:val="0"/>
          <w:numId w:val="11"/>
        </w:numPr>
        <w:rPr>
          <w:rFonts w:ascii="Arial" w:cs="Arial" w:eastAsia="Arial" w:hAnsi="Arial"/>
          <w:sz w:val="18"/>
          <w:szCs w:val="18"/>
          <w:color w:val="0070C0"/>
        </w:rPr>
      </w:pPr>
      <w:r>
        <w:rPr>
          <w:rFonts w:ascii="Arial" w:cs="Arial" w:eastAsia="Arial" w:hAnsi="Arial"/>
          <w:sz w:val="18"/>
          <w:szCs w:val="18"/>
          <w:color w:val="auto"/>
        </w:rPr>
        <w:t>In August 2025 the Medicines and Healthcare products Regulatory Agency in the U.K. granted marketing authorization for ZURZUVAE for moderate to severe PPD in the U.K.</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070C0"/>
        </w:rPr>
        <w:t>OTHER KEY DEVELOPMENTS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FELZARTAMAB</w:t>
      </w:r>
    </w:p>
    <w:p>
      <w:pPr>
        <w:spacing w:after="0" w:line="119" w:lineRule="exact"/>
        <w:rPr>
          <w:sz w:val="20"/>
          <w:szCs w:val="20"/>
          <w:color w:val="auto"/>
        </w:rPr>
      </w:pPr>
    </w:p>
    <w:p>
      <w:pPr>
        <w:ind w:left="340" w:right="120" w:hanging="332"/>
        <w:spacing w:after="0" w:line="259" w:lineRule="auto"/>
        <w:tabs>
          <w:tab w:leader="none" w:pos="295" w:val="left"/>
        </w:tabs>
        <w:numPr>
          <w:ilvl w:val="0"/>
          <w:numId w:val="12"/>
        </w:numPr>
        <w:rPr>
          <w:rFonts w:ascii="Arial" w:cs="Arial" w:eastAsia="Arial" w:hAnsi="Arial"/>
          <w:sz w:val="18"/>
          <w:szCs w:val="18"/>
          <w:color w:val="0070C0"/>
        </w:rPr>
      </w:pPr>
      <w:r>
        <w:rPr>
          <w:rFonts w:ascii="Arial" w:cs="Arial" w:eastAsia="Arial" w:hAnsi="Arial"/>
          <w:sz w:val="18"/>
          <w:szCs w:val="18"/>
          <w:color w:val="auto"/>
        </w:rPr>
        <w:t>In June 2025 we announced the initiation of dosing in the global Phase 3 PREVAIL study. This study will evaluate the efficacy and safety of the investigational drug felzartamab compared to placebo on proteinuria and preservation of kidney function in adults diagnosed with IgAN. In connection with the initiation of this dosing we paid a $30.0 million milestone payment to MorphoSys in July 2025. Additionally, in June 2025 we announced the initiation of dosing in the global Phase 3 PROMINENT study. This study will evaluate the efficacy and safety of the investigational drug felzartamab compared to tacrolimus in adults diagnosed with PMN.</w:t>
      </w:r>
    </w:p>
    <w:p>
      <w:pPr>
        <w:spacing w:after="0" w:line="71" w:lineRule="exact"/>
        <w:rPr>
          <w:rFonts w:ascii="Arial" w:cs="Arial" w:eastAsia="Arial" w:hAnsi="Arial"/>
          <w:sz w:val="18"/>
          <w:szCs w:val="18"/>
          <w:color w:val="0070C0"/>
        </w:rPr>
      </w:pPr>
    </w:p>
    <w:p>
      <w:pPr>
        <w:ind w:left="340" w:right="160" w:hanging="332"/>
        <w:spacing w:after="0" w:line="268" w:lineRule="auto"/>
        <w:tabs>
          <w:tab w:leader="none" w:pos="295" w:val="left"/>
        </w:tabs>
        <w:numPr>
          <w:ilvl w:val="0"/>
          <w:numId w:val="12"/>
        </w:numPr>
        <w:rPr>
          <w:rFonts w:ascii="Arial" w:cs="Arial" w:eastAsia="Arial" w:hAnsi="Arial"/>
          <w:sz w:val="18"/>
          <w:szCs w:val="18"/>
          <w:color w:val="0070C0"/>
        </w:rPr>
      </w:pPr>
      <w:r>
        <w:rPr>
          <w:rFonts w:ascii="Arial" w:cs="Arial" w:eastAsia="Arial" w:hAnsi="Arial"/>
          <w:sz w:val="18"/>
          <w:szCs w:val="18"/>
          <w:color w:val="auto"/>
        </w:rPr>
        <w:t>In March 2025 we announced the initiation of dosing in the global Phase 3 TRANSCEND study. This study will evaluate the efficacy and safety of the investigational drug felzartamab compared to placebo in adult kidney transplant recipients diagnosed with AMR. In connection with the initiation of this dosing we paid a $35.0 million milestone payment to MorphoSys in April 2025.</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SPINRAZA (nusinersen)</w:t>
      </w:r>
    </w:p>
    <w:p>
      <w:pPr>
        <w:spacing w:after="0" w:line="106" w:lineRule="exact"/>
        <w:rPr>
          <w:sz w:val="20"/>
          <w:szCs w:val="20"/>
          <w:color w:val="auto"/>
        </w:rPr>
      </w:pPr>
    </w:p>
    <w:p>
      <w:pPr>
        <w:ind w:left="340" w:right="100" w:hanging="332"/>
        <w:spacing w:after="0" w:line="262" w:lineRule="auto"/>
        <w:tabs>
          <w:tab w:leader="none" w:pos="295" w:val="left"/>
        </w:tabs>
        <w:numPr>
          <w:ilvl w:val="0"/>
          <w:numId w:val="13"/>
        </w:numPr>
        <w:rPr>
          <w:rFonts w:ascii="Arial" w:cs="Arial" w:eastAsia="Arial" w:hAnsi="Arial"/>
          <w:sz w:val="18"/>
          <w:szCs w:val="18"/>
          <w:color w:val="0070C0"/>
        </w:rPr>
      </w:pPr>
      <w:r>
        <w:rPr>
          <w:rFonts w:ascii="Arial" w:cs="Arial" w:eastAsia="Arial" w:hAnsi="Arial"/>
          <w:sz w:val="18"/>
          <w:szCs w:val="18"/>
          <w:color w:val="auto"/>
        </w:rPr>
        <w:t>In January 2026 the EC granted marketing authorization for a high dose regimen of SPINRAZA in the E.U. for the treatment of 5q SMA, which is the most common form of the disease and represents approximately 95% of all SMA cases. The high dose regimen is comprised of 50 mg/5 mL and 28 mg/5 mL doses and individuals transitioning from the 12 mg dose will receive one 50 mg dose in place of their next 12 mg dose, followed by 28 mg maintenance doses every four months thereafter.</w:t>
      </w:r>
    </w:p>
    <w:p>
      <w:pPr>
        <w:spacing w:after="0" w:line="68" w:lineRule="exact"/>
        <w:rPr>
          <w:rFonts w:ascii="Arial" w:cs="Arial" w:eastAsia="Arial" w:hAnsi="Arial"/>
          <w:sz w:val="18"/>
          <w:szCs w:val="18"/>
          <w:color w:val="0070C0"/>
        </w:rPr>
      </w:pPr>
    </w:p>
    <w:p>
      <w:pPr>
        <w:ind w:left="280" w:hanging="272"/>
        <w:spacing w:after="0"/>
        <w:tabs>
          <w:tab w:leader="none" w:pos="280" w:val="left"/>
        </w:tabs>
        <w:numPr>
          <w:ilvl w:val="0"/>
          <w:numId w:val="13"/>
        </w:numPr>
        <w:rPr>
          <w:rFonts w:ascii="Arial" w:cs="Arial" w:eastAsia="Arial" w:hAnsi="Arial"/>
          <w:sz w:val="18"/>
          <w:szCs w:val="18"/>
          <w:color w:val="0070C0"/>
        </w:rPr>
      </w:pPr>
      <w:r>
        <w:rPr>
          <w:rFonts w:ascii="Arial" w:cs="Arial" w:eastAsia="Arial" w:hAnsi="Arial"/>
          <w:sz w:val="18"/>
          <w:szCs w:val="18"/>
          <w:color w:val="auto"/>
        </w:rPr>
        <w:t>In September 2025 the high dose regimen of SPINRAZA was approved by the Ministry of Health, Labour and Welfare in Japan.</w:t>
      </w:r>
    </w:p>
    <w:p>
      <w:pPr>
        <w:spacing w:after="0" w:line="117" w:lineRule="exact"/>
        <w:rPr>
          <w:rFonts w:ascii="Arial" w:cs="Arial" w:eastAsia="Arial" w:hAnsi="Arial"/>
          <w:sz w:val="18"/>
          <w:szCs w:val="18"/>
          <w:color w:val="0070C0"/>
        </w:rPr>
      </w:pPr>
    </w:p>
    <w:p>
      <w:pPr>
        <w:ind w:left="340" w:right="80" w:hanging="332"/>
        <w:spacing w:after="0" w:line="262" w:lineRule="auto"/>
        <w:tabs>
          <w:tab w:leader="none" w:pos="295" w:val="left"/>
        </w:tabs>
        <w:numPr>
          <w:ilvl w:val="0"/>
          <w:numId w:val="13"/>
        </w:numPr>
        <w:rPr>
          <w:rFonts w:ascii="Arial" w:cs="Arial" w:eastAsia="Arial" w:hAnsi="Arial"/>
          <w:sz w:val="18"/>
          <w:szCs w:val="18"/>
          <w:color w:val="0070C0"/>
        </w:rPr>
      </w:pPr>
      <w:r>
        <w:rPr>
          <w:rFonts w:ascii="Arial" w:cs="Arial" w:eastAsia="Arial" w:hAnsi="Arial"/>
          <w:sz w:val="18"/>
          <w:szCs w:val="18"/>
          <w:color w:val="auto"/>
        </w:rPr>
        <w:t>In September 2025 the FDA issued a CRL for the supplemental NDA for a higher dose regimen of nusinersen for the treatment of SMA. The CRL requested an update to the technical information to be included in the Chemistry Manufacturing and Controls module of the supplemental NDA and did not cite any deficiencies in the clinical data of the high dose regimen. We resubmitted the supplemental NDA to the FDA, which has been accepted for review with a PDUFA action date of April 3, 2026.</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SKYCLARYS (omaveloxolone)</w:t>
      </w:r>
    </w:p>
    <w:p>
      <w:pPr>
        <w:spacing w:after="0" w:line="92" w:lineRule="exact"/>
        <w:rPr>
          <w:sz w:val="20"/>
          <w:szCs w:val="20"/>
          <w:color w:val="auto"/>
        </w:rPr>
      </w:pPr>
    </w:p>
    <w:p>
      <w:pPr>
        <w:ind w:left="340" w:right="480" w:hanging="332"/>
        <w:spacing w:after="0" w:line="287" w:lineRule="auto"/>
        <w:tabs>
          <w:tab w:leader="none" w:pos="295" w:val="left"/>
        </w:tabs>
        <w:numPr>
          <w:ilvl w:val="0"/>
          <w:numId w:val="14"/>
        </w:numPr>
        <w:rPr>
          <w:rFonts w:ascii="Arial" w:cs="Arial" w:eastAsia="Arial" w:hAnsi="Arial"/>
          <w:sz w:val="18"/>
          <w:szCs w:val="18"/>
          <w:color w:val="0070C0"/>
        </w:rPr>
      </w:pPr>
      <w:r>
        <w:rPr>
          <w:rFonts w:ascii="Arial" w:cs="Arial" w:eastAsia="Arial" w:hAnsi="Arial"/>
          <w:sz w:val="18"/>
          <w:szCs w:val="18"/>
          <w:color w:val="auto"/>
        </w:rPr>
        <w:t>In April 2025 SKYCLARYS was approved by the Medicines and Healthcare products Regulatory Agency in the U.K. and in Brazil. In March 2025 SKYCLARYS was approved by Health Canada.</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QALSODY (tofersen)</w:t>
      </w:r>
    </w:p>
    <w:p>
      <w:pPr>
        <w:spacing w:after="0" w:line="106" w:lineRule="exact"/>
        <w:rPr>
          <w:sz w:val="20"/>
          <w:szCs w:val="20"/>
          <w:color w:val="auto"/>
        </w:rPr>
      </w:pPr>
    </w:p>
    <w:p>
      <w:pPr>
        <w:ind w:left="340" w:right="480" w:hanging="332"/>
        <w:spacing w:after="0" w:line="287" w:lineRule="auto"/>
        <w:tabs>
          <w:tab w:leader="none" w:pos="295" w:val="left"/>
        </w:tabs>
        <w:numPr>
          <w:ilvl w:val="0"/>
          <w:numId w:val="15"/>
        </w:numPr>
        <w:rPr>
          <w:rFonts w:ascii="Arial" w:cs="Arial" w:eastAsia="Arial" w:hAnsi="Arial"/>
          <w:sz w:val="18"/>
          <w:szCs w:val="18"/>
          <w:color w:val="0070C0"/>
        </w:rPr>
      </w:pPr>
      <w:r>
        <w:rPr>
          <w:rFonts w:ascii="Arial" w:cs="Arial" w:eastAsia="Arial" w:hAnsi="Arial"/>
          <w:sz w:val="18"/>
          <w:szCs w:val="18"/>
          <w:color w:val="auto"/>
        </w:rPr>
        <w:t>In July 2025 the Medicines and Healthcare products Regulatory Agency in the U.K. approved QALSODY for the treatment of ALS in adults who have a mutation in the SOD1 gene.</w:t>
      </w:r>
    </w:p>
    <w:p>
      <w:pPr>
        <w:spacing w:after="0" w:line="44" w:lineRule="exact"/>
        <w:rPr>
          <w:rFonts w:ascii="Arial" w:cs="Arial" w:eastAsia="Arial" w:hAnsi="Arial"/>
          <w:sz w:val="18"/>
          <w:szCs w:val="18"/>
          <w:color w:val="0070C0"/>
        </w:rPr>
      </w:pPr>
    </w:p>
    <w:p>
      <w:pPr>
        <w:ind w:left="340" w:hanging="332"/>
        <w:spacing w:after="0" w:line="287" w:lineRule="auto"/>
        <w:tabs>
          <w:tab w:leader="none" w:pos="295" w:val="left"/>
        </w:tabs>
        <w:numPr>
          <w:ilvl w:val="0"/>
          <w:numId w:val="15"/>
        </w:numPr>
        <w:rPr>
          <w:rFonts w:ascii="Arial" w:cs="Arial" w:eastAsia="Arial" w:hAnsi="Arial"/>
          <w:sz w:val="18"/>
          <w:szCs w:val="18"/>
          <w:color w:val="0070C0"/>
        </w:rPr>
      </w:pPr>
      <w:r>
        <w:rPr>
          <w:rFonts w:ascii="Arial" w:cs="Arial" w:eastAsia="Arial" w:hAnsi="Arial"/>
          <w:sz w:val="18"/>
          <w:szCs w:val="18"/>
          <w:color w:val="auto"/>
        </w:rPr>
        <w:t>In March 2025 Health Canada issued marketing authorization with conditions for QALSODY for the treatment of ALS in adults who have a mutation in the SOD1 gene. The authorization is conditional, pending the results of trials to verify its clinical benefit.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BIIB080</w:t>
      </w:r>
    </w:p>
    <w:p>
      <w:pPr>
        <w:spacing w:after="0" w:line="106" w:lineRule="exact"/>
        <w:rPr>
          <w:sz w:val="20"/>
          <w:szCs w:val="20"/>
          <w:color w:val="auto"/>
        </w:rPr>
      </w:pPr>
    </w:p>
    <w:p>
      <w:pPr>
        <w:ind w:left="340" w:right="100" w:hanging="332"/>
        <w:spacing w:after="0" w:line="287" w:lineRule="auto"/>
        <w:tabs>
          <w:tab w:leader="none" w:pos="295" w:val="left"/>
        </w:tabs>
        <w:numPr>
          <w:ilvl w:val="0"/>
          <w:numId w:val="16"/>
        </w:numPr>
        <w:rPr>
          <w:rFonts w:ascii="Arial" w:cs="Arial" w:eastAsia="Arial" w:hAnsi="Arial"/>
          <w:sz w:val="18"/>
          <w:szCs w:val="18"/>
          <w:color w:val="0070C0"/>
        </w:rPr>
      </w:pPr>
      <w:r>
        <w:rPr>
          <w:rFonts w:ascii="Arial" w:cs="Arial" w:eastAsia="Arial" w:hAnsi="Arial"/>
          <w:sz w:val="18"/>
          <w:szCs w:val="18"/>
          <w:color w:val="auto"/>
        </w:rPr>
        <w:t>In April 2025 the FDA granted Fast Track designation to BIIB080, an investigational ASO therapy targeting tau for the potential treatment of Alzheimer's disease.</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070C0"/>
        </w:rPr>
        <w:t>CORPORATE MATTERS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2025 SENIOR NOTES</w:t>
      </w:r>
    </w:p>
    <w:p>
      <w:pPr>
        <w:spacing w:after="0" w:line="106"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On May 12, 2025, we issued senior unsecured notes for an aggregate principal amount of $1.75 billion. In June 2025 we used the net proceeds from the sale of our 2025 Senior Notes to redeem our 4.050% Senior Notes due September 15, 2025, prior to maturity.</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For additional information relating to our 2025 Senior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this report.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NEW CORPORATE HEADQUARTERS LEASE</w:t>
      </w:r>
    </w:p>
    <w:p>
      <w:pPr>
        <w:spacing w:after="0" w:line="1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March 2025 we entered into a lease agreement with MIT Investment Management Company and BioMed Realty for the lease of approximately 580,000 square feet of office and research and development space located at 75 Broadway, Cambridge, Massachusetts, which will be used as our new global corporate headquarters, as well as integrating our research and development and technical operations teams alongside our North American commercial organization. As part of a multi-year real estate consolidation plan that is expected to result in a reduction of approximately 40% of our real estate footprint in Massachusetts, this new lease is intended to replace two existing leases, both in Cambridge, Massachusetts, including our current corporate headquarters. We expect the initial lease term of approximately 15.5 years to commence on May 31, 2028.</w:t>
      </w:r>
    </w:p>
    <w:p>
      <w:pPr>
        <w:spacing w:after="0" w:line="7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For additional information on our lease agreement, please read </w:t>
      </w:r>
      <w:r>
        <w:rPr>
          <w:rFonts w:ascii="Arial" w:cs="Arial" w:eastAsia="Arial" w:hAnsi="Arial"/>
          <w:sz w:val="18"/>
          <w:szCs w:val="18"/>
          <w:i w:val="1"/>
          <w:iCs w:val="1"/>
          <w:color w:val="auto"/>
        </w:rPr>
        <w:t>Note 12, Leases,</w:t>
      </w:r>
      <w:r>
        <w:rPr>
          <w:rFonts w:ascii="Arial" w:cs="Arial" w:eastAsia="Arial" w:hAnsi="Arial"/>
          <w:sz w:val="18"/>
          <w:szCs w:val="18"/>
          <w:color w:val="auto"/>
        </w:rPr>
        <w:t xml:space="preserve"> to our consolidated financial statements included in this report.</w:t>
      </w:r>
    </w:p>
    <w:p>
      <w:pPr>
        <w:spacing w:after="0" w:line="72" w:lineRule="exact"/>
        <w:rPr>
          <w:sz w:val="20"/>
          <w:szCs w:val="20"/>
          <w:color w:val="auto"/>
        </w:rPr>
      </w:pPr>
    </w:p>
    <w:p>
      <w:pPr>
        <w:spacing w:after="0"/>
        <w:rPr>
          <w:sz w:val="20"/>
          <w:szCs w:val="20"/>
          <w:color w:val="auto"/>
        </w:rPr>
      </w:pPr>
      <w:r>
        <w:rPr>
          <w:rFonts w:ascii="Arial" w:cs="Arial" w:eastAsia="Arial" w:hAnsi="Arial"/>
          <w:sz w:val="29"/>
          <w:szCs w:val="29"/>
          <w:color w:val="0070C0"/>
        </w:rPr>
        <w:t>MANAGEMENT CHANGES</w:t>
      </w:r>
    </w:p>
    <w:p>
      <w:pPr>
        <w:spacing w:after="0" w:line="125"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0070C0"/>
        </w:rPr>
      </w:pPr>
      <w:r>
        <w:rPr>
          <w:rFonts w:ascii="Arial" w:cs="Arial" w:eastAsia="Arial" w:hAnsi="Arial"/>
          <w:sz w:val="18"/>
          <w:szCs w:val="18"/>
          <w:color w:val="auto"/>
        </w:rPr>
        <w:t>In March 2025 Robin C. Kramer became Executive Vice President and Chief Financial Officer.</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17"/>
        </w:numPr>
        <w:rPr>
          <w:rFonts w:ascii="Arial" w:cs="Arial" w:eastAsia="Arial" w:hAnsi="Arial"/>
          <w:sz w:val="18"/>
          <w:szCs w:val="18"/>
          <w:color w:val="0070C0"/>
        </w:rPr>
      </w:pPr>
      <w:r>
        <w:rPr>
          <w:rFonts w:ascii="Arial" w:cs="Arial" w:eastAsia="Arial" w:hAnsi="Arial"/>
          <w:sz w:val="18"/>
          <w:szCs w:val="18"/>
          <w:color w:val="auto"/>
        </w:rPr>
        <w:t>In March 2025 Sean Godbout became Vice President, Chief Accounting Officer and Global Corporate Controller.</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additional information on our executive officers, please read the subsection entitled "Information about our Executive Officers" included in this report.</w:t>
      </w:r>
    </w:p>
    <w:p>
      <w:pPr>
        <w:spacing w:after="0" w:line="100" w:lineRule="exact"/>
        <w:rPr>
          <w:sz w:val="20"/>
          <w:szCs w:val="20"/>
          <w:color w:val="auto"/>
        </w:rPr>
      </w:pPr>
    </w:p>
    <w:p>
      <w:pPr>
        <w:spacing w:after="0"/>
        <w:rPr>
          <w:sz w:val="20"/>
          <w:szCs w:val="20"/>
          <w:color w:val="auto"/>
        </w:rPr>
      </w:pPr>
      <w:r>
        <w:rPr>
          <w:rFonts w:ascii="Arial" w:cs="Arial" w:eastAsia="Arial" w:hAnsi="Arial"/>
          <w:sz w:val="29"/>
          <w:szCs w:val="29"/>
          <w:color w:val="0070C0"/>
        </w:rPr>
        <w:t>PRODUCT AND PIPELINE DEVELOPMENTS</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auto"/>
        </w:rPr>
        <w:t>NEUROLOGY</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0070C0"/>
        </w:rPr>
        <w:t>LEQEMBI (lecanemab</w:t>
      </w:r>
      <w:r>
        <w:rPr>
          <w:rFonts w:ascii="Arial" w:cs="Arial" w:eastAsia="Arial" w:hAnsi="Arial"/>
          <w:sz w:val="22"/>
          <w:szCs w:val="22"/>
          <w:b w:val="1"/>
          <w:bCs w:val="1"/>
          <w:color w:val="0070C0"/>
        </w:rPr>
        <w:t>)</w:t>
      </w:r>
    </w:p>
    <w:p>
      <w:pPr>
        <w:spacing w:after="0" w:line="108" w:lineRule="exact"/>
        <w:rPr>
          <w:sz w:val="20"/>
          <w:szCs w:val="20"/>
          <w:color w:val="auto"/>
        </w:rPr>
      </w:pPr>
    </w:p>
    <w:p>
      <w:pPr>
        <w:ind w:left="340" w:right="520" w:hanging="332"/>
        <w:spacing w:after="0" w:line="268" w:lineRule="auto"/>
        <w:tabs>
          <w:tab w:leader="none" w:pos="295" w:val="left"/>
        </w:tabs>
        <w:numPr>
          <w:ilvl w:val="0"/>
          <w:numId w:val="18"/>
        </w:numPr>
        <w:rPr>
          <w:rFonts w:ascii="Arial" w:cs="Arial" w:eastAsia="Arial" w:hAnsi="Arial"/>
          <w:sz w:val="18"/>
          <w:szCs w:val="18"/>
          <w:color w:val="0070C0"/>
        </w:rPr>
      </w:pPr>
      <w:r>
        <w:rPr>
          <w:rFonts w:ascii="Arial" w:cs="Arial" w:eastAsia="Arial" w:hAnsi="Arial"/>
          <w:sz w:val="18"/>
          <w:szCs w:val="18"/>
          <w:color w:val="auto"/>
        </w:rPr>
        <w:t>In December 2025 we and Eisai announced that LEQEMBI has been included in the "Commercial Insurance Innovative Drug List" recently introduced by the National Healthcare Security Administration of China. The Commercial Insurance Innovative Drug List is based on new policies of the Chinese government to support the development and access of innovative medicines.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220" w:hanging="332"/>
        <w:spacing w:after="0" w:line="262" w:lineRule="auto"/>
        <w:tabs>
          <w:tab w:leader="none" w:pos="295" w:val="left"/>
        </w:tabs>
        <w:numPr>
          <w:ilvl w:val="0"/>
          <w:numId w:val="19"/>
        </w:numPr>
        <w:rPr>
          <w:rFonts w:ascii="Arial" w:cs="Arial" w:eastAsia="Arial" w:hAnsi="Arial"/>
          <w:sz w:val="18"/>
          <w:szCs w:val="18"/>
          <w:color w:val="0070C0"/>
        </w:rPr>
      </w:pPr>
      <w:r>
        <w:rPr>
          <w:rFonts w:ascii="Arial" w:cs="Arial" w:eastAsia="Arial" w:hAnsi="Arial"/>
          <w:sz w:val="18"/>
          <w:szCs w:val="18"/>
          <w:color w:val="auto"/>
        </w:rPr>
        <w:t>In December 2025 Eisai presented Phase 3 clinical data confirming pharmacological effect of LEQEMBI at the 2025 CTAD conference. The findings represent the results from a large-scale clinical study demonstrating, for the first time, that binding of lecanemab to protofibrils can be measured in cerebrospinal fluid, enabling further understanding of how lecanemab slows Alzheimer's disease progression.</w:t>
      </w:r>
    </w:p>
    <w:p>
      <w:pPr>
        <w:spacing w:after="0" w:line="68" w:lineRule="exact"/>
        <w:rPr>
          <w:rFonts w:ascii="Arial" w:cs="Arial" w:eastAsia="Arial" w:hAnsi="Arial"/>
          <w:sz w:val="18"/>
          <w:szCs w:val="18"/>
          <w:color w:val="0070C0"/>
        </w:rPr>
      </w:pPr>
    </w:p>
    <w:p>
      <w:pPr>
        <w:ind w:left="340" w:hanging="332"/>
        <w:spacing w:after="0" w:line="257" w:lineRule="auto"/>
        <w:tabs>
          <w:tab w:leader="none" w:pos="295" w:val="left"/>
        </w:tabs>
        <w:numPr>
          <w:ilvl w:val="0"/>
          <w:numId w:val="19"/>
        </w:numPr>
        <w:rPr>
          <w:rFonts w:ascii="Arial" w:cs="Arial" w:eastAsia="Arial" w:hAnsi="Arial"/>
          <w:sz w:val="18"/>
          <w:szCs w:val="18"/>
          <w:color w:val="0070C0"/>
        </w:rPr>
      </w:pPr>
      <w:r>
        <w:rPr>
          <w:rFonts w:ascii="Arial" w:cs="Arial" w:eastAsia="Arial" w:hAnsi="Arial"/>
          <w:sz w:val="18"/>
          <w:szCs w:val="18"/>
          <w:color w:val="auto"/>
        </w:rPr>
        <w:t>In July 2025 Eisai announced the interim results of a two-year real-world study of LEQEMBI in the U.S. at the 2025 AAIC conference. The study was conducted to investigate the actual state of real-world clinical treatment with LEQEMBI at 15 medical centers in the U.S., with a final report scheduled for late in the third quarter of Eisai's fiscal year ending March 31, 2026. In this interim study, 83.6% of patients either remained at the same clinical stage or improved from mild dementia to MCI (stable: 76.9%, improvement: 6.7%). Additionally, at time of interim data cut, 86.7% of patients who had received 40 or more doses over 18 months remained stable or showed clinical improvement (stable: 66.7%, improvement: 20%).</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color w:val="auto"/>
        </w:rPr>
        <w:t>RARE DISEASE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ZOREVUNERSEN</w:t>
      </w:r>
    </w:p>
    <w:p>
      <w:pPr>
        <w:spacing w:after="0" w:line="119" w:lineRule="exact"/>
        <w:rPr>
          <w:sz w:val="20"/>
          <w:szCs w:val="20"/>
          <w:color w:val="auto"/>
        </w:rPr>
      </w:pPr>
    </w:p>
    <w:p>
      <w:pPr>
        <w:ind w:left="340" w:hanging="332"/>
        <w:spacing w:after="0" w:line="259" w:lineRule="auto"/>
        <w:tabs>
          <w:tab w:leader="none" w:pos="295" w:val="left"/>
        </w:tabs>
        <w:numPr>
          <w:ilvl w:val="0"/>
          <w:numId w:val="20"/>
        </w:numPr>
        <w:rPr>
          <w:rFonts w:ascii="Arial" w:cs="Arial" w:eastAsia="Arial" w:hAnsi="Arial"/>
          <w:sz w:val="18"/>
          <w:szCs w:val="18"/>
          <w:color w:val="0070C0"/>
        </w:rPr>
      </w:pPr>
      <w:r>
        <w:rPr>
          <w:rFonts w:ascii="Arial" w:cs="Arial" w:eastAsia="Arial" w:hAnsi="Arial"/>
          <w:sz w:val="18"/>
          <w:szCs w:val="18"/>
          <w:color w:val="auto"/>
        </w:rPr>
        <w:t>In December 2025 we and Stoke announced new data that further support the potential of zorevunersen, an investigational ASO, as a disease-modifying medicine for Dravet syndrome, at the 2025 American Epilepsy Society Annual Meeting in Atlanta, Georgia. Long-term results from the ongoing Phase 1/2a and OLE studies demonstrated durable seizure reductions, including increases in seizure-free days, in addition to improvements in cognition, behavior and quality of life in patients treated with zorevunersen on top of care anti-seizure medicines.</w:t>
      </w:r>
    </w:p>
    <w:p>
      <w:pPr>
        <w:spacing w:after="0" w:line="71" w:lineRule="exact"/>
        <w:rPr>
          <w:rFonts w:ascii="Arial" w:cs="Arial" w:eastAsia="Arial" w:hAnsi="Arial"/>
          <w:sz w:val="18"/>
          <w:szCs w:val="18"/>
          <w:color w:val="0070C0"/>
        </w:rPr>
      </w:pPr>
    </w:p>
    <w:p>
      <w:pPr>
        <w:ind w:left="340" w:right="20" w:hanging="332"/>
        <w:spacing w:after="0" w:line="256" w:lineRule="auto"/>
        <w:tabs>
          <w:tab w:leader="none" w:pos="295" w:val="left"/>
        </w:tabs>
        <w:numPr>
          <w:ilvl w:val="0"/>
          <w:numId w:val="20"/>
        </w:numPr>
        <w:rPr>
          <w:rFonts w:ascii="Arial" w:cs="Arial" w:eastAsia="Arial" w:hAnsi="Arial"/>
          <w:sz w:val="18"/>
          <w:szCs w:val="18"/>
          <w:color w:val="0070C0"/>
        </w:rPr>
      </w:pPr>
      <w:r>
        <w:rPr>
          <w:rFonts w:ascii="Arial" w:cs="Arial" w:eastAsia="Arial" w:hAnsi="Arial"/>
          <w:sz w:val="18"/>
          <w:szCs w:val="18"/>
          <w:color w:val="auto"/>
        </w:rPr>
        <w:t>In November 2025 we and Stoke announced the publication of final data from the BUTTERFLY study, a prospective, two-year natural history study in people with Dravet syndrome, a severe developmental and epileptic encephalopathy characterized by recurrent seizures and significant and behavioral impairments. The BUTTERFLY study evaluated the impact of Dravet syndrome on adaptive functioning and neurodevelopment over two years in children and adolescents ages 2 to 18 years old. Results showed neurodevelopment plateaued at the developmental age of approximately two years old. Over the two-year study, patients experienced minimal changes in cognitive and behavior, including communication, motor skills and personal skills, compared to typical neurodevelopment expected for children of the same age, and major motor seizure frequency increased by 10.6% over two years.</w:t>
      </w:r>
    </w:p>
    <w:p>
      <w:pPr>
        <w:spacing w:after="0" w:line="74" w:lineRule="exact"/>
        <w:rPr>
          <w:rFonts w:ascii="Arial" w:cs="Arial" w:eastAsia="Arial" w:hAnsi="Arial"/>
          <w:sz w:val="18"/>
          <w:szCs w:val="18"/>
          <w:color w:val="0070C0"/>
        </w:rPr>
      </w:pPr>
    </w:p>
    <w:p>
      <w:pPr>
        <w:ind w:left="340" w:right="20" w:hanging="332"/>
        <w:spacing w:after="0" w:line="278" w:lineRule="auto"/>
        <w:tabs>
          <w:tab w:leader="none" w:pos="295" w:val="left"/>
        </w:tabs>
        <w:numPr>
          <w:ilvl w:val="0"/>
          <w:numId w:val="20"/>
        </w:numPr>
        <w:rPr>
          <w:rFonts w:ascii="Arial" w:cs="Arial" w:eastAsia="Arial" w:hAnsi="Arial"/>
          <w:sz w:val="17"/>
          <w:szCs w:val="17"/>
          <w:color w:val="0070C0"/>
        </w:rPr>
      </w:pPr>
      <w:r>
        <w:rPr>
          <w:rFonts w:ascii="Arial" w:cs="Arial" w:eastAsia="Arial" w:hAnsi="Arial"/>
          <w:sz w:val="17"/>
          <w:szCs w:val="17"/>
          <w:color w:val="auto"/>
        </w:rPr>
        <w:t>In September 2025 we and Stoke announced data from Phase 1/2a and open-label extension studies of zorevunersen that support the potential for zorevunersen to be the first disease-modifying medicine for Dravet syndrome at the 36th International Epilepsy Congress in Lisbon, Portugal. The study showed durable reductions in seizures and continuing improvements in cognition and behavior through three years in patients who continued to receive zorevunersen in the OLE studies. The study also showed substantial increase in seizure-free days and continuous improvement in quality of life demonstrated in patients already taking standard of care anti-seizure medicines.</w:t>
      </w:r>
    </w:p>
    <w:p>
      <w:pPr>
        <w:spacing w:after="0" w:line="55" w:lineRule="exact"/>
        <w:rPr>
          <w:rFonts w:ascii="Arial" w:cs="Arial" w:eastAsia="Arial" w:hAnsi="Arial"/>
          <w:sz w:val="17"/>
          <w:szCs w:val="17"/>
          <w:color w:val="0070C0"/>
        </w:rPr>
      </w:pPr>
    </w:p>
    <w:p>
      <w:pPr>
        <w:ind w:left="340" w:right="240" w:hanging="332"/>
        <w:spacing w:after="0" w:line="287" w:lineRule="auto"/>
        <w:tabs>
          <w:tab w:leader="none" w:pos="295" w:val="left"/>
        </w:tabs>
        <w:numPr>
          <w:ilvl w:val="0"/>
          <w:numId w:val="20"/>
        </w:numPr>
        <w:rPr>
          <w:rFonts w:ascii="Arial" w:cs="Arial" w:eastAsia="Arial" w:hAnsi="Arial"/>
          <w:sz w:val="18"/>
          <w:szCs w:val="18"/>
          <w:color w:val="0070C0"/>
        </w:rPr>
      </w:pPr>
      <w:r>
        <w:rPr>
          <w:rFonts w:ascii="Arial" w:cs="Arial" w:eastAsia="Arial" w:hAnsi="Arial"/>
          <w:sz w:val="18"/>
          <w:szCs w:val="18"/>
          <w:color w:val="auto"/>
        </w:rPr>
        <w:t>In August 2025 we and Stoke announced the first patient dosed in the Phase 3 EMPEROR study of zorevunersen, a potential disease-modifying treatment for Dravet syndrome.</w:t>
      </w:r>
    </w:p>
    <w:p>
      <w:pPr>
        <w:spacing w:after="0" w:line="44" w:lineRule="exact"/>
        <w:rPr>
          <w:rFonts w:ascii="Arial" w:cs="Arial" w:eastAsia="Arial" w:hAnsi="Arial"/>
          <w:sz w:val="18"/>
          <w:szCs w:val="18"/>
          <w:color w:val="0070C0"/>
        </w:rPr>
      </w:pPr>
    </w:p>
    <w:p>
      <w:pPr>
        <w:ind w:left="340" w:hanging="332"/>
        <w:spacing w:after="0" w:line="262" w:lineRule="auto"/>
        <w:tabs>
          <w:tab w:leader="none" w:pos="295" w:val="left"/>
        </w:tabs>
        <w:numPr>
          <w:ilvl w:val="0"/>
          <w:numId w:val="20"/>
        </w:numPr>
        <w:rPr>
          <w:rFonts w:ascii="Arial" w:cs="Arial" w:eastAsia="Arial" w:hAnsi="Arial"/>
          <w:sz w:val="18"/>
          <w:szCs w:val="18"/>
          <w:color w:val="0070C0"/>
        </w:rPr>
      </w:pPr>
      <w:r>
        <w:rPr>
          <w:rFonts w:ascii="Arial" w:cs="Arial" w:eastAsia="Arial" w:hAnsi="Arial"/>
          <w:sz w:val="18"/>
          <w:szCs w:val="18"/>
          <w:color w:val="auto"/>
        </w:rPr>
        <w:t>In July 2025 we and Stoke announced the presentation of data from an analysis that informed the design of the Phase 3 EMPEROR study and evaluated the potential effects of the Phase 3 zorevunersen dosing regimen. The data are complementary to previously reported data from a broader cohort of patients treated with zorevunersen in the Phase 1/2a and OLE studies that showed improvements within the first 9 months and continuing improvements through an additional two years.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0070C0"/>
        </w:rPr>
        <w:t>SPINRAZA (nusinersen)</w:t>
      </w:r>
    </w:p>
    <w:p>
      <w:pPr>
        <w:spacing w:after="0" w:line="106" w:lineRule="exact"/>
        <w:rPr>
          <w:sz w:val="20"/>
          <w:szCs w:val="20"/>
          <w:color w:val="auto"/>
        </w:rPr>
      </w:pPr>
    </w:p>
    <w:p>
      <w:pPr>
        <w:ind w:left="340" w:right="160" w:hanging="332"/>
        <w:spacing w:after="0" w:line="259" w:lineRule="auto"/>
        <w:tabs>
          <w:tab w:leader="none" w:pos="281" w:val="left"/>
        </w:tabs>
        <w:numPr>
          <w:ilvl w:val="0"/>
          <w:numId w:val="21"/>
        </w:numPr>
        <w:rPr>
          <w:rFonts w:ascii="Arial" w:cs="Arial" w:eastAsia="Arial" w:hAnsi="Arial"/>
          <w:sz w:val="18"/>
          <w:szCs w:val="18"/>
          <w:i w:val="1"/>
          <w:iCs w:val="1"/>
          <w:color w:val="0070C0"/>
        </w:rPr>
      </w:pPr>
      <w:r>
        <w:rPr>
          <w:rFonts w:ascii="Arial" w:cs="Arial" w:eastAsia="Arial" w:hAnsi="Arial"/>
          <w:sz w:val="18"/>
          <w:szCs w:val="18"/>
          <w:color w:val="auto"/>
        </w:rPr>
        <w:t>In June 2025 we announced new data that reinforce the clinical impact of nusinersen across a broad spectrum of individuals affected by SMA. These latest findings from Part C of the DEVOTE trial evaluating a higher dose regimen of nusinersen and the NURTURE trial which evaluated the approved 12 mg regimen of SPINRAZA in clinically presymptomatic SMA was presented at the SMA Research &amp; Clinical Care Meeting hosted by Cure SMA. The study showed improvements observed with higher dose regimen of nusinersen in previously treated patient population.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070C0"/>
        </w:rPr>
        <w:t>SALANERSEN (BIIB115)</w:t>
      </w:r>
    </w:p>
    <w:p>
      <w:pPr>
        <w:spacing w:after="0" w:line="106" w:lineRule="exact"/>
        <w:rPr>
          <w:sz w:val="20"/>
          <w:szCs w:val="20"/>
          <w:color w:val="auto"/>
        </w:rPr>
      </w:pPr>
    </w:p>
    <w:p>
      <w:pPr>
        <w:ind w:left="340" w:right="260" w:hanging="332"/>
        <w:spacing w:after="0" w:line="262" w:lineRule="auto"/>
        <w:tabs>
          <w:tab w:leader="none" w:pos="295" w:val="left"/>
        </w:tabs>
        <w:numPr>
          <w:ilvl w:val="0"/>
          <w:numId w:val="22"/>
        </w:numPr>
        <w:rPr>
          <w:rFonts w:ascii="Arial" w:cs="Arial" w:eastAsia="Arial" w:hAnsi="Arial"/>
          <w:sz w:val="18"/>
          <w:szCs w:val="18"/>
          <w:color w:val="0070C0"/>
        </w:rPr>
      </w:pPr>
      <w:r>
        <w:rPr>
          <w:rFonts w:ascii="Arial" w:cs="Arial" w:eastAsia="Arial" w:hAnsi="Arial"/>
          <w:sz w:val="18"/>
          <w:szCs w:val="18"/>
          <w:color w:val="auto"/>
        </w:rPr>
        <w:t>In June 2025 we announced positive interim topline results from the Phase 1b study of salanersen, an ASO being developed for the treatment of SMA. Interim Phase 1b data shows children with SMA previously treated with gene therapy experienced a substantial slowing of neurodegeneration and clinically meaningful improvements in motor function following initiation of salanersen. Our Phase 3 registrational study of salanersen is expected to begin in 2026.</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0070C0"/>
        </w:rPr>
        <w:t>SKYCLARYS (OMAVELOXOLONE)</w:t>
      </w:r>
    </w:p>
    <w:p>
      <w:pPr>
        <w:spacing w:after="0" w:line="106" w:lineRule="exact"/>
        <w:rPr>
          <w:sz w:val="20"/>
          <w:szCs w:val="20"/>
          <w:color w:val="auto"/>
        </w:rPr>
      </w:pPr>
    </w:p>
    <w:p>
      <w:pPr>
        <w:ind w:left="340" w:right="20" w:hanging="332"/>
        <w:spacing w:after="0" w:line="268" w:lineRule="auto"/>
        <w:tabs>
          <w:tab w:leader="none" w:pos="295" w:val="left"/>
        </w:tabs>
        <w:numPr>
          <w:ilvl w:val="0"/>
          <w:numId w:val="23"/>
        </w:numPr>
        <w:rPr>
          <w:rFonts w:ascii="Arial" w:cs="Arial" w:eastAsia="Arial" w:hAnsi="Arial"/>
          <w:sz w:val="18"/>
          <w:szCs w:val="18"/>
          <w:color w:val="0070C0"/>
        </w:rPr>
      </w:pPr>
      <w:r>
        <w:rPr>
          <w:rFonts w:ascii="Arial" w:cs="Arial" w:eastAsia="Arial" w:hAnsi="Arial"/>
          <w:sz w:val="18"/>
          <w:szCs w:val="18"/>
          <w:color w:val="auto"/>
        </w:rPr>
        <w:t>In June 2025 we announced the initiation of dosing in the global Phase 3 BRAVE study of omaveloxolone in children with FA between the ages of two to sixteen. The BRAVE study will evaluate the efficacy, safety, pharmacokinetics and pharmacodynamics of omaveloxolone in approximately 255 children living with FA.</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0070C0"/>
        </w:rPr>
        <w:t>QALSODY</w:t>
      </w:r>
    </w:p>
    <w:p>
      <w:pPr>
        <w:spacing w:after="0" w:line="106" w:lineRule="exact"/>
        <w:rPr>
          <w:sz w:val="20"/>
          <w:szCs w:val="20"/>
          <w:color w:val="auto"/>
        </w:rPr>
      </w:pPr>
    </w:p>
    <w:p>
      <w:pPr>
        <w:ind w:left="340" w:right="340" w:hanging="332"/>
        <w:spacing w:after="0" w:line="278" w:lineRule="auto"/>
        <w:tabs>
          <w:tab w:leader="none" w:pos="295" w:val="left"/>
        </w:tabs>
        <w:numPr>
          <w:ilvl w:val="0"/>
          <w:numId w:val="24"/>
        </w:numPr>
        <w:rPr>
          <w:rFonts w:ascii="Arial" w:cs="Arial" w:eastAsia="Arial" w:hAnsi="Arial"/>
          <w:sz w:val="17"/>
          <w:szCs w:val="17"/>
          <w:color w:val="0070C0"/>
        </w:rPr>
      </w:pPr>
      <w:r>
        <w:rPr>
          <w:rFonts w:ascii="Arial" w:cs="Arial" w:eastAsia="Arial" w:hAnsi="Arial"/>
          <w:sz w:val="17"/>
          <w:szCs w:val="17"/>
          <w:color w:val="auto"/>
        </w:rPr>
        <w:t>In December 2025 the Journal of the American Medical Association Neurology published final results from the completed Phase 3 VALOR study and its OLE study evaluating QALSODY for the treatment of SOD1 ALS with over 3.5 years of follow-up. These results show that early initiation of QALSODY was associated with numerically slower decline in measures of clinical function, breathing and strength, as well as reduction in the risk of death or permanent ventilation. Sustained reductions in neurofilament, a marker of neurodegeneration, further validate the clinical results and demonstrate QALSODY's impact on the underlying biology of SOD1 ALS.</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color w:val="0070C0"/>
        </w:rPr>
        <w:t>DISCONTINUED PROGRAMS AND STUDIES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SALE OF TOFIDENCE</w:t>
      </w:r>
    </w:p>
    <w:p>
      <w:pPr>
        <w:spacing w:after="0" w:line="1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March 2025 we completed the sale of our regulatory and commercial rights in the U.S. for TOFIDENCE, a tocilizumab biosimilar referencing ACTEMRA, to Organon. Under the terms of this transaction, we received a payment of approximately $51.0 million in July 2025 and recognized a de minimis loss within our consolidated statements of income for the year ended December 31, 2025.</w:t>
      </w:r>
    </w:p>
    <w:p>
      <w:pPr>
        <w:spacing w:after="0" w:line="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For additional information on our sale of TOFIDENCE,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our consolidated financial statements included in this report.</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SALE OF BYOOVIZ AND OPUVIZ RIGHTS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2025 we completed the sale of our remaining commercial rights to two ophthalmology assets in Europe: BYOOVIZ, a ranibizumab biosimilar referencing LUCENTIS, and OPUVIZ, an aflibercept biosimilar referencing EYLEA. Samsung Bioepis will have full responsibility for commercialization of BYOOVIZ upon the transfer of commercial rights from Biogen back to Samsung Bioepis, which became effective as of January 2026. Under the terms of this transaction, we received a payment of $28.0 million in November 2025 and recognized a minimal gain on disposal within our consolidated statements of income for the year ended December 31, 2025.</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auto"/>
        </w:rPr>
        <w:t>BIIB143 (cemdomespib)</w:t>
      </w:r>
    </w:p>
    <w:p>
      <w:pPr>
        <w:spacing w:after="0" w:line="92"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In early 2025 we discontinued further development of BIIB143 (cemdomespib) for the treatment of DPN, as part of our ongoing pipeline prioritization efforts.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FELZARTAMAB - LUPUS NEPHRITIS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2025 we discontinued the open label Phase 1b study of felzartamab for the treatment of lupus nephritis.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color w:val="0070C0"/>
        </w:rPr>
        <w:t>MARKETED PRODUCTS</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graph shows our product revenue, revenue from anti-CD20 therapeutic programs and Alzheimer's collaboration revenue for the 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5966460" cy="6043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6460" cy="6043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 w:right="200" w:hanging="172"/>
        <w:spacing w:after="0" w:line="238" w:lineRule="auto"/>
        <w:tabs>
          <w:tab w:leader="none" w:pos="158"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MS includes TECFIDERA, VUMERITY, AVONEX, PLEGRIDY, TYSABRI and FAMPYRA. Effective January 1, 2025, our collaboration and license agreement for FAMPYRA global commercialization rights was terminated.</w:t>
      </w:r>
    </w:p>
    <w:p>
      <w:pPr>
        <w:ind w:left="180" w:right="540" w:hanging="172"/>
        <w:spacing w:after="0" w:line="230" w:lineRule="auto"/>
        <w:tabs>
          <w:tab w:leader="none" w:pos="172"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Rare disease includes SPINRAZA, QALSODY, which became commercially available in the E.U. during the second quarter of 2024, and SKYCLARYS which became commercially available in the E.U. during the first quarter of 2024.</w:t>
      </w:r>
    </w:p>
    <w:p>
      <w:pPr>
        <w:ind w:left="180" w:right="40" w:hanging="172"/>
        <w:spacing w:after="0" w:line="233" w:lineRule="auto"/>
        <w:tabs>
          <w:tab w:leader="none" w:pos="172"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 xml:space="preserve">Biosimilars includes BENEPALI, IMRALDI, FLIXABI, BYOOVIZ and TOFIDENCE. In 2025 we completed the sale of our rights to TOFIDENCE and BYOOVIZ. For additional information on our arrangements with Samsung Bioepis, please read </w:t>
      </w:r>
      <w:r>
        <w:rPr>
          <w:rFonts w:ascii="Arial" w:cs="Arial" w:eastAsia="Arial" w:hAnsi="Arial"/>
          <w:sz w:val="14"/>
          <w:szCs w:val="14"/>
          <w:i w:val="1"/>
          <w:iCs w:val="1"/>
          <w:color w:val="auto"/>
        </w:rPr>
        <w:t>Note 19, Collaborative and Other Relationships</w:t>
      </w:r>
      <w:r>
        <w:rPr>
          <w:rFonts w:ascii="Arial" w:cs="Arial" w:eastAsia="Arial" w:hAnsi="Arial"/>
          <w:sz w:val="14"/>
          <w:szCs w:val="14"/>
          <w:color w:val="auto"/>
        </w:rPr>
        <w:t>, to our consolidated financial statements included in this report.</w:t>
      </w:r>
    </w:p>
    <w:p>
      <w:pPr>
        <w:spacing w:after="0" w:line="1"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25"/>
        </w:numPr>
        <w:rPr>
          <w:rFonts w:ascii="Arial" w:cs="Arial" w:eastAsia="Arial" w:hAnsi="Arial"/>
          <w:sz w:val="9"/>
          <w:szCs w:val="9"/>
          <w:color w:val="auto"/>
        </w:rPr>
      </w:pPr>
      <w:r>
        <w:rPr>
          <w:rFonts w:ascii="Arial" w:cs="Arial" w:eastAsia="Arial" w:hAnsi="Arial"/>
          <w:sz w:val="14"/>
          <w:szCs w:val="14"/>
          <w:color w:val="auto"/>
        </w:rPr>
        <w:t>Alzheimer's collaboration revenue consists of our 50.0% share of LEQEMBI product revenue, net and cost of sales, including royalties.</w:t>
      </w:r>
    </w:p>
    <w:p>
      <w:pPr>
        <w:spacing w:after="0" w:line="28" w:lineRule="exact"/>
        <w:rPr>
          <w:rFonts w:ascii="Arial" w:cs="Arial" w:eastAsia="Arial" w:hAnsi="Arial"/>
          <w:sz w:val="9"/>
          <w:szCs w:val="9"/>
          <w:color w:val="auto"/>
        </w:rPr>
      </w:pPr>
    </w:p>
    <w:p>
      <w:pPr>
        <w:ind w:left="160" w:hanging="152"/>
        <w:spacing w:after="0" w:line="234" w:lineRule="auto"/>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Anti-CD20 therapeutic programs include RITUXAN, RITUXAN HYCELA, GAZYVA, OCREVUS and LUNSUMIO.</w:t>
      </w:r>
    </w:p>
    <w:p>
      <w:pPr>
        <w:spacing w:after="0" w:line="1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ADUHELM and ZURZUVAE.</w:t>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Product sales for TYSABRI and SPINRAZA each accounted for more than 10.0% of our total revenue for the years ended December 31, 2025, 2024 and 2023. For additional financial information about our product and other revenue and geographic areas where we operate,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25, Segment Information,</w:t>
      </w:r>
      <w:r>
        <w:rPr>
          <w:rFonts w:ascii="Arial" w:cs="Arial" w:eastAsia="Arial" w:hAnsi="Arial"/>
          <w:sz w:val="18"/>
          <w:szCs w:val="18"/>
          <w:color w:val="auto"/>
        </w:rPr>
        <w:t xml:space="preserve"> to our consolidated financial statements included in this report and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included in this report. A discussion of the risks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attendant to our operations is set forth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color w:val="auto"/>
        </w:rPr>
        <w:t>NEUROLOGY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MULTIPLE SCLEROSIS</w:t>
      </w:r>
    </w:p>
    <w:p>
      <w:pPr>
        <w:spacing w:after="0" w:line="11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develop, manufacture and market a number of products designed to treat patients with MS. MS is a progressive disease in which the body loses the ability to transmit messages along nerve cells, leading to a loss of muscle control, paralysis and, in some cases, death. Patients with active RMS experience an uneven pattern of disease progression characterized by periods of stability that are interrupted by flare-ups of the disease after which the patient may return to a lower baseline of functioning.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MS products we market and our major markets are as follows:</w:t>
      </w:r>
    </w:p>
    <w:p>
      <w:pPr>
        <w:sectPr>
          <w:pgSz w:w="11900" w:h="16838" w:orient="portrait"/>
          <w:cols w:equalWidth="0" w:num="1">
            <w:col w:w="11240"/>
          </w:cols>
          <w:pgMar w:left="320" w:top="238" w:right="339" w:bottom="1440" w:gutter="0" w:footer="0" w:header="0"/>
        </w:sectPr>
      </w:pPr>
    </w:p>
    <w:p>
      <w:pPr>
        <w:spacing w:after="0" w:line="131" w:lineRule="exact"/>
        <w:rPr>
          <w:sz w:val="20"/>
          <w:szCs w:val="20"/>
          <w:color w:val="auto"/>
        </w:rPr>
      </w:pPr>
    </w:p>
    <w:p>
      <w:pPr>
        <w:ind w:left="60"/>
        <w:spacing w:after="0"/>
        <w:tabs>
          <w:tab w:leader="none" w:pos="3220" w:val="left"/>
        </w:tabs>
        <w:rPr>
          <w:sz w:val="20"/>
          <w:szCs w:val="20"/>
          <w:color w:val="auto"/>
        </w:rPr>
      </w:pPr>
      <w:r>
        <w:rPr>
          <w:rFonts w:ascii="Arial" w:cs="Arial" w:eastAsia="Arial" w:hAnsi="Arial"/>
          <w:sz w:val="18"/>
          <w:szCs w:val="18"/>
          <w:b w:val="1"/>
          <w:bCs w:val="1"/>
          <w:color w:val="0070C0"/>
        </w:rPr>
        <w:t>Product</w:t>
      </w:r>
      <w:r>
        <w:rPr>
          <w:sz w:val="20"/>
          <w:szCs w:val="20"/>
          <w:color w:val="auto"/>
        </w:rPr>
        <w:tab/>
      </w:r>
      <w:r>
        <w:rPr>
          <w:rFonts w:ascii="Arial" w:cs="Arial" w:eastAsia="Arial" w:hAnsi="Arial"/>
          <w:sz w:val="18"/>
          <w:szCs w:val="18"/>
          <w:b w:val="1"/>
          <w:bCs w:val="1"/>
          <w:color w:val="0070C0"/>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4217670" cy="6083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17670" cy="608330"/>
                    </a:xfrm>
                    <a:prstGeom prst="rect">
                      <a:avLst/>
                    </a:prstGeom>
                    <a:noFill/>
                  </pic:spPr>
                </pic:pic>
              </a:graphicData>
            </a:graphic>
          </wp:anchor>
        </w:drawing>
      </w:r>
    </w:p>
    <w:p>
      <w:pPr>
        <w:spacing w:after="0" w:line="298"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RMS</w:t>
      </w:r>
    </w:p>
    <w:p>
      <w:pPr>
        <w:ind w:left="3240"/>
        <w:spacing w:after="0" w:line="211" w:lineRule="auto"/>
        <w:rPr>
          <w:sz w:val="20"/>
          <w:szCs w:val="20"/>
          <w:color w:val="auto"/>
        </w:rPr>
      </w:pPr>
      <w:r>
        <w:rPr>
          <w:rFonts w:ascii="Arial" w:cs="Arial" w:eastAsia="Arial" w:hAnsi="Arial"/>
          <w:sz w:val="16"/>
          <w:szCs w:val="16"/>
          <w:color w:val="auto"/>
        </w:rPr>
        <w:t>RRMS in the E.U.</w:t>
      </w:r>
    </w:p>
    <w:p>
      <w:pPr>
        <w:ind w:left="3240"/>
        <w:spacing w:after="0"/>
        <w:rPr>
          <w:sz w:val="20"/>
          <w:szCs w:val="20"/>
          <w:color w:val="auto"/>
        </w:rPr>
      </w:pPr>
      <w:r>
        <w:rPr>
          <w:rFonts w:ascii="Arial" w:cs="Arial" w:eastAsia="Arial" w:hAnsi="Arial"/>
          <w:sz w:val="16"/>
          <w:szCs w:val="16"/>
          <w:color w:val="auto"/>
        </w:rPr>
        <w:t>Crohn's disease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165100</wp:posOffset>
            </wp:positionV>
            <wp:extent cx="4217670" cy="600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176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RMS in the U.S.</w:t>
      </w:r>
    </w:p>
    <w:p>
      <w:pPr>
        <w:ind w:left="3240"/>
        <w:spacing w:after="0"/>
        <w:rPr>
          <w:sz w:val="20"/>
          <w:szCs w:val="20"/>
          <w:color w:val="auto"/>
        </w:rPr>
      </w:pPr>
      <w:r>
        <w:rPr>
          <w:rFonts w:ascii="Arial" w:cs="Arial" w:eastAsia="Arial" w:hAnsi="Arial"/>
          <w:sz w:val="16"/>
          <w:szCs w:val="16"/>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216535</wp:posOffset>
            </wp:positionV>
            <wp:extent cx="42176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396240</wp:posOffset>
            </wp:positionV>
            <wp:extent cx="139700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700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RMS in the U.S.</w:t>
      </w:r>
    </w:p>
    <w:p>
      <w:pPr>
        <w:ind w:left="3240"/>
        <w:spacing w:after="0"/>
        <w:rPr>
          <w:sz w:val="20"/>
          <w:szCs w:val="20"/>
          <w:color w:val="auto"/>
        </w:rPr>
      </w:pPr>
      <w:r>
        <w:rPr>
          <w:rFonts w:ascii="Arial" w:cs="Arial" w:eastAsia="Arial" w:hAnsi="Arial"/>
          <w:sz w:val="16"/>
          <w:szCs w:val="16"/>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216535</wp:posOffset>
            </wp:positionV>
            <wp:extent cx="42176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336550</wp:posOffset>
            </wp:positionV>
            <wp:extent cx="1122680" cy="419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2268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278130</wp:posOffset>
            </wp:positionV>
            <wp:extent cx="4217670" cy="702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1767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RMS in the U.S.</w:t>
      </w:r>
    </w:p>
    <w:p>
      <w:pPr>
        <w:ind w:left="3240"/>
        <w:spacing w:after="0"/>
        <w:rPr>
          <w:sz w:val="20"/>
          <w:szCs w:val="20"/>
          <w:color w:val="auto"/>
        </w:rPr>
      </w:pPr>
      <w:r>
        <w:rPr>
          <w:rFonts w:ascii="Arial" w:cs="Arial" w:eastAsia="Arial" w:hAnsi="Arial"/>
          <w:sz w:val="16"/>
          <w:szCs w:val="16"/>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267970</wp:posOffset>
            </wp:positionV>
            <wp:extent cx="42176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b w:val="1"/>
          <w:bCs w:val="1"/>
          <w:color w:val="0070C0"/>
        </w:rPr>
        <w:t>Collaborator</w:t>
      </w:r>
      <w:r>
        <w:rPr>
          <w:sz w:val="20"/>
          <w:szCs w:val="20"/>
          <w:color w:val="auto"/>
        </w:rPr>
        <w:tab/>
      </w:r>
      <w:r>
        <w:rPr>
          <w:rFonts w:ascii="Arial" w:cs="Arial" w:eastAsia="Arial" w:hAnsi="Arial"/>
          <w:sz w:val="18"/>
          <w:szCs w:val="18"/>
          <w:b w:val="1"/>
          <w:bCs w:val="1"/>
          <w:color w:val="0070C0"/>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17780</wp:posOffset>
            </wp:positionV>
            <wp:extent cx="28117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5"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U.S.</w:t>
      </w:r>
    </w:p>
    <w:p>
      <w:pPr>
        <w:ind w:left="2640"/>
        <w:spacing w:after="0" w:line="211" w:lineRule="auto"/>
        <w:rPr>
          <w:sz w:val="20"/>
          <w:szCs w:val="20"/>
          <w:color w:val="auto"/>
        </w:rPr>
      </w:pPr>
      <w:r>
        <w:rPr>
          <w:rFonts w:ascii="Arial" w:cs="Arial" w:eastAsia="Arial" w:hAnsi="Arial"/>
          <w:sz w:val="16"/>
          <w:szCs w:val="16"/>
          <w:color w:val="auto"/>
        </w:rPr>
        <w:t>Brazil</w:t>
      </w:r>
    </w:p>
    <w:p>
      <w:pPr>
        <w:spacing w:after="0" w:line="188" w:lineRule="auto"/>
        <w:tabs>
          <w:tab w:leader="none" w:pos="2620" w:val="left"/>
        </w:tabs>
        <w:rPr>
          <w:sz w:val="20"/>
          <w:szCs w:val="20"/>
          <w:color w:val="auto"/>
        </w:rPr>
      </w:pPr>
      <w:r>
        <w:rPr>
          <w:rFonts w:ascii="Arial" w:cs="Arial" w:eastAsia="Arial" w:hAnsi="Arial"/>
          <w:sz w:val="18"/>
          <w:szCs w:val="18"/>
          <w:color w:val="auto"/>
          <w:vertAlign w:val="subscript"/>
        </w:rPr>
        <w:t>None</w:t>
      </w:r>
      <w:r>
        <w:rPr>
          <w:sz w:val="20"/>
          <w:szCs w:val="20"/>
          <w:color w:val="auto"/>
        </w:rPr>
        <w:tab/>
      </w:r>
      <w:r>
        <w:rPr>
          <w:rFonts w:ascii="Arial" w:cs="Arial" w:eastAsia="Arial" w:hAnsi="Arial"/>
          <w:sz w:val="11"/>
          <w:szCs w:val="11"/>
          <w:color w:val="auto"/>
        </w:rPr>
        <w:t>France</w:t>
      </w:r>
    </w:p>
    <w:p>
      <w:pPr>
        <w:ind w:left="2640"/>
        <w:spacing w:after="0" w:line="211" w:lineRule="auto"/>
        <w:rPr>
          <w:sz w:val="20"/>
          <w:szCs w:val="20"/>
          <w:color w:val="auto"/>
        </w:rPr>
      </w:pPr>
      <w:r>
        <w:rPr>
          <w:rFonts w:ascii="Arial" w:cs="Arial" w:eastAsia="Arial" w:hAnsi="Arial"/>
          <w:sz w:val="16"/>
          <w:szCs w:val="16"/>
          <w:color w:val="auto"/>
        </w:rPr>
        <w:t>Germany</w:t>
      </w:r>
    </w:p>
    <w:p>
      <w:pPr>
        <w:ind w:left="2640"/>
        <w:spacing w:after="0" w:line="211" w:lineRule="auto"/>
        <w:rPr>
          <w:sz w:val="20"/>
          <w:szCs w:val="20"/>
          <w:color w:val="auto"/>
        </w:rPr>
      </w:pPr>
      <w:r>
        <w:rPr>
          <w:rFonts w:ascii="Arial" w:cs="Arial" w:eastAsia="Arial" w:hAnsi="Arial"/>
          <w:sz w:val="16"/>
          <w:szCs w:val="16"/>
          <w:color w:val="auto"/>
        </w:rPr>
        <w:t>Italy</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28117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44"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U.S.</w:t>
      </w:r>
    </w:p>
    <w:p>
      <w:pPr>
        <w:ind w:left="2640"/>
        <w:spacing w:after="0" w:line="211" w:lineRule="auto"/>
        <w:rPr>
          <w:sz w:val="20"/>
          <w:szCs w:val="20"/>
          <w:color w:val="auto"/>
        </w:rPr>
      </w:pPr>
      <w:r>
        <w:rPr>
          <w:rFonts w:ascii="Arial" w:cs="Arial" w:eastAsia="Arial" w:hAnsi="Arial"/>
          <w:sz w:val="16"/>
          <w:szCs w:val="16"/>
          <w:color w:val="auto"/>
        </w:rPr>
        <w:t>France</w:t>
      </w:r>
    </w:p>
    <w:p>
      <w:pPr>
        <w:spacing w:after="0" w:line="188" w:lineRule="auto"/>
        <w:tabs>
          <w:tab w:leader="none" w:pos="2620" w:val="left"/>
        </w:tabs>
        <w:rPr>
          <w:sz w:val="20"/>
          <w:szCs w:val="20"/>
          <w:color w:val="auto"/>
        </w:rPr>
      </w:pPr>
      <w:r>
        <w:rPr>
          <w:rFonts w:ascii="Arial" w:cs="Arial" w:eastAsia="Arial" w:hAnsi="Arial"/>
          <w:sz w:val="18"/>
          <w:szCs w:val="18"/>
          <w:color w:val="auto"/>
          <w:vertAlign w:val="subscript"/>
        </w:rPr>
        <w:t>None</w:t>
      </w:r>
      <w:r>
        <w:rPr>
          <w:sz w:val="20"/>
          <w:szCs w:val="20"/>
          <w:color w:val="auto"/>
        </w:rPr>
        <w:tab/>
      </w:r>
      <w:r>
        <w:rPr>
          <w:rFonts w:ascii="Arial" w:cs="Arial" w:eastAsia="Arial" w:hAnsi="Arial"/>
          <w:sz w:val="11"/>
          <w:szCs w:val="11"/>
          <w:color w:val="auto"/>
        </w:rPr>
        <w:t>Germany</w:t>
      </w:r>
    </w:p>
    <w:p>
      <w:pPr>
        <w:ind w:left="2640"/>
        <w:spacing w:after="0" w:line="211" w:lineRule="auto"/>
        <w:rPr>
          <w:sz w:val="20"/>
          <w:szCs w:val="20"/>
          <w:color w:val="auto"/>
        </w:rPr>
      </w:pPr>
      <w:r>
        <w:rPr>
          <w:rFonts w:ascii="Arial" w:cs="Arial" w:eastAsia="Arial" w:hAnsi="Arial"/>
          <w:sz w:val="16"/>
          <w:szCs w:val="16"/>
          <w:color w:val="auto"/>
        </w:rPr>
        <w:t>Spain</w:t>
      </w:r>
    </w:p>
    <w:p>
      <w:pPr>
        <w:ind w:left="2640"/>
        <w:spacing w:after="0" w:line="211" w:lineRule="auto"/>
        <w:rPr>
          <w:sz w:val="20"/>
          <w:szCs w:val="20"/>
          <w:color w:val="auto"/>
        </w:rPr>
      </w:pPr>
      <w:r>
        <w:rPr>
          <w:rFonts w:ascii="Arial" w:cs="Arial" w:eastAsia="Arial" w:hAnsi="Arial"/>
          <w:sz w:val="16"/>
          <w:szCs w:val="16"/>
          <w:color w:val="auto"/>
        </w:rPr>
        <w:t>Switzerland</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28117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44"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U.S.</w:t>
      </w:r>
    </w:p>
    <w:p>
      <w:pPr>
        <w:ind w:left="2640"/>
        <w:spacing w:after="0" w:line="211" w:lineRule="auto"/>
        <w:rPr>
          <w:sz w:val="20"/>
          <w:szCs w:val="20"/>
          <w:color w:val="auto"/>
        </w:rPr>
      </w:pPr>
      <w:r>
        <w:rPr>
          <w:rFonts w:ascii="Arial" w:cs="Arial" w:eastAsia="Arial" w:hAnsi="Arial"/>
          <w:sz w:val="16"/>
          <w:szCs w:val="16"/>
          <w:color w:val="auto"/>
        </w:rPr>
        <w:t>France</w:t>
      </w:r>
    </w:p>
    <w:p>
      <w:pPr>
        <w:spacing w:after="0" w:line="188" w:lineRule="auto"/>
        <w:tabs>
          <w:tab w:leader="none" w:pos="2620" w:val="left"/>
        </w:tabs>
        <w:rPr>
          <w:sz w:val="20"/>
          <w:szCs w:val="20"/>
          <w:color w:val="auto"/>
        </w:rPr>
      </w:pPr>
      <w:r>
        <w:rPr>
          <w:rFonts w:ascii="Arial" w:cs="Arial" w:eastAsia="Arial" w:hAnsi="Arial"/>
          <w:sz w:val="18"/>
          <w:szCs w:val="18"/>
          <w:color w:val="auto"/>
          <w:vertAlign w:val="subscript"/>
        </w:rPr>
        <w:t>None</w:t>
      </w:r>
      <w:r>
        <w:rPr>
          <w:sz w:val="20"/>
          <w:szCs w:val="20"/>
          <w:color w:val="auto"/>
        </w:rPr>
        <w:tab/>
      </w:r>
      <w:r>
        <w:rPr>
          <w:rFonts w:ascii="Arial" w:cs="Arial" w:eastAsia="Arial" w:hAnsi="Arial"/>
          <w:sz w:val="11"/>
          <w:szCs w:val="11"/>
          <w:color w:val="auto"/>
        </w:rPr>
        <w:t>Germany</w:t>
      </w:r>
    </w:p>
    <w:p>
      <w:pPr>
        <w:ind w:left="2640"/>
        <w:spacing w:after="0" w:line="211" w:lineRule="auto"/>
        <w:rPr>
          <w:sz w:val="20"/>
          <w:szCs w:val="20"/>
          <w:color w:val="auto"/>
        </w:rPr>
      </w:pPr>
      <w:r>
        <w:rPr>
          <w:rFonts w:ascii="Arial" w:cs="Arial" w:eastAsia="Arial" w:hAnsi="Arial"/>
          <w:sz w:val="16"/>
          <w:szCs w:val="16"/>
          <w:color w:val="auto"/>
        </w:rPr>
        <w:t>Italy</w:t>
      </w:r>
    </w:p>
    <w:p>
      <w:pPr>
        <w:ind w:left="2640"/>
        <w:spacing w:after="0" w:line="211" w:lineRule="auto"/>
        <w:rPr>
          <w:sz w:val="20"/>
          <w:szCs w:val="20"/>
          <w:color w:val="auto"/>
        </w:rPr>
      </w:pPr>
      <w:r>
        <w:rPr>
          <w:rFonts w:ascii="Arial" w:cs="Arial" w:eastAsia="Arial" w:hAnsi="Arial"/>
          <w:sz w:val="16"/>
          <w:szCs w:val="16"/>
          <w:color w:val="auto"/>
        </w:rPr>
        <w:t>Japan</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28117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44"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U.S.</w:t>
      </w:r>
    </w:p>
    <w:p>
      <w:pPr>
        <w:ind w:left="2640"/>
        <w:spacing w:after="0" w:line="211" w:lineRule="auto"/>
        <w:rPr>
          <w:sz w:val="20"/>
          <w:szCs w:val="20"/>
          <w:color w:val="auto"/>
        </w:rPr>
      </w:pPr>
      <w:r>
        <w:rPr>
          <w:rFonts w:ascii="Arial" w:cs="Arial" w:eastAsia="Arial" w:hAnsi="Arial"/>
          <w:sz w:val="16"/>
          <w:szCs w:val="16"/>
          <w:color w:val="auto"/>
        </w:rPr>
        <w:t>Canada</w:t>
      </w:r>
    </w:p>
    <w:p>
      <w:pPr>
        <w:spacing w:after="0" w:line="188" w:lineRule="auto"/>
        <w:tabs>
          <w:tab w:leader="none" w:pos="2620" w:val="left"/>
        </w:tabs>
        <w:rPr>
          <w:sz w:val="20"/>
          <w:szCs w:val="20"/>
          <w:color w:val="auto"/>
        </w:rPr>
      </w:pPr>
      <w:r>
        <w:rPr>
          <w:rFonts w:ascii="Arial" w:cs="Arial" w:eastAsia="Arial" w:hAnsi="Arial"/>
          <w:sz w:val="18"/>
          <w:szCs w:val="18"/>
          <w:color w:val="auto"/>
          <w:vertAlign w:val="subscript"/>
        </w:rPr>
        <w:t>None</w:t>
      </w:r>
      <w:r>
        <w:rPr>
          <w:sz w:val="20"/>
          <w:szCs w:val="20"/>
          <w:color w:val="auto"/>
        </w:rPr>
        <w:tab/>
      </w:r>
      <w:r>
        <w:rPr>
          <w:rFonts w:ascii="Arial" w:cs="Arial" w:eastAsia="Arial" w:hAnsi="Arial"/>
          <w:sz w:val="11"/>
          <w:szCs w:val="11"/>
          <w:color w:val="auto"/>
        </w:rPr>
        <w:t>France</w:t>
      </w:r>
    </w:p>
    <w:p>
      <w:pPr>
        <w:ind w:left="2640"/>
        <w:spacing w:after="0" w:line="211" w:lineRule="auto"/>
        <w:rPr>
          <w:sz w:val="20"/>
          <w:szCs w:val="20"/>
          <w:color w:val="auto"/>
        </w:rPr>
      </w:pPr>
      <w:r>
        <w:rPr>
          <w:rFonts w:ascii="Arial" w:cs="Arial" w:eastAsia="Arial" w:hAnsi="Arial"/>
          <w:sz w:val="16"/>
          <w:szCs w:val="16"/>
          <w:color w:val="auto"/>
        </w:rPr>
        <w:t>Germany</w:t>
      </w:r>
    </w:p>
    <w:p>
      <w:pPr>
        <w:ind w:left="2640"/>
        <w:spacing w:after="0" w:line="211" w:lineRule="auto"/>
        <w:rPr>
          <w:sz w:val="20"/>
          <w:szCs w:val="20"/>
          <w:color w:val="auto"/>
        </w:rPr>
      </w:pPr>
      <w:r>
        <w:rPr>
          <w:rFonts w:ascii="Arial" w:cs="Arial" w:eastAsia="Arial" w:hAnsi="Arial"/>
          <w:sz w:val="16"/>
          <w:szCs w:val="16"/>
          <w:color w:val="auto"/>
        </w:rPr>
        <w:t>Italy</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28117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44"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U.S.</w:t>
      </w:r>
    </w:p>
    <w:p>
      <w:pPr>
        <w:ind w:left="2640"/>
        <w:spacing w:after="0" w:line="211" w:lineRule="auto"/>
        <w:rPr>
          <w:sz w:val="20"/>
          <w:szCs w:val="20"/>
          <w:color w:val="auto"/>
        </w:rPr>
      </w:pPr>
      <w:r>
        <w:rPr>
          <w:rFonts w:ascii="Arial" w:cs="Arial" w:eastAsia="Arial" w:hAnsi="Arial"/>
          <w:sz w:val="16"/>
          <w:szCs w:val="16"/>
          <w:color w:val="auto"/>
        </w:rPr>
        <w:t>France</w:t>
      </w:r>
    </w:p>
    <w:p>
      <w:pPr>
        <w:ind w:left="2640"/>
        <w:spacing w:after="0" w:line="211" w:lineRule="auto"/>
        <w:rPr>
          <w:sz w:val="20"/>
          <w:szCs w:val="20"/>
          <w:color w:val="auto"/>
        </w:rPr>
      </w:pPr>
      <w:r>
        <w:rPr>
          <w:rFonts w:ascii="Arial" w:cs="Arial" w:eastAsia="Arial" w:hAnsi="Arial"/>
          <w:sz w:val="16"/>
          <w:szCs w:val="16"/>
          <w:color w:val="auto"/>
        </w:rPr>
        <w:t>Germany</w:t>
      </w:r>
    </w:p>
    <w:p>
      <w:pPr>
        <w:spacing w:after="0" w:line="211" w:lineRule="auto"/>
        <w:tabs>
          <w:tab w:leader="none" w:pos="2620" w:val="left"/>
        </w:tabs>
        <w:rPr>
          <w:sz w:val="20"/>
          <w:szCs w:val="20"/>
          <w:color w:val="auto"/>
        </w:rPr>
      </w:pPr>
      <w:r>
        <w:rPr>
          <w:rFonts w:ascii="Arial" w:cs="Arial" w:eastAsia="Arial" w:hAnsi="Arial"/>
          <w:sz w:val="16"/>
          <w:szCs w:val="16"/>
          <w:color w:val="auto"/>
        </w:rPr>
        <w:t>None</w:t>
      </w:r>
      <w:r>
        <w:rPr>
          <w:sz w:val="20"/>
          <w:szCs w:val="20"/>
          <w:color w:val="auto"/>
        </w:rPr>
        <w:tab/>
      </w:r>
      <w:r>
        <w:rPr>
          <w:rFonts w:ascii="Arial" w:cs="Arial" w:eastAsia="Arial" w:hAnsi="Arial"/>
          <w:sz w:val="16"/>
          <w:szCs w:val="16"/>
          <w:color w:val="auto"/>
        </w:rPr>
        <w:t>Italy</w:t>
      </w:r>
    </w:p>
    <w:p>
      <w:pPr>
        <w:ind w:left="2640"/>
        <w:spacing w:after="0" w:line="212" w:lineRule="auto"/>
        <w:rPr>
          <w:sz w:val="20"/>
          <w:szCs w:val="20"/>
          <w:color w:val="auto"/>
        </w:rPr>
      </w:pPr>
      <w:r>
        <w:rPr>
          <w:rFonts w:ascii="Arial" w:cs="Arial" w:eastAsia="Arial" w:hAnsi="Arial"/>
          <w:sz w:val="16"/>
          <w:szCs w:val="16"/>
          <w:color w:val="auto"/>
        </w:rPr>
        <w:t>Russia</w:t>
      </w:r>
    </w:p>
    <w:p>
      <w:pPr>
        <w:ind w:left="2640"/>
        <w:spacing w:after="0" w:line="211" w:lineRule="auto"/>
        <w:rPr>
          <w:sz w:val="20"/>
          <w:szCs w:val="20"/>
          <w:color w:val="auto"/>
        </w:rPr>
      </w:pPr>
      <w:r>
        <w:rPr>
          <w:rFonts w:ascii="Arial" w:cs="Arial" w:eastAsia="Arial" w:hAnsi="Arial"/>
          <w:sz w:val="16"/>
          <w:szCs w:val="16"/>
          <w:color w:val="auto"/>
        </w:rPr>
        <w:t>Spain</w:t>
      </w:r>
    </w:p>
    <w:p>
      <w:pPr>
        <w:ind w:left="2640"/>
        <w:spacing w:after="0"/>
        <w:rPr>
          <w:sz w:val="20"/>
          <w:szCs w:val="20"/>
          <w:color w:val="auto"/>
        </w:rPr>
      </w:pPr>
      <w:r>
        <w:rPr>
          <w:rFonts w:ascii="Arial" w:cs="Arial" w:eastAsia="Arial" w:hAnsi="Arial"/>
          <w:sz w:val="16"/>
          <w:szCs w:val="16"/>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28117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80" w:space="720"/>
            <w:col w:w="4440"/>
          </w:cols>
          <w:pgMar w:left="320" w:top="238"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0070C0"/>
        </w:rPr>
        <w:t>ALZHEIMER'S DISEASE</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Alzheimer's disease includes LEQEMBI for the treatment of early Alzheimer's disease. Alzheimer's disease, the most common form of dementia, is a progressive neurological illness that causes a gradual decline in cognitive abilities, usually during a span of seven to ten years. Nearly all brain functions, including memory, movement, language, judgement, behavior and abstract thinking, are eventually affected. In the U.S., Alzheimer's disease is the seventh-leading cause of death, accounting for over 120,000 deaths each year.</w:t>
      </w:r>
    </w:p>
    <w:p>
      <w:pPr>
        <w:spacing w:after="0" w:line="68"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Alzheimer's disease is characterized by two abnormalities in the brain: amyloid plaques and neurofibrillary tangles. Amyloid plaques, which are found in the tissue between the nerve cells, are unusual clumps of a protein called beta amyloid along with degenerating bits of neurons and other cells. Neurofibrillary tangles are bundles of twisted filaments found within neurons. These tangles are largely made up of a protein called tau.</w:t>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Our Alzheimer's disease products and major markets are as follows:</w:t>
      </w:r>
    </w:p>
    <w:p>
      <w:pPr>
        <w:spacing w:after="0" w:line="104" w:lineRule="exact"/>
        <w:rPr>
          <w:sz w:val="20"/>
          <w:szCs w:val="20"/>
          <w:color w:val="auto"/>
        </w:rPr>
      </w:pPr>
    </w:p>
    <w:p>
      <w:pPr>
        <w:ind w:left="20"/>
        <w:spacing w:after="0"/>
        <w:tabs>
          <w:tab w:leader="none" w:pos="3200" w:val="left"/>
          <w:tab w:leader="none" w:pos="6760" w:val="left"/>
          <w:tab w:leader="none" w:pos="9020" w:val="left"/>
        </w:tabs>
        <w:rPr>
          <w:sz w:val="20"/>
          <w:szCs w:val="20"/>
          <w:color w:val="auto"/>
        </w:rPr>
      </w:pPr>
      <w:r>
        <w:rPr>
          <w:rFonts w:ascii="Arial" w:cs="Arial" w:eastAsia="Arial" w:hAnsi="Arial"/>
          <w:sz w:val="18"/>
          <w:szCs w:val="18"/>
          <w:b w:val="1"/>
          <w:bCs w:val="1"/>
          <w:color w:val="0070C0"/>
        </w:rPr>
        <w:t>Product</w:t>
      </w:r>
      <w:r>
        <w:rPr>
          <w:sz w:val="20"/>
          <w:szCs w:val="20"/>
          <w:color w:val="auto"/>
        </w:rPr>
        <w:tab/>
      </w:r>
      <w:r>
        <w:rPr>
          <w:rFonts w:ascii="Arial" w:cs="Arial" w:eastAsia="Arial" w:hAnsi="Arial"/>
          <w:sz w:val="18"/>
          <w:szCs w:val="18"/>
          <w:b w:val="1"/>
          <w:bCs w:val="1"/>
          <w:color w:val="0070C0"/>
        </w:rPr>
        <w:t>Indication</w:t>
      </w:r>
      <w:r>
        <w:rPr>
          <w:sz w:val="20"/>
          <w:szCs w:val="20"/>
          <w:color w:val="auto"/>
        </w:rPr>
        <w:tab/>
      </w:r>
      <w:r>
        <w:rPr>
          <w:rFonts w:ascii="Arial" w:cs="Arial" w:eastAsia="Arial" w:hAnsi="Arial"/>
          <w:sz w:val="18"/>
          <w:szCs w:val="18"/>
          <w:b w:val="1"/>
          <w:bCs w:val="1"/>
          <w:color w:val="0070C0"/>
        </w:rPr>
        <w:t>Collaborator</w:t>
      </w:r>
      <w:r>
        <w:rPr>
          <w:sz w:val="20"/>
          <w:szCs w:val="20"/>
          <w:color w:val="auto"/>
        </w:rPr>
        <w:tab/>
      </w:r>
      <w:r>
        <w:rPr>
          <w:rFonts w:ascii="Arial" w:cs="Arial" w:eastAsia="Arial" w:hAnsi="Arial"/>
          <w:sz w:val="18"/>
          <w:szCs w:val="18"/>
          <w:b w:val="1"/>
          <w:bCs w:val="1"/>
          <w:color w:val="0070C0"/>
        </w:rPr>
        <w:t>Major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ind w:left="9040"/>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-111760</wp:posOffset>
            </wp:positionV>
            <wp:extent cx="1371600" cy="394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0" cy="394335"/>
                    </a:xfrm>
                    <a:prstGeom prst="rect">
                      <a:avLst/>
                    </a:prstGeom>
                    <a:noFill/>
                  </pic:spPr>
                </pic:pic>
              </a:graphicData>
            </a:graphic>
          </wp:anchor>
        </w:drawing>
      </w:r>
    </w:p>
    <w:p>
      <w:pPr>
        <w:ind w:left="3220"/>
        <w:spacing w:after="0" w:line="187" w:lineRule="auto"/>
        <w:tabs>
          <w:tab w:leader="none" w:pos="6760" w:val="left"/>
          <w:tab w:leader="none" w:pos="9020" w:val="left"/>
        </w:tabs>
        <w:rPr>
          <w:sz w:val="20"/>
          <w:szCs w:val="20"/>
          <w:color w:val="auto"/>
        </w:rPr>
      </w:pPr>
      <w:r>
        <w:rPr>
          <w:rFonts w:ascii="Arial" w:cs="Arial" w:eastAsia="Arial" w:hAnsi="Arial"/>
          <w:sz w:val="11"/>
          <w:szCs w:val="11"/>
          <w:color w:val="auto"/>
        </w:rPr>
        <w:t>Alzheimer's disease</w:t>
      </w:r>
      <w:r>
        <w:rPr>
          <w:sz w:val="20"/>
          <w:szCs w:val="20"/>
          <w:color w:val="auto"/>
        </w:rPr>
        <w:tab/>
      </w:r>
      <w:r>
        <w:rPr>
          <w:rFonts w:ascii="Arial" w:cs="Arial" w:eastAsia="Arial" w:hAnsi="Arial"/>
          <w:sz w:val="11"/>
          <w:szCs w:val="11"/>
          <w:color w:val="auto"/>
        </w:rPr>
        <w:t>Eisai</w:t>
      </w:r>
      <w:r>
        <w:rPr>
          <w:sz w:val="20"/>
          <w:szCs w:val="20"/>
          <w:color w:val="auto"/>
        </w:rPr>
        <w:tab/>
      </w:r>
      <w:r>
        <w:rPr>
          <w:rFonts w:ascii="Arial" w:cs="Arial" w:eastAsia="Arial" w:hAnsi="Arial"/>
          <w:sz w:val="18"/>
          <w:szCs w:val="18"/>
          <w:color w:val="auto"/>
          <w:vertAlign w:val="superscript"/>
        </w:rPr>
        <w:t>China</w:t>
      </w:r>
    </w:p>
    <w:p>
      <w:pPr>
        <w:ind w:left="9040"/>
        <w:spacing w:after="0" w:line="212" w:lineRule="auto"/>
        <w:rPr>
          <w:sz w:val="20"/>
          <w:szCs w:val="20"/>
          <w:color w:val="auto"/>
        </w:rPr>
      </w:pPr>
      <w:r>
        <w:rPr>
          <w:rFonts w:ascii="Arial" w:cs="Arial" w:eastAsia="Arial" w:hAnsi="Arial"/>
          <w:sz w:val="16"/>
          <w:szCs w:val="16"/>
          <w:color w:val="auto"/>
        </w:rPr>
        <w:t>Japan</w:t>
      </w:r>
    </w:p>
    <w:p>
      <w:pPr>
        <w:ind w:left="9040"/>
        <w:spacing w:after="0"/>
        <w:rPr>
          <w:sz w:val="20"/>
          <w:szCs w:val="20"/>
          <w:color w:val="auto"/>
        </w:rPr>
      </w:pPr>
      <w:r>
        <w:rPr>
          <w:rFonts w:ascii="Arial" w:cs="Arial" w:eastAsia="Arial" w:hAnsi="Arial"/>
          <w:sz w:val="16"/>
          <w:szCs w:val="16"/>
          <w:color w:val="auto"/>
        </w:rPr>
        <w:t>South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0070C0"/>
        </w:rPr>
        <w:t>NEUROPSYCHIATRY</w:t>
      </w:r>
    </w:p>
    <w:p>
      <w:pPr>
        <w:spacing w:after="0" w:line="106"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Neuropsychiatry includes ZURZUVAE for PPD. PPD symptoms are estimated to affect approximately one in eight women who have given birth in the U.S. According to the Centers for Disease Control and Prevention, mental health conditions are the leading cause of maternal mortality with PPD among the most common complications during and after pregnancy.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Product</w:t>
            </w:r>
          </w:p>
        </w:tc>
        <w:tc>
          <w:tcPr>
            <w:tcW w:w="120" w:type="dxa"/>
            <w:vAlign w:val="bottom"/>
          </w:tcPr>
          <w:p>
            <w:pPr>
              <w:spacing w:after="0"/>
              <w:rPr>
                <w:sz w:val="20"/>
                <w:szCs w:val="20"/>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Indication</w:t>
            </w:r>
          </w:p>
        </w:tc>
        <w:tc>
          <w:tcPr>
            <w:tcW w:w="120" w:type="dxa"/>
            <w:vAlign w:val="bottom"/>
          </w:tcPr>
          <w:p>
            <w:pPr>
              <w:spacing w:after="0"/>
              <w:rPr>
                <w:sz w:val="20"/>
                <w:szCs w:val="20"/>
                <w:color w:val="auto"/>
              </w:rPr>
            </w:pPr>
          </w:p>
        </w:tc>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Collaborator</w:t>
            </w:r>
          </w:p>
        </w:tc>
        <w:tc>
          <w:tcPr>
            <w:tcW w:w="100" w:type="dxa"/>
            <w:vAlign w:val="bottom"/>
          </w:tcPr>
          <w:p>
            <w:pPr>
              <w:spacing w:after="0"/>
              <w:rPr>
                <w:sz w:val="20"/>
                <w:szCs w:val="20"/>
                <w:color w:val="auto"/>
              </w:rPr>
            </w:pPr>
          </w:p>
        </w:tc>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Major Markets</w:t>
            </w:r>
          </w:p>
        </w:tc>
      </w:tr>
      <w:tr>
        <w:trPr>
          <w:trHeight w:val="545"/>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Arial" w:cs="Arial" w:eastAsia="Arial" w:hAnsi="Arial"/>
                <w:sz w:val="16"/>
                <w:szCs w:val="16"/>
                <w:color w:val="auto"/>
              </w:rPr>
              <w:t>PPD in adults</w:t>
            </w:r>
          </w:p>
        </w:tc>
        <w:tc>
          <w:tcPr>
            <w:tcW w:w="2260" w:type="dxa"/>
            <w:vAlign w:val="bottom"/>
            <w:gridSpan w:val="2"/>
          </w:tcPr>
          <w:p>
            <w:pPr>
              <w:ind w:left="20"/>
              <w:spacing w:after="0"/>
              <w:rPr>
                <w:sz w:val="20"/>
                <w:szCs w:val="20"/>
                <w:color w:val="auto"/>
              </w:rPr>
            </w:pPr>
            <w:r>
              <w:rPr>
                <w:rFonts w:ascii="Arial" w:cs="Arial" w:eastAsia="Arial" w:hAnsi="Arial"/>
                <w:sz w:val="16"/>
                <w:szCs w:val="16"/>
                <w:color w:val="auto"/>
              </w:rPr>
              <w:t>Supernus</w:t>
            </w:r>
          </w:p>
        </w:tc>
        <w:tc>
          <w:tcPr>
            <w:tcW w:w="2220" w:type="dxa"/>
            <w:vAlign w:val="bottom"/>
          </w:tcPr>
          <w:p>
            <w:pPr>
              <w:ind w:left="20"/>
              <w:spacing w:after="0"/>
              <w:rPr>
                <w:sz w:val="20"/>
                <w:szCs w:val="20"/>
                <w:color w:val="auto"/>
              </w:rPr>
            </w:pPr>
            <w:r>
              <w:rPr>
                <w:rFonts w:ascii="Arial" w:cs="Arial" w:eastAsia="Arial" w:hAnsi="Arial"/>
                <w:sz w:val="16"/>
                <w:szCs w:val="16"/>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-323850</wp:posOffset>
            </wp:positionV>
            <wp:extent cx="1397000" cy="4540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97000" cy="45402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Supernus,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auto"/>
        </w:rPr>
        <w:t>RARE DISEASE</w:t>
      </w:r>
    </w:p>
    <w:p>
      <w:pPr>
        <w:spacing w:after="0" w:line="13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Rare disease includes SPINRAZA for SMA, QALSODY for ALS, which became commercially available in the E.U. during the second quarter of 2024, and SKYCLARYS for FA, which became commercially available in the E.U. during the first quarter of 2024.</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SMA is characterized by loss of motor neurons in the spinal cord and lower brain stem, resulting in severe and progressive muscular atrophy and weakness. Ultimately, individuals with the most severe type of SMA can become paralyzed and have difficulty performing the basic functions of life, like breathing and swallowing. Due to a deletion or mutations in the SMN1 gene, people with SMA do not produce enough SMN protein, which is critical to the survival of the neurons that control muscles. The severity of SMA correlates with the amount of SMN protein. People with Type 1 SMA, the most severe life-threatening form, produce very little SMN protein and do not achieve the ability to sit without support, and typically do not live beyond two years of age without respiratory support and nutritional interventions. People with Type 2 and Type 3 SMA produce greater amounts of SMN protein and have less severe, but still life-altering, forms of SMA.</w:t>
      </w:r>
    </w:p>
    <w:p>
      <w:pPr>
        <w:spacing w:after="0" w:line="7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FA is an inherited, debilitating and degenerative neuromuscular disorder that is typically diagnosed during adolescence and can ultimately lead to premature death. Patients with FA experience progressive loss of coordination, muscle weakness and fatigue, which commonly progresses to motor incapacitation, wheelchair reliance and eventually death.</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ALS is a rare, progressive and fatal neurodegenerative disease that results in the loss of motor neurons in the brain and the spinal cord that are responsible for controlling voluntary muscle movement. People with ALS experience muscle weakness and atrophy, causing them to lose independence as they steadily lose the ability to move, speak, eat and eventually breathe. Average life expectancy for people with ALS is three to five years from time of symptom onset. Multiple genes have been implicated in ALS. Genetic testing helps determine if a person's ALS is associated with a genetic mutation, even in individuals without a known family history of the disease. SOD1-ALS is a mutation in the SOD1 gene, and this form of ALS is diagnosed in approximately two percent of all ALS cases.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Our Rare disease products and major markets are as follows:</w:t>
      </w:r>
    </w:p>
    <w:p>
      <w:pPr>
        <w:spacing w:after="0" w:line="144" w:lineRule="exact"/>
        <w:rPr>
          <w:sz w:val="20"/>
          <w:szCs w:val="20"/>
          <w:color w:val="auto"/>
        </w:rPr>
      </w:pPr>
    </w:p>
    <w:p>
      <w:pPr>
        <w:ind w:left="60"/>
        <w:spacing w:after="0"/>
        <w:tabs>
          <w:tab w:leader="none" w:pos="3220" w:val="left"/>
        </w:tabs>
        <w:rPr>
          <w:sz w:val="20"/>
          <w:szCs w:val="20"/>
          <w:color w:val="auto"/>
        </w:rPr>
      </w:pPr>
      <w:r>
        <w:rPr>
          <w:rFonts w:ascii="Arial" w:cs="Arial" w:eastAsia="Arial" w:hAnsi="Arial"/>
          <w:sz w:val="18"/>
          <w:szCs w:val="18"/>
          <w:b w:val="1"/>
          <w:bCs w:val="1"/>
          <w:color w:val="0070C0"/>
        </w:rPr>
        <w:t>Product</w:t>
      </w:r>
      <w:r>
        <w:rPr>
          <w:sz w:val="20"/>
          <w:szCs w:val="20"/>
          <w:color w:val="auto"/>
        </w:rPr>
        <w:tab/>
      </w:r>
      <w:r>
        <w:rPr>
          <w:rFonts w:ascii="Arial" w:cs="Arial" w:eastAsia="Arial" w:hAnsi="Arial"/>
          <w:sz w:val="18"/>
          <w:szCs w:val="18"/>
          <w:b w:val="1"/>
          <w:bCs w:val="1"/>
          <w:color w:val="0070C0"/>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4217670" cy="7200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17670" cy="7200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329565</wp:posOffset>
            </wp:positionV>
            <wp:extent cx="4217670" cy="5918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176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40"/>
        <w:spacing w:after="0" w:line="251" w:lineRule="auto"/>
        <w:rPr>
          <w:sz w:val="20"/>
          <w:szCs w:val="20"/>
          <w:color w:val="auto"/>
        </w:rPr>
      </w:pPr>
      <w:r>
        <w:rPr>
          <w:rFonts w:ascii="Arial" w:cs="Arial" w:eastAsia="Arial" w:hAnsi="Arial"/>
          <w:sz w:val="16"/>
          <w:szCs w:val="16"/>
          <w:color w:val="auto"/>
        </w:rPr>
        <w:t>FA in adults and adolescents aged 16 years and 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201930</wp:posOffset>
            </wp:positionV>
            <wp:extent cx="4217670" cy="5829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176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ALS in adults with mutation in SOD1 gene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269240</wp:posOffset>
            </wp:positionV>
            <wp:extent cx="42176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b w:val="1"/>
          <w:bCs w:val="1"/>
          <w:color w:val="0070C0"/>
        </w:rPr>
        <w:t>Collaborator</w:t>
      </w:r>
      <w:r>
        <w:rPr>
          <w:sz w:val="20"/>
          <w:szCs w:val="20"/>
          <w:color w:val="auto"/>
        </w:rPr>
        <w:tab/>
      </w:r>
      <w:r>
        <w:rPr>
          <w:rFonts w:ascii="Arial" w:cs="Arial" w:eastAsia="Arial" w:hAnsi="Arial"/>
          <w:sz w:val="18"/>
          <w:szCs w:val="18"/>
          <w:b w:val="1"/>
          <w:bCs w:val="1"/>
          <w:color w:val="0070C0"/>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17780</wp:posOffset>
            </wp:positionV>
            <wp:extent cx="28117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23"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U.S.</w:t>
      </w:r>
    </w:p>
    <w:p>
      <w:pPr>
        <w:ind w:left="2640"/>
        <w:spacing w:after="0" w:line="211" w:lineRule="auto"/>
        <w:rPr>
          <w:sz w:val="20"/>
          <w:szCs w:val="20"/>
          <w:color w:val="auto"/>
        </w:rPr>
      </w:pPr>
      <w:r>
        <w:rPr>
          <w:rFonts w:ascii="Arial" w:cs="Arial" w:eastAsia="Arial" w:hAnsi="Arial"/>
          <w:sz w:val="16"/>
          <w:szCs w:val="16"/>
          <w:color w:val="auto"/>
        </w:rPr>
        <w:t>Brazil</w:t>
      </w:r>
    </w:p>
    <w:p>
      <w:pPr>
        <w:spacing w:after="0" w:line="188" w:lineRule="auto"/>
        <w:tabs>
          <w:tab w:leader="none" w:pos="2620" w:val="left"/>
        </w:tabs>
        <w:rPr>
          <w:sz w:val="20"/>
          <w:szCs w:val="20"/>
          <w:color w:val="auto"/>
        </w:rPr>
      </w:pPr>
      <w:r>
        <w:rPr>
          <w:rFonts w:ascii="Arial" w:cs="Arial" w:eastAsia="Arial" w:hAnsi="Arial"/>
          <w:sz w:val="18"/>
          <w:szCs w:val="18"/>
          <w:color w:val="auto"/>
          <w:vertAlign w:val="subscript"/>
        </w:rPr>
        <w:t>Ionis</w:t>
      </w:r>
      <w:r>
        <w:rPr>
          <w:sz w:val="20"/>
          <w:szCs w:val="20"/>
          <w:color w:val="auto"/>
        </w:rPr>
        <w:tab/>
      </w:r>
      <w:r>
        <w:rPr>
          <w:rFonts w:ascii="Arial" w:cs="Arial" w:eastAsia="Arial" w:hAnsi="Arial"/>
          <w:sz w:val="11"/>
          <w:szCs w:val="11"/>
          <w:color w:val="auto"/>
        </w:rPr>
        <w:t>France</w:t>
      </w:r>
    </w:p>
    <w:p>
      <w:pPr>
        <w:ind w:left="2640"/>
        <w:spacing w:after="0" w:line="211" w:lineRule="auto"/>
        <w:rPr>
          <w:sz w:val="20"/>
          <w:szCs w:val="20"/>
          <w:color w:val="auto"/>
        </w:rPr>
      </w:pPr>
      <w:r>
        <w:rPr>
          <w:rFonts w:ascii="Arial" w:cs="Arial" w:eastAsia="Arial" w:hAnsi="Arial"/>
          <w:sz w:val="16"/>
          <w:szCs w:val="16"/>
          <w:color w:val="auto"/>
        </w:rPr>
        <w:t>Germany</w:t>
      </w:r>
    </w:p>
    <w:p>
      <w:pPr>
        <w:ind w:left="2640"/>
        <w:spacing w:after="0" w:line="211" w:lineRule="auto"/>
        <w:rPr>
          <w:sz w:val="20"/>
          <w:szCs w:val="20"/>
          <w:color w:val="auto"/>
        </w:rPr>
      </w:pPr>
      <w:r>
        <w:rPr>
          <w:rFonts w:ascii="Arial" w:cs="Arial" w:eastAsia="Arial" w:hAnsi="Arial"/>
          <w:sz w:val="16"/>
          <w:szCs w:val="16"/>
          <w:color w:val="auto"/>
        </w:rPr>
        <w:t>Italy</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62230</wp:posOffset>
            </wp:positionV>
            <wp:extent cx="28117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85"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U.S.</w:t>
      </w:r>
    </w:p>
    <w:p>
      <w:pPr>
        <w:ind w:left="2640"/>
        <w:spacing w:after="0" w:line="211" w:lineRule="auto"/>
        <w:rPr>
          <w:sz w:val="20"/>
          <w:szCs w:val="20"/>
          <w:color w:val="auto"/>
        </w:rPr>
      </w:pPr>
      <w:r>
        <w:rPr>
          <w:rFonts w:ascii="Arial" w:cs="Arial" w:eastAsia="Arial" w:hAnsi="Arial"/>
          <w:sz w:val="16"/>
          <w:szCs w:val="16"/>
          <w:color w:val="auto"/>
        </w:rPr>
        <w:t>France</w:t>
      </w:r>
    </w:p>
    <w:p>
      <w:pPr>
        <w:spacing w:after="0" w:line="188" w:lineRule="auto"/>
        <w:tabs>
          <w:tab w:leader="none" w:pos="2620" w:val="left"/>
        </w:tabs>
        <w:rPr>
          <w:sz w:val="20"/>
          <w:szCs w:val="20"/>
          <w:color w:val="auto"/>
        </w:rPr>
      </w:pPr>
      <w:r>
        <w:rPr>
          <w:rFonts w:ascii="Arial" w:cs="Arial" w:eastAsia="Arial" w:hAnsi="Arial"/>
          <w:sz w:val="18"/>
          <w:szCs w:val="18"/>
          <w:color w:val="auto"/>
          <w:vertAlign w:val="subscript"/>
        </w:rPr>
        <w:t>None</w:t>
      </w:r>
      <w:r>
        <w:rPr>
          <w:sz w:val="20"/>
          <w:szCs w:val="20"/>
          <w:color w:val="auto"/>
        </w:rPr>
        <w:tab/>
      </w:r>
      <w:r>
        <w:rPr>
          <w:rFonts w:ascii="Arial" w:cs="Arial" w:eastAsia="Arial" w:hAnsi="Arial"/>
          <w:sz w:val="11"/>
          <w:szCs w:val="11"/>
          <w:color w:val="auto"/>
        </w:rPr>
        <w:t>Germany</w:t>
      </w:r>
    </w:p>
    <w:p>
      <w:pPr>
        <w:ind w:left="2640"/>
        <w:spacing w:after="0" w:line="211" w:lineRule="auto"/>
        <w:rPr>
          <w:sz w:val="20"/>
          <w:szCs w:val="20"/>
          <w:color w:val="auto"/>
        </w:rPr>
      </w:pPr>
      <w:r>
        <w:rPr>
          <w:rFonts w:ascii="Arial" w:cs="Arial" w:eastAsia="Arial" w:hAnsi="Arial"/>
          <w:sz w:val="16"/>
          <w:szCs w:val="16"/>
          <w:color w:val="auto"/>
        </w:rPr>
        <w:t>Greece</w:t>
      </w:r>
    </w:p>
    <w:p>
      <w:pPr>
        <w:ind w:left="2640"/>
        <w:spacing w:after="0" w:line="211" w:lineRule="auto"/>
        <w:rPr>
          <w:sz w:val="20"/>
          <w:szCs w:val="20"/>
          <w:color w:val="auto"/>
        </w:rPr>
      </w:pPr>
      <w:r>
        <w:rPr>
          <w:rFonts w:ascii="Arial" w:cs="Arial" w:eastAsia="Arial" w:hAnsi="Arial"/>
          <w:sz w:val="16"/>
          <w:szCs w:val="16"/>
          <w:color w:val="auto"/>
        </w:rPr>
        <w:t>Italy</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Turkey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10795</wp:posOffset>
            </wp:positionV>
            <wp:extent cx="28117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7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U.S.</w:t>
      </w:r>
    </w:p>
    <w:p>
      <w:pPr>
        <w:ind w:left="2640"/>
        <w:spacing w:after="0" w:line="211" w:lineRule="auto"/>
        <w:rPr>
          <w:sz w:val="20"/>
          <w:szCs w:val="20"/>
          <w:color w:val="auto"/>
        </w:rPr>
      </w:pPr>
      <w:r>
        <w:rPr>
          <w:rFonts w:ascii="Arial" w:cs="Arial" w:eastAsia="Arial" w:hAnsi="Arial"/>
          <w:sz w:val="16"/>
          <w:szCs w:val="16"/>
          <w:color w:val="auto"/>
        </w:rPr>
        <w:t>China</w:t>
      </w:r>
    </w:p>
    <w:p>
      <w:pPr>
        <w:spacing w:after="0" w:line="211" w:lineRule="auto"/>
        <w:tabs>
          <w:tab w:leader="none" w:pos="2620" w:val="left"/>
        </w:tabs>
        <w:rPr>
          <w:sz w:val="20"/>
          <w:szCs w:val="20"/>
          <w:color w:val="auto"/>
        </w:rPr>
      </w:pPr>
      <w:r>
        <w:rPr>
          <w:rFonts w:ascii="Arial" w:cs="Arial" w:eastAsia="Arial" w:hAnsi="Arial"/>
          <w:sz w:val="16"/>
          <w:szCs w:val="16"/>
          <w:color w:val="auto"/>
        </w:rPr>
        <w:t>Ionis</w:t>
      </w:r>
      <w:r>
        <w:rPr>
          <w:sz w:val="20"/>
          <w:szCs w:val="20"/>
          <w:color w:val="auto"/>
        </w:rPr>
        <w:tab/>
      </w:r>
      <w:r>
        <w:rPr>
          <w:rFonts w:ascii="Arial" w:cs="Arial" w:eastAsia="Arial" w:hAnsi="Arial"/>
          <w:sz w:val="16"/>
          <w:szCs w:val="16"/>
          <w:color w:val="auto"/>
        </w:rPr>
        <w:t>Germany</w:t>
      </w:r>
    </w:p>
    <w:p>
      <w:pPr>
        <w:ind w:left="2640"/>
        <w:spacing w:after="0" w:line="211" w:lineRule="auto"/>
        <w:rPr>
          <w:sz w:val="20"/>
          <w:szCs w:val="20"/>
          <w:color w:val="auto"/>
        </w:rPr>
      </w:pPr>
      <w:r>
        <w:rPr>
          <w:rFonts w:ascii="Arial" w:cs="Arial" w:eastAsia="Arial" w:hAnsi="Arial"/>
          <w:sz w:val="16"/>
          <w:szCs w:val="16"/>
          <w:color w:val="auto"/>
        </w:rPr>
        <w:t>Japan</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28117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420"/>
            <w:col w:w="4440"/>
          </w:cols>
          <w:pgMar w:left="320" w:top="238" w:right="339" w:bottom="1440" w:gutter="0" w:footer="0" w:header="0"/>
        </w:sectPr>
      </w:pP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auto"/>
        </w:rPr>
        <w:t>BIOSIMILARS</w:t>
      </w:r>
    </w:p>
    <w:p>
      <w:pPr>
        <w:spacing w:after="0" w:line="13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Biosimilars are a group of biologic medicines that are highly similar to currently available biologic therapies developed by companies known as "originators". We commercialize a portfolio of biosimilars of advanced biologics including: BENEPALI, an etanercept biosimilar referencing ENBREL; IMRALDI, an adalimumab biosimilar referencing HUMIRA; and FLIXABI, an infliximab biosimilar referencing REMICADE.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Our current biosimilar products and major markets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Product</w:t>
            </w:r>
          </w:p>
        </w:tc>
        <w:tc>
          <w:tcPr>
            <w:tcW w:w="100" w:type="dxa"/>
            <w:vAlign w:val="bottom"/>
          </w:tcPr>
          <w:p>
            <w:pPr>
              <w:spacing w:after="0"/>
              <w:rPr>
                <w:sz w:val="20"/>
                <w:szCs w:val="20"/>
                <w:color w:val="auto"/>
              </w:rPr>
            </w:pP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Indication</w:t>
            </w:r>
          </w:p>
        </w:tc>
        <w:tc>
          <w:tcPr>
            <w:tcW w:w="100" w:type="dxa"/>
            <w:vAlign w:val="bottom"/>
          </w:tcPr>
          <w:p>
            <w:pPr>
              <w:spacing w:after="0"/>
              <w:rPr>
                <w:sz w:val="20"/>
                <w:szCs w:val="20"/>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Collaborator</w:t>
            </w:r>
          </w:p>
        </w:tc>
        <w:tc>
          <w:tcPr>
            <w:tcW w:w="80" w:type="dxa"/>
            <w:vAlign w:val="bottom"/>
          </w:tcPr>
          <w:p>
            <w:pPr>
              <w:spacing w:after="0"/>
              <w:rPr>
                <w:sz w:val="20"/>
                <w:szCs w:val="20"/>
                <w:color w:val="auto"/>
              </w:rPr>
            </w:pP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Major Markets</w:t>
            </w: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Rheumatoid arthritis</w:t>
            </w: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ind w:left="2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Juvenile idiopathic arthritis</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ind w:left="20"/>
              <w:spacing w:after="0" w:line="162" w:lineRule="exact"/>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Psoriatic arthritis</w:t>
            </w:r>
          </w:p>
        </w:tc>
        <w:tc>
          <w:tcPr>
            <w:tcW w:w="1900" w:type="dxa"/>
            <w:vAlign w:val="bottom"/>
            <w:gridSpan w:val="2"/>
            <w:vMerge w:val="restart"/>
          </w:tcPr>
          <w:p>
            <w:pPr>
              <w:ind w:left="20"/>
              <w:spacing w:after="0"/>
              <w:rPr>
                <w:sz w:val="20"/>
                <w:szCs w:val="20"/>
                <w:color w:val="auto"/>
              </w:rPr>
            </w:pPr>
            <w:r>
              <w:rPr>
                <w:rFonts w:ascii="Arial" w:cs="Arial" w:eastAsia="Arial" w:hAnsi="Arial"/>
                <w:sz w:val="16"/>
                <w:szCs w:val="16"/>
                <w:color w:val="auto"/>
              </w:rPr>
              <w:t>Samsung Bioepis</w:t>
            </w:r>
          </w:p>
        </w:tc>
        <w:tc>
          <w:tcPr>
            <w:tcW w:w="1640" w:type="dxa"/>
            <w:vAlign w:val="bottom"/>
          </w:tcPr>
          <w:p>
            <w:pPr>
              <w:ind w:left="20"/>
              <w:spacing w:after="0" w:line="162" w:lineRule="exact"/>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7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Axial spondyloarthritis</w:t>
            </w:r>
          </w:p>
        </w:tc>
        <w:tc>
          <w:tcPr>
            <w:tcW w:w="1900" w:type="dxa"/>
            <w:vAlign w:val="bottom"/>
            <w:gridSpan w:val="2"/>
            <w:vMerge w:val="continue"/>
          </w:tcPr>
          <w:p>
            <w:pPr>
              <w:spacing w:after="0"/>
              <w:rPr>
                <w:sz w:val="11"/>
                <w:szCs w:val="11"/>
                <w:color w:val="auto"/>
              </w:rPr>
            </w:pPr>
          </w:p>
        </w:tc>
        <w:tc>
          <w:tcPr>
            <w:tcW w:w="164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00" w:type="dxa"/>
            <w:vAlign w:val="bottom"/>
            <w:gridSpan w:val="2"/>
            <w:vMerge w:val="continue"/>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Plaque psoriasis</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ind w:left="20"/>
              <w:spacing w:after="0" w:line="162" w:lineRule="exact"/>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5"/>
        </w:trPr>
        <w:tc>
          <w:tcPr>
            <w:tcW w:w="2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Paediatric plaque psoriasis</w:t>
            </w:r>
          </w:p>
        </w:tc>
        <w:tc>
          <w:tcPr>
            <w:tcW w:w="10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U.K.</w:t>
            </w:r>
          </w:p>
        </w:tc>
        <w:tc>
          <w:tcPr>
            <w:tcW w:w="0" w:type="dxa"/>
            <w:vAlign w:val="bottom"/>
          </w:tcPr>
          <w:p>
            <w:pPr>
              <w:spacing w:after="0"/>
              <w:rPr>
                <w:sz w:val="1"/>
                <w:szCs w:val="1"/>
                <w:color w:val="auto"/>
              </w:rPr>
            </w:pPr>
          </w:p>
        </w:tc>
      </w:tr>
      <w:tr>
        <w:trPr>
          <w:trHeight w:val="197"/>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Rheumatoid arthritis</w:t>
            </w: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Juvenile idiopathic arthritis</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Axial spondyloarthritis</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Psoriatic arthritis</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France</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Psoriasis</w:t>
            </w: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00" w:type="dxa"/>
            <w:vAlign w:val="bottom"/>
            <w:gridSpan w:val="2"/>
            <w:vMerge w:val="continue"/>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Paediatric plaque psoriasis</w:t>
            </w: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00" w:type="dxa"/>
            <w:vAlign w:val="bottom"/>
            <w:gridSpan w:val="2"/>
            <w:vMerge w:val="continue"/>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Ireland</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Hidradenitis suppurativa</w:t>
            </w:r>
          </w:p>
        </w:tc>
        <w:tc>
          <w:tcPr>
            <w:tcW w:w="19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Samsung Bioepis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00" w:type="dxa"/>
            <w:vAlign w:val="bottom"/>
            <w:gridSpan w:val="2"/>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64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Adolescent hidradenitis suppurativa</w:t>
            </w: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00" w:type="dxa"/>
            <w:vAlign w:val="bottom"/>
            <w:gridSpan w:val="2"/>
            <w:vMerge w:val="continue"/>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Crohn’s disease</w:t>
            </w: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700" w:type="dxa"/>
            <w:vAlign w:val="bottom"/>
            <w:gridSpan w:val="2"/>
            <w:vMerge w:val="continue"/>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U.K.</w:t>
            </w:r>
          </w:p>
        </w:tc>
        <w:tc>
          <w:tcPr>
            <w:tcW w:w="0" w:type="dxa"/>
            <w:vAlign w:val="bottom"/>
          </w:tcPr>
          <w:p>
            <w:pPr>
              <w:spacing w:after="0"/>
              <w:rPr>
                <w:sz w:val="1"/>
                <w:szCs w:val="1"/>
                <w:color w:val="auto"/>
              </w:rPr>
            </w:pPr>
          </w:p>
        </w:tc>
      </w:tr>
      <w:tr>
        <w:trPr>
          <w:trHeight w:val="134"/>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7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Paediatric Crohn's disease</w:t>
            </w:r>
          </w:p>
        </w:tc>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00" w:type="dxa"/>
            <w:vAlign w:val="bottom"/>
            <w:gridSpan w:val="2"/>
            <w:vMerge w:val="continue"/>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Ulcerative colitis</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Uveitis</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Paediatric Uveitis</w:t>
            </w:r>
          </w:p>
        </w:tc>
        <w:tc>
          <w:tcPr>
            <w:tcW w:w="10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gridSpan w:val="2"/>
          </w:tcPr>
          <w:p>
            <w:pPr>
              <w:ind w:left="20"/>
              <w:spacing w:after="0"/>
              <w:rPr>
                <w:sz w:val="20"/>
                <w:szCs w:val="20"/>
                <w:color w:val="auto"/>
              </w:rPr>
            </w:pPr>
            <w:r>
              <w:rPr>
                <w:rFonts w:ascii="Arial" w:cs="Arial" w:eastAsia="Arial" w:hAnsi="Arial"/>
                <w:sz w:val="16"/>
                <w:szCs w:val="16"/>
                <w:color w:val="auto"/>
              </w:rPr>
              <w:t>Rheumatoid arthritis</w:t>
            </w: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vMerge w:val="restart"/>
          </w:tcPr>
          <w:p>
            <w:pPr>
              <w:ind w:left="2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Crohn’s disease</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Paediatric Crohn’s disease</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ind w:left="20"/>
              <w:spacing w:after="0" w:line="162" w:lineRule="exact"/>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Ulcerative colitis</w:t>
            </w:r>
          </w:p>
        </w:tc>
        <w:tc>
          <w:tcPr>
            <w:tcW w:w="1900" w:type="dxa"/>
            <w:vAlign w:val="bottom"/>
            <w:gridSpan w:val="2"/>
            <w:vMerge w:val="restart"/>
          </w:tcPr>
          <w:p>
            <w:pPr>
              <w:ind w:left="20"/>
              <w:spacing w:after="0"/>
              <w:rPr>
                <w:sz w:val="20"/>
                <w:szCs w:val="20"/>
                <w:color w:val="auto"/>
              </w:rPr>
            </w:pPr>
            <w:r>
              <w:rPr>
                <w:rFonts w:ascii="Arial" w:cs="Arial" w:eastAsia="Arial" w:hAnsi="Arial"/>
                <w:sz w:val="16"/>
                <w:szCs w:val="16"/>
                <w:color w:val="auto"/>
              </w:rPr>
              <w:t>Samsung Bioepis</w:t>
            </w:r>
          </w:p>
        </w:tc>
        <w:tc>
          <w:tcPr>
            <w:tcW w:w="1640" w:type="dxa"/>
            <w:vAlign w:val="bottom"/>
          </w:tcPr>
          <w:p>
            <w:pPr>
              <w:ind w:left="20"/>
              <w:spacing w:after="0" w:line="162" w:lineRule="exact"/>
              <w:rPr>
                <w:sz w:val="20"/>
                <w:szCs w:val="20"/>
                <w:color w:val="auto"/>
              </w:rPr>
            </w:pPr>
            <w:r>
              <w:rPr>
                <w:rFonts w:ascii="Arial" w:cs="Arial" w:eastAsia="Arial" w:hAnsi="Arial"/>
                <w:sz w:val="16"/>
                <w:szCs w:val="16"/>
                <w:color w:val="auto"/>
              </w:rPr>
              <w:t>Italy</w:t>
            </w:r>
          </w:p>
        </w:tc>
        <w:tc>
          <w:tcPr>
            <w:tcW w:w="0" w:type="dxa"/>
            <w:vAlign w:val="bottom"/>
          </w:tcPr>
          <w:p>
            <w:pPr>
              <w:spacing w:after="0"/>
              <w:rPr>
                <w:sz w:val="1"/>
                <w:szCs w:val="1"/>
                <w:color w:val="auto"/>
              </w:rPr>
            </w:pPr>
          </w:p>
        </w:tc>
      </w:tr>
      <w:tr>
        <w:trPr>
          <w:trHeight w:val="133"/>
        </w:trPr>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700" w:type="dxa"/>
            <w:vAlign w:val="bottom"/>
            <w:gridSpan w:val="2"/>
            <w:vMerge w:val="restart"/>
          </w:tcPr>
          <w:p>
            <w:pPr>
              <w:ind w:left="20"/>
              <w:spacing w:after="0" w:line="162" w:lineRule="exact"/>
              <w:rPr>
                <w:sz w:val="20"/>
                <w:szCs w:val="20"/>
                <w:color w:val="auto"/>
              </w:rPr>
            </w:pPr>
            <w:r>
              <w:rPr>
                <w:rFonts w:ascii="Arial" w:cs="Arial" w:eastAsia="Arial" w:hAnsi="Arial"/>
                <w:sz w:val="16"/>
                <w:szCs w:val="16"/>
                <w:color w:val="auto"/>
              </w:rPr>
              <w:t>Paediatric ulcerative colitis</w:t>
            </w:r>
          </w:p>
        </w:tc>
        <w:tc>
          <w:tcPr>
            <w:tcW w:w="1900" w:type="dxa"/>
            <w:vAlign w:val="bottom"/>
            <w:gridSpan w:val="2"/>
            <w:vMerge w:val="continue"/>
          </w:tcPr>
          <w:p>
            <w:pPr>
              <w:spacing w:after="0"/>
              <w:rPr>
                <w:sz w:val="11"/>
                <w:szCs w:val="11"/>
                <w:color w:val="auto"/>
              </w:rPr>
            </w:pPr>
          </w:p>
        </w:tc>
        <w:tc>
          <w:tcPr>
            <w:tcW w:w="1640" w:type="dxa"/>
            <w:vAlign w:val="bottom"/>
            <w:vMerge w:val="restart"/>
          </w:tcPr>
          <w:p>
            <w:pPr>
              <w:ind w:left="20"/>
              <w:spacing w:after="0" w:line="162" w:lineRule="exact"/>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00" w:type="dxa"/>
            <w:vAlign w:val="bottom"/>
            <w:gridSpan w:val="2"/>
            <w:vMerge w:val="continue"/>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Ankylosing spondylitis</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ind w:left="20"/>
              <w:spacing w:after="0" w:line="162" w:lineRule="exact"/>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Psoriatic arthritis</w:t>
            </w: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ind w:left="20"/>
              <w:spacing w:after="0" w:line="162" w:lineRule="exact"/>
              <w:rPr>
                <w:sz w:val="20"/>
                <w:szCs w:val="20"/>
                <w:color w:val="auto"/>
              </w:rPr>
            </w:pPr>
            <w:r>
              <w:rPr>
                <w:rFonts w:ascii="Arial" w:cs="Arial" w:eastAsia="Arial" w:hAnsi="Arial"/>
                <w:sz w:val="16"/>
                <w:szCs w:val="16"/>
                <w:color w:val="auto"/>
              </w:rPr>
              <w:t>U.K.</w:t>
            </w:r>
          </w:p>
        </w:tc>
        <w:tc>
          <w:tcPr>
            <w:tcW w:w="0" w:type="dxa"/>
            <w:vAlign w:val="bottom"/>
          </w:tcPr>
          <w:p>
            <w:pPr>
              <w:spacing w:after="0"/>
              <w:rPr>
                <w:sz w:val="1"/>
                <w:szCs w:val="1"/>
                <w:color w:val="auto"/>
              </w:rPr>
            </w:pPr>
          </w:p>
        </w:tc>
      </w:tr>
      <w:tr>
        <w:trPr>
          <w:trHeight w:val="215"/>
        </w:trPr>
        <w:tc>
          <w:tcPr>
            <w:tcW w:w="2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Psoriasis</w:t>
            </w:r>
          </w:p>
        </w:tc>
        <w:tc>
          <w:tcPr>
            <w:tcW w:w="10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-2956560</wp:posOffset>
            </wp:positionV>
            <wp:extent cx="1371600" cy="5918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0" cy="59182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-1953895</wp:posOffset>
            </wp:positionV>
            <wp:extent cx="1285875" cy="668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5875" cy="6686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-805180</wp:posOffset>
            </wp:positionV>
            <wp:extent cx="1285875" cy="677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5875" cy="677545"/>
                    </a:xfrm>
                    <a:prstGeom prst="rect">
                      <a:avLst/>
                    </a:prstGeom>
                    <a:noFill/>
                  </pic:spPr>
                </pic:pic>
              </a:graphicData>
            </a:graphic>
          </wp:anchor>
        </w:drawing>
      </w:r>
    </w:p>
    <w:p>
      <w:pPr>
        <w:spacing w:after="0" w:line="137"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auto"/>
        </w:rPr>
        <w:t>GENENTECH RELATIONSHIPS</w:t>
      </w:r>
    </w:p>
    <w:p>
      <w:pPr>
        <w:spacing w:after="0" w:line="12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have agreements with Genentech that entitle us to certain business and financial rights with respect to RITUXAN, RITUXAN HYCELA, GAZYVA, OCREVUS, LUNSUMIO and COLUMVI, as well as the option to add other potential anti-CD20 therapies.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Our current anti-CD20 therapeutic programs and major markets are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070C0"/>
              </w:rPr>
              <w:t>Product</w:t>
            </w:r>
          </w:p>
        </w:tc>
        <w:tc>
          <w:tcPr>
            <w:tcW w:w="100" w:type="dxa"/>
            <w:vAlign w:val="bottom"/>
          </w:tcPr>
          <w:p>
            <w:pPr>
              <w:spacing w:after="0"/>
              <w:rPr>
                <w:sz w:val="20"/>
                <w:szCs w:val="20"/>
                <w:color w:val="auto"/>
              </w:rPr>
            </w:pPr>
          </w:p>
        </w:tc>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Indication</w:t>
            </w:r>
          </w:p>
        </w:tc>
        <w:tc>
          <w:tcPr>
            <w:tcW w:w="1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070C0"/>
              </w:rPr>
              <w:t>Major Markets</w:t>
            </w: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gridSpan w:val="2"/>
          </w:tcPr>
          <w:p>
            <w:pPr>
              <w:ind w:left="20"/>
              <w:spacing w:after="0"/>
              <w:rPr>
                <w:sz w:val="20"/>
                <w:szCs w:val="20"/>
                <w:color w:val="auto"/>
              </w:rPr>
            </w:pPr>
            <w:r>
              <w:rPr>
                <w:rFonts w:ascii="Arial" w:cs="Arial" w:eastAsia="Arial" w:hAnsi="Arial"/>
                <w:sz w:val="16"/>
                <w:szCs w:val="16"/>
                <w:color w:val="auto"/>
              </w:rPr>
              <w:t>Non-Hodgkin's lymphoma</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CLL</w:t>
            </w:r>
          </w:p>
        </w:tc>
        <w:tc>
          <w:tcPr>
            <w:tcW w:w="1780" w:type="dxa"/>
            <w:vAlign w:val="bottom"/>
            <w:vMerge w:val="restart"/>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Rheumatoid arthritis</w:t>
            </w: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6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Two forms of ANCA-associated vasculitis</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Pemphigus vulgaris</w:t>
            </w:r>
          </w:p>
        </w:tc>
        <w:tc>
          <w:tcPr>
            <w:tcW w:w="12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Arial" w:cs="Arial" w:eastAsia="Arial" w:hAnsi="Arial"/>
                <w:sz w:val="16"/>
                <w:szCs w:val="16"/>
                <w:color w:val="auto"/>
              </w:rPr>
              <w:t>Non-Hodgkin's lymphoma</w:t>
            </w:r>
          </w:p>
        </w:tc>
        <w:tc>
          <w:tcPr>
            <w:tcW w:w="1780" w:type="dxa"/>
            <w:vAlign w:val="bottom"/>
            <w:vMerge w:val="restart"/>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6"/>
                <w:szCs w:val="16"/>
                <w:color w:val="auto"/>
              </w:rPr>
              <w:t>CLL</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160" w:type="dxa"/>
            <w:vAlign w:val="bottom"/>
            <w:gridSpan w:val="2"/>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gridSpan w:val="2"/>
          </w:tcPr>
          <w:p>
            <w:pPr>
              <w:ind w:left="20"/>
              <w:spacing w:after="0"/>
              <w:rPr>
                <w:sz w:val="20"/>
                <w:szCs w:val="20"/>
                <w:color w:val="auto"/>
              </w:rPr>
            </w:pPr>
            <w:r>
              <w:rPr>
                <w:rFonts w:ascii="Arial" w:cs="Arial" w:eastAsia="Arial" w:hAnsi="Arial"/>
                <w:sz w:val="16"/>
                <w:szCs w:val="16"/>
                <w:color w:val="auto"/>
              </w:rPr>
              <w:t>In combination with chlorambucil for previously untreated CLL</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60" w:type="dxa"/>
            <w:vAlign w:val="bottom"/>
            <w:gridSpan w:val="2"/>
          </w:tcPr>
          <w:p>
            <w:pPr>
              <w:ind w:left="20"/>
              <w:spacing w:after="0"/>
              <w:rPr>
                <w:sz w:val="20"/>
                <w:szCs w:val="20"/>
                <w:color w:val="auto"/>
              </w:rPr>
            </w:pPr>
            <w:r>
              <w:rPr>
                <w:rFonts w:ascii="Arial" w:cs="Arial" w:eastAsia="Arial" w:hAnsi="Arial"/>
                <w:sz w:val="16"/>
                <w:szCs w:val="16"/>
                <w:color w:val="auto"/>
              </w:rPr>
              <w:t>follicular lymphoma</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160" w:type="dxa"/>
            <w:vAlign w:val="bottom"/>
            <w:gridSpan w:val="2"/>
          </w:tcPr>
          <w:p>
            <w:pPr>
              <w:ind w:left="20"/>
              <w:spacing w:after="0"/>
              <w:rPr>
                <w:sz w:val="20"/>
                <w:szCs w:val="20"/>
                <w:color w:val="auto"/>
              </w:rPr>
            </w:pPr>
            <w:r>
              <w:rPr>
                <w:rFonts w:ascii="Arial" w:cs="Arial" w:eastAsia="Arial" w:hAnsi="Arial"/>
                <w:sz w:val="16"/>
                <w:szCs w:val="16"/>
                <w:color w:val="auto"/>
              </w:rPr>
              <w:t>In combination with chemotherapy followed by GAZYVA alone for previously</w:t>
            </w:r>
          </w:p>
        </w:tc>
        <w:tc>
          <w:tcPr>
            <w:tcW w:w="1780" w:type="dxa"/>
            <w:vAlign w:val="bottom"/>
            <w:vMerge w:val="restart"/>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6"/>
                <w:szCs w:val="16"/>
                <w:color w:val="auto"/>
              </w:rPr>
              <w:t>untreated follicular lymphoma</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160" w:type="dxa"/>
            <w:vAlign w:val="bottom"/>
            <w:gridSpan w:val="2"/>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160" w:type="dxa"/>
            <w:vAlign w:val="bottom"/>
            <w:gridSpan w:val="2"/>
          </w:tcPr>
          <w:p>
            <w:pPr>
              <w:ind w:left="20"/>
              <w:spacing w:after="0"/>
              <w:rPr>
                <w:sz w:val="20"/>
                <w:szCs w:val="20"/>
                <w:color w:val="auto"/>
              </w:rPr>
            </w:pPr>
            <w:r>
              <w:rPr>
                <w:rFonts w:ascii="Arial" w:cs="Arial" w:eastAsia="Arial" w:hAnsi="Arial"/>
                <w:sz w:val="16"/>
                <w:szCs w:val="16"/>
                <w:color w:val="auto"/>
              </w:rPr>
              <w:t>For the treatment of adult patients with active lupus nephritis who are receiving</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standard therapy</w:t>
            </w:r>
          </w:p>
        </w:tc>
        <w:tc>
          <w:tcPr>
            <w:tcW w:w="12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60" w:type="dxa"/>
            <w:vAlign w:val="bottom"/>
            <w:gridSpan w:val="2"/>
          </w:tcPr>
          <w:p>
            <w:pPr>
              <w:ind w:left="20"/>
              <w:spacing w:after="0"/>
              <w:rPr>
                <w:sz w:val="20"/>
                <w:szCs w:val="20"/>
                <w:color w:val="auto"/>
              </w:rPr>
            </w:pPr>
            <w:r>
              <w:rPr>
                <w:rFonts w:ascii="Arial" w:cs="Arial" w:eastAsia="Arial" w:hAnsi="Arial"/>
                <w:sz w:val="16"/>
                <w:szCs w:val="16"/>
                <w:color w:val="auto"/>
              </w:rPr>
              <w:t>RMS</w:t>
            </w:r>
          </w:p>
        </w:tc>
        <w:tc>
          <w:tcPr>
            <w:tcW w:w="1780" w:type="dxa"/>
            <w:vAlign w:val="bottom"/>
            <w:vMerge w:val="restart"/>
          </w:tcPr>
          <w:p>
            <w:pPr>
              <w:spacing w:after="0"/>
              <w:rPr>
                <w:sz w:val="20"/>
                <w:szCs w:val="20"/>
                <w:color w:val="auto"/>
              </w:rPr>
            </w:pPr>
            <w:r>
              <w:rPr>
                <w:rFonts w:ascii="Arial" w:cs="Arial" w:eastAsia="Arial" w:hAnsi="Arial"/>
                <w:sz w:val="16"/>
                <w:szCs w:val="16"/>
                <w:color w:val="auto"/>
              </w:rPr>
              <w:t>U.S.</w:t>
            </w: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160" w:type="dxa"/>
            <w:vAlign w:val="bottom"/>
            <w:gridSpan w:val="2"/>
            <w:vMerge w:val="restart"/>
          </w:tcPr>
          <w:p>
            <w:pPr>
              <w:ind w:left="20"/>
              <w:spacing w:after="0"/>
              <w:rPr>
                <w:sz w:val="20"/>
                <w:szCs w:val="20"/>
                <w:color w:val="auto"/>
              </w:rPr>
            </w:pPr>
            <w:r>
              <w:rPr>
                <w:rFonts w:ascii="Arial" w:cs="Arial" w:eastAsia="Arial" w:hAnsi="Arial"/>
                <w:sz w:val="16"/>
                <w:szCs w:val="16"/>
                <w:color w:val="auto"/>
              </w:rPr>
              <w:t>PPMS</w:t>
            </w: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3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160" w:type="dxa"/>
            <w:vAlign w:val="bottom"/>
            <w:gridSpan w:val="2"/>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-2425700</wp:posOffset>
            </wp:positionV>
            <wp:extent cx="1097280" cy="403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97280" cy="40322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-1885315</wp:posOffset>
            </wp:positionV>
            <wp:extent cx="1414145" cy="11315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14145" cy="113157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-488315</wp:posOffset>
            </wp:positionV>
            <wp:extent cx="1457325" cy="12261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57325" cy="122618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300"/>
        <w:spacing w:after="0"/>
        <w:tabs>
          <w:tab w:leader="none" w:pos="9420" w:val="left"/>
        </w:tabs>
        <w:rPr>
          <w:sz w:val="20"/>
          <w:szCs w:val="20"/>
          <w:color w:val="auto"/>
        </w:rPr>
      </w:pPr>
      <w:r>
        <w:rPr>
          <w:rFonts w:ascii="Arial" w:cs="Arial" w:eastAsia="Arial" w:hAnsi="Arial"/>
          <w:sz w:val="16"/>
          <w:szCs w:val="16"/>
          <w:color w:val="auto"/>
        </w:rPr>
        <w:t>Relapsed or refractory follicular lymphoma</w:t>
      </w:r>
      <w:r>
        <w:rPr>
          <w:sz w:val="20"/>
          <w:szCs w:val="20"/>
          <w:color w:val="auto"/>
        </w:rPr>
        <w:tab/>
      </w: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337820</wp:posOffset>
            </wp:positionV>
            <wp:extent cx="7106285" cy="608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300" w:type="dxa"/>
        <w:tblCellMar>
          <w:top w:w="0" w:type="dxa"/>
          <w:left w:w="0" w:type="dxa"/>
          <w:bottom w:w="0" w:type="dxa"/>
          <w:right w:w="0" w:type="dxa"/>
        </w:tblCellMar>
      </w:tblPr>
      <w:tr>
        <w:trPr>
          <w:trHeight w:val="184"/>
        </w:trPr>
        <w:tc>
          <w:tcPr>
            <w:tcW w:w="5060" w:type="dxa"/>
            <w:vAlign w:val="bottom"/>
          </w:tcPr>
          <w:p>
            <w:pPr>
              <w:spacing w:after="0"/>
              <w:rPr>
                <w:sz w:val="20"/>
                <w:szCs w:val="20"/>
                <w:color w:val="auto"/>
              </w:rPr>
            </w:pPr>
            <w:r>
              <w:rPr>
                <w:rFonts w:ascii="Arial" w:cs="Arial" w:eastAsia="Arial" w:hAnsi="Arial"/>
                <w:sz w:val="16"/>
                <w:szCs w:val="16"/>
                <w:color w:val="auto"/>
              </w:rPr>
              <w:t>Relapsed or refractory diffuse large B-cell lymphoma</w:t>
            </w:r>
          </w:p>
        </w:tc>
        <w:tc>
          <w:tcPr>
            <w:tcW w:w="1400" w:type="dxa"/>
            <w:vAlign w:val="bottom"/>
            <w:vMerge w:val="restart"/>
          </w:tcPr>
          <w:p>
            <w:pPr>
              <w:ind w:left="1080"/>
              <w:spacing w:after="0"/>
              <w:rPr>
                <w:sz w:val="20"/>
                <w:szCs w:val="20"/>
                <w:color w:val="auto"/>
              </w:rPr>
            </w:pPr>
            <w:r>
              <w:rPr>
                <w:rFonts w:ascii="Arial" w:cs="Arial" w:eastAsia="Arial" w:hAnsi="Arial"/>
                <w:sz w:val="16"/>
                <w:szCs w:val="16"/>
                <w:color w:val="auto"/>
                <w:w w:val="96"/>
              </w:rPr>
              <w:t>U.S.</w:t>
            </w:r>
          </w:p>
        </w:tc>
        <w:tc>
          <w:tcPr>
            <w:tcW w:w="0" w:type="dxa"/>
            <w:vAlign w:val="bottom"/>
          </w:tcPr>
          <w:p>
            <w:pPr>
              <w:spacing w:after="0"/>
              <w:rPr>
                <w:sz w:val="1"/>
                <w:szCs w:val="1"/>
                <w:color w:val="auto"/>
              </w:rPr>
            </w:pPr>
          </w:p>
        </w:tc>
      </w:tr>
      <w:tr>
        <w:trPr>
          <w:trHeight w:val="133"/>
        </w:trPr>
        <w:tc>
          <w:tcPr>
            <w:tcW w:w="5060" w:type="dxa"/>
            <w:vAlign w:val="bottom"/>
            <w:vMerge w:val="restart"/>
          </w:tcPr>
          <w:p>
            <w:pPr>
              <w:spacing w:after="0"/>
              <w:rPr>
                <w:sz w:val="20"/>
                <w:szCs w:val="20"/>
                <w:color w:val="auto"/>
              </w:rPr>
            </w:pPr>
            <w:r>
              <w:rPr>
                <w:rFonts w:ascii="Arial" w:cs="Arial" w:eastAsia="Arial" w:hAnsi="Arial"/>
                <w:sz w:val="16"/>
                <w:szCs w:val="16"/>
                <w:color w:val="auto"/>
              </w:rPr>
              <w:t>Large B-cell lymphoma arising from follicular lymphoma</w:t>
            </w: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06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198120</wp:posOffset>
            </wp:positionV>
            <wp:extent cx="71062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32" w:lineRule="exact"/>
        <w:rPr>
          <w:sz w:val="20"/>
          <w:szCs w:val="20"/>
          <w:color w:val="auto"/>
        </w:rPr>
      </w:pPr>
    </w:p>
    <w:p>
      <w:pPr>
        <w:spacing w:after="0"/>
        <w:rPr>
          <w:sz w:val="20"/>
          <w:szCs w:val="20"/>
          <w:color w:val="auto"/>
        </w:rPr>
      </w:pPr>
      <w:r>
        <w:rPr>
          <w:rFonts w:ascii="Arial" w:cs="Arial" w:eastAsia="Arial" w:hAnsi="Arial"/>
          <w:sz w:val="29"/>
          <w:szCs w:val="29"/>
          <w:color w:val="0070C0"/>
        </w:rPr>
        <w:t>PATIENT SUPPORT AND ACCESS</w:t>
      </w:r>
    </w:p>
    <w:p>
      <w:pPr>
        <w:spacing w:after="0" w:line="139"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interact with patients, advocacy organizations and healthcare societies in order to gain insights into unmet needs. The insights gained from these engagements help us support patients with services, programs and applications that are designed to help transform patients' lives. Among other things, we provide customer service and other related programs for our products, such as disease and product specific websites, insurance research services, financial assistance programs and the facilitation of the procurement of our marketed products.</w:t>
      </w:r>
    </w:p>
    <w:p>
      <w:pPr>
        <w:spacing w:after="0" w:line="68" w:lineRule="exact"/>
        <w:rPr>
          <w:sz w:val="20"/>
          <w:szCs w:val="20"/>
          <w:color w:val="auto"/>
        </w:rPr>
      </w:pPr>
    </w:p>
    <w:p>
      <w:pPr>
        <w:ind w:right="280"/>
        <w:spacing w:after="0" w:line="282" w:lineRule="auto"/>
        <w:rPr>
          <w:sz w:val="20"/>
          <w:szCs w:val="20"/>
          <w:color w:val="auto"/>
        </w:rPr>
      </w:pPr>
      <w:r>
        <w:rPr>
          <w:rFonts w:ascii="Arial" w:cs="Arial" w:eastAsia="Arial" w:hAnsi="Arial"/>
          <w:sz w:val="17"/>
          <w:szCs w:val="17"/>
          <w:color w:val="auto"/>
        </w:rPr>
        <w:t>We are dedicated to helping patients obtain access to our therapies. Our patient support representatives have access to a comprehensive suite of financial assistance tools. With those tools, we help patients understand their insurance coverage and, if needed, help patients compare insurance options and programs. In the U.S., we have established programs that provide co-pay assistance for qualified commercially insured patients and free product for qualified uninsured or underinsured patients, based on specific eligibility criteria.</w:t>
      </w:r>
    </w:p>
    <w:p>
      <w:pPr>
        <w:spacing w:after="0" w:line="53"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We believe all healthcare stakeholders have a shared responsibility to ensure patients have equitable access to new, innovative medicines. We regularly review our pricing strategy and prioritize patient access to our therapies. We have a value-based contracting program designed to align the price of our therapies to the value our therapies deliver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to patients. We also work with regulators, clinical researchers, ethicists, physicians and patient advocacy groups and communities, among others, to determine how best to address requests for access to our investigational therapies in ways that are consistent with our patient-focused values and compliant with regulatory standards and protocols. In appropriate situations, patients may have access to investigational therapies through clinical trials, early access programs, post-trial access programs or compassionate use based on humanitarian grounds.</w:t>
      </w:r>
    </w:p>
    <w:p>
      <w:pPr>
        <w:spacing w:after="0" w:line="109" w:lineRule="exact"/>
        <w:rPr>
          <w:sz w:val="20"/>
          <w:szCs w:val="20"/>
          <w:color w:val="auto"/>
        </w:rPr>
      </w:pPr>
    </w:p>
    <w:p>
      <w:pPr>
        <w:spacing w:after="0"/>
        <w:rPr>
          <w:sz w:val="20"/>
          <w:szCs w:val="20"/>
          <w:color w:val="auto"/>
        </w:rPr>
      </w:pPr>
      <w:r>
        <w:rPr>
          <w:rFonts w:ascii="Arial" w:cs="Arial" w:eastAsia="Arial" w:hAnsi="Arial"/>
          <w:sz w:val="29"/>
          <w:szCs w:val="29"/>
          <w:color w:val="0070C0"/>
        </w:rPr>
        <w:t>MARKETING AND DISTRIBUTION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SALES FORCE AND MARKETING</w:t>
      </w:r>
    </w:p>
    <w:p>
      <w:pPr>
        <w:spacing w:after="0" w:line="1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promote our marketed products worldwide, including in the U.S., Europe, Asia, the Middle East and Latin America, primarily through our own sales forces and marketing groups. In some countries, particularly in areas where we continue to expand into new geographic areas, we partner with third parties.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RITUXAN, RITUXAN HYCELA, GAZYVA, OCREVUS, LUNSUMIO and COLUMVI are marketed by the Roche Group and its sublicensees.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commercialize BENEPALI, IMRALDI and FLIXABI pursuant to our agreement with Samsung Bioepis in certain international markets.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focus our sales and marketing efforts on health care providers in private practice or at major medical centers. We use customary industry practices to market our products and to educate physicians. This includes our sales representatives calling on individual health care providers (in-person and virtually), advertisements, professional symposia, direct mail, digital marketing, point of care marketing, public relations and other methods.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DISTRIBUTION ARRANGEMENTS</w:t>
      </w:r>
    </w:p>
    <w:p>
      <w:pPr>
        <w:spacing w:after="0" w:line="10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distribute our products in the U.S. principally through wholesale and specialty distributors of pharmaceutical products and specialty pharmacies. In other countries, the distribution of our products varies from country to country, including through wholesale distributors of pharmaceutical products and third-party distribution partners who are responsible for most marketing and distribution activities.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RITUXAN, RITUXAN HYCELA, GAZYVA, OCREVUS, LUNSUMIO and COLUMVI are distributed by the Roche Group and its sublicensees.</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We distribute BENEPALI, IMRALDI and FLIXABI in certain countries in Europe and have an option to acquire exclusive rights to distribute these products in China.</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Our product sales to two wholesale distributors each accounted for more than 10.0% of our total revenue for the years ended December 31, 2025, 2024 and 2023, and on a combined basis, accounted for approximately 43.9%, 39.3% and 36.9%, respectively, of our gross product revenue. For additional information,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consolidated financial statements included in this report.</w:t>
      </w:r>
    </w:p>
    <w:p>
      <w:pPr>
        <w:spacing w:after="0" w:line="103" w:lineRule="exact"/>
        <w:rPr>
          <w:sz w:val="20"/>
          <w:szCs w:val="20"/>
          <w:color w:val="auto"/>
        </w:rPr>
      </w:pPr>
    </w:p>
    <w:p>
      <w:pPr>
        <w:spacing w:after="0"/>
        <w:rPr>
          <w:sz w:val="20"/>
          <w:szCs w:val="20"/>
          <w:color w:val="auto"/>
        </w:rPr>
      </w:pPr>
      <w:r>
        <w:rPr>
          <w:rFonts w:ascii="Arial" w:cs="Arial" w:eastAsia="Arial" w:hAnsi="Arial"/>
          <w:sz w:val="29"/>
          <w:szCs w:val="29"/>
          <w:color w:val="0070C0"/>
        </w:rPr>
        <w:t>PATENTS AND OTHER PROPRIETARY RIGHTS</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Patents are important for obtaining and protecting exclusive rights in our products and product candidates. We regularly seek patent protection in the U.S., the E.U., Asia, the Middle East and Latin America for inventions originating from our research and development efforts and those we license or acquire. In addition, we license rights to various patents and patent applications.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U.S. patents, as well as most foreign patents, are generally effective for 20 years from the date the earliest application was filed; however, U.S. patents on applications filed before June 8, 1995, may be effective until 17 years from the issue date, if that is later than the 20-year date. In some cases, the patent term may be extended to recapture a portion of the term lost during regulatory review of the claimed therapeutic or, in the case of the U.S., additional patent term may be awarded due to U.S. Patent and Trademark Office delays in prosecuting the application. In the U.S., under the Drug Price Competition and Patent Term Restoration Act of 1984, commonly known as the Hatch-Waxman Act, a patent that covers a drug approved by the FDA may be eligible for patent term extension (for up to 5 years, but not beyond a total of 14 years from the date of product approval) as compensation for patent term lost during the FDA regulatory review process. The duration and extension of the term of foreign patents vary, in accordance with local law. For example, in a number of European countries, SPCs can be granted to a product to compensate in part for delays in obtaining marketing approval.</w:t>
      </w:r>
    </w:p>
    <w:p>
      <w:pPr>
        <w:spacing w:after="0" w:line="7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Regulatory exclusivity, which may consist of regulatory data protection and market protection, can also provide meaningful protection for our products. Regulatory data protection provides to the holder of a drug or biologic</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marketing authorization, for a set period of time, the exclusive use of the proprietary preclinical and clinical data that it created at significant cost and submitted to the applicable regulatory authority to obtain approval of its product. After the period of exclusive use, third parties are permitted to reference such data in abbreviated applications for approval and to market (subject to any applicable market protection) their generic drugs and biosimilars. Market protection provides the holder of a drug or biologic marketing authorization the exclusive right to commercialize its product for a period of time, thereby preventing the commercialization of another product containing the same active ingredient(s) during that period. Although the World Trade Organization's agreement on trade-related aspects of intellectual property rights requires signatory countries to provide regulatory exclusivity to innovative pharmaceutical products, implementation and enforcement varies widely from country to country.</w:t>
      </w:r>
    </w:p>
    <w:p>
      <w:pPr>
        <w:spacing w:after="0" w:line="77"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We also rely upon other forms of unpatented confidential information to remain competitive. We protect such information principally through refraining from public disclosure and utilizing confidentiality agreements with our employees, consultants, outside scientific collaborators, scientists whose research we sponsor and other advisers. In the case of our employees, these agreements also provide, in compliance with relevant law, that inventions and other intellectual property conceived by such employees during their employment are our exclusive property.</w:t>
      </w:r>
    </w:p>
    <w:p>
      <w:pPr>
        <w:spacing w:after="0" w:line="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trademarks are important to us and are generally covered by trademark applications or registrations in the U.S. Patent and Trademark Office and the patent or trademark offices of other countries. We also use trademarks licensed from third parties.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OUR PATENT PORTFOLIO</w:t>
      </w:r>
    </w:p>
    <w:p>
      <w:pPr>
        <w:spacing w:after="0" w:line="1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 describes certain patents in the U.S. and Europe that we currently consider of primary importance to our marketed products, including the territory, patent number, general subject matter and expected expiration dates. Except as otherwise noted, the expected expiration dates include any granted patent term extensions and issued SPCs. In some instances, there may be additional later-expiring patents relating to our products directed to, among other things, particular forms or compositions, methods of manufacturing or use of the drug in the treatment of particular diseases or conditions. We also continue to pursue additional patents and patent term extensions in the U.S. and other territories covering various aspects of our products that may, if issued, extend exclusivity beyond the expiration of the patents listed in the table.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spacing w:after="0"/>
              <w:rPr>
                <w:sz w:val="20"/>
                <w:szCs w:val="20"/>
                <w:color w:val="auto"/>
              </w:rPr>
            </w:pPr>
            <w:r>
              <w:rPr>
                <w:rFonts w:ascii="Arial" w:cs="Arial" w:eastAsia="Arial" w:hAnsi="Arial"/>
                <w:sz w:val="14"/>
                <w:szCs w:val="14"/>
                <w:color w:val="0E32E1"/>
              </w:rPr>
              <w:t>Table of Contents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1120" w:type="dxa"/>
            <w:vAlign w:val="bottom"/>
            <w:tcBorders>
              <w:top w:val="single" w:sz="8" w:color="0E32E1"/>
            </w:tcBorders>
            <w:vMerge w:val="restart"/>
          </w:tcPr>
          <w:p>
            <w:pPr>
              <w:ind w:left="20"/>
              <w:spacing w:after="0"/>
              <w:rPr>
                <w:sz w:val="20"/>
                <w:szCs w:val="20"/>
                <w:color w:val="auto"/>
              </w:rPr>
            </w:pPr>
            <w:r>
              <w:rPr>
                <w:rFonts w:ascii="Arial" w:cs="Arial" w:eastAsia="Arial" w:hAnsi="Arial"/>
                <w:sz w:val="14"/>
                <w:szCs w:val="14"/>
                <w:b w:val="1"/>
                <w:bCs w:val="1"/>
                <w:color w:val="auto"/>
              </w:rPr>
              <w:t>Product</w:t>
            </w:r>
          </w:p>
        </w:tc>
        <w:tc>
          <w:tcPr>
            <w:tcW w:w="300" w:type="dxa"/>
            <w:vAlign w:val="bottom"/>
            <w:gridSpan w:val="2"/>
            <w:vMerge w:val="restart"/>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Territory</w:t>
            </w: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Patent No.</w:t>
            </w:r>
          </w:p>
        </w:tc>
        <w:tc>
          <w:tcPr>
            <w:tcW w:w="5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General Subject Matter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Patent</w:t>
            </w:r>
          </w:p>
        </w:tc>
        <w:tc>
          <w:tcPr>
            <w:tcW w:w="0" w:type="dxa"/>
            <w:vAlign w:val="bottom"/>
          </w:tcPr>
          <w:p>
            <w:pPr>
              <w:spacing w:after="0"/>
              <w:rPr>
                <w:sz w:val="1"/>
                <w:szCs w:val="1"/>
                <w:color w:val="auto"/>
              </w:rPr>
            </w:pPr>
          </w:p>
        </w:tc>
      </w:tr>
      <w:tr>
        <w:trPr>
          <w:trHeight w:val="202"/>
        </w:trPr>
        <w:tc>
          <w:tcPr>
            <w:tcW w:w="112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56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Expiration</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00"/>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0070C0"/>
              </w:rPr>
              <w:t>PLEGRIDY</w:t>
            </w:r>
          </w:p>
        </w:tc>
        <w:tc>
          <w:tcPr>
            <w:tcW w:w="100" w:type="dxa"/>
            <w:vAlign w:val="bottom"/>
          </w:tcPr>
          <w:p>
            <w:pPr>
              <w:spacing w:after="0"/>
              <w:rPr>
                <w:sz w:val="17"/>
                <w:szCs w:val="17"/>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7"/>
                <w:szCs w:val="17"/>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8,017,733</w:t>
            </w:r>
          </w:p>
        </w:tc>
        <w:tc>
          <w:tcPr>
            <w:tcW w:w="100" w:type="dxa"/>
            <w:vAlign w:val="bottom"/>
          </w:tcPr>
          <w:p>
            <w:pPr>
              <w:spacing w:after="0"/>
              <w:rPr>
                <w:sz w:val="17"/>
                <w:szCs w:val="17"/>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Polymer conjugates of interferon beta-1a</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1,476,181</w:t>
            </w:r>
          </w:p>
        </w:tc>
        <w:tc>
          <w:tcPr>
            <w:tcW w:w="10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Polymer conjugates of interferon-beta-1a and uses thereof</w:t>
            </w:r>
          </w:p>
        </w:tc>
        <w:tc>
          <w:tcPr>
            <w:tcW w:w="1440" w:type="dxa"/>
            <w:vAlign w:val="bottom"/>
          </w:tcPr>
          <w:p>
            <w:pPr>
              <w:jc w:val="center"/>
              <w:spacing w:after="0" w:line="227" w:lineRule="exact"/>
              <w:rPr>
                <w:sz w:val="20"/>
                <w:szCs w:val="20"/>
                <w:color w:val="auto"/>
              </w:rPr>
            </w:pPr>
            <w:r>
              <w:rPr>
                <w:rFonts w:ascii="Arial" w:cs="Arial" w:eastAsia="Arial" w:hAnsi="Arial"/>
                <w:sz w:val="16"/>
                <w:szCs w:val="16"/>
                <w:color w:val="0070C0"/>
                <w:w w:val="90"/>
              </w:rPr>
              <w:t>2023</w:t>
            </w:r>
            <w:r>
              <w:rPr>
                <w:rFonts w:ascii="Arial" w:cs="Arial" w:eastAsia="Arial" w:hAnsi="Arial"/>
                <w:sz w:val="21"/>
                <w:szCs w:val="21"/>
                <w:color w:val="0070C0"/>
                <w:w w:val="90"/>
                <w:vertAlign w:val="superscript"/>
              </w:rPr>
              <w:t>(2)</w:t>
            </w:r>
          </w:p>
        </w:tc>
        <w:tc>
          <w:tcPr>
            <w:tcW w:w="0" w:type="dxa"/>
            <w:vAlign w:val="bottom"/>
          </w:tcPr>
          <w:p>
            <w:pPr>
              <w:spacing w:after="0"/>
              <w:rPr>
                <w:sz w:val="1"/>
                <w:szCs w:val="1"/>
                <w:color w:val="auto"/>
              </w:rPr>
            </w:pPr>
          </w:p>
        </w:tc>
      </w:tr>
      <w:tr>
        <w:trPr>
          <w:trHeight w:val="208"/>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0070C0"/>
              </w:rPr>
              <w:t>TYSABRI</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8,124,350</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Methods of treatment</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8,871,449</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9,316,641</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9,493,567</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9,709,575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10,119,976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evaluating patient risk</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10,233,245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10,444,234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10,677,803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10,705,095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11,280,794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11,287,423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11,292,845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12,066,442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1,872,136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2,170,390</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Formulation</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2,645,106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3,264,094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3,339,865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3,575,792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2032</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4,152,004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2031</w:t>
            </w:r>
          </w:p>
        </w:tc>
        <w:tc>
          <w:tcPr>
            <w:tcW w:w="0" w:type="dxa"/>
            <w:vAlign w:val="bottom"/>
          </w:tcPr>
          <w:p>
            <w:pPr>
              <w:spacing w:after="0"/>
              <w:rPr>
                <w:sz w:val="1"/>
                <w:szCs w:val="1"/>
                <w:color w:val="auto"/>
              </w:rPr>
            </w:pPr>
          </w:p>
        </w:tc>
      </w:tr>
      <w:tr>
        <w:trPr>
          <w:trHeight w:val="209"/>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0070C0"/>
              </w:rPr>
              <w:t>VUMERITY</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8,669,281</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Compounds and pharmaceutical compositions</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0070C0"/>
              </w:rPr>
              <w:t>2033</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9,090,558</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10,080,733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Crystalline forms, pharmaceutical compositions and 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2033</w:t>
            </w: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2,970,101</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Crystalline forms, pharmaceutical compositions and methods of treatment</w:t>
            </w:r>
          </w:p>
        </w:tc>
        <w:tc>
          <w:tcPr>
            <w:tcW w:w="1440" w:type="dxa"/>
            <w:vAlign w:val="bottom"/>
          </w:tcPr>
          <w:p>
            <w:pPr>
              <w:jc w:val="center"/>
              <w:spacing w:after="0" w:line="164" w:lineRule="exact"/>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Prodrugs of fumarates and their use in treating various diseases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3,253,377</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Formulation</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2035</w:t>
            </w:r>
          </w:p>
        </w:tc>
        <w:tc>
          <w:tcPr>
            <w:tcW w:w="0" w:type="dxa"/>
            <w:vAlign w:val="bottom"/>
          </w:tcPr>
          <w:p>
            <w:pPr>
              <w:spacing w:after="0"/>
              <w:rPr>
                <w:sz w:val="1"/>
                <w:szCs w:val="1"/>
                <w:color w:val="auto"/>
              </w:rPr>
            </w:pPr>
          </w:p>
        </w:tc>
      </w:tr>
      <w:tr>
        <w:trPr>
          <w:trHeight w:val="209"/>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0070C0"/>
              </w:rPr>
              <w:t>SPINRAZA</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7,838,657</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SMA treatment via targeting of SMN2 splice site inhibitory sequences</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0070C0"/>
              </w:rPr>
              <w:t>2027</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8,361,977</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8,980,853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9,717,750</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9,926,559</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10,436,802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for Treating Spinal Muscular Atrophy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2035</w:t>
            </w: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12,013,403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for Treating Spinal Muscular Atrophy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1,910,395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0070C0"/>
                <w:w w:val="90"/>
              </w:rPr>
              <w:t>2026</w:t>
            </w:r>
            <w:r>
              <w:rPr>
                <w:rFonts w:ascii="Arial" w:cs="Arial" w:eastAsia="Arial" w:hAnsi="Arial"/>
                <w:sz w:val="21"/>
                <w:szCs w:val="21"/>
                <w:color w:val="0070C0"/>
                <w:w w:val="90"/>
                <w:vertAlign w:val="superscript"/>
              </w:rPr>
              <w:t>(3)</w:t>
            </w:r>
          </w:p>
        </w:tc>
        <w:tc>
          <w:tcPr>
            <w:tcW w:w="0" w:type="dxa"/>
            <w:vAlign w:val="bottom"/>
          </w:tcPr>
          <w:p>
            <w:pPr>
              <w:spacing w:after="0"/>
              <w:rPr>
                <w:sz w:val="1"/>
                <w:szCs w:val="1"/>
                <w:color w:val="auto"/>
              </w:rPr>
            </w:pPr>
          </w:p>
        </w:tc>
      </w:tr>
      <w:tr>
        <w:trPr>
          <w:trHeight w:val="226"/>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2,548,560</w:t>
            </w:r>
          </w:p>
        </w:tc>
        <w:tc>
          <w:tcPr>
            <w:tcW w:w="10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line="226" w:lineRule="exact"/>
              <w:rPr>
                <w:sz w:val="20"/>
                <w:szCs w:val="20"/>
                <w:color w:val="auto"/>
              </w:rPr>
            </w:pPr>
            <w:r>
              <w:rPr>
                <w:rFonts w:ascii="Arial" w:cs="Arial" w:eastAsia="Arial" w:hAnsi="Arial"/>
                <w:sz w:val="16"/>
                <w:szCs w:val="16"/>
                <w:color w:val="0070C0"/>
                <w:w w:val="90"/>
              </w:rPr>
              <w:t>2026</w:t>
            </w:r>
            <w:r>
              <w:rPr>
                <w:rFonts w:ascii="Arial" w:cs="Arial" w:eastAsia="Arial" w:hAnsi="Arial"/>
                <w:sz w:val="21"/>
                <w:szCs w:val="21"/>
                <w:color w:val="0070C0"/>
                <w:w w:val="90"/>
                <w:vertAlign w:val="superscript"/>
              </w:rPr>
              <w:t>(4)</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3,305,302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2030</w:t>
            </w: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3,308,788</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0070C0"/>
              </w:rPr>
              <w:t>2026</w:t>
            </w:r>
          </w:p>
        </w:tc>
        <w:tc>
          <w:tcPr>
            <w:tcW w:w="0" w:type="dxa"/>
            <w:vAlign w:val="bottom"/>
          </w:tcPr>
          <w:p>
            <w:pPr>
              <w:spacing w:after="0"/>
              <w:rPr>
                <w:sz w:val="1"/>
                <w:szCs w:val="1"/>
                <w:color w:val="auto"/>
              </w:rPr>
            </w:pPr>
          </w:p>
        </w:tc>
      </w:tr>
      <w:tr>
        <w:trPr>
          <w:trHeight w:val="226"/>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3,449,926</w:t>
            </w:r>
          </w:p>
        </w:tc>
        <w:tc>
          <w:tcPr>
            <w:tcW w:w="10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and methods for modulation of SMN2 splicing</w:t>
            </w:r>
          </w:p>
        </w:tc>
        <w:tc>
          <w:tcPr>
            <w:tcW w:w="1440" w:type="dxa"/>
            <w:vAlign w:val="bottom"/>
          </w:tcPr>
          <w:p>
            <w:pPr>
              <w:jc w:val="center"/>
              <w:spacing w:after="0" w:line="226" w:lineRule="exact"/>
              <w:rPr>
                <w:sz w:val="20"/>
                <w:szCs w:val="20"/>
                <w:color w:val="auto"/>
              </w:rPr>
            </w:pPr>
            <w:r>
              <w:rPr>
                <w:rFonts w:ascii="Arial" w:cs="Arial" w:eastAsia="Arial" w:hAnsi="Arial"/>
                <w:sz w:val="16"/>
                <w:szCs w:val="16"/>
                <w:color w:val="0070C0"/>
                <w:w w:val="90"/>
              </w:rPr>
              <w:t>2030</w:t>
            </w:r>
            <w:r>
              <w:rPr>
                <w:rFonts w:ascii="Arial" w:cs="Arial" w:eastAsia="Arial" w:hAnsi="Arial"/>
                <w:sz w:val="21"/>
                <w:szCs w:val="21"/>
                <w:color w:val="0070C0"/>
                <w:w w:val="90"/>
                <w:vertAlign w:val="superscript"/>
              </w:rPr>
              <w:t>(6)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3,999,643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Methods of Treating or Preventing Spinal Muscular Atrophy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2040</w:t>
            </w:r>
          </w:p>
        </w:tc>
        <w:tc>
          <w:tcPr>
            <w:tcW w:w="0" w:type="dxa"/>
            <w:vAlign w:val="bottom"/>
          </w:tcPr>
          <w:p>
            <w:pPr>
              <w:spacing w:after="0"/>
              <w:rPr>
                <w:sz w:val="1"/>
                <w:szCs w:val="1"/>
                <w:color w:val="auto"/>
              </w:rPr>
            </w:pPr>
          </w:p>
        </w:tc>
      </w:tr>
      <w:tr>
        <w:trPr>
          <w:trHeight w:val="200"/>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0070C0"/>
              </w:rPr>
              <w:t>LEQEMBI</w:t>
            </w:r>
          </w:p>
        </w:tc>
        <w:tc>
          <w:tcPr>
            <w:tcW w:w="100" w:type="dxa"/>
            <w:vAlign w:val="bottom"/>
          </w:tcPr>
          <w:p>
            <w:pPr>
              <w:spacing w:after="0"/>
              <w:rPr>
                <w:sz w:val="17"/>
                <w:szCs w:val="17"/>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7"/>
                <w:szCs w:val="17"/>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8,025,878</w:t>
            </w:r>
          </w:p>
        </w:tc>
        <w:tc>
          <w:tcPr>
            <w:tcW w:w="100" w:type="dxa"/>
            <w:vAlign w:val="bottom"/>
          </w:tcPr>
          <w:p>
            <w:pPr>
              <w:spacing w:after="0"/>
              <w:rPr>
                <w:sz w:val="17"/>
                <w:szCs w:val="17"/>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Protofibril selective antibodies and the use thereof</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line="200" w:lineRule="exact"/>
              <w:rPr>
                <w:sz w:val="20"/>
                <w:szCs w:val="20"/>
                <w:color w:val="auto"/>
              </w:rPr>
            </w:pPr>
            <w:r>
              <w:rPr>
                <w:rFonts w:ascii="Arial" w:cs="Arial" w:eastAsia="Arial" w:hAnsi="Arial"/>
                <w:sz w:val="23"/>
                <w:szCs w:val="23"/>
                <w:color w:val="0070C0"/>
                <w:vertAlign w:val="subscript"/>
              </w:rPr>
              <w:t>2027</w:t>
            </w:r>
            <w:r>
              <w:rPr>
                <w:rFonts w:ascii="Arial" w:cs="Arial" w:eastAsia="Arial" w:hAnsi="Arial"/>
                <w:sz w:val="9"/>
                <w:szCs w:val="9"/>
                <w:color w:val="0070C0"/>
              </w:rPr>
              <w:t>(1)(5)</w:t>
            </w:r>
          </w:p>
        </w:tc>
        <w:tc>
          <w:tcPr>
            <w:tcW w:w="0" w:type="dxa"/>
            <w:vAlign w:val="bottom"/>
          </w:tcPr>
          <w:p>
            <w:pPr>
              <w:spacing w:after="0"/>
              <w:rPr>
                <w:sz w:val="1"/>
                <w:szCs w:val="1"/>
                <w:color w:val="auto"/>
              </w:rPr>
            </w:pPr>
          </w:p>
        </w:tc>
      </w:tr>
      <w:tr>
        <w:trPr>
          <w:trHeight w:val="227"/>
        </w:trPr>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0070C0"/>
              </w:rPr>
              <w:t>Europe</w:t>
            </w:r>
          </w:p>
        </w:tc>
        <w:tc>
          <w:tcPr>
            <w:tcW w:w="120" w:type="dxa"/>
            <w:vAlign w:val="bottom"/>
          </w:tcPr>
          <w:p>
            <w:pPr>
              <w:spacing w:after="0"/>
              <w:rPr>
                <w:sz w:val="19"/>
                <w:szCs w:val="19"/>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0070C0"/>
              </w:rPr>
              <w:t>2,004,688</w:t>
            </w:r>
          </w:p>
        </w:tc>
        <w:tc>
          <w:tcPr>
            <w:tcW w:w="100" w:type="dxa"/>
            <w:vAlign w:val="bottom"/>
          </w:tcPr>
          <w:p>
            <w:pPr>
              <w:spacing w:after="0"/>
              <w:rPr>
                <w:sz w:val="19"/>
                <w:szCs w:val="19"/>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0070C0"/>
              </w:rPr>
              <w:t>Improved protofibril selective antibodies and the use thereof</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line="227" w:lineRule="exact"/>
              <w:rPr>
                <w:sz w:val="20"/>
                <w:szCs w:val="20"/>
                <w:color w:val="auto"/>
              </w:rPr>
            </w:pPr>
            <w:r>
              <w:rPr>
                <w:rFonts w:ascii="Arial" w:cs="Arial" w:eastAsia="Arial" w:hAnsi="Arial"/>
                <w:sz w:val="26"/>
                <w:szCs w:val="26"/>
                <w:color w:val="0070C0"/>
                <w:vertAlign w:val="subscript"/>
              </w:rPr>
              <w:t>2027</w:t>
            </w:r>
            <w:r>
              <w:rPr>
                <w:rFonts w:ascii="Arial" w:cs="Arial" w:eastAsia="Arial" w:hAnsi="Arial"/>
                <w:sz w:val="9"/>
                <w:szCs w:val="9"/>
                <w:color w:val="0070C0"/>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spacing w:after="0"/>
              <w:rPr>
                <w:sz w:val="20"/>
                <w:szCs w:val="20"/>
                <w:color w:val="auto"/>
              </w:rPr>
            </w:pPr>
            <w:r>
              <w:rPr>
                <w:rFonts w:ascii="Arial" w:cs="Arial" w:eastAsia="Arial" w:hAnsi="Arial"/>
                <w:sz w:val="14"/>
                <w:szCs w:val="14"/>
                <w:color w:val="0E32E1"/>
              </w:rPr>
              <w:t>Table of Contents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1120" w:type="dxa"/>
            <w:vAlign w:val="bottom"/>
            <w:tcBorders>
              <w:top w:val="single" w:sz="8" w:color="0E32E1"/>
            </w:tcBorders>
            <w:vMerge w:val="restart"/>
          </w:tcPr>
          <w:p>
            <w:pPr>
              <w:ind w:left="20"/>
              <w:spacing w:after="0"/>
              <w:rPr>
                <w:sz w:val="20"/>
                <w:szCs w:val="20"/>
                <w:color w:val="auto"/>
              </w:rPr>
            </w:pPr>
            <w:r>
              <w:rPr>
                <w:rFonts w:ascii="Arial" w:cs="Arial" w:eastAsia="Arial" w:hAnsi="Arial"/>
                <w:sz w:val="14"/>
                <w:szCs w:val="14"/>
                <w:b w:val="1"/>
                <w:bCs w:val="1"/>
                <w:color w:val="auto"/>
              </w:rPr>
              <w:t>Product</w:t>
            </w:r>
          </w:p>
        </w:tc>
        <w:tc>
          <w:tcPr>
            <w:tcW w:w="300" w:type="dxa"/>
            <w:vAlign w:val="bottom"/>
            <w:gridSpan w:val="2"/>
            <w:vMerge w:val="restart"/>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Territory</w:t>
            </w: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Patent No.</w:t>
            </w:r>
          </w:p>
        </w:tc>
        <w:tc>
          <w:tcPr>
            <w:tcW w:w="5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General Subject Matter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Patent</w:t>
            </w:r>
          </w:p>
        </w:tc>
        <w:tc>
          <w:tcPr>
            <w:tcW w:w="0" w:type="dxa"/>
            <w:vAlign w:val="bottom"/>
          </w:tcPr>
          <w:p>
            <w:pPr>
              <w:spacing w:after="0"/>
              <w:rPr>
                <w:sz w:val="1"/>
                <w:szCs w:val="1"/>
                <w:color w:val="auto"/>
              </w:rPr>
            </w:pPr>
          </w:p>
        </w:tc>
      </w:tr>
      <w:tr>
        <w:trPr>
          <w:trHeight w:val="201"/>
        </w:trPr>
        <w:tc>
          <w:tcPr>
            <w:tcW w:w="112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56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Expiration</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0"/>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0070C0"/>
              </w:rPr>
              <w:t>QALSODY</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10,385,341</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0070C0"/>
              </w:rPr>
              <w:t>Compositions for modulating SOD-1 expression</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line="210" w:lineRule="exact"/>
              <w:rPr>
                <w:sz w:val="20"/>
                <w:szCs w:val="20"/>
                <w:color w:val="auto"/>
              </w:rPr>
            </w:pPr>
            <w:r>
              <w:rPr>
                <w:rFonts w:ascii="Arial" w:cs="Arial" w:eastAsia="Arial" w:hAnsi="Arial"/>
                <w:sz w:val="24"/>
                <w:szCs w:val="24"/>
                <w:color w:val="0070C0"/>
                <w:vertAlign w:val="subscript"/>
              </w:rPr>
              <w:t>2035</w:t>
            </w:r>
            <w:r>
              <w:rPr>
                <w:rFonts w:ascii="Arial" w:cs="Arial" w:eastAsia="Arial" w:hAnsi="Arial"/>
                <w:sz w:val="9"/>
                <w:szCs w:val="9"/>
                <w:color w:val="0070C0"/>
              </w:rPr>
              <w:t>(1)(5)</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10,669,546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for modulating SOD-1 expression</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2035</w:t>
            </w: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10,968,453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for modulating SOD-1 expression</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2035</w:t>
            </w:r>
          </w:p>
        </w:tc>
        <w:tc>
          <w:tcPr>
            <w:tcW w:w="0" w:type="dxa"/>
            <w:vAlign w:val="bottom"/>
          </w:tcPr>
          <w:p>
            <w:pPr>
              <w:spacing w:after="0"/>
              <w:rPr>
                <w:sz w:val="1"/>
                <w:szCs w:val="1"/>
                <w:color w:val="auto"/>
              </w:rPr>
            </w:pPr>
          </w:p>
        </w:tc>
      </w:tr>
      <w:tr>
        <w:trPr>
          <w:trHeight w:val="226"/>
        </w:trPr>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3,126,499</w:t>
            </w:r>
          </w:p>
        </w:tc>
        <w:tc>
          <w:tcPr>
            <w:tcW w:w="10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for modulating SOD-1 expression</w:t>
            </w:r>
          </w:p>
        </w:tc>
        <w:tc>
          <w:tcPr>
            <w:tcW w:w="1440" w:type="dxa"/>
            <w:vAlign w:val="bottom"/>
          </w:tcPr>
          <w:p>
            <w:pPr>
              <w:jc w:val="center"/>
              <w:spacing w:after="0" w:line="226" w:lineRule="exact"/>
              <w:rPr>
                <w:sz w:val="20"/>
                <w:szCs w:val="20"/>
                <w:color w:val="auto"/>
              </w:rPr>
            </w:pPr>
            <w:r>
              <w:rPr>
                <w:rFonts w:ascii="Arial" w:cs="Arial" w:eastAsia="Arial" w:hAnsi="Arial"/>
                <w:sz w:val="26"/>
                <w:szCs w:val="26"/>
                <w:color w:val="0070C0"/>
                <w:vertAlign w:val="subscript"/>
              </w:rPr>
              <w:t>2035</w:t>
            </w:r>
            <w:r>
              <w:rPr>
                <w:rFonts w:ascii="Arial" w:cs="Arial" w:eastAsia="Arial" w:hAnsi="Arial"/>
                <w:sz w:val="9"/>
                <w:szCs w:val="9"/>
                <w:color w:val="0070C0"/>
              </w:rPr>
              <w:t>(1)(8)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3,757,214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Compositions for modulating SOD-1 expression</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2035</w:t>
            </w:r>
          </w:p>
        </w:tc>
        <w:tc>
          <w:tcPr>
            <w:tcW w:w="0" w:type="dxa"/>
            <w:vAlign w:val="bottom"/>
          </w:tcPr>
          <w:p>
            <w:pPr>
              <w:spacing w:after="0"/>
              <w:rPr>
                <w:sz w:val="1"/>
                <w:szCs w:val="1"/>
                <w:color w:val="auto"/>
              </w:rPr>
            </w:pPr>
          </w:p>
        </w:tc>
      </w:tr>
      <w:tr>
        <w:trPr>
          <w:trHeight w:val="156"/>
        </w:trPr>
        <w:tc>
          <w:tcPr>
            <w:tcW w:w="1320" w:type="dxa"/>
            <w:vAlign w:val="bottom"/>
            <w:tcBorders>
              <w:top w:val="single" w:sz="8" w:color="auto"/>
            </w:tcBorders>
            <w:gridSpan w:val="2"/>
          </w:tcPr>
          <w:p>
            <w:pPr>
              <w:ind w:left="20"/>
              <w:spacing w:after="0" w:line="157" w:lineRule="exact"/>
              <w:rPr>
                <w:sz w:val="20"/>
                <w:szCs w:val="20"/>
                <w:color w:val="auto"/>
              </w:rPr>
            </w:pPr>
            <w:r>
              <w:rPr>
                <w:rFonts w:ascii="Arial" w:cs="Arial" w:eastAsia="Arial" w:hAnsi="Arial"/>
                <w:sz w:val="16"/>
                <w:szCs w:val="16"/>
                <w:color w:val="0070C0"/>
              </w:rPr>
              <w:t>ZURZUVAE</w:t>
            </w:r>
          </w:p>
        </w:tc>
        <w:tc>
          <w:tcPr>
            <w:tcW w:w="100" w:type="dxa"/>
            <w:vAlign w:val="bottom"/>
          </w:tcPr>
          <w:p>
            <w:pPr>
              <w:spacing w:after="0"/>
              <w:rPr>
                <w:sz w:val="13"/>
                <w:szCs w:val="13"/>
                <w:color w:val="auto"/>
              </w:rPr>
            </w:pPr>
          </w:p>
        </w:tc>
        <w:tc>
          <w:tcPr>
            <w:tcW w:w="104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0070C0"/>
              </w:rPr>
              <w:t>U.S.</w:t>
            </w:r>
          </w:p>
        </w:tc>
        <w:tc>
          <w:tcPr>
            <w:tcW w:w="120" w:type="dxa"/>
            <w:vAlign w:val="bottom"/>
          </w:tcPr>
          <w:p>
            <w:pPr>
              <w:spacing w:after="0"/>
              <w:rPr>
                <w:sz w:val="13"/>
                <w:szCs w:val="13"/>
                <w:color w:val="auto"/>
              </w:rPr>
            </w:pPr>
          </w:p>
        </w:tc>
        <w:tc>
          <w:tcPr>
            <w:tcW w:w="14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0070C0"/>
              </w:rPr>
              <w:t>9,512,165</w:t>
            </w:r>
          </w:p>
        </w:tc>
        <w:tc>
          <w:tcPr>
            <w:tcW w:w="100" w:type="dxa"/>
            <w:vAlign w:val="bottom"/>
          </w:tcPr>
          <w:p>
            <w:pPr>
              <w:spacing w:after="0"/>
              <w:rPr>
                <w:sz w:val="13"/>
                <w:szCs w:val="13"/>
                <w:color w:val="auto"/>
              </w:rPr>
            </w:pPr>
          </w:p>
        </w:tc>
        <w:tc>
          <w:tcPr>
            <w:tcW w:w="55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0070C0"/>
              </w:rPr>
              <w:t>19-nor C3, 3-disubstituted C21-N-pyrazolyl steroids and methods of use</w:t>
            </w:r>
          </w:p>
        </w:tc>
        <w:tc>
          <w:tcPr>
            <w:tcW w:w="100" w:type="dxa"/>
            <w:vAlign w:val="bottom"/>
          </w:tcPr>
          <w:p>
            <w:pPr>
              <w:spacing w:after="0"/>
              <w:rPr>
                <w:sz w:val="13"/>
                <w:szCs w:val="13"/>
                <w:color w:val="auto"/>
              </w:rPr>
            </w:pPr>
          </w:p>
        </w:tc>
        <w:tc>
          <w:tcPr>
            <w:tcW w:w="14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4"/>
                <w:szCs w:val="14"/>
                <w:color w:val="0070C0"/>
              </w:rPr>
              <w:t>2034</w:t>
            </w:r>
            <w:r>
              <w:rPr>
                <w:rFonts w:ascii="Arial" w:cs="Arial" w:eastAsia="Arial" w:hAnsi="Arial"/>
                <w:sz w:val="18"/>
                <w:szCs w:val="18"/>
                <w:color w:val="0070C0"/>
                <w:vertAlign w:val="superscript"/>
              </w:rPr>
              <w:t>(5)</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thereof</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0070C0"/>
                <w:w w:val="90"/>
              </w:rPr>
              <w:t>2034</w:t>
            </w:r>
            <w:r>
              <w:rPr>
                <w:rFonts w:ascii="Arial" w:cs="Arial" w:eastAsia="Arial" w:hAnsi="Arial"/>
                <w:sz w:val="21"/>
                <w:szCs w:val="21"/>
                <w:color w:val="0070C0"/>
                <w:w w:val="90"/>
                <w:vertAlign w:val="superscript"/>
              </w:rPr>
              <w:t>(5)</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10,172,871</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19-nor C3, 3-disubstituted C21-N-pyrazolyl steroids and methods of use</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thereof</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0070C0"/>
                <w:w w:val="90"/>
              </w:rPr>
              <w:t>2034</w:t>
            </w:r>
            <w:r>
              <w:rPr>
                <w:rFonts w:ascii="Arial" w:cs="Arial" w:eastAsia="Arial" w:hAnsi="Arial"/>
                <w:sz w:val="21"/>
                <w:szCs w:val="21"/>
                <w:color w:val="0070C0"/>
                <w:w w:val="90"/>
                <w:vertAlign w:val="superscript"/>
              </w:rPr>
              <w:t>(5)</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10,342,810</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19-nor C3, 3-disubstituted C21-N-pyrazolyl steroids and methods of use</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thereof</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0070C0"/>
                <w:w w:val="90"/>
              </w:rPr>
              <w:t>2034</w:t>
            </w:r>
            <w:r>
              <w:rPr>
                <w:rFonts w:ascii="Arial" w:cs="Arial" w:eastAsia="Arial" w:hAnsi="Arial"/>
                <w:sz w:val="21"/>
                <w:szCs w:val="21"/>
                <w:color w:val="0070C0"/>
                <w:w w:val="90"/>
                <w:vertAlign w:val="superscript"/>
              </w:rPr>
              <w:t>(5)</w:t>
            </w:r>
          </w:p>
        </w:tc>
        <w:tc>
          <w:tcPr>
            <w:tcW w:w="0" w:type="dxa"/>
            <w:vAlign w:val="bottom"/>
          </w:tcPr>
          <w:p>
            <w:pPr>
              <w:spacing w:after="0"/>
              <w:rPr>
                <w:sz w:val="1"/>
                <w:szCs w:val="1"/>
                <w:color w:val="auto"/>
              </w:rPr>
            </w:pPr>
          </w:p>
        </w:tc>
      </w:tr>
      <w:tr>
        <w:trPr>
          <w:trHeight w:val="217"/>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U.S.</w:t>
            </w:r>
          </w:p>
        </w:tc>
        <w:tc>
          <w:tcPr>
            <w:tcW w:w="1460" w:type="dxa"/>
            <w:vAlign w:val="bottom"/>
          </w:tcPr>
          <w:p>
            <w:pPr>
              <w:ind w:left="20"/>
              <w:spacing w:after="0"/>
              <w:rPr>
                <w:sz w:val="20"/>
                <w:szCs w:val="20"/>
                <w:color w:val="auto"/>
              </w:rPr>
            </w:pPr>
            <w:r>
              <w:rPr>
                <w:rFonts w:ascii="Arial" w:cs="Arial" w:eastAsia="Arial" w:hAnsi="Arial"/>
                <w:sz w:val="16"/>
                <w:szCs w:val="16"/>
                <w:color w:val="0070C0"/>
              </w:rPr>
              <w:t>11,236,121</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Crystalline 19-nor C3, 3-disubstituted C21-N-pyrazolyl steroid</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3" w:lineRule="exact"/>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line="163" w:lineRule="exact"/>
              <w:rPr>
                <w:sz w:val="20"/>
                <w:szCs w:val="20"/>
                <w:color w:val="auto"/>
              </w:rPr>
            </w:pPr>
            <w:r>
              <w:rPr>
                <w:rFonts w:ascii="Arial" w:cs="Arial" w:eastAsia="Arial" w:hAnsi="Arial"/>
                <w:sz w:val="16"/>
                <w:szCs w:val="16"/>
                <w:color w:val="0070C0"/>
              </w:rPr>
              <w:t>2,986,623</w:t>
            </w:r>
          </w:p>
        </w:tc>
        <w:tc>
          <w:tcPr>
            <w:tcW w:w="100" w:type="dxa"/>
            <w:vAlign w:val="bottom"/>
          </w:tcPr>
          <w:p>
            <w:pPr>
              <w:spacing w:after="0"/>
              <w:rPr>
                <w:sz w:val="14"/>
                <w:szCs w:val="14"/>
                <w:color w:val="auto"/>
              </w:rPr>
            </w:pPr>
          </w:p>
        </w:tc>
        <w:tc>
          <w:tcPr>
            <w:tcW w:w="5660" w:type="dxa"/>
            <w:vAlign w:val="bottom"/>
            <w:gridSpan w:val="2"/>
          </w:tcPr>
          <w:p>
            <w:pPr>
              <w:ind w:left="20"/>
              <w:spacing w:after="0" w:line="163" w:lineRule="exact"/>
              <w:rPr>
                <w:sz w:val="20"/>
                <w:szCs w:val="20"/>
                <w:color w:val="auto"/>
              </w:rPr>
            </w:pPr>
            <w:r>
              <w:rPr>
                <w:rFonts w:ascii="Arial" w:cs="Arial" w:eastAsia="Arial" w:hAnsi="Arial"/>
                <w:sz w:val="16"/>
                <w:szCs w:val="16"/>
                <w:color w:val="0070C0"/>
              </w:rPr>
              <w:t>19-nor C3, 3-disubstituted c21-N-pyrazolyl steroids and methods of use</w:t>
            </w:r>
          </w:p>
        </w:tc>
        <w:tc>
          <w:tcPr>
            <w:tcW w:w="1440" w:type="dxa"/>
            <w:vAlign w:val="bottom"/>
          </w:tcPr>
          <w:p>
            <w:pPr>
              <w:jc w:val="center"/>
              <w:spacing w:after="0" w:line="163" w:lineRule="exact"/>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thereof</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3,498,725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19-nor C3, 3-disubstituted C21-N-pyrazolyl steroid for use in therapy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rPr>
                <w:sz w:val="20"/>
                <w:szCs w:val="20"/>
                <w:color w:val="auto"/>
              </w:rPr>
            </w:pPr>
            <w:r>
              <w:rPr>
                <w:rFonts w:ascii="Arial" w:cs="Arial" w:eastAsia="Arial" w:hAnsi="Arial"/>
                <w:sz w:val="16"/>
                <w:szCs w:val="16"/>
                <w:color w:val="0070C0"/>
              </w:rPr>
              <w:t>3,909,966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19-nor C3, 3-disubstituted C21-N-pyrazolyl steroid for use in therapy</w:t>
            </w:r>
          </w:p>
        </w:tc>
        <w:tc>
          <w:tcPr>
            <w:tcW w:w="1440" w:type="dxa"/>
            <w:vAlign w:val="bottom"/>
          </w:tcPr>
          <w:p>
            <w:pPr>
              <w:jc w:val="center"/>
              <w:spacing w:after="0"/>
              <w:rPr>
                <w:sz w:val="20"/>
                <w:szCs w:val="20"/>
                <w:color w:val="auto"/>
              </w:rPr>
            </w:pPr>
            <w:r>
              <w:rPr>
                <w:rFonts w:ascii="Arial" w:cs="Arial" w:eastAsia="Arial" w:hAnsi="Arial"/>
                <w:sz w:val="16"/>
                <w:szCs w:val="16"/>
                <w:color w:val="0070C0"/>
              </w:rPr>
              <w:t>2034</w:t>
            </w: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2,766,380</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3.3 disubstituted 10-nore pregnane compounds, compositions and uses</w:t>
            </w:r>
          </w:p>
        </w:tc>
        <w:tc>
          <w:tcPr>
            <w:tcW w:w="1440" w:type="dxa"/>
            <w:vAlign w:val="bottom"/>
          </w:tcPr>
          <w:p>
            <w:pPr>
              <w:jc w:val="center"/>
              <w:spacing w:after="0" w:line="164" w:lineRule="exact"/>
              <w:rPr>
                <w:sz w:val="20"/>
                <w:szCs w:val="20"/>
                <w:color w:val="auto"/>
              </w:rPr>
            </w:pPr>
            <w:r>
              <w:rPr>
                <w:rFonts w:ascii="Arial" w:cs="Arial" w:eastAsia="Arial" w:hAnsi="Arial"/>
                <w:sz w:val="16"/>
                <w:szCs w:val="16"/>
                <w:color w:val="0070C0"/>
              </w:rPr>
              <w:t>2032</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thereof</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auto"/>
            </w:tcBorders>
            <w:gridSpan w:val="2"/>
          </w:tcPr>
          <w:p>
            <w:pPr>
              <w:ind w:left="20"/>
              <w:spacing w:after="0" w:line="156" w:lineRule="exact"/>
              <w:rPr>
                <w:sz w:val="20"/>
                <w:szCs w:val="20"/>
                <w:color w:val="auto"/>
              </w:rPr>
            </w:pPr>
            <w:r>
              <w:rPr>
                <w:rFonts w:ascii="Arial" w:cs="Arial" w:eastAsia="Arial" w:hAnsi="Arial"/>
                <w:sz w:val="16"/>
                <w:szCs w:val="16"/>
                <w:color w:val="0070C0"/>
              </w:rPr>
              <w:t>SKYCLARYS</w:t>
            </w:r>
          </w:p>
        </w:tc>
        <w:tc>
          <w:tcPr>
            <w:tcW w:w="100" w:type="dxa"/>
            <w:vAlign w:val="bottom"/>
          </w:tcPr>
          <w:p>
            <w:pPr>
              <w:spacing w:after="0"/>
              <w:rPr>
                <w:sz w:val="13"/>
                <w:szCs w:val="13"/>
                <w:color w:val="auto"/>
              </w:rPr>
            </w:pPr>
          </w:p>
        </w:tc>
        <w:tc>
          <w:tcPr>
            <w:tcW w:w="1040" w:type="dxa"/>
            <w:vAlign w:val="bottom"/>
            <w:tcBorders>
              <w:top w:val="single" w:sz="8" w:color="auto"/>
            </w:tcBorders>
          </w:tcPr>
          <w:p>
            <w:pPr>
              <w:ind w:left="20"/>
              <w:spacing w:after="0" w:line="156" w:lineRule="exact"/>
              <w:rPr>
                <w:sz w:val="20"/>
                <w:szCs w:val="20"/>
                <w:color w:val="auto"/>
              </w:rPr>
            </w:pPr>
            <w:r>
              <w:rPr>
                <w:rFonts w:ascii="Arial" w:cs="Arial" w:eastAsia="Arial" w:hAnsi="Arial"/>
                <w:sz w:val="16"/>
                <w:szCs w:val="16"/>
                <w:color w:val="0070C0"/>
              </w:rPr>
              <w:t>U.S.</w:t>
            </w:r>
          </w:p>
        </w:tc>
        <w:tc>
          <w:tcPr>
            <w:tcW w:w="120" w:type="dxa"/>
            <w:vAlign w:val="bottom"/>
          </w:tcPr>
          <w:p>
            <w:pPr>
              <w:spacing w:after="0"/>
              <w:rPr>
                <w:sz w:val="13"/>
                <w:szCs w:val="13"/>
                <w:color w:val="auto"/>
              </w:rPr>
            </w:pPr>
          </w:p>
        </w:tc>
        <w:tc>
          <w:tcPr>
            <w:tcW w:w="1460" w:type="dxa"/>
            <w:vAlign w:val="bottom"/>
            <w:tcBorders>
              <w:top w:val="single" w:sz="8" w:color="auto"/>
            </w:tcBorders>
          </w:tcPr>
          <w:p>
            <w:pPr>
              <w:ind w:left="20"/>
              <w:spacing w:after="0" w:line="156" w:lineRule="exact"/>
              <w:rPr>
                <w:sz w:val="20"/>
                <w:szCs w:val="20"/>
                <w:color w:val="auto"/>
              </w:rPr>
            </w:pPr>
            <w:r>
              <w:rPr>
                <w:rFonts w:ascii="Arial" w:cs="Arial" w:eastAsia="Arial" w:hAnsi="Arial"/>
                <w:sz w:val="16"/>
                <w:szCs w:val="16"/>
                <w:color w:val="0070C0"/>
              </w:rPr>
              <w:t>8,124,799</w:t>
            </w:r>
          </w:p>
        </w:tc>
        <w:tc>
          <w:tcPr>
            <w:tcW w:w="100" w:type="dxa"/>
            <w:vAlign w:val="bottom"/>
          </w:tcPr>
          <w:p>
            <w:pPr>
              <w:spacing w:after="0"/>
              <w:rPr>
                <w:sz w:val="13"/>
                <w:szCs w:val="13"/>
                <w:color w:val="auto"/>
              </w:rPr>
            </w:pPr>
          </w:p>
        </w:tc>
        <w:tc>
          <w:tcPr>
            <w:tcW w:w="5560" w:type="dxa"/>
            <w:vAlign w:val="bottom"/>
            <w:tcBorders>
              <w:top w:val="single" w:sz="8" w:color="auto"/>
            </w:tcBorders>
          </w:tcPr>
          <w:p>
            <w:pPr>
              <w:ind w:left="20"/>
              <w:spacing w:after="0" w:line="156" w:lineRule="exact"/>
              <w:rPr>
                <w:sz w:val="20"/>
                <w:szCs w:val="20"/>
                <w:color w:val="auto"/>
              </w:rPr>
            </w:pPr>
            <w:r>
              <w:rPr>
                <w:rFonts w:ascii="Arial" w:cs="Arial" w:eastAsia="Arial" w:hAnsi="Arial"/>
                <w:sz w:val="16"/>
                <w:szCs w:val="16"/>
                <w:color w:val="0070C0"/>
              </w:rPr>
              <w:t>Antioxidant Inflammation Modulators: Oleanolic Acid Derivatives with Amino</w:t>
            </w:r>
          </w:p>
        </w:tc>
        <w:tc>
          <w:tcPr>
            <w:tcW w:w="100" w:type="dxa"/>
            <w:vAlign w:val="bottom"/>
          </w:tcPr>
          <w:p>
            <w:pPr>
              <w:spacing w:after="0"/>
              <w:rPr>
                <w:sz w:val="13"/>
                <w:szCs w:val="13"/>
                <w:color w:val="auto"/>
              </w:rPr>
            </w:pPr>
          </w:p>
        </w:tc>
        <w:tc>
          <w:tcPr>
            <w:tcW w:w="14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4"/>
                <w:szCs w:val="14"/>
                <w:color w:val="0070C0"/>
              </w:rPr>
              <w:t>2029</w:t>
            </w:r>
            <w:r>
              <w:rPr>
                <w:rFonts w:ascii="Arial" w:cs="Arial" w:eastAsia="Arial" w:hAnsi="Arial"/>
                <w:sz w:val="18"/>
                <w:szCs w:val="18"/>
                <w:color w:val="0070C0"/>
                <w:vertAlign w:val="superscript"/>
              </w:rPr>
              <w:t>(5)</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and other Modifications at C-17 (Composition)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0070C0"/>
                <w:w w:val="90"/>
              </w:rPr>
              <w:t>2029</w:t>
            </w:r>
            <w:r>
              <w:rPr>
                <w:rFonts w:ascii="Arial" w:cs="Arial" w:eastAsia="Arial" w:hAnsi="Arial"/>
                <w:sz w:val="21"/>
                <w:szCs w:val="21"/>
                <w:color w:val="0070C0"/>
                <w:w w:val="90"/>
                <w:vertAlign w:val="superscript"/>
              </w:rPr>
              <w:t>(5)</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8,440,854</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Antioxidant Inflammation Modulators: Oleanolic Acid Derivatives with Amino</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and other Modifications at C-17 (Composition)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0070C0"/>
                <w:w w:val="90"/>
              </w:rPr>
              <w:t>2033</w:t>
            </w:r>
            <w:r>
              <w:rPr>
                <w:rFonts w:ascii="Arial" w:cs="Arial" w:eastAsia="Arial" w:hAnsi="Arial"/>
                <w:sz w:val="21"/>
                <w:szCs w:val="21"/>
                <w:color w:val="0070C0"/>
                <w:w w:val="90"/>
                <w:vertAlign w:val="superscript"/>
              </w:rPr>
              <w:t>(5)</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8,993,640</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2,2-Difluoropropionamide Derivatives of Bardoxolone Methyl, Polymorphic</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Forms and Methods of Use Thereof (Composition)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0070C0"/>
                <w:w w:val="90"/>
              </w:rPr>
              <w:t>2029</w:t>
            </w:r>
            <w:r>
              <w:rPr>
                <w:rFonts w:ascii="Arial" w:cs="Arial" w:eastAsia="Arial" w:hAnsi="Arial"/>
                <w:sz w:val="21"/>
                <w:szCs w:val="21"/>
                <w:color w:val="0070C0"/>
                <w:w w:val="90"/>
                <w:vertAlign w:val="superscript"/>
              </w:rPr>
              <w:t>(5)</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9,670,147</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Antioxidant Inflammation Modulators: Oleanolic Acid Derivatives with Amino</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and other Modifications at C-17 (Composition)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0070C0"/>
                <w:w w:val="90"/>
              </w:rPr>
              <w:t>2033</w:t>
            </w:r>
            <w:r>
              <w:rPr>
                <w:rFonts w:ascii="Arial" w:cs="Arial" w:eastAsia="Arial" w:hAnsi="Arial"/>
                <w:sz w:val="21"/>
                <w:szCs w:val="21"/>
                <w:color w:val="0070C0"/>
                <w:w w:val="90"/>
                <w:vertAlign w:val="superscript"/>
              </w:rPr>
              <w:t>(5)</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9,701,709</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2,2-Difluoropropionamide Derivatives of Bardoxolone Methyl, Polymorphic</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Forms and Methods of Use Thereof (Composition)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0070C0"/>
                <w:w w:val="90"/>
              </w:rPr>
              <w:t>2029</w:t>
            </w:r>
            <w:r>
              <w:rPr>
                <w:rFonts w:ascii="Arial" w:cs="Arial" w:eastAsia="Arial" w:hAnsi="Arial"/>
                <w:sz w:val="21"/>
                <w:szCs w:val="21"/>
                <w:color w:val="0070C0"/>
                <w:w w:val="90"/>
                <w:vertAlign w:val="superscript"/>
              </w:rPr>
              <w:t>(5)</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11,091,430</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Antioxidant Inflammation Modulators: Oleanolic Acid Derivatives with Amino</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and other Modifications at C-17 (Method of Use)</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0070C0"/>
                <w:w w:val="90"/>
              </w:rPr>
              <w:t>2029</w:t>
            </w:r>
            <w:r>
              <w:rPr>
                <w:rFonts w:ascii="Arial" w:cs="Arial" w:eastAsia="Arial" w:hAnsi="Arial"/>
                <w:sz w:val="21"/>
                <w:szCs w:val="21"/>
                <w:color w:val="0070C0"/>
                <w:w w:val="90"/>
                <w:vertAlign w:val="superscript"/>
              </w:rPr>
              <w:t>(5)</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11,919,838</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Antioxidant Inflammation Modulators: Oleanolic Acid Derivatives with Amino</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and other Modifications at C-17 (Method of Use)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2,276,493</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Antioxidant Inflammation Modulators: Oleanolic Acid Derivatives with Amino</w:t>
            </w:r>
          </w:p>
        </w:tc>
        <w:tc>
          <w:tcPr>
            <w:tcW w:w="1440" w:type="dxa"/>
            <w:vAlign w:val="bottom"/>
          </w:tcPr>
          <w:p>
            <w:pPr>
              <w:jc w:val="center"/>
              <w:spacing w:after="0" w:line="164" w:lineRule="exact"/>
              <w:rPr>
                <w:sz w:val="20"/>
                <w:szCs w:val="20"/>
                <w:color w:val="auto"/>
              </w:rPr>
            </w:pPr>
            <w:r>
              <w:rPr>
                <w:rFonts w:ascii="Arial" w:cs="Arial" w:eastAsia="Arial" w:hAnsi="Arial"/>
                <w:sz w:val="16"/>
                <w:szCs w:val="16"/>
                <w:color w:val="0070C0"/>
              </w:rPr>
              <w:t>2029</w:t>
            </w: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and other Modifications at C-17 (Composition)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0070C0"/>
                <w:w w:val="90"/>
              </w:rPr>
              <w:t>2033</w:t>
            </w:r>
            <w:r>
              <w:rPr>
                <w:rFonts w:ascii="Arial" w:cs="Arial" w:eastAsia="Arial" w:hAnsi="Arial"/>
                <w:sz w:val="21"/>
                <w:szCs w:val="21"/>
                <w:color w:val="0070C0"/>
                <w:w w:val="90"/>
                <w:vertAlign w:val="superscript"/>
              </w:rPr>
              <w:t>(7)</w:t>
            </w: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2,841,445</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2,2-Difluoropropionamide Derivatives of Bardoxolone Methyl, Polymorphic</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0070C0"/>
              </w:rPr>
              <w:t>Forms and Methods of Use Thereof (Composition)</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Europe</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0070C0"/>
              </w:rPr>
              <w:t>3,444,261</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0070C0"/>
              </w:rPr>
              <w:t>2,2-Difluoropropionamide Derivatives of Bardoxolone Methyl, Polymorphic</w:t>
            </w:r>
          </w:p>
        </w:tc>
        <w:tc>
          <w:tcPr>
            <w:tcW w:w="1440" w:type="dxa"/>
            <w:vAlign w:val="bottom"/>
          </w:tcPr>
          <w:p>
            <w:pPr>
              <w:jc w:val="center"/>
              <w:spacing w:after="0" w:line="164" w:lineRule="exact"/>
              <w:rPr>
                <w:sz w:val="20"/>
                <w:szCs w:val="20"/>
                <w:color w:val="auto"/>
              </w:rPr>
            </w:pPr>
            <w:r>
              <w:rPr>
                <w:rFonts w:ascii="Arial" w:cs="Arial" w:eastAsia="Arial" w:hAnsi="Arial"/>
                <w:sz w:val="16"/>
                <w:szCs w:val="16"/>
                <w:color w:val="0070C0"/>
              </w:rPr>
              <w:t>2033</w:t>
            </w:r>
          </w:p>
        </w:tc>
        <w:tc>
          <w:tcPr>
            <w:tcW w:w="0" w:type="dxa"/>
            <w:vAlign w:val="bottom"/>
          </w:tcPr>
          <w:p>
            <w:pPr>
              <w:spacing w:after="0"/>
              <w:rPr>
                <w:sz w:val="1"/>
                <w:szCs w:val="1"/>
                <w:color w:val="auto"/>
              </w:rPr>
            </w:pPr>
          </w:p>
        </w:tc>
      </w:tr>
      <w:tr>
        <w:trPr>
          <w:trHeight w:val="215"/>
        </w:trPr>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0070C0"/>
              </w:rPr>
              <w:t>Forms and Methods of Use Thereof (Method of Use)</w:t>
            </w: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Footnotes follow on next page.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320" w:hanging="328"/>
        <w:spacing w:after="0" w:line="264"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8"/>
          <w:szCs w:val="18"/>
          <w:color w:val="auto"/>
        </w:rPr>
        <w:t>I</w:t>
      </w:r>
      <w:r>
        <w:rPr>
          <w:rFonts w:ascii="Arial" w:cs="Arial" w:eastAsia="Arial" w:hAnsi="Arial"/>
          <w:sz w:val="16"/>
          <w:szCs w:val="16"/>
          <w:color w:val="auto"/>
        </w:rPr>
        <w:t>n addition to patent protection, certain of our products are entitled to regulatory exclusivity in the U.S. and the E.U. expected until the dates set</w:t>
      </w:r>
      <w:r>
        <w:rPr>
          <w:rFonts w:ascii="Arial" w:cs="Arial" w:eastAsia="Arial" w:hAnsi="Arial"/>
          <w:sz w:val="18"/>
          <w:szCs w:val="18"/>
          <w:color w:val="auto"/>
        </w:rPr>
        <w:t xml:space="preserve"> </w:t>
      </w:r>
      <w:r>
        <w:rPr>
          <w:rFonts w:ascii="Arial" w:cs="Arial" w:eastAsia="Arial" w:hAnsi="Arial"/>
          <w:sz w:val="16"/>
          <w:szCs w:val="16"/>
          <w:color w:val="auto"/>
        </w:rPr>
        <w:t>forth below:</w:t>
      </w:r>
    </w:p>
    <w:p>
      <w:pPr>
        <w:spacing w:after="0" w:line="94" w:lineRule="exact"/>
        <w:rPr>
          <w:sz w:val="20"/>
          <w:szCs w:val="20"/>
          <w:color w:val="auto"/>
        </w:rPr>
      </w:pPr>
    </w:p>
    <w:tbl>
      <w:tblPr>
        <w:tblLayout w:type="fixed"/>
        <w:tblInd w:w="2740" w:type="dxa"/>
        <w:tblCellMar>
          <w:top w:w="0" w:type="dxa"/>
          <w:left w:w="0" w:type="dxa"/>
          <w:bottom w:w="0" w:type="dxa"/>
          <w:right w:w="0" w:type="dxa"/>
        </w:tblCellMar>
      </w:tblPr>
      <w:tr>
        <w:trPr>
          <w:trHeight w:val="197"/>
        </w:trPr>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Territory</w:t>
            </w:r>
          </w:p>
        </w:tc>
        <w:tc>
          <w:tcPr>
            <w:tcW w:w="2780" w:type="dxa"/>
            <w:vAlign w:val="bottom"/>
          </w:tcPr>
          <w:p>
            <w:pPr>
              <w:spacing w:after="0"/>
              <w:rPr>
                <w:sz w:val="20"/>
                <w:szCs w:val="20"/>
                <w:color w:val="auto"/>
              </w:rPr>
            </w:pPr>
            <w:r>
              <w:rPr>
                <w:rFonts w:ascii="Arial" w:cs="Arial" w:eastAsia="Arial" w:hAnsi="Arial"/>
                <w:sz w:val="14"/>
                <w:szCs w:val="14"/>
                <w:b w:val="1"/>
                <w:bCs w:val="1"/>
                <w:color w:val="auto"/>
              </w:rPr>
              <w:t>Expected Expiration</w:t>
            </w:r>
          </w:p>
        </w:tc>
      </w:tr>
      <w:tr>
        <w:trPr>
          <w:trHeight w:val="210"/>
        </w:trPr>
        <w:tc>
          <w:tcPr>
            <w:tcW w:w="1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PLEGRIDY</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2026</w:t>
            </w:r>
          </w:p>
        </w:tc>
      </w:tr>
      <w:tr>
        <w:trPr>
          <w:trHeight w:val="209"/>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SPINRAZA</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2029</w:t>
            </w:r>
          </w:p>
        </w:tc>
      </w:tr>
      <w:tr>
        <w:trPr>
          <w:trHeight w:val="210"/>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LEQEMBI</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2035</w:t>
            </w:r>
          </w:p>
        </w:tc>
      </w:tr>
      <w:tr>
        <w:trPr>
          <w:trHeight w:val="210"/>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LEQEMBI</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2035</w:t>
            </w:r>
          </w:p>
        </w:tc>
      </w:tr>
      <w:tr>
        <w:trPr>
          <w:trHeight w:val="209"/>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QALSODY</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2030</w:t>
            </w:r>
          </w:p>
        </w:tc>
      </w:tr>
      <w:tr>
        <w:trPr>
          <w:trHeight w:val="209"/>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QALSODY</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2034</w:t>
            </w:r>
          </w:p>
        </w:tc>
      </w:tr>
      <w:tr>
        <w:trPr>
          <w:trHeight w:val="209"/>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ZURZUVAE</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2028</w:t>
            </w:r>
          </w:p>
        </w:tc>
      </w:tr>
      <w:tr>
        <w:trPr>
          <w:trHeight w:val="210"/>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ZURZUVAE</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2035</w:t>
            </w:r>
          </w:p>
        </w:tc>
      </w:tr>
      <w:tr>
        <w:trPr>
          <w:trHeight w:val="210"/>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SKYCLARYS</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2030</w:t>
            </w:r>
          </w:p>
        </w:tc>
      </w:tr>
      <w:tr>
        <w:trPr>
          <w:trHeight w:val="209"/>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SKYCLARYS</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2034</w:t>
            </w:r>
          </w:p>
        </w:tc>
      </w:tr>
    </w:tbl>
    <w:p>
      <w:pPr>
        <w:spacing w:after="0" w:line="24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2028.</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2031.</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2031.</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patent with this subject matter may be entitled to patent term extension in the U.S.</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2032.</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2038.</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2039.</w:t>
      </w:r>
    </w:p>
    <w:p>
      <w:pPr>
        <w:spacing w:after="0" w:line="180" w:lineRule="exact"/>
        <w:rPr>
          <w:rFonts w:ascii="Arial" w:cs="Arial" w:eastAsia="Arial" w:hAnsi="Arial"/>
          <w:sz w:val="16"/>
          <w:szCs w:val="16"/>
          <w:color w:val="auto"/>
        </w:rPr>
      </w:pPr>
    </w:p>
    <w:p>
      <w:pPr>
        <w:ind w:left="660" w:right="540" w:hanging="328"/>
        <w:spacing w:after="0" w:line="286"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SPC applications based on this patent have been filed in certain European countries, which if granted would extend the patent term in those countries to 2032.</w:t>
      </w:r>
    </w:p>
    <w:p>
      <w:pPr>
        <w:spacing w:after="0" w:line="1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existence of patents does not guarantee our right to practice the patented technology or commercialize the patented product. Patents relating to pharmaceutical, biopharmaceutical and biotechnology products, compounds and processes, such as those that cover our existing products, compounds and processes and those that we will likely file in the future, do not always provide complete or adequate protection. Litigation, interferences, oppositions,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administrative challenges or other similar types of proceedings are, have been and may in the future be necessary in some instances to determine the validity and scope of certain of our patents, regulatory exclusivities or other proprietary rights, and in other instances to determine the validity, scope or non-infringement of certain patent rights claimed by third parties to be pertinent to the manufacture, use or sale of our products. We also face challenges to our patents, regulatory exclusivities or other proprietary rights covering our products by third parties, such as manufacturers of generics, biosimilars, prodrugs and products approved under abbreviated regulatory pathways. A discussion of certain risks and uncertainties that may affect our patent position, regulatory exclusivities or other proprietary rights is set forth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the discussion of legal proceedings related to certain patents described above is set forth in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9"/>
          <w:szCs w:val="29"/>
          <w:color w:val="0070C0"/>
        </w:rPr>
        <w:t>COMPETITION</w:t>
      </w:r>
    </w:p>
    <w:p>
      <w:pPr>
        <w:spacing w:after="0" w:line="13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Competition in the biopharmaceutical industry and the markets in which we operate is intense. There are many companies, including biotechnology and pharmaceutical companies, engaged in developing products for the indications our approved products are approved to treat and the therapeutic areas we are targeting with our research and development activities. Some of our competitors may have substantially greater financial, marketing, research and development and other resources than we do.</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that competition and leadership in the industry is based on scientific, managerial and technological excellence and innovation, as well as establishing patent and other proprietary positions through research and development. The achievement of a leadership position also depends largely upon our ability to maximize the approval, acceptance and use of our product candidates and the availability of adequate financial resources to fund facilities, equipment, personnel, clinical testing, manufacturing and marketing. Another key aspect of remaining competitive in the industry is recruiting and retaining leading scientists and technicians to conduct our research activities and advance our development programs, including with the regulatory and commercial expertise to effectively advance and market our products.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Competition among products approved for sale may be based, among other things, on patent position, product efficacy, safety, patient convenience, delivery devices, reliability, availability, reimbursement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will have a significant impact on our competitive position.</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introduction of new products or technologies, including the development of new processes or technologies by competitors or new information about existing products or technologies, results in increased competition for our marketed products and pricing pressure on our marketed products. The development of new or improved treatment options could eliminate the use of our products or may limit the utility and application of ongoing clinical trials for our product candidates. Similarly, developments of new standards of care practices, treatment options or cures for the diseases our products treat could have similar impacts.</w:t>
      </w:r>
    </w:p>
    <w:p>
      <w:pPr>
        <w:spacing w:after="0" w:line="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believe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w:t>
      </w:r>
    </w:p>
    <w:p>
      <w:pPr>
        <w:spacing w:after="0" w:line="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Additional information about the competition that our marketed products face is set forth below and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auto"/>
        </w:rPr>
        <w:t>GENERIC AND BIOSIMILARS COMPETITION</w:t>
      </w:r>
    </w:p>
    <w:p>
      <w:pPr>
        <w:spacing w:after="0" w:line="12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Certain of our products already face, or may face in the future, competition from the introduction of new originator therapies, generics, prodrugs and biosimilars of existing products and products approved under abbreviated regulatory pathways. Such products are likely to be sold at substantially lower prices than branded products. Accordingly, the introduction of such products as well as other lower-priced competing products may significantly reduce both the price that we are able to charge for our products and the volume of products we sell, which will negatively impact our revenue. In some jurisdictions a decrease in reimbursed price is mandated by law. In addition, in some markets, when a generic or biosimilar version of one of our products is commercialized, it may be automatically substituted for our product and significantly reduce our revenue in a short period of time.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TECFIDERA</w:t>
      </w:r>
    </w:p>
    <w:p>
      <w:pPr>
        <w:spacing w:after="0" w:line="106"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Multiple TECFIDERA generic entrants are now in North America, Brazil and certain European countries and have deeply discounted prices compared to TECFIDERA. The generic competition for TECFIDERA has significantly reduced our TECFIDERA revenue and we expect that TECFIDERA revenue will continue to decline. In November 2025 the Technical Boards of Appeal of the European Patent Office revoked our EP 2 653 873 patent related to TECFIDERA, after which we stopped enforcing this patent and its national counterparts.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RITUXAN</w:t>
      </w:r>
    </w:p>
    <w:p>
      <w:pPr>
        <w:spacing w:after="0" w:line="106"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Biosimilar products referencing RITUXAN are available in the U.S and are being offered at lower prices. This competition has had a significant adverse impact on the pre-tax profits of our collaboration arrangements with</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Genentech, as the sales of RITUXAN have decreased substantially compared to prior periods and we expect sales to continue to decrease.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TYSABRI</w:t>
      </w:r>
    </w:p>
    <w:p>
      <w:pPr>
        <w:spacing w:after="0" w:line="10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biosimilar entrant of TYSABRI was approved in the U.S. and the E.U. in 2023. We expect that future sales of TYSABRI will continue to be adversely affected by the entrance of this biosimilar worldwide.</w:t>
      </w:r>
    </w:p>
    <w:p>
      <w:pPr>
        <w:spacing w:after="0" w:line="41" w:lineRule="exact"/>
        <w:rPr>
          <w:sz w:val="20"/>
          <w:szCs w:val="20"/>
          <w:color w:val="auto"/>
        </w:rPr>
      </w:pPr>
    </w:p>
    <w:p>
      <w:pPr>
        <w:spacing w:after="0"/>
        <w:rPr>
          <w:sz w:val="20"/>
          <w:szCs w:val="20"/>
          <w:color w:val="auto"/>
        </w:rPr>
      </w:pPr>
      <w:r>
        <w:rPr>
          <w:rFonts w:ascii="Arial" w:cs="Arial" w:eastAsia="Arial" w:hAnsi="Arial"/>
          <w:sz w:val="25"/>
          <w:szCs w:val="25"/>
          <w:color w:val="auto"/>
        </w:rPr>
        <w:t>NEUROLOGY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0070C0"/>
        </w:rPr>
        <w:t>MULTIPLE SCLEROSIS</w:t>
      </w:r>
    </w:p>
    <w:p>
      <w:pPr>
        <w:spacing w:after="0" w:line="1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Competition in the MS market is intense. Along with us, a number of companies are working to develop additional treatments for MS that may in the future compete with our MS products. Our MS products may be adversely affected if competitors continue to gain market share, or if other MS products that we or our competitors are developing are commercialized.</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0070C0"/>
        </w:rPr>
        <w:t>ALZHEIMER'S DISEASE</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market for the treatment of Alzheimer's disease is developing and could be subject to rapid change in the future. Most current treatments are symptomatic or intended to improve quality of life. We and our collaboration partner Eisai co-commercialize LEQEMBI, an anti-amyloid antibody for the treatment of Alzheimer's disease. Along with us, several companies are working to develop additional treatments. A competing product, KISUNLA, a treatment for early symptomatic Alzheimer's disease that was developed by Eli Lilly and Company, was approved in the U.S. in 2024 and in the E.U. in 2025. We are aware of other products now in development that, if approved, may also compete with LEQEMBI.</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color w:val="auto"/>
        </w:rPr>
        <w:t>RARE DISEASE</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SPINAL MUSCULAR ATROPHY</w:t>
      </w:r>
    </w:p>
    <w:p>
      <w:pPr>
        <w:spacing w:after="0" w:line="119"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We face competition from an oral product EVRYSDI (risdiplam) and a gene therapy product ZOLGENSMA (onasemnogene abeparvovec-xioi). We expect that we will experience competition from both products in additional jurisdictions and new formulations of those products, which may adversely affect our sales of SPINRAZA.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9"/>
          <w:szCs w:val="29"/>
          <w:color w:val="0070C0"/>
        </w:rPr>
        <w:t>RESEARCH AND DEVELOPMENT PROGRAMS</w:t>
      </w:r>
    </w:p>
    <w:p>
      <w:pPr>
        <w:spacing w:after="0" w:line="13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commitment to research and development is fundamental to our mission. Our research efforts are focused on better understanding the underlying biology of diseases so we can discover and deliver treatments that have the potential to make a real difference in the lives of patients with high unmet medical needs. By applying our expertise in biologics and our capabilities in small molecule, antisense and other technologies, we target specific medical needs where we believe new or better treatments are needed.</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intend to continue committing significant resources to targeted research and development opportunities where there is a significant unmet need and where a drug candidate has the potential to be highly differentiated. As part of our ongoing research and development efforts, we have devoted significant resources to conducting clinical studies to advance the development of new pharmaceutical products and technologies and to explore the utility of our existing products in treating disorders beyond those currently approved in their labels.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research and development expense included in our consolidated statements of income, please read </w:t>
      </w:r>
      <w:r>
        <w:rPr>
          <w:rFonts w:ascii="Arial" w:cs="Arial" w:eastAsia="Arial" w:hAnsi="Arial"/>
          <w:sz w:val="18"/>
          <w:szCs w:val="18"/>
          <w:i w:val="1"/>
          <w:iCs w:val="1"/>
          <w:color w:val="auto"/>
        </w:rPr>
        <w:t>Item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included in this report.</w:t>
      </w:r>
    </w:p>
    <w:p>
      <w:pPr>
        <w:spacing w:after="0" w:line="99"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 xml:space="preserve">The table below highlights our current research and development programs that are in clinical trials and the current phase of such programs. Drug development involves a high degree of risk and investment, and the status, timing and scope of our development programs are subject to change. Important factors that could adversely affect our drug development efforts are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38100</wp:posOffset>
            </wp:positionV>
            <wp:extent cx="2228850" cy="651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28850" cy="6515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FFFFFF"/>
        </w:rPr>
        <w:t>Neurology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309245</wp:posOffset>
            </wp:positionV>
            <wp:extent cx="2228850" cy="8229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2885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FFFFFF"/>
        </w:rPr>
        <w:t>Immunology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394970</wp:posOffset>
            </wp:positionV>
            <wp:extent cx="2228850" cy="1165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2885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left="660"/>
        <w:spacing w:after="0"/>
        <w:rPr>
          <w:sz w:val="20"/>
          <w:szCs w:val="20"/>
          <w:color w:val="auto"/>
        </w:rPr>
      </w:pPr>
      <w:r>
        <w:rPr>
          <w:rFonts w:ascii="Arial" w:cs="Arial" w:eastAsia="Arial" w:hAnsi="Arial"/>
          <w:sz w:val="17"/>
          <w:szCs w:val="17"/>
          <w:b w:val="1"/>
          <w:bCs w:val="1"/>
          <w:color w:val="FFFFFF"/>
        </w:rPr>
        <w:t>Rare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9"/>
          <w:szCs w:val="9"/>
          <w:color w:val="auto"/>
        </w:rPr>
      </w:pPr>
      <w:r>
        <w:rPr>
          <w:rFonts w:ascii="Arial" w:cs="Arial" w:eastAsia="Arial" w:hAnsi="Arial"/>
          <w:sz w:val="14"/>
          <w:szCs w:val="14"/>
          <w:color w:val="auto"/>
        </w:rPr>
        <w:t>Collaboration program</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80" w:type="dxa"/>
            <w:vAlign w:val="bottom"/>
            <w:shd w:val="clear" w:color="auto" w:fill="005B7F"/>
          </w:tcPr>
          <w:p>
            <w:pPr>
              <w:ind w:left="20"/>
              <w:spacing w:after="0"/>
              <w:rPr>
                <w:sz w:val="20"/>
                <w:szCs w:val="20"/>
                <w:color w:val="auto"/>
              </w:rPr>
            </w:pPr>
            <w:r>
              <w:rPr>
                <w:rFonts w:ascii="Arial" w:cs="Arial" w:eastAsia="Arial" w:hAnsi="Arial"/>
                <w:sz w:val="14"/>
                <w:szCs w:val="14"/>
                <w:b w:val="1"/>
                <w:bCs w:val="1"/>
                <w:color w:val="FFFFFF"/>
              </w:rPr>
              <w:t>Lecanemab (Aβ mAb)</w:t>
            </w:r>
            <w:r>
              <w:rPr>
                <w:rFonts w:ascii="Arial" w:cs="Arial" w:eastAsia="Arial" w:hAnsi="Arial"/>
                <w:sz w:val="18"/>
                <w:szCs w:val="18"/>
                <w:b w:val="1"/>
                <w:bCs w:val="1"/>
                <w:color w:val="FFFFFF"/>
                <w:vertAlign w:val="superscript"/>
              </w:rPr>
              <w:t>(1)</w:t>
            </w:r>
            <w:r>
              <w:rPr>
                <w:rFonts w:ascii="Arial" w:cs="Arial" w:eastAsia="Arial" w:hAnsi="Arial"/>
                <w:sz w:val="14"/>
                <w:szCs w:val="14"/>
                <w:b w:val="1"/>
                <w:bCs w:val="1"/>
                <w:color w:val="FFFFFF"/>
              </w:rPr>
              <w:t xml:space="preserve"> - Preclinical Alzheimer's</w:t>
            </w:r>
          </w:p>
        </w:tc>
        <w:tc>
          <w:tcPr>
            <w:tcW w:w="100" w:type="dxa"/>
            <w:vAlign w:val="bottom"/>
          </w:tcPr>
          <w:p>
            <w:pPr>
              <w:spacing w:after="0"/>
              <w:rPr>
                <w:sz w:val="18"/>
                <w:szCs w:val="18"/>
                <w:color w:val="auto"/>
              </w:rPr>
            </w:pPr>
          </w:p>
        </w:tc>
        <w:tc>
          <w:tcPr>
            <w:tcW w:w="900" w:type="dxa"/>
            <w:vAlign w:val="bottom"/>
            <w:shd w:val="clear" w:color="auto" w:fill="005B7F"/>
          </w:tcPr>
          <w:p>
            <w:pPr>
              <w:spacing w:after="0"/>
              <w:rPr>
                <w:sz w:val="18"/>
                <w:szCs w:val="18"/>
                <w:color w:val="auto"/>
              </w:rPr>
            </w:pPr>
          </w:p>
        </w:tc>
        <w:tc>
          <w:tcPr>
            <w:tcW w:w="1880" w:type="dxa"/>
            <w:vAlign w:val="bottom"/>
            <w:gridSpan w:val="2"/>
            <w:shd w:val="clear" w:color="auto" w:fill="005B7F"/>
          </w:tcPr>
          <w:p>
            <w:pPr>
              <w:ind w:left="2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16"/>
        </w:trPr>
        <w:tc>
          <w:tcPr>
            <w:tcW w:w="4680" w:type="dxa"/>
            <w:vAlign w:val="bottom"/>
            <w:shd w:val="clear" w:color="auto" w:fill="005B7F"/>
          </w:tcPr>
          <w:p>
            <w:pPr>
              <w:ind w:left="20"/>
              <w:spacing w:after="0"/>
              <w:rPr>
                <w:sz w:val="20"/>
                <w:szCs w:val="20"/>
                <w:color w:val="auto"/>
              </w:rPr>
            </w:pPr>
            <w:r>
              <w:rPr>
                <w:rFonts w:ascii="Arial" w:cs="Arial" w:eastAsia="Arial" w:hAnsi="Arial"/>
                <w:sz w:val="14"/>
                <w:szCs w:val="14"/>
                <w:b w:val="1"/>
                <w:bCs w:val="1"/>
                <w:color w:val="FFFFFF"/>
              </w:rPr>
              <w:t>BIIB080 (tau ASO)</w:t>
            </w:r>
            <w:r>
              <w:rPr>
                <w:rFonts w:ascii="Arial" w:cs="Arial" w:eastAsia="Arial" w:hAnsi="Arial"/>
                <w:sz w:val="18"/>
                <w:szCs w:val="18"/>
                <w:b w:val="1"/>
                <w:bCs w:val="1"/>
                <w:color w:val="FFFFFF"/>
                <w:vertAlign w:val="superscript"/>
              </w:rPr>
              <w:t>(1)</w:t>
            </w:r>
            <w:r>
              <w:rPr>
                <w:rFonts w:ascii="Arial" w:cs="Arial" w:eastAsia="Arial" w:hAnsi="Arial"/>
                <w:sz w:val="14"/>
                <w:szCs w:val="14"/>
                <w:b w:val="1"/>
                <w:bCs w:val="1"/>
                <w:color w:val="FFFFFF"/>
              </w:rPr>
              <w:t xml:space="preserve"> - Alzheimer's</w:t>
            </w:r>
          </w:p>
        </w:tc>
        <w:tc>
          <w:tcPr>
            <w:tcW w:w="100" w:type="dxa"/>
            <w:vAlign w:val="bottom"/>
          </w:tcPr>
          <w:p>
            <w:pPr>
              <w:spacing w:after="0"/>
              <w:rPr>
                <w:sz w:val="18"/>
                <w:szCs w:val="18"/>
                <w:color w:val="auto"/>
              </w:rPr>
            </w:pPr>
          </w:p>
        </w:tc>
        <w:tc>
          <w:tcPr>
            <w:tcW w:w="2040" w:type="dxa"/>
            <w:vAlign w:val="bottom"/>
            <w:gridSpan w:val="2"/>
            <w:shd w:val="clear" w:color="auto" w:fill="005B7F"/>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005B7F"/>
          </w:tcPr>
          <w:p>
            <w:pPr>
              <w:ind w:left="20"/>
              <w:spacing w:after="0"/>
              <w:rPr>
                <w:sz w:val="20"/>
                <w:szCs w:val="20"/>
                <w:color w:val="auto"/>
              </w:rPr>
            </w:pPr>
            <w:r>
              <w:rPr>
                <w:rFonts w:ascii="Arial" w:cs="Arial" w:eastAsia="Arial" w:hAnsi="Arial"/>
                <w:sz w:val="14"/>
                <w:szCs w:val="14"/>
                <w:b w:val="1"/>
                <w:bCs w:val="1"/>
                <w:color w:val="FFFFFF"/>
              </w:rPr>
              <w:t>BIIB122 (LRRK2 inhibitor)</w:t>
            </w:r>
            <w:r>
              <w:rPr>
                <w:rFonts w:ascii="Arial" w:cs="Arial" w:eastAsia="Arial" w:hAnsi="Arial"/>
                <w:sz w:val="18"/>
                <w:szCs w:val="18"/>
                <w:b w:val="1"/>
                <w:bCs w:val="1"/>
                <w:color w:val="FFFFFF"/>
                <w:vertAlign w:val="superscript"/>
              </w:rPr>
              <w:t>(1)</w:t>
            </w:r>
            <w:r>
              <w:rPr>
                <w:rFonts w:ascii="Arial" w:cs="Arial" w:eastAsia="Arial" w:hAnsi="Arial"/>
                <w:sz w:val="14"/>
                <w:szCs w:val="14"/>
                <w:b w:val="1"/>
                <w:bCs w:val="1"/>
                <w:color w:val="FFFFFF"/>
              </w:rPr>
              <w:t xml:space="preserve"> - Parkinson's</w:t>
            </w:r>
          </w:p>
        </w:tc>
        <w:tc>
          <w:tcPr>
            <w:tcW w:w="100" w:type="dxa"/>
            <w:vAlign w:val="bottom"/>
          </w:tcPr>
          <w:p>
            <w:pPr>
              <w:spacing w:after="0"/>
              <w:rPr>
                <w:sz w:val="18"/>
                <w:szCs w:val="18"/>
                <w:color w:val="auto"/>
              </w:rPr>
            </w:pPr>
          </w:p>
        </w:tc>
        <w:tc>
          <w:tcPr>
            <w:tcW w:w="2040" w:type="dxa"/>
            <w:vAlign w:val="bottom"/>
            <w:gridSpan w:val="2"/>
            <w:shd w:val="clear" w:color="auto" w:fill="005B7F"/>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005B7F"/>
          </w:tcPr>
          <w:p>
            <w:pPr>
              <w:ind w:left="20"/>
              <w:spacing w:after="0"/>
              <w:rPr>
                <w:sz w:val="20"/>
                <w:szCs w:val="20"/>
                <w:color w:val="auto"/>
              </w:rPr>
            </w:pPr>
            <w:r>
              <w:rPr>
                <w:rFonts w:ascii="Arial" w:cs="Arial" w:eastAsia="Arial" w:hAnsi="Arial"/>
                <w:sz w:val="14"/>
                <w:szCs w:val="14"/>
                <w:b w:val="1"/>
                <w:bCs w:val="1"/>
                <w:color w:val="FFFFFF"/>
              </w:rPr>
              <w:t>BIIB091 (peripheral BTK inhibitor) - MS</w:t>
            </w:r>
          </w:p>
        </w:tc>
        <w:tc>
          <w:tcPr>
            <w:tcW w:w="100" w:type="dxa"/>
            <w:vAlign w:val="bottom"/>
          </w:tcPr>
          <w:p>
            <w:pPr>
              <w:spacing w:after="0"/>
              <w:rPr>
                <w:sz w:val="18"/>
                <w:szCs w:val="18"/>
                <w:color w:val="auto"/>
              </w:rPr>
            </w:pPr>
          </w:p>
        </w:tc>
        <w:tc>
          <w:tcPr>
            <w:tcW w:w="2040" w:type="dxa"/>
            <w:vAlign w:val="bottom"/>
            <w:gridSpan w:val="2"/>
            <w:shd w:val="clear" w:color="auto" w:fill="005B7F"/>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FFFFFF"/>
              </w:rPr>
              <w:t>Dapirolizumab pegol (anti-CD40L)</w:t>
            </w:r>
            <w:r>
              <w:rPr>
                <w:rFonts w:ascii="Arial" w:cs="Arial" w:eastAsia="Arial" w:hAnsi="Arial"/>
                <w:sz w:val="18"/>
                <w:szCs w:val="18"/>
                <w:b w:val="1"/>
                <w:bCs w:val="1"/>
                <w:color w:val="FFFFFF"/>
                <w:vertAlign w:val="superscript"/>
              </w:rPr>
              <w:t>(1)</w:t>
            </w:r>
            <w:r>
              <w:rPr>
                <w:rFonts w:ascii="Arial" w:cs="Arial" w:eastAsia="Arial" w:hAnsi="Arial"/>
                <w:sz w:val="14"/>
                <w:szCs w:val="14"/>
                <w:b w:val="1"/>
                <w:bCs w:val="1"/>
                <w:color w:val="FFFFFF"/>
              </w:rPr>
              <w:t xml:space="preserve"> - SLE</w:t>
            </w:r>
          </w:p>
        </w:tc>
        <w:tc>
          <w:tcPr>
            <w:tcW w:w="100" w:type="dxa"/>
            <w:vAlign w:val="bottom"/>
          </w:tcPr>
          <w:p>
            <w:pPr>
              <w:spacing w:after="0"/>
              <w:rPr>
                <w:sz w:val="18"/>
                <w:szCs w:val="18"/>
                <w:color w:val="auto"/>
              </w:rPr>
            </w:pPr>
          </w:p>
        </w:tc>
        <w:tc>
          <w:tcPr>
            <w:tcW w:w="900" w:type="dxa"/>
            <w:vAlign w:val="bottom"/>
            <w:shd w:val="clear" w:color="auto" w:fill="40AEFF"/>
          </w:tcPr>
          <w:p>
            <w:pPr>
              <w:spacing w:after="0"/>
              <w:rPr>
                <w:sz w:val="18"/>
                <w:szCs w:val="18"/>
                <w:color w:val="auto"/>
              </w:rPr>
            </w:pPr>
          </w:p>
        </w:tc>
        <w:tc>
          <w:tcPr>
            <w:tcW w:w="1880" w:type="dxa"/>
            <w:vAlign w:val="bottom"/>
            <w:gridSpan w:val="2"/>
            <w:shd w:val="clear" w:color="auto" w:fill="40AEFF"/>
          </w:tcPr>
          <w:p>
            <w:pPr>
              <w:ind w:left="2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FFFFFF"/>
              </w:rPr>
              <w:t>Litifilimab (anti-BDCA2) - SLE</w:t>
            </w:r>
          </w:p>
        </w:tc>
        <w:tc>
          <w:tcPr>
            <w:tcW w:w="100" w:type="dxa"/>
            <w:vAlign w:val="bottom"/>
          </w:tcPr>
          <w:p>
            <w:pPr>
              <w:spacing w:after="0"/>
              <w:rPr>
                <w:sz w:val="18"/>
                <w:szCs w:val="18"/>
                <w:color w:val="auto"/>
              </w:rPr>
            </w:pPr>
          </w:p>
        </w:tc>
        <w:tc>
          <w:tcPr>
            <w:tcW w:w="900" w:type="dxa"/>
            <w:vAlign w:val="bottom"/>
            <w:shd w:val="clear" w:color="auto" w:fill="40AEFF"/>
          </w:tcPr>
          <w:p>
            <w:pPr>
              <w:spacing w:after="0"/>
              <w:rPr>
                <w:sz w:val="18"/>
                <w:szCs w:val="18"/>
                <w:color w:val="auto"/>
              </w:rPr>
            </w:pPr>
          </w:p>
        </w:tc>
        <w:tc>
          <w:tcPr>
            <w:tcW w:w="1880" w:type="dxa"/>
            <w:vAlign w:val="bottom"/>
            <w:gridSpan w:val="2"/>
            <w:shd w:val="clear" w:color="auto" w:fill="40AEFF"/>
          </w:tcPr>
          <w:p>
            <w:pPr>
              <w:ind w:left="2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FFFFFF"/>
              </w:rPr>
              <w:t>Litifilimab (anti-BDCA2) - CLE</w:t>
            </w:r>
          </w:p>
        </w:tc>
        <w:tc>
          <w:tcPr>
            <w:tcW w:w="100" w:type="dxa"/>
            <w:vAlign w:val="bottom"/>
          </w:tcPr>
          <w:p>
            <w:pPr>
              <w:spacing w:after="0"/>
              <w:rPr>
                <w:sz w:val="18"/>
                <w:szCs w:val="18"/>
                <w:color w:val="auto"/>
              </w:rPr>
            </w:pPr>
          </w:p>
        </w:tc>
        <w:tc>
          <w:tcPr>
            <w:tcW w:w="900" w:type="dxa"/>
            <w:vAlign w:val="bottom"/>
            <w:shd w:val="clear" w:color="auto" w:fill="40AEFF"/>
          </w:tcPr>
          <w:p>
            <w:pPr>
              <w:spacing w:after="0"/>
              <w:rPr>
                <w:sz w:val="18"/>
                <w:szCs w:val="18"/>
                <w:color w:val="auto"/>
              </w:rPr>
            </w:pPr>
          </w:p>
        </w:tc>
        <w:tc>
          <w:tcPr>
            <w:tcW w:w="1880" w:type="dxa"/>
            <w:vAlign w:val="bottom"/>
            <w:gridSpan w:val="2"/>
            <w:shd w:val="clear" w:color="auto" w:fill="40AEFF"/>
          </w:tcPr>
          <w:p>
            <w:pPr>
              <w:ind w:left="2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FFFFFF"/>
              </w:rPr>
              <w:t>BIIB142 (IRAK4 degrader)</w:t>
            </w:r>
            <w:r>
              <w:rPr>
                <w:rFonts w:ascii="Arial" w:cs="Arial" w:eastAsia="Arial" w:hAnsi="Arial"/>
                <w:sz w:val="18"/>
                <w:szCs w:val="18"/>
                <w:b w:val="1"/>
                <w:bCs w:val="1"/>
                <w:color w:val="FFFFFF"/>
                <w:vertAlign w:val="superscript"/>
              </w:rPr>
              <w:t>(1)</w:t>
            </w:r>
          </w:p>
        </w:tc>
        <w:tc>
          <w:tcPr>
            <w:tcW w:w="100" w:type="dxa"/>
            <w:vAlign w:val="bottom"/>
          </w:tcPr>
          <w:p>
            <w:pPr>
              <w:spacing w:after="0"/>
              <w:rPr>
                <w:sz w:val="18"/>
                <w:szCs w:val="18"/>
                <w:color w:val="auto"/>
              </w:rPr>
            </w:pPr>
          </w:p>
        </w:tc>
        <w:tc>
          <w:tcPr>
            <w:tcW w:w="900" w:type="dxa"/>
            <w:vAlign w:val="bottom"/>
            <w:shd w:val="clear" w:color="auto" w:fill="40AEFF"/>
          </w:tcPr>
          <w:p>
            <w:pPr>
              <w:ind w:left="18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FFFFFF"/>
              </w:rPr>
              <w:t>BIIB145 (BTK degrader)</w:t>
            </w:r>
            <w:r>
              <w:rPr>
                <w:rFonts w:ascii="Arial" w:cs="Arial" w:eastAsia="Arial" w:hAnsi="Arial"/>
                <w:sz w:val="18"/>
                <w:szCs w:val="18"/>
                <w:b w:val="1"/>
                <w:bCs w:val="1"/>
                <w:color w:val="FFFFFF"/>
                <w:vertAlign w:val="superscript"/>
              </w:rPr>
              <w:t>(1)</w:t>
            </w:r>
          </w:p>
        </w:tc>
        <w:tc>
          <w:tcPr>
            <w:tcW w:w="100" w:type="dxa"/>
            <w:vAlign w:val="bottom"/>
          </w:tcPr>
          <w:p>
            <w:pPr>
              <w:spacing w:after="0"/>
              <w:rPr>
                <w:sz w:val="18"/>
                <w:szCs w:val="18"/>
                <w:color w:val="auto"/>
              </w:rPr>
            </w:pPr>
          </w:p>
        </w:tc>
        <w:tc>
          <w:tcPr>
            <w:tcW w:w="900" w:type="dxa"/>
            <w:vAlign w:val="bottom"/>
            <w:shd w:val="clear" w:color="auto" w:fill="40AEFF"/>
          </w:tcPr>
          <w:p>
            <w:pPr>
              <w:ind w:left="180"/>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0B7A5F"/>
          </w:tcPr>
          <w:p>
            <w:pPr>
              <w:ind w:left="20"/>
              <w:spacing w:after="0"/>
              <w:rPr>
                <w:sz w:val="20"/>
                <w:szCs w:val="20"/>
                <w:color w:val="auto"/>
              </w:rPr>
            </w:pPr>
            <w:r>
              <w:rPr>
                <w:rFonts w:ascii="Arial" w:cs="Arial" w:eastAsia="Arial" w:hAnsi="Arial"/>
                <w:sz w:val="14"/>
                <w:szCs w:val="14"/>
                <w:b w:val="1"/>
                <w:bCs w:val="1"/>
                <w:color w:val="FFFFFF"/>
              </w:rPr>
              <w:t>Felzartamab (anti-CD38 mAb) - AMR</w:t>
            </w:r>
          </w:p>
        </w:tc>
        <w:tc>
          <w:tcPr>
            <w:tcW w:w="100" w:type="dxa"/>
            <w:vAlign w:val="bottom"/>
          </w:tcPr>
          <w:p>
            <w:pPr>
              <w:spacing w:after="0"/>
              <w:rPr>
                <w:sz w:val="18"/>
                <w:szCs w:val="18"/>
                <w:color w:val="auto"/>
              </w:rPr>
            </w:pPr>
          </w:p>
        </w:tc>
        <w:tc>
          <w:tcPr>
            <w:tcW w:w="900" w:type="dxa"/>
            <w:vAlign w:val="bottom"/>
            <w:shd w:val="clear" w:color="auto" w:fill="0B7A5F"/>
          </w:tcPr>
          <w:p>
            <w:pPr>
              <w:spacing w:after="0"/>
              <w:rPr>
                <w:sz w:val="18"/>
                <w:szCs w:val="18"/>
                <w:color w:val="auto"/>
              </w:rPr>
            </w:pPr>
          </w:p>
        </w:tc>
        <w:tc>
          <w:tcPr>
            <w:tcW w:w="1880" w:type="dxa"/>
            <w:vAlign w:val="bottom"/>
            <w:gridSpan w:val="2"/>
            <w:shd w:val="clear" w:color="auto" w:fill="0B7A5F"/>
          </w:tcPr>
          <w:p>
            <w:pPr>
              <w:ind w:left="2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0B7A5F"/>
          </w:tcPr>
          <w:p>
            <w:pPr>
              <w:ind w:left="20"/>
              <w:spacing w:after="0"/>
              <w:rPr>
                <w:sz w:val="20"/>
                <w:szCs w:val="20"/>
                <w:color w:val="auto"/>
              </w:rPr>
            </w:pPr>
            <w:r>
              <w:rPr>
                <w:rFonts w:ascii="Arial" w:cs="Arial" w:eastAsia="Arial" w:hAnsi="Arial"/>
                <w:sz w:val="14"/>
                <w:szCs w:val="14"/>
                <w:b w:val="1"/>
                <w:bCs w:val="1"/>
                <w:color w:val="FFFFFF"/>
              </w:rPr>
              <w:t>Felzartamab (anti-CD38 mAb) - IgAN</w:t>
            </w:r>
          </w:p>
        </w:tc>
        <w:tc>
          <w:tcPr>
            <w:tcW w:w="100" w:type="dxa"/>
            <w:vAlign w:val="bottom"/>
          </w:tcPr>
          <w:p>
            <w:pPr>
              <w:spacing w:after="0"/>
              <w:rPr>
                <w:sz w:val="18"/>
                <w:szCs w:val="18"/>
                <w:color w:val="auto"/>
              </w:rPr>
            </w:pPr>
          </w:p>
        </w:tc>
        <w:tc>
          <w:tcPr>
            <w:tcW w:w="900" w:type="dxa"/>
            <w:vAlign w:val="bottom"/>
            <w:shd w:val="clear" w:color="auto" w:fill="0B7A5F"/>
          </w:tcPr>
          <w:p>
            <w:pPr>
              <w:spacing w:after="0"/>
              <w:rPr>
                <w:sz w:val="18"/>
                <w:szCs w:val="18"/>
                <w:color w:val="auto"/>
              </w:rPr>
            </w:pPr>
          </w:p>
        </w:tc>
        <w:tc>
          <w:tcPr>
            <w:tcW w:w="1880" w:type="dxa"/>
            <w:vAlign w:val="bottom"/>
            <w:gridSpan w:val="2"/>
            <w:shd w:val="clear" w:color="auto" w:fill="0B7A5F"/>
          </w:tcPr>
          <w:p>
            <w:pPr>
              <w:ind w:left="2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0B7A5F"/>
          </w:tcPr>
          <w:p>
            <w:pPr>
              <w:ind w:left="20"/>
              <w:spacing w:after="0"/>
              <w:rPr>
                <w:sz w:val="20"/>
                <w:szCs w:val="20"/>
                <w:color w:val="auto"/>
              </w:rPr>
            </w:pPr>
            <w:r>
              <w:rPr>
                <w:rFonts w:ascii="Arial" w:cs="Arial" w:eastAsia="Arial" w:hAnsi="Arial"/>
                <w:sz w:val="14"/>
                <w:szCs w:val="14"/>
                <w:b w:val="1"/>
                <w:bCs w:val="1"/>
                <w:color w:val="FFFFFF"/>
              </w:rPr>
              <w:t>Felzartamab (anti-CD38 mAb) - PMN</w:t>
            </w:r>
          </w:p>
        </w:tc>
        <w:tc>
          <w:tcPr>
            <w:tcW w:w="100" w:type="dxa"/>
            <w:vAlign w:val="bottom"/>
          </w:tcPr>
          <w:p>
            <w:pPr>
              <w:spacing w:after="0"/>
              <w:rPr>
                <w:sz w:val="18"/>
                <w:szCs w:val="18"/>
                <w:color w:val="auto"/>
              </w:rPr>
            </w:pPr>
          </w:p>
        </w:tc>
        <w:tc>
          <w:tcPr>
            <w:tcW w:w="900" w:type="dxa"/>
            <w:vAlign w:val="bottom"/>
            <w:shd w:val="clear" w:color="auto" w:fill="0B7A5F"/>
          </w:tcPr>
          <w:p>
            <w:pPr>
              <w:spacing w:after="0"/>
              <w:rPr>
                <w:sz w:val="18"/>
                <w:szCs w:val="18"/>
                <w:color w:val="auto"/>
              </w:rPr>
            </w:pPr>
          </w:p>
        </w:tc>
        <w:tc>
          <w:tcPr>
            <w:tcW w:w="1880" w:type="dxa"/>
            <w:vAlign w:val="bottom"/>
            <w:gridSpan w:val="2"/>
            <w:shd w:val="clear" w:color="auto" w:fill="0B7A5F"/>
          </w:tcPr>
          <w:p>
            <w:pPr>
              <w:ind w:left="2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0B7A5F"/>
          </w:tcPr>
          <w:p>
            <w:pPr>
              <w:ind w:left="20"/>
              <w:spacing w:after="0"/>
              <w:rPr>
                <w:sz w:val="20"/>
                <w:szCs w:val="20"/>
                <w:color w:val="auto"/>
              </w:rPr>
            </w:pPr>
            <w:r>
              <w:rPr>
                <w:rFonts w:ascii="Arial" w:cs="Arial" w:eastAsia="Arial" w:hAnsi="Arial"/>
                <w:sz w:val="14"/>
                <w:szCs w:val="14"/>
                <w:b w:val="1"/>
                <w:bCs w:val="1"/>
                <w:color w:val="FFFFFF"/>
              </w:rPr>
              <w:t>Felzartamab (anti-CD38 mAb) - MVI</w:t>
            </w:r>
          </w:p>
        </w:tc>
        <w:tc>
          <w:tcPr>
            <w:tcW w:w="100" w:type="dxa"/>
            <w:vAlign w:val="bottom"/>
          </w:tcPr>
          <w:p>
            <w:pPr>
              <w:spacing w:after="0"/>
              <w:rPr>
                <w:sz w:val="18"/>
                <w:szCs w:val="18"/>
                <w:color w:val="auto"/>
              </w:rPr>
            </w:pPr>
          </w:p>
        </w:tc>
        <w:tc>
          <w:tcPr>
            <w:tcW w:w="2040" w:type="dxa"/>
            <w:vAlign w:val="bottom"/>
            <w:gridSpan w:val="2"/>
            <w:shd w:val="clear" w:color="auto" w:fill="0B7A5F"/>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0B7A5F"/>
          </w:tcPr>
          <w:p>
            <w:pPr>
              <w:ind w:left="20"/>
              <w:spacing w:after="0"/>
              <w:rPr>
                <w:sz w:val="20"/>
                <w:szCs w:val="20"/>
                <w:color w:val="auto"/>
              </w:rPr>
            </w:pPr>
            <w:r>
              <w:rPr>
                <w:rFonts w:ascii="Arial" w:cs="Arial" w:eastAsia="Arial" w:hAnsi="Arial"/>
                <w:sz w:val="14"/>
                <w:szCs w:val="14"/>
                <w:b w:val="1"/>
                <w:bCs w:val="1"/>
                <w:color w:val="FFFFFF"/>
              </w:rPr>
              <w:t>Omaveloxolone (Nrf2 activator) - Pediatric FA</w:t>
            </w:r>
          </w:p>
        </w:tc>
        <w:tc>
          <w:tcPr>
            <w:tcW w:w="100" w:type="dxa"/>
            <w:vAlign w:val="bottom"/>
          </w:tcPr>
          <w:p>
            <w:pPr>
              <w:spacing w:after="0"/>
              <w:rPr>
                <w:sz w:val="18"/>
                <w:szCs w:val="18"/>
                <w:color w:val="auto"/>
              </w:rPr>
            </w:pPr>
          </w:p>
        </w:tc>
        <w:tc>
          <w:tcPr>
            <w:tcW w:w="900" w:type="dxa"/>
            <w:vAlign w:val="bottom"/>
            <w:shd w:val="clear" w:color="auto" w:fill="0B7A5F"/>
          </w:tcPr>
          <w:p>
            <w:pPr>
              <w:spacing w:after="0"/>
              <w:rPr>
                <w:sz w:val="18"/>
                <w:szCs w:val="18"/>
                <w:color w:val="auto"/>
              </w:rPr>
            </w:pPr>
          </w:p>
        </w:tc>
        <w:tc>
          <w:tcPr>
            <w:tcW w:w="1880" w:type="dxa"/>
            <w:vAlign w:val="bottom"/>
            <w:gridSpan w:val="2"/>
            <w:shd w:val="clear" w:color="auto" w:fill="0B7A5F"/>
          </w:tcPr>
          <w:p>
            <w:pPr>
              <w:ind w:left="2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0B7A5F"/>
          </w:tcPr>
          <w:p>
            <w:pPr>
              <w:ind w:left="20"/>
              <w:spacing w:after="0"/>
              <w:rPr>
                <w:sz w:val="20"/>
                <w:szCs w:val="20"/>
                <w:color w:val="auto"/>
              </w:rPr>
            </w:pPr>
            <w:r>
              <w:rPr>
                <w:rFonts w:ascii="Arial" w:cs="Arial" w:eastAsia="Arial" w:hAnsi="Arial"/>
                <w:sz w:val="14"/>
                <w:szCs w:val="14"/>
                <w:b w:val="1"/>
                <w:bCs w:val="1"/>
                <w:color w:val="FFFFFF"/>
              </w:rPr>
              <w:t>Salanersen BIIB115 (SMN ASO)</w:t>
            </w:r>
            <w:r>
              <w:rPr>
                <w:rFonts w:ascii="Arial" w:cs="Arial" w:eastAsia="Arial" w:hAnsi="Arial"/>
                <w:sz w:val="18"/>
                <w:szCs w:val="18"/>
                <w:b w:val="1"/>
                <w:bCs w:val="1"/>
                <w:color w:val="FFFFFF"/>
                <w:vertAlign w:val="superscript"/>
              </w:rPr>
              <w:t>(1)</w:t>
            </w:r>
            <w:r>
              <w:rPr>
                <w:rFonts w:ascii="Arial" w:cs="Arial" w:eastAsia="Arial" w:hAnsi="Arial"/>
                <w:sz w:val="14"/>
                <w:szCs w:val="14"/>
                <w:b w:val="1"/>
                <w:bCs w:val="1"/>
                <w:color w:val="FFFFFF"/>
              </w:rPr>
              <w:t xml:space="preserve"> - SMA</w:t>
            </w:r>
          </w:p>
        </w:tc>
        <w:tc>
          <w:tcPr>
            <w:tcW w:w="100" w:type="dxa"/>
            <w:vAlign w:val="bottom"/>
          </w:tcPr>
          <w:p>
            <w:pPr>
              <w:spacing w:after="0"/>
              <w:rPr>
                <w:sz w:val="18"/>
                <w:szCs w:val="18"/>
                <w:color w:val="auto"/>
              </w:rPr>
            </w:pPr>
          </w:p>
        </w:tc>
        <w:tc>
          <w:tcPr>
            <w:tcW w:w="900" w:type="dxa"/>
            <w:vAlign w:val="bottom"/>
            <w:shd w:val="clear" w:color="auto" w:fill="0B7A5F"/>
          </w:tcPr>
          <w:p>
            <w:pPr>
              <w:spacing w:after="0"/>
              <w:rPr>
                <w:sz w:val="18"/>
                <w:szCs w:val="18"/>
                <w:color w:val="auto"/>
              </w:rPr>
            </w:pPr>
          </w:p>
        </w:tc>
        <w:tc>
          <w:tcPr>
            <w:tcW w:w="1880" w:type="dxa"/>
            <w:vAlign w:val="bottom"/>
            <w:gridSpan w:val="2"/>
            <w:shd w:val="clear" w:color="auto" w:fill="0B7A5F"/>
          </w:tcPr>
          <w:p>
            <w:pPr>
              <w:ind w:left="2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0B7A5F"/>
          </w:tcPr>
          <w:p>
            <w:pPr>
              <w:ind w:left="20"/>
              <w:spacing w:after="0"/>
              <w:rPr>
                <w:sz w:val="20"/>
                <w:szCs w:val="20"/>
                <w:color w:val="auto"/>
              </w:rPr>
            </w:pPr>
            <w:r>
              <w:rPr>
                <w:rFonts w:ascii="Arial" w:cs="Arial" w:eastAsia="Arial" w:hAnsi="Arial"/>
                <w:sz w:val="14"/>
                <w:szCs w:val="14"/>
                <w:b w:val="1"/>
                <w:bCs w:val="1"/>
                <w:color w:val="FFFFFF"/>
              </w:rPr>
              <w:t>Zorevunersen (SCN1A ASO)</w:t>
            </w:r>
            <w:r>
              <w:rPr>
                <w:rFonts w:ascii="Arial" w:cs="Arial" w:eastAsia="Arial" w:hAnsi="Arial"/>
                <w:sz w:val="18"/>
                <w:szCs w:val="18"/>
                <w:b w:val="1"/>
                <w:bCs w:val="1"/>
                <w:color w:val="FFFFFF"/>
                <w:vertAlign w:val="superscript"/>
              </w:rPr>
              <w:t>(1)</w:t>
            </w:r>
            <w:r>
              <w:rPr>
                <w:rFonts w:ascii="Arial" w:cs="Arial" w:eastAsia="Arial" w:hAnsi="Arial"/>
                <w:sz w:val="14"/>
                <w:szCs w:val="14"/>
                <w:b w:val="1"/>
                <w:bCs w:val="1"/>
                <w:color w:val="FFFFFF"/>
              </w:rPr>
              <w:t xml:space="preserve"> - Dravet syndrome</w:t>
            </w:r>
          </w:p>
        </w:tc>
        <w:tc>
          <w:tcPr>
            <w:tcW w:w="100" w:type="dxa"/>
            <w:vAlign w:val="bottom"/>
          </w:tcPr>
          <w:p>
            <w:pPr>
              <w:spacing w:after="0"/>
              <w:rPr>
                <w:sz w:val="18"/>
                <w:szCs w:val="18"/>
                <w:color w:val="auto"/>
              </w:rPr>
            </w:pPr>
          </w:p>
        </w:tc>
        <w:tc>
          <w:tcPr>
            <w:tcW w:w="900" w:type="dxa"/>
            <w:vAlign w:val="bottom"/>
            <w:shd w:val="clear" w:color="auto" w:fill="0B7A5F"/>
          </w:tcPr>
          <w:p>
            <w:pPr>
              <w:spacing w:after="0"/>
              <w:rPr>
                <w:sz w:val="18"/>
                <w:szCs w:val="18"/>
                <w:color w:val="auto"/>
              </w:rPr>
            </w:pPr>
          </w:p>
        </w:tc>
        <w:tc>
          <w:tcPr>
            <w:tcW w:w="1880" w:type="dxa"/>
            <w:vAlign w:val="bottom"/>
            <w:gridSpan w:val="2"/>
            <w:shd w:val="clear" w:color="auto" w:fill="0B7A5F"/>
          </w:tcPr>
          <w:p>
            <w:pPr>
              <w:ind w:left="220"/>
              <w:spacing w:after="0"/>
              <w:rPr>
                <w:sz w:val="20"/>
                <w:szCs w:val="20"/>
                <w:color w:val="auto"/>
              </w:rPr>
            </w:pPr>
            <w:r>
              <w:rPr>
                <w:rFonts w:ascii="Arial" w:cs="Arial" w:eastAsia="Arial" w:hAnsi="Arial"/>
                <w:sz w:val="14"/>
                <w:szCs w:val="14"/>
                <w:color w:val="FFFFFF"/>
              </w:rPr>
              <w:t>Phase 3</w:t>
            </w:r>
          </w:p>
        </w:tc>
      </w:tr>
    </w:tbl>
    <w:p>
      <w:pPr>
        <w:spacing w:after="0" w:line="507" w:lineRule="exact"/>
        <w:rPr>
          <w:sz w:val="20"/>
          <w:szCs w:val="20"/>
          <w:color w:val="auto"/>
        </w:rPr>
      </w:pPr>
    </w:p>
    <w:p>
      <w:pPr>
        <w:sectPr>
          <w:pgSz w:w="11900" w:h="16838" w:orient="portrait"/>
          <w:cols w:equalWidth="0" w:num="2">
            <w:col w:w="2940" w:space="720"/>
            <w:col w:w="7580"/>
          </w:cols>
          <w:pgMar w:left="320" w:top="238" w:right="339" w:bottom="1440" w:gutter="0" w:footer="0" w:header="0"/>
          <w:type w:val="continuous"/>
        </w:sectPr>
      </w:pPr>
    </w:p>
    <w:p>
      <w:pPr>
        <w:ind w:right="220"/>
        <w:spacing w:after="0" w:line="268" w:lineRule="auto"/>
        <w:rPr>
          <w:sz w:val="20"/>
          <w:szCs w:val="20"/>
          <w:color w:val="auto"/>
        </w:rPr>
      </w:pPr>
      <w:r>
        <w:rPr>
          <w:rFonts w:ascii="Arial" w:cs="Arial" w:eastAsia="Arial" w:hAnsi="Arial"/>
          <w:sz w:val="18"/>
          <w:szCs w:val="18"/>
          <w:color w:val="auto"/>
        </w:rPr>
        <w:t xml:space="preserve">For information about certain of our agreements with collaborators and other third parties, please read the subsection entitled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below and</w:t>
      </w:r>
      <w:r>
        <w:rPr>
          <w:rFonts w:ascii="Arial" w:cs="Arial" w:eastAsia="Arial" w:hAnsi="Arial"/>
          <w:sz w:val="18"/>
          <w:szCs w:val="18"/>
          <w:i w:val="1"/>
          <w:iCs w:val="1"/>
          <w:color w:val="auto"/>
        </w:rPr>
        <w:t xml:space="preserve"> Note 2, Acquisitions and Note 19, Collaborative and Other Relationships, </w:t>
      </w:r>
      <w:r>
        <w:rPr>
          <w:rFonts w:ascii="Arial" w:cs="Arial" w:eastAsia="Arial" w:hAnsi="Arial"/>
          <w:sz w:val="18"/>
          <w:szCs w:val="18"/>
          <w:color w:val="auto"/>
        </w:rPr>
        <w:t>to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this report.</w:t>
      </w:r>
    </w:p>
    <w:p>
      <w:pPr>
        <w:spacing w:after="0" w:line="49" w:lineRule="exact"/>
        <w:rPr>
          <w:sz w:val="20"/>
          <w:szCs w:val="20"/>
          <w:color w:val="auto"/>
        </w:rPr>
      </w:pPr>
    </w:p>
    <w:p>
      <w:pPr>
        <w:spacing w:after="0"/>
        <w:rPr>
          <w:sz w:val="20"/>
          <w:szCs w:val="20"/>
          <w:color w:val="auto"/>
        </w:rPr>
      </w:pPr>
      <w:r>
        <w:rPr>
          <w:rFonts w:ascii="Arial" w:cs="Arial" w:eastAsia="Arial" w:hAnsi="Arial"/>
          <w:sz w:val="29"/>
          <w:szCs w:val="29"/>
          <w:color w:val="0070C0"/>
        </w:rPr>
        <w:t>BUSINESS RELATIONSHIPS</w:t>
      </w:r>
    </w:p>
    <w:p>
      <w:pPr>
        <w:spacing w:after="0" w:line="13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part of our business strategy, we establish business relationships, including entering into licenses, joint ventures and collaborative arrangements with other companies, universities and medical research institutions, to assist in the clinical development and/or commercialization of certain of our products and product candidates and to provide support for our research programs. We also evaluate opportunities for acquiring products or rights to products and technologies that are complementary to our business from other companies, universities and medical research institutions.</w:t>
      </w:r>
    </w:p>
    <w:p>
      <w:pPr>
        <w:spacing w:after="0" w:line="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Below is a brief description of certain business relationships and collaborations that expand our pipeline and provide us with certain rights to existing and potential new products and technologies. For additional information on certain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of these relationships, including their ongoing financial and accounting impact on our business,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EISAI</w:t>
      </w:r>
    </w:p>
    <w:p>
      <w:pPr>
        <w:spacing w:after="0" w:line="10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 collaboration agreement with Eisai to jointly develop and commercialize LEQEMBI (lecanemab), an anti-amyloid antibody for the treatment of Alzheimer's disease. Subject to the limitations in the LEQEMBI Collaboration Agreement, Eisai has final decision-making authority on all matters relating to the collaboration and serves as the lead of LEQEMBI development and regulatory submissions globally. We co-commercialize and co-promote LEQEMBI with Eisai. Our Collaboration Agreement provides that each commercialization plan shall allocate the responsibilities for the activities under the plan in an equitable fashion taking into account Biogen's and Eisai's respective capabilities and provides a meaningful role for each party. All costs, including research, development, sales and marketing expense, are shared equally between us and Eisai. We also share profits and losses equally. We currently have a supply agreement with Eisai to manufacture LEQEMBI drug substance and drug product through the end of 2031.</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SUPERNUS (PREVIOUSLY SAGE)</w:t>
      </w:r>
    </w:p>
    <w:p>
      <w:pPr>
        <w:spacing w:after="0" w:line="10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have a global collaboration and license agreement with Supernus to jointly develop and commercialize ZURZUVAE (zuranolone) for the treatment of PPD.</w:t>
      </w:r>
    </w:p>
    <w:p>
      <w:pPr>
        <w:spacing w:after="0" w:line="4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Under this collaboration, both companies will share equal responsibility and costs for development as well as profits and losses for commercialization in the U.S. Outside of the U.S., we are responsible for development and commercialization, excluding Japan, Taiwan and South Korea.</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GENENTECH</w:t>
      </w:r>
    </w:p>
    <w:p>
      <w:pPr>
        <w:spacing w:after="0" w:line="11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have agreements with Genentech that entitle us to certain business and financial rights with respect to RITUXAN, RITUXAN HYCELA, GAZYVA, OCREVUS, LUNSUMIO and COLUMVI, as well as the option to add other potential anti-CD20 therapies.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UCB</w:t>
      </w:r>
    </w:p>
    <w:p>
      <w:pPr>
        <w:spacing w:after="0" w:line="1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have a collaboration agreement with UCB to jointly develop and commercialize dapirolizumab pegol, an anti-CD40L pegylated Fab, for the potential treatment of SLE and other future agreed indications. All costs incurred for agreed indications, including research, development, sales and marketing expense, are shared equally between us and UCB. If marketing approval is obtained, both companies will jointly commercialize dapirolizumab pegol and share profits and losses equally.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IONIS</w:t>
      </w:r>
    </w:p>
    <w:p>
      <w:pPr>
        <w:spacing w:after="0" w:line="1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have several exclusive, worldwide option and collaboration agreements with Ionis to develop and commercialize antisense therapeutics, including SPINRAZA for the treatment of SMA and QALSODY for the treatment of ALS with SOD1 mutations, as well as other research programs for a broad range of neurological diseases. Under these agreements, we have the option to license therapies arising out of these collaborations and will be responsible for their development and commercialization. Ionis may receive potential milestones and royalties on net sales if we successfully develop the product candidate after option exercise. We have worldwide, exclusive, royalty-bearing licenses to develop and commercialize salanersen (BIIB115), an investigational ASO in development for SMA and BIIB080 (tau ASO) for the potential treatment of Alzheimer's disease.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DENALI</w:t>
      </w:r>
    </w:p>
    <w:p>
      <w:pPr>
        <w:spacing w:after="0" w:line="10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have a collaboration and license agreement with Denali to co-develop and co-commercialize BIIB122, a small molecule inhibitor of LRRK2 for Parkinson's disease (LRRK2 Collaboration). 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STOKE</w:t>
      </w:r>
    </w:p>
    <w:p>
      <w:pPr>
        <w:spacing w:after="0" w:line="11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have a collaboration and license agreement with Stoke to co-develop and commercialize zorevunersen, an investigational ASO that targets the SCN1A gene for the potential treatment of Dravet syndrome, a rare form of genetic epilepsy associated with refractory seizures and neurodevelopmental impairments. Under this agreement, Stoke will continue to lead global development and retain exclusive development and commercialization rights for</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zorevunersen in the U.S., Canada and Mexico and we will have exclusive rights to commercialize zorevunersen in the rest of the world.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SAMSUNG BIOEPIS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We have an agreement with Samsung Bioepis to commercialize three anti-TNF biosimilar product candidates in certain countries in</w:t>
      </w:r>
    </w:p>
    <w:p>
      <w:pPr>
        <w:spacing w:after="0" w:line="2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Europe. Under this agreement, we are commercializing BENEPALI, an etanercept biosimilar referencing ENBREL, IMRALDI, an adalimumab biosimilar referencing HUMIRA, and FLIXABI, an infliximab biosimilar referencing REMICADE.</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addition to our commercialization agreements with Samsung Bioepis, we license certain of our proprietary technology to Samsung Bioepis in connection with Samsung Bioepis' development, manufacture and commercialization of its biosimilar products.</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070C0"/>
        </w:rPr>
        <w:t>REGULATORY</w:t>
      </w:r>
    </w:p>
    <w:p>
      <w:pPr>
        <w:spacing w:after="0" w:line="13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Our current and contemplated activities and the products, technologies and processes that result from such activities are subject to substantial government regulation.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REGULATION OF PHARMACEUTICALS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PRODUCT APPROVAL AND POST-APPROVAL REGULATION IN THE U.S.</w:t>
      </w:r>
    </w:p>
    <w:p>
      <w:pPr>
        <w:spacing w:after="0" w:line="1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APPROVAL PROCESS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Before new pharmaceutical products may be sold in the U.S., preclinical studies and clinical trials of the products must be conducted and the results submitted to the FDA for approval. With limited exceptions, the FDA requires companies to register both pre-approval and post-approval clinical trials and disclose clinical trial results in public databases. Failure to register a trial or disclose study results within the required time periods could result in penalties, including civil monetary penalties. Clinical trial programs must establish efficacy, determine an appropriate dose and dosing regimen and define the conditions for safe use. This is a high-risk process that requires stepwise clinical studies in which the candidate product must successfully meet predetermined endpoints. The results of the preclinical and clinical testing of a product are then submitted to the FDA in the form of a BLA or NDA. In response to a BLA or NDA, the FDA may grant marketing approval, request additional information or deny the application if it determines the application does not provide an adequate basis for approval.</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Product development and receipt of regulatory approval takes a number of years, involves the expenditure of substantial resources and depends on a number of factors, including the severity of the disease in question, the availability of suitable alternative treatments, potential safety signals observed in preclinical or clinical tests and the risks and benefits of the product as demonstrated in clinical trials. The FDA has substantial discretion in the product approval process, and it is impossible to predict with any certainty whether and when the FDA will grant marketing approval. The agency may require the sponsor of a BLA or NDA to conduct additional clinical studies or to provide other scientific or technical information about the product, and these additional requirements may lead to unanticipated delays and/or expenses. Furthermore, even if a product is approved, the approval may be subject to limitations based on the FDA's interpretation of the existing preclinical and/or clinical data.</w:t>
      </w:r>
    </w:p>
    <w:p>
      <w:pPr>
        <w:spacing w:after="0" w:line="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FDA has developed four distinct approaches intended to facilitate the development and expedite the regulatory review of therapeutically important drugs, especially when the drugs are the first available treatment or have advantages over existing treatments: accelerated approval, fast track, breakthrough therapy and priority review.</w:t>
      </w:r>
    </w:p>
    <w:p>
      <w:pPr>
        <w:spacing w:after="0" w:line="63" w:lineRule="exact"/>
        <w:rPr>
          <w:sz w:val="20"/>
          <w:szCs w:val="20"/>
          <w:color w:val="auto"/>
        </w:rPr>
      </w:pPr>
    </w:p>
    <w:p>
      <w:pPr>
        <w:ind w:left="420" w:hanging="331"/>
        <w:spacing w:after="0" w:line="255" w:lineRule="auto"/>
        <w:tabs>
          <w:tab w:leader="none" w:pos="361"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0070C0"/>
        </w:rPr>
        <w:t>Accelerated Approval</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The FDA may grant “accelerated approval” to products that treat serious or life-threatening illnesses and that</w:t>
      </w:r>
      <w:r>
        <w:rPr>
          <w:rFonts w:ascii="Arial" w:cs="Arial" w:eastAsia="Arial" w:hAnsi="Arial"/>
          <w:sz w:val="18"/>
          <w:szCs w:val="18"/>
          <w:i w:val="1"/>
          <w:iCs w:val="1"/>
          <w:color w:val="0070C0"/>
        </w:rPr>
        <w:t xml:space="preserve"> </w:t>
      </w:r>
      <w:r>
        <w:rPr>
          <w:rFonts w:ascii="Arial" w:cs="Arial" w:eastAsia="Arial" w:hAnsi="Arial"/>
          <w:sz w:val="18"/>
          <w:szCs w:val="18"/>
          <w:color w:val="000000"/>
        </w:rPr>
        <w:t>provide meaningful therapeutic benefits to patients over existing treatments. Under this pathway, the FDA may approve a product based on surrogate endpoints or clinical endpoints other than survival or irreversible morbidity. When approval is based on surrogate endpoints or clinical endpoints other than survival or morbidity, the sponsor will be required to provide the FDA with confirmatory data post-approval to verify and describe clinical benefit. Under the FDA's accelerated approval regulations, if the FDA concludes that a drug that has been shown to be effective can be safely used only if distribution or use is restricted, it may require certain post-marketing restrictions to assure safe use. In addition, for products approved under accelerated approval, sponsors may be required to submit all copies of their promotional materials, including advertisements, to the FDA at least 30 days prior to initial dissemination. The FDA may withdraw approval if, for instance, post-marketing studies fail to verify clinical benefit, it becomes clear that</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right="220"/>
        <w:spacing w:after="0" w:line="287" w:lineRule="auto"/>
        <w:rPr>
          <w:sz w:val="20"/>
          <w:szCs w:val="20"/>
          <w:color w:val="auto"/>
        </w:rPr>
      </w:pPr>
      <w:r>
        <w:rPr>
          <w:rFonts w:ascii="Arial" w:cs="Arial" w:eastAsia="Arial" w:hAnsi="Arial"/>
          <w:sz w:val="18"/>
          <w:szCs w:val="18"/>
          <w:color w:val="auto"/>
        </w:rPr>
        <w:t>restrictions on the distribution of the product are inadequate to ensure its safe use or if a sponsor fails to comply with the conditions of the accelerated approval.</w:t>
      </w:r>
    </w:p>
    <w:p>
      <w:pPr>
        <w:spacing w:after="0" w:line="45" w:lineRule="exact"/>
        <w:rPr>
          <w:sz w:val="20"/>
          <w:szCs w:val="20"/>
          <w:color w:val="auto"/>
        </w:rPr>
      </w:pPr>
    </w:p>
    <w:p>
      <w:pPr>
        <w:ind w:left="420" w:right="60" w:hanging="331"/>
        <w:spacing w:after="0" w:line="287" w:lineRule="auto"/>
        <w:tabs>
          <w:tab w:leader="none" w:pos="37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0070C0"/>
        </w:rPr>
        <w:t>Fast Track</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The FDA may grant "fast track" status to products that treat a serious condition and have data demonstrating the potential to</w:t>
      </w:r>
      <w:r>
        <w:rPr>
          <w:rFonts w:ascii="Arial" w:cs="Arial" w:eastAsia="Arial" w:hAnsi="Arial"/>
          <w:sz w:val="18"/>
          <w:szCs w:val="18"/>
          <w:i w:val="1"/>
          <w:iCs w:val="1"/>
          <w:color w:val="0070C0"/>
        </w:rPr>
        <w:t xml:space="preserve"> </w:t>
      </w:r>
      <w:r>
        <w:rPr>
          <w:rFonts w:ascii="Arial" w:cs="Arial" w:eastAsia="Arial" w:hAnsi="Arial"/>
          <w:sz w:val="18"/>
          <w:szCs w:val="18"/>
          <w:color w:val="000000"/>
        </w:rPr>
        <w:t>address an unmet medical need or a drug that has been designated as a qualified infectious disease product.</w:t>
      </w:r>
    </w:p>
    <w:p>
      <w:pPr>
        <w:spacing w:after="0" w:line="44" w:lineRule="exact"/>
        <w:rPr>
          <w:rFonts w:ascii="Arial" w:cs="Arial" w:eastAsia="Arial" w:hAnsi="Arial"/>
          <w:sz w:val="18"/>
          <w:szCs w:val="18"/>
          <w:color w:val="auto"/>
        </w:rPr>
      </w:pPr>
    </w:p>
    <w:p>
      <w:pPr>
        <w:ind w:left="420" w:right="40" w:hanging="331"/>
        <w:spacing w:after="0" w:line="257" w:lineRule="auto"/>
        <w:tabs>
          <w:tab w:leader="none" w:pos="361"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0070C0"/>
        </w:rPr>
        <w:t>Breakthrough Therapy</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The FDA may grant “breakthrough therapy” status to drugs designed to treat, alone or in combination with</w:t>
      </w:r>
      <w:r>
        <w:rPr>
          <w:rFonts w:ascii="Arial" w:cs="Arial" w:eastAsia="Arial" w:hAnsi="Arial"/>
          <w:sz w:val="18"/>
          <w:szCs w:val="18"/>
          <w:i w:val="1"/>
          <w:iCs w:val="1"/>
          <w:color w:val="0070C0"/>
        </w:rPr>
        <w:t xml:space="preserve"> </w:t>
      </w:r>
      <w:r>
        <w:rPr>
          <w:rFonts w:ascii="Arial" w:cs="Arial" w:eastAsia="Arial" w:hAnsi="Arial"/>
          <w:sz w:val="18"/>
          <w:szCs w:val="18"/>
          <w:color w:val="000000"/>
        </w:rPr>
        <w:t>another drug or drugs, a serious or life-threatening disease or condition and for which preliminary clinical evidence suggests a substantial improvement over existing therapies based on a clinically significant endpoint. Breakthrough therapy status entitles the sponsor to earlier and more frequent meetings with the FDA regarding the development of nonclinical and clinical data and permits the FDA to offer product development or regulatory advice for the purpose of shortening the time to product approval. Breakthrough therapy status does not guarantee that a product will be eligible for priority review and does not ensure FDA approval.</w:t>
      </w:r>
    </w:p>
    <w:p>
      <w:pPr>
        <w:spacing w:after="0" w:line="74" w:lineRule="exact"/>
        <w:rPr>
          <w:rFonts w:ascii="Arial" w:cs="Arial" w:eastAsia="Arial" w:hAnsi="Arial"/>
          <w:sz w:val="18"/>
          <w:szCs w:val="18"/>
          <w:i w:val="1"/>
          <w:iCs w:val="1"/>
          <w:color w:val="auto"/>
        </w:rPr>
      </w:pPr>
    </w:p>
    <w:p>
      <w:pPr>
        <w:ind w:left="420" w:right="140" w:hanging="331"/>
        <w:spacing w:after="0" w:line="259" w:lineRule="auto"/>
        <w:tabs>
          <w:tab w:leader="none" w:pos="361"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0070C0"/>
        </w:rPr>
        <w:t>Priority Review</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“Priority review” only applies to applications (original or efficacy supplement) for a drug that treats a serious condition</w:t>
      </w:r>
      <w:r>
        <w:rPr>
          <w:rFonts w:ascii="Arial" w:cs="Arial" w:eastAsia="Arial" w:hAnsi="Arial"/>
          <w:sz w:val="18"/>
          <w:szCs w:val="18"/>
          <w:i w:val="1"/>
          <w:iCs w:val="1"/>
          <w:color w:val="0070C0"/>
        </w:rPr>
        <w:t xml:space="preserve"> </w:t>
      </w:r>
      <w:r>
        <w:rPr>
          <w:rFonts w:ascii="Arial" w:cs="Arial" w:eastAsia="Arial" w:hAnsi="Arial"/>
          <w:sz w:val="18"/>
          <w:szCs w:val="18"/>
          <w:color w:val="000000"/>
        </w:rPr>
        <w:t>and, if approved, would provide a significant improvement in safety or effectiveness of the treatment, diagnosis or prevention of a serious condition. Priority review may also be granted for any supplement that proposes a labeling change due to studies completed in response to a written request from the FDA for pediatric studies, for an application for a drug that has been designated as a qualified infectious disease product or for any application or supplement for a drug submitted with a PRV.</w:t>
      </w:r>
    </w:p>
    <w:p>
      <w:pPr>
        <w:spacing w:after="0" w:line="71" w:lineRule="exact"/>
        <w:rPr>
          <w:sz w:val="20"/>
          <w:szCs w:val="20"/>
          <w:color w:val="auto"/>
        </w:rPr>
      </w:pPr>
    </w:p>
    <w:p>
      <w:pPr>
        <w:ind w:left="420" w:right="460"/>
        <w:spacing w:after="0" w:line="287" w:lineRule="auto"/>
        <w:rPr>
          <w:sz w:val="20"/>
          <w:szCs w:val="20"/>
          <w:color w:val="auto"/>
        </w:rPr>
      </w:pPr>
      <w:r>
        <w:rPr>
          <w:rFonts w:ascii="Arial" w:cs="Arial" w:eastAsia="Arial" w:hAnsi="Arial"/>
          <w:sz w:val="18"/>
          <w:szCs w:val="18"/>
          <w:color w:val="auto"/>
        </w:rPr>
        <w:t>As part of our acquisition of Reata in September 2023 we obtained a rare pediatric disease PRV in connection with the approval of SKYCLARYS, which was approved by the FDA in February 2023.</w:t>
      </w:r>
    </w:p>
    <w:p>
      <w:pPr>
        <w:spacing w:after="0" w:line="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POST-MARKETING STUDIES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Regardless of the approval pathway employed, the FDA may require a sponsor to conduct additional post-marketing studies as a condition of approval to provide data on safety and effectiveness. If a sponsor fails to conduct the required studies, the FDA may withdraw its approval. In addition, if the FDA concludes that a drug that has been shown to be effective can be safely used only if distribution or use is restricted, it can mandate post-marketing restrictions to assure safe use. In such a case, the sponsor may be required to establish rigorous systems to assure use of the product under safe conditions. These systems are usually referred to as REMS. The FDA can impose financial penalties for failing to comply with certain post-marketing commitments, including REMS. In addition, any changes to an approved REMS must be reviewed and approved by the FDA prior to implementation.</w:t>
      </w:r>
    </w:p>
    <w:p>
      <w:pPr>
        <w:spacing w:after="0" w:line="7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ADVERSE EVENT REPORTING</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monitor information on side effects and adverse events reported during clinical studies and after marketing approval and report such information and events to regulatory agencies. Non-compliance with the FDA's safety reporting requirements may result in civil or criminal penalties. Side effects or adverse events that are reported during clinical trials can delay, impede or prevent marketing approval. Based on new safety information that emerges after approval, the FDA can mandate product labeling changes, impose a new REMS or the addition of elements to an existing REMS, require new post-marketing studies (including additional clinical trials) or suspend or withdraw approval of the product. These requirements may affect our ability to maintain marketing approval of our products or require us to make significant expenditures to obtain or maintain such approvals.</w:t>
      </w:r>
    </w:p>
    <w:p>
      <w:pPr>
        <w:spacing w:after="0" w:line="7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APPROVAL OF CHANGES TO AN APPROVED PRODUCT</w:t>
      </w:r>
    </w:p>
    <w:p>
      <w:pPr>
        <w:spacing w:after="0" w:line="117"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 new indication, we are required to demonstrate with additional clinical data that the product is safe and effective for a use other than what was initially approved. FDA regulatory review may result in denial or modification of the planned changes, or requirements to conduct additional tests or evaluations that can substantially delay or increase the cost of the planned changes.</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REGULATION OF PRODUCT ADVERTISING AND PROMOTION</w:t>
      </w:r>
    </w:p>
    <w:p>
      <w:pPr>
        <w:spacing w:after="0" w:line="11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The FDA regulates all advertising and promotion activities and communications for products under its jurisdiction both before and after approval. Pursuant to FDA guidance, a company can make safety and efficacy claims either in or consistent with the product label. However, physicians may prescribe legally available drugs for uses that are not described in the drug's labeling. Such off-label prescribing is common across medical specialties, and often reflects a physician's belief that the off-label use is the best treatment for patients. The FDA does not regulate the behavior of physicians in their choice of treatments, but FDA regulations do impose stringent restrictions on manufacturers'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communications regarding off-label uses. Failure to comply with applicable FDA requirements may subject a company to adverse publicity, enforcement action by the FDA, corrective advertising and the full range of civil and criminal penalties available to the government.</w:t>
      </w:r>
    </w:p>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REGULATION OF COMBINATION PRODUCTS</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Combination products are defined by the FDA to include products comprising two or more regulated components (e.g., a biologic and a device). Biologics and devices each have their own regulatory requirements, and combination products may have additional requirements. Some of our marketed products meet this definition and are regulated under this framework and similar regulations outside the U.S., and we expect that some of our pipeline product candidates may be evaluated for regulatory approval under this framework as well.</w:t>
      </w:r>
    </w:p>
    <w:p>
      <w:pPr>
        <w:spacing w:after="0" w:line="6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May 2017 new regulations governing medical devices and in-vitro diagnostic medical devices entered into force in the E.U. The medical devices regulations became applicable in May 2021 and the in-vitro diagnostic medical devices regulations became applicable in May 2022. All products covered by these regulations will be required to comply with them at the end of the transitional periods. These regulations introduce new requirements, including for clinical investigation of certain classifications of medical devices, require increased regulatory scrutiny, enhance the requirements for post market surveillance and vigilance and provide for greater transparency. These regulations also change the requirements for assessment of the medical device components of integral drug-device combination products, necessitating assessment of the device components under both the medical device and medicinal product regulatory regimes.</w:t>
      </w:r>
    </w:p>
    <w:p>
      <w:pPr>
        <w:spacing w:after="0" w:line="7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May 6, 2024, the FDA issued a Final Rule that explicitly states that in-vitro diagnostic products are medical devices under the Federal Food, Drug and Cosmetic Act, even when manufactured by clinical laboratories. This includes laboratory developed tests, which historically operated under FDA's enforcement discretion and were largely unregulated by the agency.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PRODUCT APPROVAL AND POST-APPROVAL REGULATION OUTSIDE THE U.S.</w:t>
      </w:r>
    </w:p>
    <w:p>
      <w:pPr>
        <w:spacing w:after="0" w:line="1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market our products in numerous jurisdictions outside the U.S. Most of these jurisdictions have product approval and post-approval regulatory processes that are similar in principle to those in the U.S. In Europe, for example, where a substantial part of our ex-U.S. efforts are focused, there are several routes for marketing approval, depending on the type of product for which approval is sought. Under the centralized procedure, a company submits a single application to the EMA. The MAA is similar to the NDA or BLA in the U.S. and is evaluated by the CHMP, the expert scientific committee of the EMA responsible for human medicines. If the CHMP determines that the MAA fulfills the requirements for quality, safety and efficacy and that the medicine has a positive benefit risk balance, it will adopt a positive opinion recommending the granting of the marketing authorization by the EC. The CHMP opinion is not binding, but is typically adopted by the EC. An MAA approved by the EC is valid in all member states of the E.U. The centralized procedure is required for all biological products, orphan medicinal products and new treatments for neurodegenerative disorders, and it is available for certain other products, including those which constitute a significant therapeutic, scientific or technical innovation.</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addition to the centralized procedure, the European regulatory framework includes the following options for regulatory review and approval in the E.U. member states:</w:t>
      </w:r>
    </w:p>
    <w:p>
      <w:pPr>
        <w:spacing w:after="0" w:line="45" w:lineRule="exact"/>
        <w:rPr>
          <w:sz w:val="20"/>
          <w:szCs w:val="20"/>
          <w:color w:val="auto"/>
        </w:rPr>
      </w:pPr>
    </w:p>
    <w:p>
      <w:pPr>
        <w:ind w:left="360" w:hanging="271"/>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national procedure, where the first application is made to the competent authority in one E.U. member state only;</w:t>
      </w:r>
    </w:p>
    <w:p>
      <w:pPr>
        <w:spacing w:after="0" w:line="117" w:lineRule="exact"/>
        <w:rPr>
          <w:rFonts w:ascii="Arial" w:cs="Arial" w:eastAsia="Arial" w:hAnsi="Arial"/>
          <w:sz w:val="18"/>
          <w:szCs w:val="18"/>
          <w:color w:val="auto"/>
        </w:rPr>
      </w:pPr>
    </w:p>
    <w:p>
      <w:pPr>
        <w:ind w:left="420" w:right="480" w:hanging="331"/>
        <w:spacing w:after="0" w:line="287" w:lineRule="auto"/>
        <w:tabs>
          <w:tab w:leader="none" w:pos="3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decentralized procedure, where applicants submit identical applications to several E.U. member states and receive simultaneous approval, if the medicine has not yet been authorized in any E.U. member state; and</w:t>
      </w:r>
    </w:p>
    <w:p>
      <w:pPr>
        <w:spacing w:after="0" w:line="44" w:lineRule="exact"/>
        <w:rPr>
          <w:rFonts w:ascii="Arial" w:cs="Arial" w:eastAsia="Arial" w:hAnsi="Arial"/>
          <w:sz w:val="18"/>
          <w:szCs w:val="18"/>
          <w:color w:val="auto"/>
        </w:rPr>
      </w:pPr>
    </w:p>
    <w:p>
      <w:pPr>
        <w:ind w:left="420" w:right="560" w:hanging="331"/>
        <w:spacing w:after="0" w:line="287" w:lineRule="auto"/>
        <w:tabs>
          <w:tab w:leader="none" w:pos="3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mutual recognition procedure, where applicants that have a medicine authorized in one E.U. member state can apply for mutual recognition of this authorization in other E.U. member states.</w:t>
      </w:r>
    </w:p>
    <w:p>
      <w:pPr>
        <w:spacing w:after="0" w:line="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in the U.S., the E.U. also has distinct approaches intended to optimize the regulatory pathways for therapeutically important drugs, including the Priority Medicines Evaluation Scheme, accelerated assessment and conditional marketing authorization. Priority Medicines Evaluation Scheme is intended to provide additional support to medicine developers throughout the development process. Regulatory review timelines in the E.U. may be truncated under accelerated assessment for products that address an unmet medical need. In addition, conditional marketing authorizations may be granted for products in the interest of public health, where the benefit of immediate availability outweighs the risk of having less comprehensive data than normally required. Conditional marketing authorizations are valid for one year and can be renewed annually. The marketing authorization holder is required to complete specific obligations (ongoing or new studies and, in some cases, additional activities) with a view to providing</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comprehensive data confirming that the benefit risk balance is positive. Once comprehensive data on the product have been obtained, the marketing authorization may be converted into a standard marketing authorization.</w:t>
      </w:r>
    </w:p>
    <w:p>
      <w:pPr>
        <w:spacing w:after="0" w:line="4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Aside from the U.S. and the E.U., there are countries in other regions where it is possible to receive an "accelerated" review whereby the national regulatory authority will commit to truncated review timelines for products that meet specific medical needs.</w:t>
      </w:r>
    </w:p>
    <w:p>
      <w:pPr>
        <w:spacing w:after="0" w:line="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 the E.U. there is detailed legislation on pharmacovigilance and extensive guidance on good pharmacovigilance practices. A failure to comply with the E.U. pharmacovigilance obligations may result in significant financial penalties for the marketing authorization holder.</w:t>
      </w:r>
    </w:p>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Regardless of the approval process employed, various parties share responsibilities for the monitoring, detection and evaluation of adverse events post-approval, including national competent authorities, the EMA, the EC and the marketing authorization holder. The EMA’s Pharmacovigilance Risk Assessment Committee is responsible for assessing and monitoring the safety of human medicines and makes recommendations on product safety issues. Marketing authorization holders have an obligation to inform regulatory agencies of any new information which may influence the evaluation of benefits and risks of the medicinal product concerned.</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the U.S., the E.U. and other jurisdictions, regulatory agencies, including the FDA, conduct periodic inspections of NDA, BLA and marketing authorization holders to assess their compliance with pharmacovigilance obligations.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GOOD MANUFACTURING PRACTICES</w:t>
      </w:r>
    </w:p>
    <w:p>
      <w:pPr>
        <w:spacing w:after="0" w:line="1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Regulatory agencies regulate and inspect equipment, facilities and processes used in the manufacturing and testing of pharmaceutical and biologic products prior to approving a product. If, after receiving approval from regulatory agencies, a company makes a material change in manufacturing equipment, location or process, additional regulatory review and approval may be required. We also must adhere to current GMP and product-specific regulations enforced by regulatory agencies following product approval. The FDA, the EMA and other regulatory agencies also conduct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or remedies against us, including significant financial penalties and the suspension of our manufacturing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GOOD CLINICAL PRACTICES</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FDA, the EMA and other regulatory agencies promulgate regulations and standards for designing, conducting, monitoring, auditing and reporting the results of clinical trials to ensure that the data and results are accurate and that the rights and welfare of trial participants are adequately protected (commonly referred to as current GCP). Regulatory agencies enforce current GCP through periodic inspections of trial sponsors, principal investigators and trial sites, CROs and institutional review boards. If our studies fail to comply with applicable current GCP guidelines,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trial-related activities. Failure of such third parties to comply with current GCP can likewise result in rejection of our clinical trial data or other sanctions.</w:t>
      </w:r>
    </w:p>
    <w:p>
      <w:pPr>
        <w:spacing w:after="0" w:line="77"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In April 2014 the EC adopted a new Clinical Trial Regulation, which was entered into force in June 2014 but did not apply until January 2022. There are transitional provisions for clinical trials which are ongoing at the date of application. Clinical trial applications could be made under the Clinical Trial Directive (the existing regulatory framework) through January 2023. All clinical trials must fully comply with the Clinical Trial Regulation by January 2025. The regulation harmonizes the procedures for assessment and governance of clinical trials throughout the E.U. and will require that information on the authorization, conduct and results of each clinical trial conducted in the E.U. be publicly available.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APPROVAL OF BIOSIMILARS</w:t>
      </w:r>
    </w:p>
    <w:p>
      <w:pPr>
        <w:spacing w:after="0" w:line="106"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the U.S. the PPACA amended the PHS Act to authorize the FDA to approve biological products, referred to as biosimilars or follow-on biologics, that are shown to be "highly similar" to previously approved biological products based upon potentially abbreviated data packages. The biosimilar must show it has no clinically meaningful differences in terms of safety and effectiveness from the reference product, and only minor differences in clinically inactive components are allowable in biosimilar products. The approval pathway for biosimilars does, however, grant a biologics manufacturer a 12-year period of exclusivity from the date of approval of its biological product before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biosimilar competition can be introduced. There is uncertainty, however, as the approval framework for biosimilars originally was enacted as part of the PPACA. There have been, and there are likely to continue to be, federal legislative and administrative efforts to repeal, substantially modify or invalidate some or all of the provisions of the PPACA. If the PPACA is repealed, substantially modified or invalidated, it is unclear what, if any, impact such action would have on biosimilar regulation.</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biosimilars approval pathway has been in place in the E.U. since 2003. The EMA has issued a number of scientific and product specific biosimilar guidelines, including requirements for approving biosimilars containing monoclonal antibodies. In the E.U., biosimilars are generally approved under the centralized procedure. The approval pathway allows sponsors of a biosimilar to seek and obtain regulatory approval based in part on reliance on the clinical trial data of an innovator product to which the biosimilar has been demonstrated, through comprehensive comparability studies, to be “similar.” In many cases, this allows biosimilars to be brought to market without conducting the full complement of clinical trials typically required for novel biologic drugs.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ORPHAN DRUG ACT</w:t>
      </w:r>
    </w:p>
    <w:p>
      <w:pPr>
        <w:spacing w:after="0" w:line="1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U.S. Orphan Drug Act, the FDA may grant ODD to drugs or biologics intended to treat a “rare disease or condition,” which generally is a disease or condition that affects fewer than 200,000 individuals in the U.S. If a product which has an ODD subsequently receives an initial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to encourage the research, development and marketing of medicines to treat, prevent or diagnose rare diseases. In the E.U., medicinal products that receive and maintain an orphan designation are entitled to 10 years of market exclusivity following approval, protocol assistance and access to the centralized procedure for marketing authorization. SPINRAZA has been granted ODD in the U.S., the E.U. and Japan; QALSODY and SKYCLARYS have been granted ODD in the U.S. and the E.U.; and felzartamab has been granted ODD in the U.S. for development in the treatment of PMN and AMR and in the E.U. in PMN, IgAN and solid organ transplantation.</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REGULATION PERTAINING TO PRICING AND REIMBURSEMENT</w:t>
      </w:r>
    </w:p>
    <w:p>
      <w:pPr>
        <w:spacing w:after="0" w:line="10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both domestic and foreign markets, sales of our products depend, to a significant extent, on the availability and amount of reimbursement by third-party payors, including governments, private health plans and other organizations. Substantial uncertainty exists regarding the pricing and reimbursement of our products, and drug prices continue to receive significant scrutiny. Governments may regulate coverage, reimbursement and pricing of our products to control cost or affect utilization of our products. Challenges to our pricing strategies, by either government or private stakeholders, could harm our business. The U.S. and foreign governments have enacted and regularly consider additional reform measures that affect health care coverage and costs. Private health plans may also seek to manage cost and utilization by implementing coverage and reimbursement limitations. Other payors, including managed care organizations, health insurers, pharmacy benefit managers, government health administration authorities and private health insurers, seek price discounts or rebates in connection with the placement of our products on their formularies and, in some cases, may impose restrictions on access, coverage or pricing of particular drugs based on perceived value.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WITHIN THE U.S.</w:t>
      </w:r>
    </w:p>
    <w:p>
      <w:pPr>
        <w:spacing w:after="0" w:line="119" w:lineRule="exact"/>
        <w:rPr>
          <w:sz w:val="20"/>
          <w:szCs w:val="20"/>
          <w:color w:val="auto"/>
        </w:rPr>
      </w:pPr>
    </w:p>
    <w:p>
      <w:pPr>
        <w:ind w:left="420" w:right="20" w:hanging="331"/>
        <w:spacing w:after="0" w:line="255" w:lineRule="auto"/>
        <w:tabs>
          <w:tab w:leader="none" w:pos="37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0070C0"/>
        </w:rPr>
        <w:t>Medicaid</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Medicaid is a joint federal and state program that is administered by the states for low income and disabled beneficiaries.</w:t>
      </w:r>
      <w:r>
        <w:rPr>
          <w:rFonts w:ascii="Arial" w:cs="Arial" w:eastAsia="Arial" w:hAnsi="Arial"/>
          <w:sz w:val="18"/>
          <w:szCs w:val="18"/>
          <w:i w:val="1"/>
          <w:iCs w:val="1"/>
          <w:color w:val="0070C0"/>
        </w:rPr>
        <w:t xml:space="preserve"> </w:t>
      </w:r>
      <w:r>
        <w:rPr>
          <w:rFonts w:ascii="Arial" w:cs="Arial" w:eastAsia="Arial" w:hAnsi="Arial"/>
          <w:sz w:val="18"/>
          <w:szCs w:val="18"/>
          <w:color w:val="000000"/>
        </w:rPr>
        <w:t>Under the Medicaid Drug Rebate Program, we are required to pay a rebate for each unit of product reimbursed by the state Medicaid programs. The amount of the rebate is established by law and is adjusted upward if the AMP increases more than inflation (measured by the Consumer Price Index - Urban). The rebate amount is calculated each quarter based on our report of current AMP and best price for each of our products to the CMS. The requirements for calculating AMP and best price are complex. We are required to report any revisions to AMP or best price previously reported within a certain period, which revisions could affect our rebate liability for prior quarters. In addition, if we fail to provide information timely or we are found to have knowingly submitted false information to the government, the statute governing the Medicaid Drug Rebate Program provides for civil monetary penalties.</w:t>
      </w:r>
    </w:p>
    <w:p>
      <w:pPr>
        <w:spacing w:after="0" w:line="76" w:lineRule="exact"/>
        <w:rPr>
          <w:rFonts w:ascii="Arial" w:cs="Arial" w:eastAsia="Arial" w:hAnsi="Arial"/>
          <w:sz w:val="18"/>
          <w:szCs w:val="18"/>
          <w:color w:val="auto"/>
        </w:rPr>
      </w:pPr>
    </w:p>
    <w:p>
      <w:pPr>
        <w:ind w:left="420" w:right="140" w:hanging="331"/>
        <w:spacing w:after="0" w:line="268" w:lineRule="auto"/>
        <w:tabs>
          <w:tab w:leader="none" w:pos="361"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0070C0"/>
        </w:rPr>
        <w:t>Medicare</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Medicare is a federal program that is administered by the federal government. The program covers individuals age 65 and</w:t>
      </w:r>
      <w:r>
        <w:rPr>
          <w:rFonts w:ascii="Arial" w:cs="Arial" w:eastAsia="Arial" w:hAnsi="Arial"/>
          <w:sz w:val="18"/>
          <w:szCs w:val="18"/>
          <w:i w:val="1"/>
          <w:iCs w:val="1"/>
          <w:color w:val="0070C0"/>
        </w:rPr>
        <w:t xml:space="preserve"> </w:t>
      </w:r>
      <w:r>
        <w:rPr>
          <w:rFonts w:ascii="Arial" w:cs="Arial" w:eastAsia="Arial" w:hAnsi="Arial"/>
          <w:sz w:val="18"/>
          <w:szCs w:val="18"/>
          <w:color w:val="000000"/>
        </w:rPr>
        <w:t>over as well as those with certain disabilities. Medicare Part B generally covers drugs that must be administered by physicians or other health care practitioners, are provided in connection with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right="80"/>
        <w:spacing w:after="0" w:line="259" w:lineRule="auto"/>
        <w:rPr>
          <w:sz w:val="20"/>
          <w:szCs w:val="20"/>
          <w:color w:val="auto"/>
        </w:rPr>
      </w:pPr>
      <w:r>
        <w:rPr>
          <w:rFonts w:ascii="Arial" w:cs="Arial" w:eastAsia="Arial" w:hAnsi="Arial"/>
          <w:sz w:val="18"/>
          <w:szCs w:val="18"/>
          <w:color w:val="auto"/>
        </w:rPr>
        <w:t>certain durable medical equipment or are certain oral anti-cancer drugs and certain oral immunosuppressive drugs. Medicare Part B pays for such drugs under a payment methodology based on the average sales price of the drugs. Manufacturers, including us, are required to provide average sales price information to the CMS on a quarterly basis. The manufacturer-submitted information is used to calculate Medicare payment rates. If a manufacturer is found to have made a misrepresentation in the reporting of average sales price, the governing statute provides for civil monetary penalties.</w:t>
      </w:r>
    </w:p>
    <w:p>
      <w:pPr>
        <w:spacing w:after="0" w:line="71" w:lineRule="exact"/>
        <w:rPr>
          <w:sz w:val="20"/>
          <w:szCs w:val="20"/>
          <w:color w:val="auto"/>
        </w:rPr>
      </w:pPr>
    </w:p>
    <w:p>
      <w:pPr>
        <w:ind w:left="420" w:right="100"/>
        <w:spacing w:after="0" w:line="256" w:lineRule="auto"/>
        <w:rPr>
          <w:sz w:val="20"/>
          <w:szCs w:val="20"/>
          <w:color w:val="auto"/>
        </w:rPr>
      </w:pPr>
      <w:r>
        <w:rPr>
          <w:rFonts w:ascii="Arial" w:cs="Arial" w:eastAsia="Arial" w:hAnsi="Arial"/>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Each drug plan establishes its own Medicare Part D formulary for prescription drug coverage and pricing, which the drug plan may modify from time-to-time. The prescription drug plans negotiate pricing with manufacturers and pharmacies, and may condition formulary placement on the availability of manufacturer discounts. In addition, up until 2024, manufacturers, including us, were required to provide to the CMS a discount of up to 70.0% on brand name prescription drugs utilized by Medicare Part D beneficiaries when those beneficiaries reach the coverage gap in their drug benefits.</w:t>
      </w:r>
    </w:p>
    <w:p>
      <w:pPr>
        <w:spacing w:after="0" w:line="61" w:lineRule="exact"/>
        <w:rPr>
          <w:sz w:val="20"/>
          <w:szCs w:val="20"/>
          <w:color w:val="auto"/>
        </w:rPr>
      </w:pPr>
    </w:p>
    <w:p>
      <w:pPr>
        <w:ind w:left="420" w:right="100"/>
        <w:spacing w:after="0" w:line="242" w:lineRule="auto"/>
        <w:rPr>
          <w:sz w:val="20"/>
          <w:szCs w:val="20"/>
          <w:color w:val="auto"/>
        </w:rPr>
      </w:pPr>
      <w:r>
        <w:rPr>
          <w:rFonts w:ascii="Arial" w:cs="Arial" w:eastAsia="Arial" w:hAnsi="Arial"/>
          <w:sz w:val="18"/>
          <w:szCs w:val="18"/>
          <w:color w:val="auto"/>
        </w:rPr>
        <w:t>On August 16, 2022, the IRA was signed into law, which provides for (i) the government to negotiate prices for select high-cost Medicare Part D drugs (beginning in 2026) and Part B drugs (beginning in 2028), (ii) manufacturers to pay a rebate for Medicare Part B and Part D drugs when prices increase faster than inflation beginning in 2022 for Part D and 2023 for Part B, and (iii) Medicare Part D redesign which replaces the previous coverage gap provisions and establishes a $2,000 cap for out-of-pocket costs for Medicare beneficiaries beginning in 2025 (indexed to increase in future years), with manufacturers being responsible for up to 10.0% of costs up to the patient's out-of-pocket cap and up to 20.0% after that cap is reached.</w:t>
      </w:r>
    </w:p>
    <w:p>
      <w:pPr>
        <w:spacing w:after="0" w:line="71" w:lineRule="exact"/>
        <w:rPr>
          <w:sz w:val="20"/>
          <w:szCs w:val="20"/>
          <w:color w:val="auto"/>
        </w:rPr>
      </w:pPr>
    </w:p>
    <w:p>
      <w:pPr>
        <w:ind w:left="420" w:right="140"/>
        <w:spacing w:after="0" w:line="251" w:lineRule="auto"/>
        <w:rPr>
          <w:sz w:val="20"/>
          <w:szCs w:val="20"/>
          <w:color w:val="auto"/>
        </w:rPr>
      </w:pPr>
      <w:r>
        <w:rPr>
          <w:rFonts w:ascii="Arial" w:cs="Arial" w:eastAsia="Arial" w:hAnsi="Arial"/>
          <w:sz w:val="17"/>
          <w:szCs w:val="17"/>
          <w:color w:val="auto"/>
        </w:rPr>
        <w:t>The result of these changes for manufacturers, including us, may include: i) a material adverse effect on our revenue on drugs subject to “negotiation”; ii) new rebate liability for drugs subject to the inflation provisions, and iii) potential significant additional costs related to</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 D re-design.</w:t>
      </w:r>
    </w:p>
    <w:p>
      <w:pPr>
        <w:spacing w:after="0" w:line="99" w:lineRule="exact"/>
        <w:rPr>
          <w:sz w:val="20"/>
          <w:szCs w:val="20"/>
          <w:color w:val="auto"/>
        </w:rPr>
      </w:pPr>
    </w:p>
    <w:p>
      <w:pPr>
        <w:ind w:left="420" w:right="60" w:hanging="331"/>
        <w:spacing w:after="0" w:line="255" w:lineRule="auto"/>
        <w:tabs>
          <w:tab w:leader="none" w:pos="361"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0070C0"/>
        </w:rPr>
        <w:t>Federal Agency Discounted Pricing</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Our products are subject to discounted pricing when purchased by federal agencies via the FSS.</w:t>
      </w:r>
      <w:r>
        <w:rPr>
          <w:rFonts w:ascii="Arial" w:cs="Arial" w:eastAsia="Arial" w:hAnsi="Arial"/>
          <w:sz w:val="18"/>
          <w:szCs w:val="18"/>
          <w:i w:val="1"/>
          <w:iCs w:val="1"/>
          <w:color w:val="0070C0"/>
        </w:rPr>
        <w:t xml:space="preserve"> </w:t>
      </w:r>
      <w:r>
        <w:rPr>
          <w:rFonts w:ascii="Arial" w:cs="Arial" w:eastAsia="Arial" w:hAnsi="Arial"/>
          <w:sz w:val="18"/>
          <w:szCs w:val="18"/>
          <w:color w:val="000000"/>
        </w:rPr>
        <w:t>FSS participation is required for our products to be covered and reimbursed by the VA, Department of Defense, Coast Guard and PHS. Coverage under Medicaid, Medicare and the PHS pharmaceutical pricing program is also conditioned upon FSS participation. FSS pricing is intended not to exceed the price that we charge our most-favored non-federal customer for a product. In addition, prices for drugs purchased by the VA, Department of Defense (including drugs purchased by military personnel and dependents through the TriCare retail pharmacy program), Coast Guard and PHS are subject to a cap on pricing equal to 76.0% of the non-federal average manufacturer price (non-FAMP). An additional discount applies if non-FAMP increases more than inflation (measured by the Consumer Price Index - Urban). In addition, if we fail to provide information timely or we are found to have knowingly submitted false information to the government, the governing statute provides for civil monetary penalties.</w:t>
      </w:r>
    </w:p>
    <w:p>
      <w:pPr>
        <w:spacing w:after="0" w:line="72" w:lineRule="exact"/>
        <w:rPr>
          <w:rFonts w:ascii="Arial" w:cs="Arial" w:eastAsia="Arial" w:hAnsi="Arial"/>
          <w:sz w:val="18"/>
          <w:szCs w:val="18"/>
          <w:i w:val="1"/>
          <w:iCs w:val="1"/>
          <w:color w:val="auto"/>
        </w:rPr>
      </w:pPr>
    </w:p>
    <w:p>
      <w:pPr>
        <w:ind w:left="420" w:hanging="331"/>
        <w:spacing w:after="0" w:line="255" w:lineRule="auto"/>
        <w:tabs>
          <w:tab w:leader="none" w:pos="361"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0070C0"/>
        </w:rPr>
        <w:t>340B Discounted Pricing</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To maintain coverage of our products under the Medicaid Drug Rebate Program and Medicare Part B, we are</w:t>
      </w:r>
      <w:r>
        <w:rPr>
          <w:rFonts w:ascii="Arial" w:cs="Arial" w:eastAsia="Arial" w:hAnsi="Arial"/>
          <w:sz w:val="18"/>
          <w:szCs w:val="18"/>
          <w:i w:val="1"/>
          <w:iCs w:val="1"/>
          <w:color w:val="0070C0"/>
        </w:rPr>
        <w:t xml:space="preserve"> </w:t>
      </w:r>
      <w:r>
        <w:rPr>
          <w:rFonts w:ascii="Arial" w:cs="Arial" w:eastAsia="Arial" w:hAnsi="Arial"/>
          <w:sz w:val="18"/>
          <w:szCs w:val="18"/>
          <w:color w:val="000000"/>
        </w:rPr>
        <w:t>required to extend significant discounts to certain covered entities that purchase products under Section 340B of the PHS pharmaceutical pricing program. Purchasers eligible for discounts include hospitals that serve a disproportionate share of financially needy patients, community health clinics and other entities that receive certain types of grants under the PHS Act. For all of our products, we must agree to charge a price that will not exceed the amount determined under statute (the “ceiling price”) when we sell outpatient drugs to these covered entities. In addition, we may, but are not required to, offer these covered entities a price lower than the 340B ceiling price. The 340B discount formula is based on AMP and is generally similar to the level of rebates calculated under the Medicaid Drug Rebate Program.</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color w:val="auto"/>
        </w:rPr>
        <w:t>OUTSIDE THE U.S</w:t>
      </w:r>
      <w:r>
        <w:rPr>
          <w:rFonts w:ascii="Arial" w:cs="Arial" w:eastAsia="Arial" w:hAnsi="Arial"/>
          <w:sz w:val="22"/>
          <w:szCs w:val="22"/>
          <w:b w:val="1"/>
          <w:bCs w:val="1"/>
          <w:color w:val="auto"/>
        </w:rPr>
        <w:t>.</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Outside the U.S., our products are paid for by a variety of payors, with governments being the primary source of payment. Governments may determine or influence reimbursement of products and may also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and using those reference prices to set a price). Budgetary pressures in many countries are continuing to cause governments to consider or implement various cost-containment measures, such as price freezes, increased price cuts and rebates and expanded generic substitution and patient cost-sharing.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REGULATION PERTAINING TO SALES AND MARKETING</w:t>
      </w:r>
    </w:p>
    <w:p>
      <w:pPr>
        <w:spacing w:after="0" w:line="1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subject to various federal and state laws pertaining to health care “fraud and abuse,” including anti-kickback laws and false claims laws.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There is therefore a possibility that our practices might be challenged under anti-kickback or similar laws. False claims laws prohibit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or civil sanctions, including fines and civil monetary penalties, and exclusion from federal health care programs (including Medicare and Medicaid). In the U.S., federal and state authorities are paying increased attention to enforcement of these laws within the pharmaceutical industry and private individuals have been active in alleging violations of the laws and bringing suits on behalf of the government under the federal civil False Claims Act. If we were subject to allegations concerning, or were convicted of violating, these laws, our business could be harmed.</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 care providers or require disclosure to the government and public of such interactions. The laws include federal and state “sunshine” transparency reporting provisions. The sunshine provisions apply to pharmaceutical manufacturers with products reimbursed under certain government programs and require those manufacturers to disclose annually to the federal government (for re-disclosure to the public) certain payments made to physicians and certain other healthcare practitioners or to teaching hospitals.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 Outside the U.S., other countries have implemented requirements for disclosure of financial interactions with healthcare providers and additional countries may consider or implement such laws.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0070C0"/>
        </w:rPr>
        <w:t>OTHER LAWS AND REGULATIONS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FOREIGN ANTI-CORRUPTION</w:t>
      </w:r>
    </w:p>
    <w:p>
      <w:pPr>
        <w:spacing w:after="0" w:line="1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subject to various federal and foreign laws that govern our international business practices with respect to payments to government officials. Those laws include the U.S. FCPA, which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laws to which we are subject also include the U.K. Bribery Act 2010 (Bribery Act), which proscribes giving and receiving bribes in the public and private sectors, bribing a foreign public official and failing to have adequate procedures to prevent employees and other agents from giving bribes. U.S. companies that conduct business in the U.K. generally will be subject to the Bribery Act. Penalties under the Bribery Act include significant fines for companies and criminal sanctions for corporate officers under certain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NIH GUIDELINES</w:t>
      </w:r>
    </w:p>
    <w:p>
      <w:pPr>
        <w:spacing w:after="0" w:line="106"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We seek to conduct research at our U.S. facilities in compliance with the current U.S. National Institutes of Health Guidelines for Research Involving Recombinant DNA Molecules (NIH Guidelines). By local ordinance, we are required to, among other things, comply with the NIH Guidelines in relation to our facilities in RTP and are required to operate pursuant to certain permits.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OTHER LAWS</w:t>
      </w:r>
    </w:p>
    <w:p>
      <w:pPr>
        <w:spacing w:after="0" w:line="1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present and future business has been and will continue to be subject to various other laws and regulations. Laws, regulations and recommendations relating to data privacy and protection, safe working conditions, laboratory practices, the experimental use of animals and the purchase, storage, movement, import,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international antitrust regulatory control, the effect of which cannot be predicted. The extent of government regulation, which might result from future legislation or administrative action, cannot accurately be predicted.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Data Privacy</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Regulators currently impose data privacy and security requirements, which include monetary fines for privacy violations. For example, the European Parliament and the Council of the E.U. adopted a comprehensive GDPR in 2016 to replace the current E.U. Data Protection Directive and related country-specific legislation. The GDPR took effect in May 2018 and governs the collection and use of personal data in the E.U.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 to the U.S., provides an enforcement authority and imposes large penalties for noncompliance, including the potential for fines of up to €20.0 million or 4.0% of the annual global revenue of the infringer, whichever is greater. In addition, several U.S. state jurisdictions have similar data privacy laws, such as the CCPA and California Privacy Rights Act.</w:t>
      </w:r>
    </w:p>
    <w:p>
      <w:pPr>
        <w:spacing w:after="0" w:line="113" w:lineRule="exact"/>
        <w:rPr>
          <w:sz w:val="20"/>
          <w:szCs w:val="20"/>
          <w:color w:val="auto"/>
        </w:rPr>
      </w:pPr>
    </w:p>
    <w:p>
      <w:pPr>
        <w:spacing w:after="0"/>
        <w:rPr>
          <w:sz w:val="20"/>
          <w:szCs w:val="20"/>
          <w:color w:val="auto"/>
        </w:rPr>
      </w:pPr>
      <w:r>
        <w:rPr>
          <w:rFonts w:ascii="Arial" w:cs="Arial" w:eastAsia="Arial" w:hAnsi="Arial"/>
          <w:sz w:val="29"/>
          <w:szCs w:val="29"/>
          <w:color w:val="0070C0"/>
        </w:rPr>
        <w:t>MANUFACTURING</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regularly review our manufacturing capacity, capabilities, processes and facilities. In order to support our future growth and drug development pipeline, we expanded our large molecule production capacity and built a large-scale biologics manufacturing facility in Solothurn, Switzerland. The Solothurn facility is operational and has been approved for the manufacture of LEQEMBI and TYSABRI. We believe that the Solothurn facility will support our anticipated near to mid-term needs for the manufacturing of biologic assets. The plant represents a significant increase in our overall manufacturing capacity. Additionally, we continue to invest to modernize, automate and support the capacity requirements for our pipeline and existing products at our existing manufacturing facilities in RTP, North Carolina.</w:t>
      </w:r>
    </w:p>
    <w:p>
      <w:pPr>
        <w:spacing w:after="0" w:line="75"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believe that our manufacturing facilities, together with the third-party contract manufacturing organizations we outsource to, currently provide sufficient capacity for our products and to Samsung Bioepis, our collaboration partner that develops, manufactures and markets biosimilar products, and other strategic contract manufacturing partners.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MANUFACTURING FACILITIES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manufacturing facilities include: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Borders>
              <w:bottom w:val="single" w:sz="8" w:color="auto"/>
            </w:tcBorders>
            <w:shd w:val="clear" w:color="auto" w:fill="0070C0"/>
          </w:tcPr>
          <w:p>
            <w:pPr>
              <w:ind w:left="20"/>
              <w:spacing w:after="0"/>
              <w:rPr>
                <w:sz w:val="20"/>
                <w:szCs w:val="20"/>
                <w:color w:val="auto"/>
              </w:rPr>
            </w:pPr>
            <w:r>
              <w:rPr>
                <w:rFonts w:ascii="Arial" w:cs="Arial" w:eastAsia="Arial" w:hAnsi="Arial"/>
                <w:sz w:val="18"/>
                <w:szCs w:val="18"/>
                <w:color w:val="FFFFFF"/>
              </w:rPr>
              <w:t>FACILITY</w:t>
            </w:r>
          </w:p>
        </w:tc>
        <w:tc>
          <w:tcPr>
            <w:tcW w:w="120" w:type="dxa"/>
            <w:vAlign w:val="bottom"/>
          </w:tcPr>
          <w:p>
            <w:pPr>
              <w:spacing w:after="0"/>
              <w:rPr>
                <w:sz w:val="19"/>
                <w:szCs w:val="19"/>
                <w:color w:val="auto"/>
              </w:rPr>
            </w:pPr>
          </w:p>
        </w:tc>
        <w:tc>
          <w:tcPr>
            <w:tcW w:w="5560" w:type="dxa"/>
            <w:vAlign w:val="bottom"/>
            <w:tcBorders>
              <w:bottom w:val="single" w:sz="8" w:color="auto"/>
            </w:tcBorders>
            <w:shd w:val="clear" w:color="auto" w:fill="0070C0"/>
          </w:tcPr>
          <w:p>
            <w:pPr>
              <w:spacing w:after="0"/>
              <w:rPr>
                <w:sz w:val="20"/>
                <w:szCs w:val="20"/>
                <w:color w:val="auto"/>
              </w:rPr>
            </w:pPr>
            <w:r>
              <w:rPr>
                <w:rFonts w:ascii="Arial" w:cs="Arial" w:eastAsia="Arial" w:hAnsi="Arial"/>
                <w:sz w:val="18"/>
                <w:szCs w:val="18"/>
                <w:color w:val="FFFFFF"/>
              </w:rPr>
              <w:t>PRODUCT MANUFACTURED</w:t>
            </w: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560" w:type="dxa"/>
            <w:vAlign w:val="bottom"/>
          </w:tcPr>
          <w:p>
            <w:pPr>
              <w:spacing w:after="0" w:line="169" w:lineRule="exact"/>
              <w:rPr>
                <w:sz w:val="20"/>
                <w:szCs w:val="20"/>
                <w:color w:val="auto"/>
              </w:rPr>
            </w:pPr>
            <w:r>
              <w:rPr>
                <w:rFonts w:ascii="Arial" w:cs="Arial" w:eastAsia="Arial" w:hAnsi="Arial"/>
                <w:sz w:val="18"/>
                <w:szCs w:val="18"/>
                <w:color w:val="auto"/>
              </w:rPr>
              <w:t>AVONEX</w:t>
            </w:r>
          </w:p>
        </w:tc>
        <w:tc>
          <w:tcPr>
            <w:tcW w:w="0" w:type="dxa"/>
            <w:vAlign w:val="bottom"/>
          </w:tcPr>
          <w:p>
            <w:pPr>
              <w:spacing w:after="0"/>
              <w:rPr>
                <w:sz w:val="1"/>
                <w:szCs w:val="1"/>
                <w:color w:val="auto"/>
              </w:rPr>
            </w:pPr>
          </w:p>
        </w:tc>
      </w:tr>
      <w:tr>
        <w:trPr>
          <w:trHeight w:val="184"/>
        </w:trPr>
        <w:tc>
          <w:tcPr>
            <w:tcW w:w="5540" w:type="dxa"/>
            <w:vAlign w:val="bottom"/>
            <w:vMerge w:val="restart"/>
          </w:tcPr>
          <w:p>
            <w:pPr>
              <w:ind w:left="20"/>
              <w:spacing w:after="0"/>
              <w:rPr>
                <w:sz w:val="20"/>
                <w:szCs w:val="20"/>
                <w:color w:val="auto"/>
              </w:rPr>
            </w:pPr>
            <w:r>
              <w:rPr>
                <w:rFonts w:ascii="Arial" w:cs="Arial" w:eastAsia="Arial" w:hAnsi="Arial"/>
                <w:sz w:val="18"/>
                <w:szCs w:val="18"/>
                <w:color w:val="auto"/>
              </w:rPr>
              <w:t>Research Triangle Park, North Carolina</w:t>
            </w:r>
          </w:p>
        </w:tc>
        <w:tc>
          <w:tcPr>
            <w:tcW w:w="120" w:type="dxa"/>
            <w:vAlign w:val="bottom"/>
          </w:tcPr>
          <w:p>
            <w:pPr>
              <w:spacing w:after="0"/>
              <w:rPr>
                <w:sz w:val="15"/>
                <w:szCs w:val="15"/>
                <w:color w:val="auto"/>
              </w:rPr>
            </w:pPr>
          </w:p>
        </w:tc>
        <w:tc>
          <w:tcPr>
            <w:tcW w:w="5560" w:type="dxa"/>
            <w:vAlign w:val="bottom"/>
          </w:tcPr>
          <w:p>
            <w:pPr>
              <w:spacing w:after="0" w:line="183" w:lineRule="exact"/>
              <w:rPr>
                <w:sz w:val="20"/>
                <w:szCs w:val="20"/>
                <w:color w:val="auto"/>
              </w:rPr>
            </w:pPr>
            <w:r>
              <w:rPr>
                <w:rFonts w:ascii="Arial" w:cs="Arial" w:eastAsia="Arial" w:hAnsi="Arial"/>
                <w:sz w:val="18"/>
                <w:szCs w:val="18"/>
                <w:color w:val="auto"/>
              </w:rPr>
              <w:t>PLEGRIDY</w:t>
            </w:r>
          </w:p>
        </w:tc>
        <w:tc>
          <w:tcPr>
            <w:tcW w:w="0" w:type="dxa"/>
            <w:vAlign w:val="bottom"/>
          </w:tcPr>
          <w:p>
            <w:pPr>
              <w:spacing w:after="0"/>
              <w:rPr>
                <w:sz w:val="1"/>
                <w:szCs w:val="1"/>
                <w:color w:val="auto"/>
              </w:rPr>
            </w:pPr>
          </w:p>
        </w:tc>
      </w:tr>
      <w:tr>
        <w:trPr>
          <w:trHeight w:val="181"/>
        </w:trPr>
        <w:tc>
          <w:tcPr>
            <w:tcW w:w="5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560" w:type="dxa"/>
            <w:vAlign w:val="bottom"/>
          </w:tcPr>
          <w:p>
            <w:pPr>
              <w:spacing w:after="0" w:line="181" w:lineRule="exact"/>
              <w:rPr>
                <w:sz w:val="20"/>
                <w:szCs w:val="20"/>
                <w:color w:val="auto"/>
              </w:rPr>
            </w:pPr>
            <w:r>
              <w:rPr>
                <w:rFonts w:ascii="Arial" w:cs="Arial" w:eastAsia="Arial" w:hAnsi="Arial"/>
                <w:sz w:val="18"/>
                <w:szCs w:val="18"/>
                <w:color w:val="auto"/>
              </w:rPr>
              <w:t>TYSABRI</w:t>
            </w:r>
          </w:p>
        </w:tc>
        <w:tc>
          <w:tcPr>
            <w:tcW w:w="0" w:type="dxa"/>
            <w:vAlign w:val="bottom"/>
          </w:tcPr>
          <w:p>
            <w:pPr>
              <w:spacing w:after="0"/>
              <w:rPr>
                <w:sz w:val="1"/>
                <w:szCs w:val="1"/>
                <w:color w:val="auto"/>
              </w:rPr>
            </w:pPr>
          </w:p>
        </w:tc>
      </w:tr>
      <w:tr>
        <w:trPr>
          <w:trHeight w:val="175"/>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560" w:type="dxa"/>
            <w:vAlign w:val="bottom"/>
          </w:tcPr>
          <w:p>
            <w:pPr>
              <w:spacing w:after="0" w:line="176" w:lineRule="exact"/>
              <w:rPr>
                <w:sz w:val="20"/>
                <w:szCs w:val="20"/>
                <w:color w:val="auto"/>
              </w:rPr>
            </w:pPr>
            <w:r>
              <w:rPr>
                <w:rFonts w:ascii="Arial" w:cs="Arial" w:eastAsia="Arial" w:hAnsi="Arial"/>
                <w:sz w:val="18"/>
                <w:szCs w:val="18"/>
                <w:color w:val="auto"/>
              </w:rPr>
              <w:t>QALSODY</w:t>
            </w:r>
          </w:p>
        </w:tc>
        <w:tc>
          <w:tcPr>
            <w:tcW w:w="0" w:type="dxa"/>
            <w:vAlign w:val="bottom"/>
          </w:tcPr>
          <w:p>
            <w:pPr>
              <w:spacing w:after="0"/>
              <w:rPr>
                <w:sz w:val="1"/>
                <w:szCs w:val="1"/>
                <w:color w:val="auto"/>
              </w:rPr>
            </w:pPr>
          </w:p>
        </w:tc>
      </w:tr>
      <w:tr>
        <w:trPr>
          <w:trHeight w:val="241"/>
        </w:trPr>
        <w:tc>
          <w:tcPr>
            <w:tcW w:w="5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71"/>
        </w:trPr>
        <w:tc>
          <w:tcPr>
            <w:tcW w:w="5540" w:type="dxa"/>
            <w:vAlign w:val="bottom"/>
            <w:vMerge w:val="restart"/>
          </w:tcPr>
          <w:p>
            <w:pPr>
              <w:ind w:left="20"/>
              <w:spacing w:after="0"/>
              <w:rPr>
                <w:sz w:val="20"/>
                <w:szCs w:val="20"/>
                <w:color w:val="auto"/>
              </w:rPr>
            </w:pPr>
            <w:r>
              <w:rPr>
                <w:rFonts w:ascii="Arial" w:cs="Arial" w:eastAsia="Arial" w:hAnsi="Arial"/>
                <w:sz w:val="18"/>
                <w:szCs w:val="18"/>
                <w:color w:val="auto"/>
              </w:rPr>
              <w:t>Solothurn, Switzerland</w:t>
            </w:r>
          </w:p>
        </w:tc>
        <w:tc>
          <w:tcPr>
            <w:tcW w:w="120" w:type="dxa"/>
            <w:vAlign w:val="bottom"/>
          </w:tcPr>
          <w:p>
            <w:pPr>
              <w:spacing w:after="0"/>
              <w:rPr>
                <w:sz w:val="14"/>
                <w:szCs w:val="14"/>
                <w:color w:val="auto"/>
              </w:rPr>
            </w:pPr>
          </w:p>
        </w:tc>
        <w:tc>
          <w:tcPr>
            <w:tcW w:w="5560" w:type="dxa"/>
            <w:vAlign w:val="bottom"/>
          </w:tcPr>
          <w:p>
            <w:pPr>
              <w:spacing w:after="0" w:line="171" w:lineRule="exact"/>
              <w:rPr>
                <w:sz w:val="20"/>
                <w:szCs w:val="20"/>
                <w:color w:val="auto"/>
              </w:rPr>
            </w:pPr>
            <w:r>
              <w:rPr>
                <w:rFonts w:ascii="Arial" w:cs="Arial" w:eastAsia="Arial" w:hAnsi="Arial"/>
                <w:sz w:val="18"/>
                <w:szCs w:val="18"/>
                <w:color w:val="auto"/>
              </w:rPr>
              <w:t>LEQEMBI</w:t>
            </w:r>
          </w:p>
        </w:tc>
        <w:tc>
          <w:tcPr>
            <w:tcW w:w="0" w:type="dxa"/>
            <w:vAlign w:val="bottom"/>
          </w:tcPr>
          <w:p>
            <w:pPr>
              <w:spacing w:after="0"/>
              <w:rPr>
                <w:sz w:val="1"/>
                <w:szCs w:val="1"/>
                <w:color w:val="auto"/>
              </w:rPr>
            </w:pPr>
          </w:p>
        </w:tc>
      </w:tr>
      <w:tr>
        <w:trPr>
          <w:trHeight w:val="153"/>
        </w:trPr>
        <w:tc>
          <w:tcPr>
            <w:tcW w:w="5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560" w:type="dxa"/>
            <w:vAlign w:val="bottom"/>
            <w:vMerge w:val="restart"/>
          </w:tcPr>
          <w:p>
            <w:pPr>
              <w:spacing w:after="0"/>
              <w:rPr>
                <w:sz w:val="20"/>
                <w:szCs w:val="20"/>
                <w:color w:val="auto"/>
              </w:rPr>
            </w:pPr>
            <w:r>
              <w:rPr>
                <w:rFonts w:ascii="Arial" w:cs="Arial" w:eastAsia="Arial" w:hAnsi="Arial"/>
                <w:sz w:val="18"/>
                <w:szCs w:val="18"/>
                <w:color w:val="auto"/>
              </w:rPr>
              <w:t>TYSABRI</w:t>
            </w:r>
          </w:p>
        </w:tc>
        <w:tc>
          <w:tcPr>
            <w:tcW w:w="0" w:type="dxa"/>
            <w:vAlign w:val="bottom"/>
          </w:tcPr>
          <w:p>
            <w:pPr>
              <w:spacing w:after="0"/>
              <w:rPr>
                <w:sz w:val="1"/>
                <w:szCs w:val="1"/>
                <w:color w:val="auto"/>
              </w:rPr>
            </w:pPr>
          </w:p>
        </w:tc>
      </w:tr>
      <w:tr>
        <w:trPr>
          <w:trHeight w:val="88"/>
        </w:trPr>
        <w:tc>
          <w:tcPr>
            <w:tcW w:w="55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5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 Other includes products manufactured for contract manufacturing partners.</w:t>
      </w:r>
    </w:p>
    <w:p>
      <w:pPr>
        <w:spacing w:after="0" w:line="11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addition to our drug substance manufacturing facilities, we have a drug product manufacturing facility and supporting infrastructure in RTP, including a parenteral facility and an oral solid dose products manufacturing facility.</w:t>
      </w:r>
    </w:p>
    <w:p>
      <w:pPr>
        <w:spacing w:after="0" w:line="4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parenteral facility adds capabilities and capacity for filling biologics into vials and is used for filling product candidates. The oral solid dose products facility can supplement our outsourced small molecule manufacturing capabilities.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have an oligonucleotide synthesis manufacturing facility in RTP. This facility gives us the capability to manufacture both commercial and clinical ASOs, including QALSODY, and beginning in 2026 this facility will manufacture SPINRAZA.</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Additionally, in 2025 we acquired a sterile fill finish manufacturing facility in Athlone, Ireland. This facility will provide us with the capability for syringe and cartridge sterile fill finish across our current manufacturing network, incorporating our MS product portfolio and our late-stage portfolio including litifilimab and felzartamab.</w:t>
      </w:r>
    </w:p>
    <w:p>
      <w:pPr>
        <w:spacing w:after="0" w:line="6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Genentech is responsible for all worldwide manufacturing activities for bulk RITUXAN, RITUXAN HYCELA and GAZYVA and has sourced the manufacture of certain bulk requirements to a third party.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THIRD-PARTY SUPPLIERS AND MANUFACTURERS</w:t>
      </w:r>
    </w:p>
    <w:p>
      <w:pPr>
        <w:spacing w:after="0" w:line="1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principally use third parties to manufacture the active pharmaceutical ingredient and the final product for our small molecule products and product candidates, including TECFIDERA, VUMERITY, SKYCLARYS and ZURZUVAE, and the final drug product for our large molecule products and, to a lesser extent, product candidates.</w:t>
      </w:r>
    </w:p>
    <w:p>
      <w:pPr>
        <w:spacing w:after="0" w:line="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source the majority of our fill-finish and all of our final product assembly and storage operations for our products, along with a substantial part of our label and packaging operations, to a concentrated group of third-party contract manufacturing organizations. Raw materials, delivery devices, such as syringes and auto-injectors, and other supplies required for the production of our products and product candidates are procured from various third-party suppliers and manufacturers in quantities adequate to meet our needs. We endeavor to assure continuity of supply of such raw materials, devices and supplies through inventory management and dual sourcing as appropriate. Our third-party service providers, suppliers and manufacturers may be subject to routine cGMP inspections by the FDA or comparable agencies in other jurisdictions and undergo assessment and certification by our quality management group.</w:t>
      </w:r>
    </w:p>
    <w:p>
      <w:pPr>
        <w:spacing w:after="0" w:line="115" w:lineRule="exact"/>
        <w:rPr>
          <w:sz w:val="20"/>
          <w:szCs w:val="20"/>
          <w:color w:val="auto"/>
        </w:rPr>
      </w:pPr>
    </w:p>
    <w:p>
      <w:pPr>
        <w:spacing w:after="0"/>
        <w:rPr>
          <w:sz w:val="20"/>
          <w:szCs w:val="20"/>
          <w:color w:val="auto"/>
        </w:rPr>
      </w:pPr>
      <w:r>
        <w:rPr>
          <w:rFonts w:ascii="Arial" w:cs="Arial" w:eastAsia="Arial" w:hAnsi="Arial"/>
          <w:sz w:val="29"/>
          <w:szCs w:val="29"/>
          <w:color w:val="0070C0"/>
        </w:rPr>
        <w:t>CORPORATE RESPONSIBILITY</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auto"/>
        </w:rPr>
        <w:t>INTRODUCTION</w:t>
      </w:r>
    </w:p>
    <w:p>
      <w:pPr>
        <w:spacing w:after="0" w:line="12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Corporate Responsibility strategy and programs are designed to deliver meaningful results in the areas where we believe we can have the greatest impact. We have bolstered our efforts in access and health equity and refocused our Biogen Foundation efforts in the communities where we operate and to help deliver better health. Our environmental strategy is designed to balance impact in line with investment and to drive sustainability into our core operations.</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auto"/>
        </w:rPr>
        <w:t>GOVERNANCE</w:t>
      </w:r>
    </w:p>
    <w:p>
      <w:pPr>
        <w:spacing w:after="0" w:line="13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Corporate Responsibility oversight is formally embedded into our Board of Directors' corporate governance principles. Our Board of Directors annually reviews our Corporate Responsibility strategy, progress and goals. We also regularly review our environmental commitments within the context of our business performance and external challenges. We remain committed to engaging employees and suppliers.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part of our broader commitment to these priorities, we continue to link a portion of our employees' and executive officers' compensation to advancing our Corporate Responsibility goals.</w:t>
      </w:r>
    </w:p>
    <w:p>
      <w:pPr>
        <w:spacing w:after="0" w:line="4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Executive Committee has responsibility for evaluating the impact of climate change on the business and overseeing actions taken by the company to limit its adverse impact on the environment.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auto"/>
        </w:rPr>
        <w:t>RISK MANAGEMENT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believes that a fundamental part of risk management is identifying and understanding the risks we face, monitoring these risks and adopting appropriate controls and mitigation of such risks. Our Board of Directors and its committees are responsible for reviewing our risk framework and governance and management's exercise of its responsibility to assess, monitor and manage our significant risk exposures. Our Board of Directors oversees an enterprise-wide approach to risk management, which is designed to support execution of our strategy and achievement of our objectives to improve long-term operational and financial performance and enhance stockholder value.</w:t>
      </w:r>
    </w:p>
    <w:p>
      <w:pPr>
        <w:spacing w:after="0" w:line="7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have a company-wide ERM program to identify, mitigate and monitor enterprise-level risks that may affect our ability to achieve our objectives. The ERM program is overseen by our ERM Committee, a cross-functional group of</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business leaders representing all of our key business functions. On an ongoing basis, we evaluate the greatest risks to our business, their underlying risk drivers and the associated mitigation activities and controls.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CLIMATE RISK MANAGEMENT</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that the areas of risk that are fundamental to the success of our enterprise and rise to enterprise-level risks includes, among other things, environmental matters. Our ERM framework is designed to ensure climate-related risks and opportunities are monitored and integrated into our overall business strategy. Our ERM process includes evaluating identified risks, including any climate-related physical and transition risks, by engaging leaders across the company.</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identify climate risk as the risk of loss arising from climate change which comprises both physical risk and transition risk. Physical risk considers how the physical impacts of climate change (e.g., increased frequency and intensity of storms, drought, fires, floods) can directly damage physical assets or otherwise impact their value or productivity. Transition risk considers how changes in policy, regulations, culture, technology, business practices and market preferences to address climate change (e.g., carbon pricing policies, power generation shifts from fossil fuels to renewable energy) can lead to changes in the value of assets and businesses. Disruption in supply chains, changing customer expectations in the biosimilars market and potential shifts in the regulatory environment that disadvantage the use of fossil fuels, PFAS or other materials may make it difficult for us to fulfill business obligations or cause us to incur substantial expense.</w:t>
      </w:r>
    </w:p>
    <w:p>
      <w:pPr>
        <w:spacing w:after="0" w:line="7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Identified climate-related material risks and opportunities are reported to our ERM team, which reports to our ERM Committee with oversight by our Board of Directors. We endeavor to consider and address those risks and opportunities that are financially material and may impact our business model, as well as mitigation measures that are in place or need to be adopted.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environment-related risks, please read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CLIMATE-RELATED DISCLOSURES</w:t>
      </w:r>
    </w:p>
    <w:p>
      <w:pPr>
        <w:spacing w:after="0" w:line="10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monitor global climate-related disclosure requirements to prepare for reporting, progress activities and publish materials designed to ensure our compliance under applicable laws and regulations.</w:t>
      </w:r>
    </w:p>
    <w:p>
      <w:pPr>
        <w:spacing w:after="0" w:line="4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E.U., California and certain other countries in which we do business have enacted legislation and regulations to enhance disclosures related to the impacts of climate-related matters. The E.U.'s Corporate Sustainability Reporting Directive will require expansive disclosures on various environmental and social matters for companies whose business and assets exceed certain thresholds within E.U. countries. California's environmental disclosure laws will impose additional climate-related reporting requirements on large companies conducting business in the state of California.</w:t>
      </w:r>
    </w:p>
    <w:p>
      <w:pPr>
        <w:spacing w:after="0" w:line="112" w:lineRule="exact"/>
        <w:rPr>
          <w:sz w:val="20"/>
          <w:szCs w:val="20"/>
          <w:color w:val="auto"/>
        </w:rPr>
      </w:pPr>
    </w:p>
    <w:p>
      <w:pPr>
        <w:spacing w:after="0"/>
        <w:rPr>
          <w:sz w:val="20"/>
          <w:szCs w:val="20"/>
          <w:color w:val="auto"/>
        </w:rPr>
      </w:pPr>
      <w:r>
        <w:rPr>
          <w:rFonts w:ascii="Arial" w:cs="Arial" w:eastAsia="Arial" w:hAnsi="Arial"/>
          <w:sz w:val="29"/>
          <w:szCs w:val="29"/>
          <w:color w:val="0070C0"/>
        </w:rPr>
        <w:t>HUMAN CAPITAL</w:t>
      </w:r>
    </w:p>
    <w:p>
      <w:pPr>
        <w:spacing w:after="0" w:line="139"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As of December 31, 2025, we had approximately 7,500 employees worldwide. Approximately 4,200 employees were employed in the U.S. and approximately 3,300 employees were employed in foreign countries. As of December 31, 2025, 29.8% of Biogen’s U.S. manager-level and above positions were held by ethnic or racial minorities. Globally, 50.0% of Biogen’s positions at the director-level and above were held by women as of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auto"/>
        </w:rPr>
        <w:t>CULTURE AND ENGAGEMENT</w:t>
      </w:r>
    </w:p>
    <w:p>
      <w:pPr>
        <w:spacing w:after="0" w:line="121"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Our values and merit-based culture guide every action we take, from pioneering new therapies to promoting health access for all patients. Our culture is underpinned by the New Biogen Way, aimed at maintaining our spirit of innovation and patient-centricity while advancing an entrepreneurial business mindset and results-focused approach.</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These are the essentials that are designed to work together to help us successfully achieve our mission:</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right w:val="single" w:sz="8" w:color="auto"/>
            </w:tcBorders>
            <w:shd w:val="clear" w:color="auto" w:fill="0070C0"/>
          </w:tcPr>
          <w:p>
            <w:pPr>
              <w:ind w:left="1480"/>
              <w:spacing w:after="0"/>
              <w:rPr>
                <w:sz w:val="20"/>
                <w:szCs w:val="20"/>
                <w:color w:val="auto"/>
              </w:rPr>
            </w:pPr>
            <w:r>
              <w:rPr>
                <w:rFonts w:ascii="Arial" w:cs="Arial" w:eastAsia="Arial" w:hAnsi="Arial"/>
                <w:sz w:val="18"/>
                <w:szCs w:val="18"/>
                <w:color w:val="FFFFFF"/>
              </w:rPr>
              <w:t>PIONEER</w:t>
            </w:r>
          </w:p>
        </w:tc>
        <w:tc>
          <w:tcPr>
            <w:tcW w:w="3740" w:type="dxa"/>
            <w:vAlign w:val="bottom"/>
            <w:tcBorders>
              <w:top w:val="single" w:sz="8" w:color="auto"/>
              <w:right w:val="single" w:sz="8" w:color="auto"/>
            </w:tcBorders>
            <w:shd w:val="clear" w:color="auto" w:fill="0070C0"/>
          </w:tcPr>
          <w:p>
            <w:pPr>
              <w:ind w:left="1140"/>
              <w:spacing w:after="0"/>
              <w:rPr>
                <w:sz w:val="20"/>
                <w:szCs w:val="20"/>
                <w:color w:val="auto"/>
              </w:rPr>
            </w:pPr>
            <w:r>
              <w:rPr>
                <w:rFonts w:ascii="Arial" w:cs="Arial" w:eastAsia="Arial" w:hAnsi="Arial"/>
                <w:sz w:val="18"/>
                <w:szCs w:val="18"/>
                <w:color w:val="FFFFFF"/>
              </w:rPr>
              <w:t>THINK BROADLY</w:t>
            </w:r>
          </w:p>
        </w:tc>
        <w:tc>
          <w:tcPr>
            <w:tcW w:w="3760" w:type="dxa"/>
            <w:vAlign w:val="bottom"/>
            <w:tcBorders>
              <w:top w:val="single" w:sz="8" w:color="auto"/>
              <w:right w:val="single" w:sz="8" w:color="auto"/>
            </w:tcBorders>
            <w:shd w:val="clear" w:color="auto" w:fill="0070C0"/>
          </w:tcPr>
          <w:p>
            <w:pPr>
              <w:ind w:left="1160"/>
              <w:spacing w:after="0"/>
              <w:rPr>
                <w:sz w:val="20"/>
                <w:szCs w:val="20"/>
                <w:color w:val="auto"/>
              </w:rPr>
            </w:pPr>
            <w:r>
              <w:rPr>
                <w:rFonts w:ascii="Arial" w:cs="Arial" w:eastAsia="Arial" w:hAnsi="Arial"/>
                <w:sz w:val="18"/>
                <w:szCs w:val="18"/>
                <w:color w:val="FFFFFF"/>
              </w:rPr>
              <w:t>DRIVE RESULTS</w:t>
            </w:r>
          </w:p>
        </w:tc>
      </w:tr>
      <w:tr>
        <w:trPr>
          <w:trHeight w:val="162"/>
        </w:trPr>
        <w:tc>
          <w:tcPr>
            <w:tcW w:w="37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We boldly advance rigorous science to drive</w:t>
            </w:r>
          </w:p>
        </w:tc>
        <w:tc>
          <w:tcPr>
            <w:tcW w:w="37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We are humble and curious, integrating external</w:t>
            </w:r>
          </w:p>
        </w:tc>
        <w:tc>
          <w:tcPr>
            <w:tcW w:w="37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We achieve high performance and have a greater</w:t>
            </w:r>
          </w:p>
        </w:tc>
      </w:tr>
      <w:tr>
        <w:trPr>
          <w:trHeight w:val="162"/>
        </w:trPr>
        <w:tc>
          <w:tcPr>
            <w:tcW w:w="37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innovation in medicine.</w:t>
            </w:r>
          </w:p>
        </w:tc>
        <w:tc>
          <w:tcPr>
            <w:tcW w:w="37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and internal advancements to successfully</w:t>
            </w:r>
          </w:p>
        </w:tc>
        <w:tc>
          <w:tcPr>
            <w:tcW w:w="37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impact by being decisive and solution-oriented,</w:t>
            </w:r>
          </w:p>
        </w:tc>
      </w:tr>
      <w:tr>
        <w:trPr>
          <w:trHeight w:val="215"/>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compete.</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while effectively managing risk.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-7620</wp:posOffset>
            </wp:positionV>
            <wp:extent cx="8255"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34290"/>
                    </a:xfrm>
                    <a:prstGeom prst="rect">
                      <a:avLst/>
                    </a:prstGeom>
                    <a:noFill/>
                  </pic:spPr>
                </pic:pic>
              </a:graphicData>
            </a:graphic>
          </wp:anchor>
        </w:drawing>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right w:val="single" w:sz="8" w:color="auto"/>
            </w:tcBorders>
            <w:shd w:val="clear" w:color="auto" w:fill="0070C0"/>
          </w:tcPr>
          <w:p>
            <w:pPr>
              <w:ind w:left="1500"/>
              <w:spacing w:after="0"/>
              <w:rPr>
                <w:sz w:val="20"/>
                <w:szCs w:val="20"/>
                <w:color w:val="auto"/>
              </w:rPr>
            </w:pPr>
            <w:r>
              <w:rPr>
                <w:rFonts w:ascii="Arial" w:cs="Arial" w:eastAsia="Arial" w:hAnsi="Arial"/>
                <w:sz w:val="18"/>
                <w:szCs w:val="18"/>
                <w:color w:val="FFFFFF"/>
              </w:rPr>
              <w:t>ETHICAL</w:t>
            </w:r>
          </w:p>
        </w:tc>
        <w:tc>
          <w:tcPr>
            <w:tcW w:w="3740" w:type="dxa"/>
            <w:vAlign w:val="bottom"/>
            <w:tcBorders>
              <w:top w:val="single" w:sz="8" w:color="auto"/>
              <w:right w:val="single" w:sz="8" w:color="auto"/>
            </w:tcBorders>
            <w:shd w:val="clear" w:color="auto" w:fill="0070C0"/>
          </w:tcPr>
          <w:p>
            <w:pPr>
              <w:ind w:left="1380"/>
              <w:spacing w:after="0"/>
              <w:rPr>
                <w:sz w:val="20"/>
                <w:szCs w:val="20"/>
                <w:color w:val="auto"/>
              </w:rPr>
            </w:pPr>
            <w:r>
              <w:rPr>
                <w:rFonts w:ascii="Arial" w:cs="Arial" w:eastAsia="Arial" w:hAnsi="Arial"/>
                <w:sz w:val="18"/>
                <w:szCs w:val="18"/>
                <w:color w:val="FFFFFF"/>
              </w:rPr>
              <w:t>INCLUSIVE</w:t>
            </w:r>
          </w:p>
        </w:tc>
      </w:tr>
      <w:tr>
        <w:trPr>
          <w:trHeight w:val="162"/>
        </w:trPr>
        <w:tc>
          <w:tcPr>
            <w:tcW w:w="37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We act with the highest integrity with each other</w:t>
            </w:r>
          </w:p>
        </w:tc>
        <w:tc>
          <w:tcPr>
            <w:tcW w:w="37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We are open and embrace and leverage</w:t>
            </w:r>
          </w:p>
        </w:tc>
      </w:tr>
      <w:tr>
        <w:trPr>
          <w:trHeight w:val="162"/>
        </w:trPr>
        <w:tc>
          <w:tcPr>
            <w:tcW w:w="376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color w:val="auto"/>
              </w:rPr>
              <w:t>and all who place their trust in us.</w:t>
            </w:r>
          </w:p>
        </w:tc>
        <w:tc>
          <w:tcPr>
            <w:tcW w:w="3740" w:type="dxa"/>
            <w:vAlign w:val="bottom"/>
            <w:tcBorders>
              <w:right w:val="single" w:sz="8" w:color="auto"/>
            </w:tcBorders>
          </w:tcPr>
          <w:p>
            <w:pPr>
              <w:spacing w:after="0" w:line="162" w:lineRule="exact"/>
              <w:rPr>
                <w:sz w:val="20"/>
                <w:szCs w:val="20"/>
                <w:color w:val="auto"/>
              </w:rPr>
            </w:pPr>
            <w:r>
              <w:rPr>
                <w:rFonts w:ascii="Arial" w:cs="Arial" w:eastAsia="Arial" w:hAnsi="Arial"/>
                <w:sz w:val="16"/>
                <w:szCs w:val="16"/>
                <w:color w:val="auto"/>
              </w:rPr>
              <w:t>differences, as well as treat everyone with care and</w:t>
            </w:r>
          </w:p>
        </w:tc>
      </w:tr>
      <w:tr>
        <w:trPr>
          <w:trHeight w:val="215"/>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dignity.</w:t>
            </w:r>
          </w:p>
        </w:tc>
      </w:tr>
    </w:tbl>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utilize an annual survey to provide employees with an opportunity to provide feedback and to measure employee engagement. The survey is designed to empower managers and leaders with anonymous information on their practices related to building culture, performance and an engaged workforce, allowing them to create plans and measure efficacy for continuous improvement. We care about employee feedback and are building an analytics community across Human Resources to bring more rigor and sophistication to the collection and analysis of employee opinions. We use those employee perspectives to guide us in taking actions that are designed to improve engagement and support and help maintain our reputation as a great place to work for all our employees.</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color w:val="auto"/>
        </w:rPr>
        <w:t>GLOBAL COMPETENCY</w:t>
      </w:r>
    </w:p>
    <w:p>
      <w:pPr>
        <w:spacing w:after="0" w:line="12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Many factors influence employee success and well-being. From career development to wellness to workplace environment, there are many opportunities to meet employee needs, and to build a workplace where people are empowered to learn, grow and build rewarding careers. Our employees are encouraged to take advantage of an array of professional development resources. Managers are trained to coach employees for performance, and to engage in employee development discussions to support growth and learning.</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Opportunities for ongoing learning can contribute to employee engagement and success. Development occurs through on-the-job learning, challenging new assignments, leadership development programs, instructor-led training, online learning, mentoring and more. With some employees working remotely, virtual learning plays a key role. We utilize online resources such as Biogen University, Coursera and Franklin Covey.</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create and sustain an inclusive workplace reflective of the patients we serve, we offer programs that invest in our talent pipeline and in our current leaders, including:</w:t>
      </w:r>
    </w:p>
    <w:p>
      <w:pPr>
        <w:spacing w:after="0" w:line="4"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i w:val="1"/>
          <w:iCs w:val="1"/>
          <w:color w:val="0070C0"/>
        </w:rPr>
      </w:pPr>
      <w:r>
        <w:rPr>
          <w:rFonts w:ascii="Arial" w:cs="Arial" w:eastAsia="Arial" w:hAnsi="Arial"/>
          <w:sz w:val="18"/>
          <w:szCs w:val="18"/>
          <w:i w:val="1"/>
          <w:iCs w:val="1"/>
          <w:color w:val="0070C0"/>
        </w:rPr>
        <w:t xml:space="preserve">Global Leadership Summit: </w:t>
      </w:r>
      <w:r>
        <w:rPr>
          <w:rFonts w:ascii="Arial" w:cs="Arial" w:eastAsia="Arial" w:hAnsi="Arial"/>
          <w:sz w:val="18"/>
          <w:szCs w:val="18"/>
          <w:color w:val="000000"/>
        </w:rPr>
        <w:t>Immersing leaders in topics designed to help them shape culture and build resilience.</w:t>
      </w:r>
    </w:p>
    <w:p>
      <w:pPr>
        <w:spacing w:after="0" w:line="90" w:lineRule="exact"/>
        <w:rPr>
          <w:rFonts w:ascii="Arial" w:cs="Arial" w:eastAsia="Arial" w:hAnsi="Arial"/>
          <w:sz w:val="18"/>
          <w:szCs w:val="18"/>
          <w:i w:val="1"/>
          <w:iCs w:val="1"/>
          <w:color w:val="0070C0"/>
        </w:rPr>
      </w:pPr>
    </w:p>
    <w:p>
      <w:pPr>
        <w:ind w:left="280" w:hanging="272"/>
        <w:spacing w:after="0"/>
        <w:tabs>
          <w:tab w:leader="none" w:pos="280" w:val="left"/>
        </w:tabs>
        <w:numPr>
          <w:ilvl w:val="0"/>
          <w:numId w:val="34"/>
        </w:numPr>
        <w:rPr>
          <w:rFonts w:ascii="Arial" w:cs="Arial" w:eastAsia="Arial" w:hAnsi="Arial"/>
          <w:sz w:val="18"/>
          <w:szCs w:val="18"/>
          <w:color w:val="0070C0"/>
        </w:rPr>
      </w:pPr>
      <w:r>
        <w:rPr>
          <w:rFonts w:ascii="Arial" w:cs="Arial" w:eastAsia="Arial" w:hAnsi="Arial"/>
          <w:sz w:val="18"/>
          <w:szCs w:val="18"/>
          <w:i w:val="1"/>
          <w:iCs w:val="1"/>
          <w:color w:val="0070C0"/>
        </w:rPr>
        <w:t xml:space="preserve">Advance Your Leadership Potential: </w:t>
      </w:r>
      <w:r>
        <w:rPr>
          <w:rFonts w:ascii="Arial" w:cs="Arial" w:eastAsia="Arial" w:hAnsi="Arial"/>
          <w:sz w:val="18"/>
          <w:szCs w:val="18"/>
          <w:color w:val="000000"/>
        </w:rPr>
        <w:t>Preparing high-potential individual contributors for first-level leadership roles.</w:t>
      </w:r>
    </w:p>
    <w:p>
      <w:pPr>
        <w:spacing w:after="0" w:line="76" w:lineRule="exact"/>
        <w:rPr>
          <w:rFonts w:ascii="Arial" w:cs="Arial" w:eastAsia="Arial" w:hAnsi="Arial"/>
          <w:sz w:val="18"/>
          <w:szCs w:val="18"/>
          <w:color w:val="0070C0"/>
        </w:rPr>
      </w:pPr>
    </w:p>
    <w:p>
      <w:pPr>
        <w:ind w:left="280" w:hanging="272"/>
        <w:spacing w:after="0"/>
        <w:tabs>
          <w:tab w:leader="none" w:pos="280" w:val="left"/>
        </w:tabs>
        <w:numPr>
          <w:ilvl w:val="0"/>
          <w:numId w:val="34"/>
        </w:numPr>
        <w:rPr>
          <w:rFonts w:ascii="Arial" w:cs="Arial" w:eastAsia="Arial" w:hAnsi="Arial"/>
          <w:sz w:val="18"/>
          <w:szCs w:val="18"/>
          <w:color w:val="0070C0"/>
        </w:rPr>
      </w:pPr>
      <w:r>
        <w:rPr>
          <w:rFonts w:ascii="Arial" w:cs="Arial" w:eastAsia="Arial" w:hAnsi="Arial"/>
          <w:sz w:val="18"/>
          <w:szCs w:val="18"/>
          <w:i w:val="1"/>
          <w:iCs w:val="1"/>
          <w:color w:val="0070C0"/>
        </w:rPr>
        <w:t xml:space="preserve">Executive Coaching: </w:t>
      </w:r>
      <w:r>
        <w:rPr>
          <w:rFonts w:ascii="Arial" w:cs="Arial" w:eastAsia="Arial" w:hAnsi="Arial"/>
          <w:sz w:val="18"/>
          <w:szCs w:val="18"/>
          <w:color w:val="000000"/>
        </w:rPr>
        <w:t>Coaching program available to support individuals as they work toward enhancing their impact in the organization.</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SUCCESSION PLANNING</w:t>
      </w:r>
    </w:p>
    <w:p>
      <w:pPr>
        <w:spacing w:after="0" w:line="1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Each year we conduct a talent review across our global enterprise that includes, among other important topics, a review of succession plans for many of our roles. To help ensure the long-term continuity of our business, we actively manage the development of talent to fill the roles that are most critical to our ongoing success. In addition, each year our Board of Directors reviews the succession plan for our executives.</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auto"/>
        </w:rPr>
        <w:t>COMPENSATION AND BENEFITS</w:t>
      </w:r>
    </w:p>
    <w:p>
      <w:pPr>
        <w:spacing w:after="0" w:line="13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approach to employee compensation and benefits is designed to deliver merit-based cash, equity and benefit programs that are competitive with those offered by leading companies in the biotechnology industry, and to attract, motivate and retain talent to build a strong, engaged and productive workforce that is equipped to deliver forward-looking business priorities.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establish components and ranges of compensation based on market and benchmark data. Within this context, we strive to pay all employees fairly within a reasonable range, taking into consideration factors such as role; market data; job location; relevant experience; and individual, business unit and company performance. In addition, we are committed to providing flexible benefits designed to allow our global workforce to have reward opportunities that meet their varied needs so that they are inspired to perform their best on behalf of patients and stockholders each day. We regularly review our compensation practices and analyze the fairness of compensation decisions, for individual employees and our workforce as a whole.</w:t>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8"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auto"/>
        </w:rPr>
        <w:t>RECRUITMENT AND RETENTION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seek to recruit and retain highly qualified employees. A business-wide priority is to strengthen our culture and the employee experience. We believe our wellness initiatives and flexible work arrangements empower employees, increasing workplace satisfaction and allowing us to retain and attract key talent. We examine employee total rewards across four pillars: physical, financial, emotional and social well-being. We regularly assess our global benefits, and we believe we remain competitive with other companies in terms of comprehensive total rewards. We also conduct affordability analyses to benchmark whether our benefits program costs are appropriate and fair.</w:t>
      </w:r>
    </w:p>
    <w:p>
      <w:pPr>
        <w:spacing w:after="0" w:line="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total rewards program is designed to meet the needs of employees in local markets and includes retirement savings plans, financial advising, LTI plans and incentive grants, company-paid life insurance and disability coverage, tuition reimbursement and college-planning services. Our global employee assistance program provides support to all employees and their family members worldwide.</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auto"/>
        </w:rPr>
        <w:t>WORKPLACE HEALTH AND SAFETY</w:t>
      </w:r>
    </w:p>
    <w:p>
      <w:pPr>
        <w:spacing w:after="0" w:line="13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safety and well-being of our employees is a priority for Biogen, and we believe every employee plays a role in creating a safe and healthy workplace. Our employees have varied roles and functions, which is why we empower them to promote a safe working environment, regardless of whether work happens in the lab, in an office or in a manufacturing facility. Our EHS policies and practices are intended to protect not only our employees, but also the surrounding communities where we operate.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maintain an EHS management system, which documents our health and safety management practices, including the following elements:</w:t>
      </w:r>
    </w:p>
    <w:p>
      <w:pPr>
        <w:spacing w:after="0" w:line="117"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color w:val="0070C0"/>
        </w:rPr>
      </w:pPr>
      <w:r>
        <w:rPr>
          <w:rFonts w:ascii="Arial" w:cs="Arial" w:eastAsia="Arial" w:hAnsi="Arial"/>
          <w:sz w:val="18"/>
          <w:szCs w:val="18"/>
          <w:color w:val="auto"/>
        </w:rPr>
        <w:t>risk and opportunity assessments to identify what could cause harm in the workplace;</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35"/>
        </w:numPr>
        <w:rPr>
          <w:rFonts w:ascii="Arial" w:cs="Arial" w:eastAsia="Arial" w:hAnsi="Arial"/>
          <w:sz w:val="18"/>
          <w:szCs w:val="18"/>
          <w:color w:val="0070C0"/>
        </w:rPr>
      </w:pPr>
      <w:r>
        <w:rPr>
          <w:rFonts w:ascii="Arial" w:cs="Arial" w:eastAsia="Arial" w:hAnsi="Arial"/>
          <w:sz w:val="18"/>
          <w:szCs w:val="18"/>
          <w:color w:val="auto"/>
        </w:rPr>
        <w:t>prioritization and integration of action plans with quantified targets to address those risks;</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35"/>
        </w:numPr>
        <w:rPr>
          <w:rFonts w:ascii="Arial" w:cs="Arial" w:eastAsia="Arial" w:hAnsi="Arial"/>
          <w:sz w:val="18"/>
          <w:szCs w:val="18"/>
          <w:color w:val="0070C0"/>
        </w:rPr>
      </w:pPr>
      <w:r>
        <w:rPr>
          <w:rFonts w:ascii="Arial" w:cs="Arial" w:eastAsia="Arial" w:hAnsi="Arial"/>
          <w:sz w:val="18"/>
          <w:szCs w:val="18"/>
          <w:color w:val="auto"/>
        </w:rPr>
        <w:t>integration of actions to prepare for and respond to emergency situations;</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35"/>
        </w:numPr>
        <w:rPr>
          <w:rFonts w:ascii="Arial" w:cs="Arial" w:eastAsia="Arial" w:hAnsi="Arial"/>
          <w:sz w:val="18"/>
          <w:szCs w:val="18"/>
          <w:color w:val="0070C0"/>
        </w:rPr>
      </w:pPr>
      <w:r>
        <w:rPr>
          <w:rFonts w:ascii="Arial" w:cs="Arial" w:eastAsia="Arial" w:hAnsi="Arial"/>
          <w:sz w:val="18"/>
          <w:szCs w:val="18"/>
          <w:color w:val="auto"/>
        </w:rPr>
        <w:t>evaluation of progress in reducing/preventing health issues/risks against targets;</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35"/>
        </w:numPr>
        <w:rPr>
          <w:rFonts w:ascii="Arial" w:cs="Arial" w:eastAsia="Arial" w:hAnsi="Arial"/>
          <w:sz w:val="18"/>
          <w:szCs w:val="18"/>
          <w:color w:val="0070C0"/>
        </w:rPr>
      </w:pPr>
      <w:r>
        <w:rPr>
          <w:rFonts w:ascii="Arial" w:cs="Arial" w:eastAsia="Arial" w:hAnsi="Arial"/>
          <w:sz w:val="18"/>
          <w:szCs w:val="18"/>
          <w:color w:val="auto"/>
        </w:rPr>
        <w:t>procedures to investigate work-related injuries, ill health, diseases and incidents; and</w:t>
      </w:r>
    </w:p>
    <w:p>
      <w:pPr>
        <w:spacing w:after="0" w:line="117" w:lineRule="exact"/>
        <w:rPr>
          <w:rFonts w:ascii="Arial" w:cs="Arial" w:eastAsia="Arial" w:hAnsi="Arial"/>
          <w:sz w:val="18"/>
          <w:szCs w:val="18"/>
          <w:color w:val="0070C0"/>
        </w:rPr>
      </w:pPr>
    </w:p>
    <w:p>
      <w:pPr>
        <w:ind w:right="2260" w:firstLine="8"/>
        <w:spacing w:after="0" w:line="404" w:lineRule="auto"/>
        <w:tabs>
          <w:tab w:leader="none" w:pos="279" w:val="left"/>
        </w:tabs>
        <w:numPr>
          <w:ilvl w:val="0"/>
          <w:numId w:val="35"/>
        </w:numPr>
        <w:rPr>
          <w:rFonts w:ascii="Arial" w:cs="Arial" w:eastAsia="Arial" w:hAnsi="Arial"/>
          <w:sz w:val="18"/>
          <w:szCs w:val="18"/>
          <w:color w:val="0070C0"/>
        </w:rPr>
      </w:pPr>
      <w:r>
        <w:rPr>
          <w:rFonts w:ascii="Arial" w:cs="Arial" w:eastAsia="Arial" w:hAnsi="Arial"/>
          <w:sz w:val="18"/>
          <w:szCs w:val="18"/>
          <w:color w:val="auto"/>
        </w:rPr>
        <w:t>training to employees and contractors to raise awareness and reduce operational health and safety incidents. We have also introduced safety criteria in our procurement and contractual requirements.</w:t>
      </w:r>
    </w:p>
    <w:p>
      <w:pPr>
        <w:spacing w:after="0" w:line="2" w:lineRule="exact"/>
        <w:rPr>
          <w:sz w:val="20"/>
          <w:szCs w:val="20"/>
          <w:color w:val="auto"/>
        </w:rPr>
      </w:pPr>
    </w:p>
    <w:p>
      <w:pPr>
        <w:spacing w:after="0"/>
        <w:rPr>
          <w:sz w:val="20"/>
          <w:szCs w:val="20"/>
          <w:color w:val="auto"/>
        </w:rPr>
      </w:pPr>
      <w:r>
        <w:rPr>
          <w:rFonts w:ascii="Arial" w:cs="Arial" w:eastAsia="Arial" w:hAnsi="Arial"/>
          <w:sz w:val="25"/>
          <w:szCs w:val="25"/>
          <w:color w:val="auto"/>
        </w:rPr>
        <w:t>OUR CULTURE OF INCLUSION</w:t>
      </w:r>
    </w:p>
    <w:p>
      <w:pPr>
        <w:spacing w:after="0" w:line="12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are committed to merit-based opportunities and believe discrimination is unacceptable. We believe an inclusive workplace fosters innovation and helps us to better support patients. Our strategy outlines steps to build our talent and strengthen our leadership, improve health outcomes for patients in the disease areas we treat and contribute to the communities where we live and work.</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ERGs are formed by interested employees and sponsored by a senior leader of the company. Membership of each ERG is open to all employees. Our ERGs provide opportunities for employees to build connections, foster leadership development and cultivate a sense of belonging. Our current ERGs include:</w:t>
      </w:r>
    </w:p>
    <w:p>
      <w:pPr>
        <w:spacing w:after="0" w:line="36"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color w:val="0070C0"/>
        </w:rPr>
      </w:pPr>
      <w:r>
        <w:rPr>
          <w:rFonts w:ascii="Arial" w:cs="Arial" w:eastAsia="Arial" w:hAnsi="Arial"/>
          <w:sz w:val="18"/>
          <w:szCs w:val="18"/>
          <w:i w:val="1"/>
          <w:iCs w:val="1"/>
          <w:color w:val="0070C0"/>
        </w:rPr>
        <w:t xml:space="preserve">AccessAbility: </w:t>
      </w:r>
      <w:r>
        <w:rPr>
          <w:rFonts w:ascii="Arial" w:cs="Arial" w:eastAsia="Arial" w:hAnsi="Arial"/>
          <w:sz w:val="18"/>
          <w:szCs w:val="18"/>
          <w:color w:val="000000"/>
        </w:rPr>
        <w:t>Supports employees with disabilities and employees who are caregivers of individuals with disabilities and their allies.</w:t>
      </w:r>
    </w:p>
    <w:p>
      <w:pPr>
        <w:spacing w:after="0" w:line="76" w:lineRule="exact"/>
        <w:rPr>
          <w:rFonts w:ascii="Arial" w:cs="Arial" w:eastAsia="Arial" w:hAnsi="Arial"/>
          <w:sz w:val="18"/>
          <w:szCs w:val="18"/>
          <w:color w:val="0070C0"/>
        </w:rPr>
      </w:pPr>
    </w:p>
    <w:p>
      <w:pPr>
        <w:ind w:left="200" w:hanging="192"/>
        <w:spacing w:after="0"/>
        <w:tabs>
          <w:tab w:leader="none" w:pos="200" w:val="left"/>
        </w:tabs>
        <w:numPr>
          <w:ilvl w:val="0"/>
          <w:numId w:val="36"/>
        </w:numPr>
        <w:rPr>
          <w:rFonts w:ascii="Arial" w:cs="Arial" w:eastAsia="Arial" w:hAnsi="Arial"/>
          <w:sz w:val="18"/>
          <w:szCs w:val="18"/>
          <w:color w:val="0070C0"/>
        </w:rPr>
      </w:pPr>
      <w:r>
        <w:rPr>
          <w:rFonts w:ascii="Arial" w:cs="Arial" w:eastAsia="Arial" w:hAnsi="Arial"/>
          <w:sz w:val="18"/>
          <w:szCs w:val="18"/>
          <w:i w:val="1"/>
          <w:iCs w:val="1"/>
          <w:color w:val="0070C0"/>
        </w:rPr>
        <w:t xml:space="preserve">Biogen Veterans Network: </w:t>
      </w:r>
      <w:r>
        <w:rPr>
          <w:rFonts w:ascii="Arial" w:cs="Arial" w:eastAsia="Arial" w:hAnsi="Arial"/>
          <w:sz w:val="18"/>
          <w:szCs w:val="18"/>
          <w:color w:val="000000"/>
        </w:rPr>
        <w:t>Encourages veterans and allies to connect and support one another.</w:t>
      </w:r>
    </w:p>
    <w:p>
      <w:pPr>
        <w:spacing w:after="0" w:line="76" w:lineRule="exact"/>
        <w:rPr>
          <w:rFonts w:ascii="Arial" w:cs="Arial" w:eastAsia="Arial" w:hAnsi="Arial"/>
          <w:sz w:val="18"/>
          <w:szCs w:val="18"/>
          <w:color w:val="0070C0"/>
        </w:rPr>
      </w:pPr>
    </w:p>
    <w:p>
      <w:pPr>
        <w:ind w:left="200" w:hanging="192"/>
        <w:spacing w:after="0"/>
        <w:tabs>
          <w:tab w:leader="none" w:pos="200" w:val="left"/>
        </w:tabs>
        <w:numPr>
          <w:ilvl w:val="0"/>
          <w:numId w:val="36"/>
        </w:numPr>
        <w:rPr>
          <w:rFonts w:ascii="Arial" w:cs="Arial" w:eastAsia="Arial" w:hAnsi="Arial"/>
          <w:sz w:val="18"/>
          <w:szCs w:val="18"/>
          <w:color w:val="0070C0"/>
        </w:rPr>
      </w:pPr>
      <w:r>
        <w:rPr>
          <w:rFonts w:ascii="Arial" w:cs="Arial" w:eastAsia="Arial" w:hAnsi="Arial"/>
          <w:sz w:val="18"/>
          <w:szCs w:val="18"/>
          <w:i w:val="1"/>
          <w:iCs w:val="1"/>
          <w:color w:val="0070C0"/>
        </w:rPr>
        <w:t xml:space="preserve">IGNITE: </w:t>
      </w:r>
      <w:r>
        <w:rPr>
          <w:rFonts w:ascii="Arial" w:cs="Arial" w:eastAsia="Arial" w:hAnsi="Arial"/>
          <w:sz w:val="18"/>
          <w:szCs w:val="18"/>
          <w:color w:val="000000"/>
        </w:rPr>
        <w:t>Brings together early-career professionals and their allies.</w:t>
      </w:r>
    </w:p>
    <w:p>
      <w:pPr>
        <w:spacing w:after="0" w:line="76" w:lineRule="exact"/>
        <w:rPr>
          <w:rFonts w:ascii="Arial" w:cs="Arial" w:eastAsia="Arial" w:hAnsi="Arial"/>
          <w:sz w:val="18"/>
          <w:szCs w:val="18"/>
          <w:color w:val="0070C0"/>
        </w:rPr>
      </w:pPr>
    </w:p>
    <w:p>
      <w:pPr>
        <w:ind w:left="260" w:right="520" w:hanging="252"/>
        <w:spacing w:after="0" w:line="287" w:lineRule="auto"/>
        <w:tabs>
          <w:tab w:leader="none" w:pos="215" w:val="left"/>
        </w:tabs>
        <w:numPr>
          <w:ilvl w:val="0"/>
          <w:numId w:val="36"/>
        </w:numPr>
        <w:rPr>
          <w:rFonts w:ascii="Arial" w:cs="Arial" w:eastAsia="Arial" w:hAnsi="Arial"/>
          <w:sz w:val="18"/>
          <w:szCs w:val="18"/>
          <w:color w:val="0070C0"/>
        </w:rPr>
      </w:pPr>
      <w:r>
        <w:rPr>
          <w:rFonts w:ascii="Arial" w:cs="Arial" w:eastAsia="Arial" w:hAnsi="Arial"/>
          <w:sz w:val="18"/>
          <w:szCs w:val="18"/>
          <w:i w:val="1"/>
          <w:iCs w:val="1"/>
          <w:color w:val="0070C0"/>
        </w:rPr>
        <w:t xml:space="preserve">Mosaic: </w:t>
      </w:r>
      <w:r>
        <w:rPr>
          <w:rFonts w:ascii="Arial" w:cs="Arial" w:eastAsia="Arial" w:hAnsi="Arial"/>
          <w:sz w:val="18"/>
          <w:szCs w:val="18"/>
          <w:color w:val="000000"/>
        </w:rPr>
        <w:t>Fosters awareness and appreciation of different cultural backgrounds, in addition to promoting networking and development</w:t>
      </w:r>
      <w:r>
        <w:rPr>
          <w:rFonts w:ascii="Arial" w:cs="Arial" w:eastAsia="Arial" w:hAnsi="Arial"/>
          <w:sz w:val="18"/>
          <w:szCs w:val="18"/>
          <w:i w:val="1"/>
          <w:iCs w:val="1"/>
          <w:color w:val="0070C0"/>
        </w:rPr>
        <w:t xml:space="preserve"> </w:t>
      </w:r>
      <w:r>
        <w:rPr>
          <w:rFonts w:ascii="Arial" w:cs="Arial" w:eastAsia="Arial" w:hAnsi="Arial"/>
          <w:sz w:val="18"/>
          <w:szCs w:val="18"/>
          <w:color w:val="000000"/>
        </w:rPr>
        <w:t>opportunities for employees.</w:t>
      </w:r>
    </w:p>
    <w:p>
      <w:pPr>
        <w:spacing w:after="0" w:line="17" w:lineRule="exact"/>
        <w:rPr>
          <w:rFonts w:ascii="Arial" w:cs="Arial" w:eastAsia="Arial" w:hAnsi="Arial"/>
          <w:sz w:val="18"/>
          <w:szCs w:val="18"/>
          <w:color w:val="0070C0"/>
        </w:rPr>
      </w:pPr>
    </w:p>
    <w:p>
      <w:pPr>
        <w:ind w:left="200" w:hanging="192"/>
        <w:spacing w:after="0"/>
        <w:tabs>
          <w:tab w:leader="none" w:pos="200" w:val="left"/>
        </w:tabs>
        <w:numPr>
          <w:ilvl w:val="0"/>
          <w:numId w:val="36"/>
        </w:numPr>
        <w:rPr>
          <w:rFonts w:ascii="Arial" w:cs="Arial" w:eastAsia="Arial" w:hAnsi="Arial"/>
          <w:sz w:val="18"/>
          <w:szCs w:val="18"/>
          <w:color w:val="0070C0"/>
        </w:rPr>
      </w:pPr>
      <w:r>
        <w:rPr>
          <w:rFonts w:ascii="Arial" w:cs="Arial" w:eastAsia="Arial" w:hAnsi="Arial"/>
          <w:sz w:val="18"/>
          <w:szCs w:val="18"/>
          <w:i w:val="1"/>
          <w:iCs w:val="1"/>
          <w:color w:val="0070C0"/>
        </w:rPr>
        <w:t xml:space="preserve">ourIMPACT: </w:t>
      </w:r>
      <w:r>
        <w:rPr>
          <w:rFonts w:ascii="Arial" w:cs="Arial" w:eastAsia="Arial" w:hAnsi="Arial"/>
          <w:sz w:val="18"/>
          <w:szCs w:val="18"/>
          <w:color w:val="000000"/>
        </w:rPr>
        <w:t>Addresses environmental issues at work, in employees' personal lives and in the communities where we live and work.</w:t>
      </w:r>
    </w:p>
    <w:p>
      <w:pPr>
        <w:spacing w:after="0" w:line="76" w:lineRule="exact"/>
        <w:rPr>
          <w:rFonts w:ascii="Arial" w:cs="Arial" w:eastAsia="Arial" w:hAnsi="Arial"/>
          <w:sz w:val="18"/>
          <w:szCs w:val="18"/>
          <w:color w:val="0070C0"/>
        </w:rPr>
      </w:pPr>
    </w:p>
    <w:p>
      <w:pPr>
        <w:ind w:left="260" w:right="420" w:hanging="252"/>
        <w:spacing w:after="0" w:line="287" w:lineRule="auto"/>
        <w:tabs>
          <w:tab w:leader="none" w:pos="215" w:val="left"/>
        </w:tabs>
        <w:numPr>
          <w:ilvl w:val="0"/>
          <w:numId w:val="36"/>
        </w:numPr>
        <w:rPr>
          <w:rFonts w:ascii="Arial" w:cs="Arial" w:eastAsia="Arial" w:hAnsi="Arial"/>
          <w:sz w:val="18"/>
          <w:szCs w:val="18"/>
          <w:color w:val="0070C0"/>
        </w:rPr>
      </w:pPr>
      <w:r>
        <w:rPr>
          <w:rFonts w:ascii="Arial" w:cs="Arial" w:eastAsia="Arial" w:hAnsi="Arial"/>
          <w:sz w:val="18"/>
          <w:szCs w:val="18"/>
          <w:i w:val="1"/>
          <w:iCs w:val="1"/>
          <w:color w:val="0070C0"/>
        </w:rPr>
        <w:t xml:space="preserve">Parenting Network Group: </w:t>
      </w:r>
      <w:r>
        <w:rPr>
          <w:rFonts w:ascii="Arial" w:cs="Arial" w:eastAsia="Arial" w:hAnsi="Arial"/>
          <w:sz w:val="18"/>
          <w:szCs w:val="18"/>
          <w:color w:val="000000"/>
        </w:rPr>
        <w:t>Provides support, networking and development opportunities to working parents and caregivers, as well as</w:t>
      </w:r>
      <w:r>
        <w:rPr>
          <w:rFonts w:ascii="Arial" w:cs="Arial" w:eastAsia="Arial" w:hAnsi="Arial"/>
          <w:sz w:val="18"/>
          <w:szCs w:val="18"/>
          <w:i w:val="1"/>
          <w:iCs w:val="1"/>
          <w:color w:val="0070C0"/>
        </w:rPr>
        <w:t xml:space="preserve"> </w:t>
      </w:r>
      <w:r>
        <w:rPr>
          <w:rFonts w:ascii="Arial" w:cs="Arial" w:eastAsia="Arial" w:hAnsi="Arial"/>
          <w:sz w:val="18"/>
          <w:szCs w:val="18"/>
          <w:color w:val="000000"/>
        </w:rPr>
        <w:t>helping employees navigate the challenges of work-life balance.</w:t>
      </w:r>
    </w:p>
    <w:p>
      <w:pPr>
        <w:spacing w:after="0" w:line="4" w:lineRule="exact"/>
        <w:rPr>
          <w:rFonts w:ascii="Arial" w:cs="Arial" w:eastAsia="Arial" w:hAnsi="Arial"/>
          <w:sz w:val="18"/>
          <w:szCs w:val="18"/>
          <w:color w:val="0070C0"/>
        </w:rPr>
      </w:pPr>
    </w:p>
    <w:p>
      <w:pPr>
        <w:ind w:left="200" w:hanging="192"/>
        <w:spacing w:after="0"/>
        <w:tabs>
          <w:tab w:leader="none" w:pos="200" w:val="left"/>
        </w:tabs>
        <w:numPr>
          <w:ilvl w:val="0"/>
          <w:numId w:val="36"/>
        </w:numPr>
        <w:rPr>
          <w:rFonts w:ascii="Arial" w:cs="Arial" w:eastAsia="Arial" w:hAnsi="Arial"/>
          <w:sz w:val="18"/>
          <w:szCs w:val="18"/>
          <w:color w:val="0070C0"/>
        </w:rPr>
      </w:pPr>
      <w:r>
        <w:rPr>
          <w:rFonts w:ascii="Arial" w:cs="Arial" w:eastAsia="Arial" w:hAnsi="Arial"/>
          <w:sz w:val="18"/>
          <w:szCs w:val="18"/>
          <w:i w:val="1"/>
          <w:iCs w:val="1"/>
          <w:color w:val="0070C0"/>
        </w:rPr>
        <w:t xml:space="preserve">ReachOUT: </w:t>
      </w:r>
      <w:r>
        <w:rPr>
          <w:rFonts w:ascii="Arial" w:cs="Arial" w:eastAsia="Arial" w:hAnsi="Arial"/>
          <w:sz w:val="18"/>
          <w:szCs w:val="18"/>
          <w:color w:val="000000"/>
        </w:rPr>
        <w:t>Brings together LGBTQ+ employees and their allies.</w:t>
      </w:r>
    </w:p>
    <w:p>
      <w:pPr>
        <w:spacing w:after="0" w:line="90" w:lineRule="exact"/>
        <w:rPr>
          <w:rFonts w:ascii="Arial" w:cs="Arial" w:eastAsia="Arial" w:hAnsi="Arial"/>
          <w:sz w:val="18"/>
          <w:szCs w:val="18"/>
          <w:color w:val="0070C0"/>
        </w:rPr>
      </w:pPr>
    </w:p>
    <w:p>
      <w:pPr>
        <w:ind w:left="200" w:hanging="192"/>
        <w:spacing w:after="0"/>
        <w:tabs>
          <w:tab w:leader="none" w:pos="200" w:val="left"/>
        </w:tabs>
        <w:numPr>
          <w:ilvl w:val="0"/>
          <w:numId w:val="36"/>
        </w:numPr>
        <w:rPr>
          <w:rFonts w:ascii="Arial" w:cs="Arial" w:eastAsia="Arial" w:hAnsi="Arial"/>
          <w:sz w:val="18"/>
          <w:szCs w:val="18"/>
          <w:color w:val="0070C0"/>
        </w:rPr>
      </w:pPr>
      <w:r>
        <w:rPr>
          <w:rFonts w:ascii="Arial" w:cs="Arial" w:eastAsia="Arial" w:hAnsi="Arial"/>
          <w:sz w:val="18"/>
          <w:szCs w:val="18"/>
          <w:i w:val="1"/>
          <w:iCs w:val="1"/>
          <w:color w:val="0070C0"/>
        </w:rPr>
        <w:t xml:space="preserve">Women’s Impact Network: </w:t>
      </w:r>
      <w:r>
        <w:rPr>
          <w:rFonts w:ascii="Arial" w:cs="Arial" w:eastAsia="Arial" w:hAnsi="Arial"/>
          <w:sz w:val="18"/>
          <w:szCs w:val="18"/>
          <w:color w:val="000000"/>
        </w:rPr>
        <w:t>Creates networking, mentoring and learning opportunities for women and allies worldwide.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color w:val="0070C0"/>
        </w:rPr>
        <w:t xml:space="preserve">INFORMATION ABOUT OUR EXECUTIVE OFFICERS </w:t>
      </w:r>
      <w:r>
        <w:rPr>
          <w:rFonts w:ascii="Arial" w:cs="Arial" w:eastAsia="Arial" w:hAnsi="Arial"/>
          <w:sz w:val="21"/>
          <w:szCs w:val="21"/>
          <w:color w:val="0070C0"/>
        </w:rPr>
        <w:t>(as of February 6, 2026)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7"/>
              </w:rPr>
              <w:t>Year</w:t>
            </w:r>
          </w:p>
        </w:tc>
        <w:tc>
          <w:tcPr>
            <w:tcW w:w="0" w:type="dxa"/>
            <w:vAlign w:val="bottom"/>
          </w:tcPr>
          <w:p>
            <w:pPr>
              <w:spacing w:after="0"/>
              <w:rPr>
                <w:sz w:val="1"/>
                <w:szCs w:val="1"/>
                <w:color w:val="auto"/>
              </w:rPr>
            </w:pPr>
          </w:p>
        </w:tc>
      </w:tr>
      <w:tr>
        <w:trPr>
          <w:trHeight w:val="162"/>
        </w:trPr>
        <w:tc>
          <w:tcPr>
            <w:tcW w:w="3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Officer</w:t>
            </w:r>
          </w:p>
        </w:tc>
        <w:tc>
          <w:tcPr>
            <w:tcW w:w="6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Current Position</w:t>
            </w:r>
          </w:p>
        </w:tc>
        <w:tc>
          <w:tcPr>
            <w:tcW w:w="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Age</w:t>
            </w:r>
          </w:p>
        </w:tc>
        <w:tc>
          <w:tcPr>
            <w:tcW w:w="8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Joined</w:t>
            </w:r>
          </w:p>
        </w:tc>
        <w:tc>
          <w:tcPr>
            <w:tcW w:w="0" w:type="dxa"/>
            <w:vAlign w:val="bottom"/>
          </w:tcPr>
          <w:p>
            <w:pPr>
              <w:spacing w:after="0"/>
              <w:rPr>
                <w:sz w:val="1"/>
                <w:szCs w:val="1"/>
                <w:color w:val="auto"/>
              </w:rPr>
            </w:pPr>
          </w:p>
        </w:tc>
      </w:tr>
      <w:tr>
        <w:trPr>
          <w:trHeight w:val="216"/>
        </w:trPr>
        <w:tc>
          <w:tcPr>
            <w:tcW w:w="3040" w:type="dxa"/>
            <w:vAlign w:val="bottom"/>
            <w:gridSpan w:val="2"/>
            <w:vMerge w:val="continue"/>
          </w:tcPr>
          <w:p>
            <w:pPr>
              <w:spacing w:after="0"/>
              <w:rPr>
                <w:sz w:val="18"/>
                <w:szCs w:val="18"/>
                <w:color w:val="auto"/>
              </w:rPr>
            </w:pPr>
          </w:p>
        </w:tc>
        <w:tc>
          <w:tcPr>
            <w:tcW w:w="674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Biogen</w:t>
            </w: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2573BA"/>
              </w:rPr>
              <w:t>Christopher A. Viehbacher</w:t>
            </w:r>
          </w:p>
        </w:tc>
        <w:tc>
          <w:tcPr>
            <w:tcW w:w="100" w:type="dxa"/>
            <w:vAlign w:val="bottom"/>
          </w:tcPr>
          <w:p>
            <w:pPr>
              <w:spacing w:after="0"/>
              <w:rPr>
                <w:sz w:val="18"/>
                <w:szCs w:val="18"/>
                <w:color w:val="auto"/>
              </w:rPr>
            </w:pPr>
          </w:p>
        </w:tc>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President, Chief Executive Officer</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Susan H. Alexander</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Chief Legal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Robin C. Kramer</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Financial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Nicole Murphy</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Pharmaceutical Operations and Technology</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Ginger Gregory, Ph.D.</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Human Resources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Rachid Izzar</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Global Product Strategy and Commercialization</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Priya Singhal, M.D., M.P.H.</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Head of Development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Jane Grogan, Ph.D.</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Head of Research</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Adam Keeney, Ph.D.</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Head of Corporate Development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23"/>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Sean Godbout</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Vice President, Chief Accounting Officer and Global Corporate Controller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Christopher A. Viehbacher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right="40"/>
        <w:spacing w:after="0" w:line="228" w:lineRule="auto"/>
        <w:rPr>
          <w:sz w:val="20"/>
          <w:szCs w:val="20"/>
          <w:color w:val="auto"/>
        </w:rPr>
      </w:pPr>
      <w:r>
        <w:rPr>
          <w:rFonts w:ascii="Arial" w:cs="Arial" w:eastAsia="Arial" w:hAnsi="Arial"/>
          <w:sz w:val="17"/>
          <w:szCs w:val="17"/>
          <w:color w:val="auto"/>
        </w:rPr>
        <w:t>Mr. Viehbacher has served as our President and Chief Executive Officer and member of our Board of Directors since November 2022. Prior to joining Biogen, Mr. Viehbacher served as Managing Partner of Gurnet Point Capital, a Boston based investment fund from 2015 to 2022. Prior to that, Mr. Viehbacher served as Global CEO of Sanofi, from 2008 to 2014. Prior to joining Sanofi, Mr. Viehbacher spent over 20 years</w:t>
      </w:r>
    </w:p>
    <w:p>
      <w:pPr>
        <w:spacing w:after="0" w:line="1" w:lineRule="exact"/>
        <w:rPr>
          <w:sz w:val="20"/>
          <w:szCs w:val="20"/>
          <w:color w:val="auto"/>
        </w:rPr>
      </w:pPr>
    </w:p>
    <w:p>
      <w:pPr>
        <w:ind w:left="40" w:right="80"/>
        <w:spacing w:after="0" w:line="221" w:lineRule="auto"/>
        <w:rPr>
          <w:sz w:val="20"/>
          <w:szCs w:val="20"/>
          <w:color w:val="auto"/>
        </w:rPr>
      </w:pPr>
      <w:r>
        <w:rPr>
          <w:rFonts w:ascii="Arial" w:cs="Arial" w:eastAsia="Arial" w:hAnsi="Arial"/>
          <w:sz w:val="17"/>
          <w:szCs w:val="17"/>
          <w:color w:val="auto"/>
        </w:rPr>
        <w:t>with GlaxoSmithKline in Germany, Canada, France and, latterly, the U.S. as president of its North American pharmaceutical division. Mr. Viehbacher began his career with PricewaterhouseCoopers LLP and qualified as a chartered accountant. Mr. Viehbacher previously served on the board of directors of Vedanta Biosciences, Inc. as chair, BEFORE Brands, Inc., Crossover Health, Sanofi and GlaxoSmithKline. He is</w:t>
      </w:r>
    </w:p>
    <w:p>
      <w:pPr>
        <w:ind w:left="40" w:right="200"/>
        <w:spacing w:after="0" w:line="229" w:lineRule="auto"/>
        <w:rPr>
          <w:sz w:val="20"/>
          <w:szCs w:val="20"/>
          <w:color w:val="auto"/>
        </w:rPr>
      </w:pPr>
      <w:r>
        <w:rPr>
          <w:rFonts w:ascii="Arial" w:cs="Arial" w:eastAsia="Arial" w:hAnsi="Arial"/>
          <w:sz w:val="18"/>
          <w:szCs w:val="18"/>
          <w:color w:val="auto"/>
        </w:rPr>
        <w:t>also the chair of the board of directors at Braveheart Bio, Inc., a trustee of Northeastern University and a member of the board of fellows at Stanford Medical School.</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8" w:lineRule="exact"/>
        <w:rPr>
          <w:sz w:val="20"/>
          <w:szCs w:val="20"/>
          <w:color w:val="auto"/>
        </w:rPr>
      </w:pPr>
    </w:p>
    <w:p>
      <w:pPr>
        <w:ind w:left="580" w:hanging="110"/>
        <w:spacing w:after="0"/>
        <w:tabs>
          <w:tab w:leader="none" w:pos="580" w:val="left"/>
        </w:tabs>
        <w:numPr>
          <w:ilvl w:val="0"/>
          <w:numId w:val="37"/>
        </w:numPr>
        <w:rPr>
          <w:rFonts w:ascii="Wingdings" w:cs="Wingdings" w:eastAsia="Wingdings" w:hAnsi="Wingdings"/>
          <w:sz w:val="11"/>
          <w:szCs w:val="11"/>
          <w:b w:val="1"/>
          <w:bCs w:val="1"/>
          <w:color w:val="auto"/>
        </w:rPr>
      </w:pPr>
      <w:r>
        <w:rPr>
          <w:rFonts w:ascii="Arial" w:cs="Arial" w:eastAsia="Arial" w:hAnsi="Arial"/>
          <w:sz w:val="18"/>
          <w:szCs w:val="18"/>
          <w:color w:val="auto"/>
        </w:rPr>
        <w:t>Queen's University in Kingston, Ontario, Canada, B.A.</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Susan H.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Ms. Alexander has served as our Executive Vice President, Chief Legal Officer since April 2018. Prior to that, Ms. Alexander served as our</w:t>
      </w:r>
    </w:p>
    <w:p>
      <w:pPr>
        <w:ind w:left="40" w:right="240"/>
        <w:spacing w:after="0" w:line="221" w:lineRule="auto"/>
        <w:rPr>
          <w:sz w:val="20"/>
          <w:szCs w:val="20"/>
          <w:color w:val="auto"/>
        </w:rPr>
      </w:pPr>
      <w:r>
        <w:rPr>
          <w:rFonts w:ascii="Arial" w:cs="Arial" w:eastAsia="Arial" w:hAnsi="Arial"/>
          <w:sz w:val="17"/>
          <w:szCs w:val="17"/>
          <w:color w:val="auto"/>
        </w:rPr>
        <w:t>Executive Vice President, Chief Legal and Corporate Services from March 2017 to March 2018, as our Executive Vice President, Chief Legal Officer and Secretary from December 2011 to March 2017 and as our Executive Vice President, General Counsel and Corporate Secretary from 2006 to December 2011. Prior to joining Biogen, Ms. Alexander served as the Senior Vice President, General Counsel and</w:t>
      </w:r>
    </w:p>
    <w:p>
      <w:pPr>
        <w:jc w:val="both"/>
        <w:ind w:left="40" w:right="40"/>
        <w:spacing w:after="0" w:line="221" w:lineRule="auto"/>
        <w:rPr>
          <w:sz w:val="20"/>
          <w:szCs w:val="20"/>
          <w:color w:val="auto"/>
        </w:rPr>
      </w:pPr>
      <w:r>
        <w:rPr>
          <w:rFonts w:ascii="Arial" w:cs="Arial" w:eastAsia="Arial" w:hAnsi="Arial"/>
          <w:sz w:val="17"/>
          <w:szCs w:val="17"/>
          <w:color w:val="auto"/>
        </w:rPr>
        <w:t>Corporate Secretary of PAREXEL International Corporation, a biopharmaceutical services company, from 2003 to January 2006. From 2001 to 2003 Ms. Alexander served as General Counsel of IONA Technologies, a software company. From 1995 to 2001 Ms. Alexander served as Counsel at Cabot Corporation, a specialty chemicals and performance materials company. Prior to that, Ms. Alexander was a partner at the</w:t>
      </w:r>
    </w:p>
    <w:p>
      <w:pPr>
        <w:ind w:left="40"/>
        <w:spacing w:after="0"/>
        <w:rPr>
          <w:sz w:val="20"/>
          <w:szCs w:val="20"/>
          <w:color w:val="auto"/>
        </w:rPr>
      </w:pPr>
      <w:r>
        <w:rPr>
          <w:rFonts w:ascii="Arial" w:cs="Arial" w:eastAsia="Arial" w:hAnsi="Arial"/>
          <w:sz w:val="18"/>
          <w:szCs w:val="18"/>
          <w:color w:val="auto"/>
        </w:rPr>
        <w:t>law firms of Hinckley, Allen &amp; Snyder and Fine &amp; Ambrogne.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1062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7" w:lineRule="exact"/>
        <w:rPr>
          <w:sz w:val="20"/>
          <w:szCs w:val="20"/>
          <w:color w:val="auto"/>
        </w:rPr>
      </w:pPr>
    </w:p>
    <w:p>
      <w:pPr>
        <w:ind w:left="580" w:hanging="110"/>
        <w:spacing w:after="0"/>
        <w:tabs>
          <w:tab w:leader="none" w:pos="580" w:val="left"/>
        </w:tabs>
        <w:numPr>
          <w:ilvl w:val="0"/>
          <w:numId w:val="38"/>
        </w:numPr>
        <w:rPr>
          <w:rFonts w:ascii="Wingdings" w:cs="Wingdings" w:eastAsia="Wingdings" w:hAnsi="Wingdings"/>
          <w:sz w:val="11"/>
          <w:szCs w:val="11"/>
          <w:b w:val="1"/>
          <w:bCs w:val="1"/>
          <w:color w:val="auto"/>
        </w:rPr>
      </w:pPr>
      <w:r>
        <w:rPr>
          <w:rFonts w:ascii="Arial" w:cs="Arial" w:eastAsia="Arial" w:hAnsi="Arial"/>
          <w:sz w:val="18"/>
          <w:szCs w:val="18"/>
          <w:color w:val="auto"/>
        </w:rPr>
        <w:t>Wellesley College, B.A.</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38"/>
        </w:numPr>
        <w:rPr>
          <w:rFonts w:ascii="Wingdings" w:cs="Wingdings" w:eastAsia="Wingdings" w:hAnsi="Wingdings"/>
          <w:sz w:val="11"/>
          <w:szCs w:val="11"/>
          <w:b w:val="1"/>
          <w:bCs w:val="1"/>
          <w:color w:val="auto"/>
        </w:rPr>
      </w:pPr>
      <w:r>
        <w:rPr>
          <w:rFonts w:ascii="Arial" w:cs="Arial" w:eastAsia="Arial" w:hAnsi="Arial"/>
          <w:sz w:val="18"/>
          <w:szCs w:val="18"/>
          <w:color w:val="auto"/>
        </w:rPr>
        <w:t>Boston University School of Law, J.D.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573BA"/>
        </w:rPr>
        <w:t>Robin C.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0891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16510</wp:posOffset>
            </wp:positionV>
            <wp:extent cx="70891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4" w:lineRule="exact"/>
        <w:rPr>
          <w:sz w:val="20"/>
          <w:szCs w:val="20"/>
          <w:color w:val="auto"/>
        </w:rPr>
      </w:pPr>
    </w:p>
    <w:p>
      <w:pPr>
        <w:ind w:left="60" w:right="140"/>
        <w:spacing w:after="0" w:line="234" w:lineRule="auto"/>
        <w:rPr>
          <w:sz w:val="20"/>
          <w:szCs w:val="20"/>
          <w:color w:val="auto"/>
        </w:rPr>
      </w:pPr>
      <w:r>
        <w:rPr>
          <w:rFonts w:ascii="Arial" w:cs="Arial" w:eastAsia="Arial" w:hAnsi="Arial"/>
          <w:sz w:val="17"/>
          <w:szCs w:val="17"/>
          <w:color w:val="auto"/>
        </w:rPr>
        <w:t>Ms. Kramer has served as our Chief Financial Officer since March 2025. Prior to that, Ms. Kramer served as our Senior Vice President, Chief Accounting Officer from December 2020 to February 2025 and from November 2018 to December 2020 as our Vice President, Chief</w:t>
      </w:r>
    </w:p>
    <w:p>
      <w:pPr>
        <w:spacing w:after="0" w:line="1" w:lineRule="exact"/>
        <w:rPr>
          <w:sz w:val="20"/>
          <w:szCs w:val="20"/>
          <w:color w:val="auto"/>
        </w:rPr>
      </w:pPr>
    </w:p>
    <w:p>
      <w:pPr>
        <w:ind w:left="60" w:right="60"/>
        <w:spacing w:after="0" w:line="221" w:lineRule="auto"/>
        <w:rPr>
          <w:sz w:val="20"/>
          <w:szCs w:val="20"/>
          <w:color w:val="auto"/>
        </w:rPr>
      </w:pPr>
      <w:r>
        <w:rPr>
          <w:rFonts w:ascii="Arial" w:cs="Arial" w:eastAsia="Arial" w:hAnsi="Arial"/>
          <w:sz w:val="17"/>
          <w:szCs w:val="17"/>
          <w:color w:val="auto"/>
        </w:rPr>
        <w:t>Accounting Officer. Prior to joining Biogen, Ms. Kramer served as the Senior Vice President and Chief Accounting Officer of Hertz Global Holdings, Inc., a car rental company, from May 2014 to November 2018. Prior to that, Ms. Kramer was an audit partner at Deloitte &amp; Touche LLP (Deloitte), a professional services firm, from 2007 to 2014, including serving in Deloitte's National Office Accounting Standards and</w:t>
      </w:r>
    </w:p>
    <w:p>
      <w:pPr>
        <w:ind w:left="60" w:right="120"/>
        <w:spacing w:after="0" w:line="221" w:lineRule="auto"/>
        <w:rPr>
          <w:sz w:val="20"/>
          <w:szCs w:val="20"/>
          <w:color w:val="auto"/>
        </w:rPr>
      </w:pPr>
      <w:r>
        <w:rPr>
          <w:rFonts w:ascii="Arial" w:cs="Arial" w:eastAsia="Arial" w:hAnsi="Arial"/>
          <w:sz w:val="17"/>
          <w:szCs w:val="17"/>
          <w:color w:val="auto"/>
        </w:rPr>
        <w:t>Communications Group from 2007 to 2010. From 2005 to 2007 Ms. Kramer served as Chief Accounting Officer of Fisher Scientific International, Inc., a laboratory supply and biotechnology company, and from 2004 to 2005 Ms. Kramer served as Director, External Reporting, Accounting and Control for the Gillette Company, a personal care company. Ms. Kramer also held partner positions in the public</w:t>
      </w:r>
    </w:p>
    <w:p>
      <w:pPr>
        <w:ind w:left="60" w:right="140"/>
        <w:spacing w:after="0" w:line="208" w:lineRule="auto"/>
        <w:rPr>
          <w:sz w:val="20"/>
          <w:szCs w:val="20"/>
          <w:color w:val="auto"/>
        </w:rPr>
      </w:pPr>
      <w:r>
        <w:rPr>
          <w:rFonts w:ascii="Arial" w:cs="Arial" w:eastAsia="Arial" w:hAnsi="Arial"/>
          <w:sz w:val="18"/>
          <w:szCs w:val="18"/>
          <w:color w:val="auto"/>
        </w:rPr>
        <w:t>accounting firms of Ernst &amp; Young LLP and Arthur Andersen LLP. Ms. Kramer is a licensed CPA in Massachusetts. She is a member of the Massachusetts Society of CPAs and the American Institute of CPAs. Ms. Kramer previously served as a Board Member for the Center for Women &amp; Enterprise from August 2020 to November 2024, the Massachusetts State Board of Accountancy from September 2011 to</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2015 and Probus Insurance Company Europe DAC from 2016 to 2018.</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12065</wp:posOffset>
            </wp:positionV>
            <wp:extent cx="70891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7" w:lineRule="exact"/>
        <w:rPr>
          <w:sz w:val="20"/>
          <w:szCs w:val="20"/>
          <w:color w:val="auto"/>
        </w:rPr>
      </w:pPr>
    </w:p>
    <w:p>
      <w:pPr>
        <w:ind w:left="60" w:right="6120" w:firstLine="410"/>
        <w:spacing w:after="0" w:line="273" w:lineRule="auto"/>
        <w:tabs>
          <w:tab w:leader="none" w:pos="587" w:val="left"/>
        </w:tabs>
        <w:numPr>
          <w:ilvl w:val="0"/>
          <w:numId w:val="39"/>
        </w:numPr>
        <w:rPr>
          <w:rFonts w:ascii="Wingdings" w:cs="Wingdings" w:eastAsia="Wingdings" w:hAnsi="Wingdings"/>
          <w:sz w:val="11"/>
          <w:szCs w:val="11"/>
          <w:b w:val="1"/>
          <w:bCs w:val="1"/>
          <w:color w:val="auto"/>
        </w:rPr>
      </w:pPr>
      <w:r>
        <w:rPr>
          <w:rFonts w:ascii="Arial" w:cs="Arial" w:eastAsia="Arial" w:hAnsi="Arial"/>
          <w:sz w:val="18"/>
          <w:szCs w:val="18"/>
          <w:color w:val="auto"/>
        </w:rPr>
        <w:t xml:space="preserve">Armata Pharmaceuticals, Inc., a biotechnology company </w:t>
      </w:r>
      <w:r>
        <w:rPr>
          <w:rFonts w:ascii="Arial" w:cs="Arial" w:eastAsia="Arial" w:hAnsi="Arial"/>
          <w:sz w:val="18"/>
          <w:szCs w:val="18"/>
          <w:i w:val="1"/>
          <w:iCs w:val="1"/>
          <w:color w:val="538235"/>
        </w:rPr>
        <w:t>Education</w:t>
      </w:r>
    </w:p>
    <w:p>
      <w:pPr>
        <w:spacing w:after="0" w:line="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39"/>
        </w:numPr>
        <w:rPr>
          <w:rFonts w:ascii="Wingdings" w:cs="Wingdings" w:eastAsia="Wingdings" w:hAnsi="Wingdings"/>
          <w:sz w:val="11"/>
          <w:szCs w:val="11"/>
          <w:b w:val="1"/>
          <w:bCs w:val="1"/>
          <w:color w:val="auto"/>
        </w:rPr>
      </w:pPr>
      <w:r>
        <w:rPr>
          <w:rFonts w:ascii="Arial" w:cs="Arial" w:eastAsia="Arial" w:hAnsi="Arial"/>
          <w:sz w:val="18"/>
          <w:szCs w:val="18"/>
          <w:color w:val="auto"/>
        </w:rPr>
        <w:t>Salem State University, B.S. Business Administration,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-135890</wp:posOffset>
            </wp:positionV>
            <wp:extent cx="70891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Nicole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 w:lineRule="exact"/>
        <w:rPr>
          <w:sz w:val="20"/>
          <w:szCs w:val="20"/>
          <w:color w:val="auto"/>
        </w:rPr>
      </w:pPr>
    </w:p>
    <w:p>
      <w:pPr>
        <w:ind w:left="40"/>
        <w:spacing w:after="0" w:line="226" w:lineRule="auto"/>
        <w:rPr>
          <w:sz w:val="20"/>
          <w:szCs w:val="20"/>
          <w:color w:val="auto"/>
        </w:rPr>
      </w:pPr>
      <w:r>
        <w:rPr>
          <w:rFonts w:ascii="Arial" w:cs="Arial" w:eastAsia="Arial" w:hAnsi="Arial"/>
          <w:sz w:val="17"/>
          <w:szCs w:val="17"/>
          <w:color w:val="auto"/>
        </w:rPr>
        <w:t>Ms. Murphy has served as our Executive Vice President, Pharmaceutical Operations and Technology since February 2022. Prior to that, Ms. Murphy has held senior executive positions at Biogen, including most recently as our Senior Vice President, Head of Global Manufacturing</w:t>
      </w:r>
    </w:p>
    <w:p>
      <w:pPr>
        <w:spacing w:after="0" w:line="1" w:lineRule="exact"/>
        <w:rPr>
          <w:sz w:val="20"/>
          <w:szCs w:val="20"/>
          <w:color w:val="auto"/>
        </w:rPr>
      </w:pPr>
    </w:p>
    <w:p>
      <w:pPr>
        <w:ind w:left="40" w:right="40" w:firstLine="6"/>
        <w:spacing w:after="0" w:line="214" w:lineRule="auto"/>
        <w:tabs>
          <w:tab w:leader="none" w:pos="21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Technical Operations, from June 2019 to January 2022. In 2017, Ms. Murphy played a critical role during the successful spin-off of Biogen's hemophilia franchise, as the Vice President and Head of Technical Operations of Bioverativ responsible for clinical and commercial development, quality, regulatory, manufacturing and procurement. Prior to the spin-off Ms. Murphy was the General Manager and Head of Cambridge Site Operations at Biogen from May 2015 to December 2016. Prior to joining Biogen, Ms. Murphy was Executive Director, Head of Supply Chain at Amgen, a biopharmaceutical company, where her responsibilities included leadership of commercial manufacturing and technical operations. Ms. Murphy also held numerous technical and operational roles during her time at Amgen from 2001 to 2015 where she contributed significantly to various facility start-ups, business development integrations, strategic transformations and new product introductions. Prior to Amgen, Ms. Murphy held a variety of process development and engineering positions at Immunex Pharmaceuticals and the Monsanto Company.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580" w:hanging="110"/>
        <w:spacing w:after="0"/>
        <w:tabs>
          <w:tab w:leader="none" w:pos="580" w:val="left"/>
        </w:tabs>
        <w:numPr>
          <w:ilvl w:val="0"/>
          <w:numId w:val="41"/>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Massachusetts Amherst, B.S. Engineering</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41"/>
        </w:numPr>
        <w:rPr>
          <w:rFonts w:ascii="Wingdings" w:cs="Wingdings" w:eastAsia="Wingdings" w:hAnsi="Wingdings"/>
          <w:sz w:val="11"/>
          <w:szCs w:val="11"/>
          <w:b w:val="1"/>
          <w:bCs w:val="1"/>
          <w:color w:val="auto"/>
        </w:rPr>
      </w:pPr>
      <w:r>
        <w:rPr>
          <w:rFonts w:ascii="Arial" w:cs="Arial" w:eastAsia="Arial" w:hAnsi="Arial"/>
          <w:sz w:val="18"/>
          <w:szCs w:val="18"/>
          <w:color w:val="auto"/>
        </w:rPr>
        <w:t>Rensselaer Polytechnic Institute, M.S. Engineering and a Masters of Business Administration</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Ginger Gregory,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Dr. Gregory has served as our Executive Vice President and Chief Human Resources Officer since July 2017. Prior to joining Biogen, Dr.</w:t>
      </w:r>
    </w:p>
    <w:p>
      <w:pPr>
        <w:ind w:left="40" w:right="540"/>
        <w:spacing w:after="0" w:line="221" w:lineRule="auto"/>
        <w:rPr>
          <w:sz w:val="20"/>
          <w:szCs w:val="20"/>
          <w:color w:val="auto"/>
        </w:rPr>
      </w:pPr>
      <w:r>
        <w:rPr>
          <w:rFonts w:ascii="Arial" w:cs="Arial" w:eastAsia="Arial" w:hAnsi="Arial"/>
          <w:sz w:val="17"/>
          <w:szCs w:val="17"/>
          <w:color w:val="auto"/>
        </w:rPr>
        <w:t>Gregory served as Executive Vice President and Chief Human Resources Officer at Shire PLC, a global specialty biopharmaceutical company, from February 2014 to April 2017. Prior to that, Dr. Gregory held executive-level human resources positions for several multinational companies across a variety of industries, including Dunkin’ Brands Group Inc., a restaurant holding company, where she</w:t>
      </w:r>
    </w:p>
    <w:p>
      <w:pPr>
        <w:jc w:val="both"/>
        <w:ind w:left="40" w:right="120"/>
        <w:spacing w:after="0" w:line="221" w:lineRule="auto"/>
        <w:rPr>
          <w:sz w:val="20"/>
          <w:szCs w:val="20"/>
          <w:color w:val="auto"/>
        </w:rPr>
      </w:pPr>
      <w:r>
        <w:rPr>
          <w:rFonts w:ascii="Arial" w:cs="Arial" w:eastAsia="Arial" w:hAnsi="Arial"/>
          <w:sz w:val="17"/>
          <w:szCs w:val="17"/>
          <w:color w:val="auto"/>
        </w:rPr>
        <w:t>served as Chief Human Resource Officer, Novartis AG, a pharmaceutical company, where she was the division head of Human Resources for Novartis Vaccines and Diagnostics, Novartis Consumer Health and Novartis Institutes of BioMedical Research and Novo Nordisk A/S, a pharmaceutical company, where she served as Senior Vice President, Corporate People &amp; Organization at the company’s headquarters in</w:t>
      </w:r>
    </w:p>
    <w:p>
      <w:pPr>
        <w:ind w:left="40" w:right="260"/>
        <w:spacing w:after="0" w:line="221" w:lineRule="auto"/>
        <w:rPr>
          <w:sz w:val="20"/>
          <w:szCs w:val="20"/>
          <w:color w:val="auto"/>
        </w:rPr>
      </w:pPr>
      <w:r>
        <w:rPr>
          <w:rFonts w:ascii="Arial" w:cs="Arial" w:eastAsia="Arial" w:hAnsi="Arial"/>
          <w:sz w:val="18"/>
          <w:szCs w:val="18"/>
          <w:color w:val="auto"/>
        </w:rPr>
        <w:t>Copenhagen, Denmark. Earlier in her career, Dr. Gregory held a variety of human resources generalist and specialist positions at BMS, a pharmaceutical company, and served as a consultant with Booz Allen &amp; Hamilton, an information technology consulting company, in the area of organization change and effectiveness.</w:t>
      </w: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10628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7" w:lineRule="exact"/>
        <w:rPr>
          <w:sz w:val="20"/>
          <w:szCs w:val="20"/>
          <w:color w:val="auto"/>
        </w:rPr>
      </w:pPr>
    </w:p>
    <w:p>
      <w:pPr>
        <w:ind w:left="580" w:hanging="110"/>
        <w:spacing w:after="0"/>
        <w:tabs>
          <w:tab w:leader="none" w:pos="580" w:val="left"/>
        </w:tabs>
        <w:numPr>
          <w:ilvl w:val="0"/>
          <w:numId w:val="42"/>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Massachusetts, B.A. Psychology</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42"/>
        </w:numPr>
        <w:rPr>
          <w:rFonts w:ascii="Wingdings" w:cs="Wingdings" w:eastAsia="Wingdings" w:hAnsi="Wingdings"/>
          <w:sz w:val="11"/>
          <w:szCs w:val="11"/>
          <w:b w:val="1"/>
          <w:bCs w:val="1"/>
          <w:color w:val="auto"/>
        </w:rPr>
      </w:pPr>
      <w:r>
        <w:rPr>
          <w:rFonts w:ascii="Arial" w:cs="Arial" w:eastAsia="Arial" w:hAnsi="Arial"/>
          <w:sz w:val="18"/>
          <w:szCs w:val="18"/>
          <w:color w:val="auto"/>
        </w:rPr>
        <w:t>The George Washington University, Ph.D. Psychology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Rachid Izzar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spacing w:after="0" w:line="252" w:lineRule="auto"/>
        <w:rPr>
          <w:sz w:val="20"/>
          <w:szCs w:val="20"/>
          <w:color w:val="auto"/>
        </w:rPr>
      </w:pPr>
      <w:r>
        <w:rPr>
          <w:rFonts w:ascii="Arial" w:cs="Arial" w:eastAsia="Arial" w:hAnsi="Arial"/>
          <w:sz w:val="17"/>
          <w:szCs w:val="17"/>
          <w:color w:val="auto"/>
        </w:rPr>
        <w:t>Mr. Izzar has served as our Executive Vice President, Head of Global Product Strategy and Commercialization since July 2021. Prior to that Mr. Izzar served as our President for the Intercontinental Region, which includes Latin America, Australia, Asia, Japan, the Middle East and Africa, Turkey and Russia, and the Global Biogen Biosimilars Unit. Prior to joining Biogen, Mr. Izzar was a Country President for AstraZeneca in France, where his responsibilities included leadership for commercial and manufacturing operations. He held numerous roles at his time with AstraZeneca, including the position of Global Vice President of the Cardiovascular Franchise where he contributed significantly to the development of the franchise within the North American subsidiary, as well as in Europe and China. Prior to that, Mr. Izzar</w:t>
      </w:r>
    </w:p>
    <w:p>
      <w:pPr>
        <w:spacing w:after="0" w:line="2" w:lineRule="exact"/>
        <w:rPr>
          <w:sz w:val="20"/>
          <w:szCs w:val="20"/>
          <w:color w:val="auto"/>
        </w:rPr>
      </w:pPr>
    </w:p>
    <w:p>
      <w:pPr>
        <w:ind w:left="40" w:right="60"/>
        <w:spacing w:after="0" w:line="237" w:lineRule="auto"/>
        <w:rPr>
          <w:sz w:val="20"/>
          <w:szCs w:val="20"/>
          <w:color w:val="auto"/>
        </w:rPr>
      </w:pPr>
      <w:r>
        <w:rPr>
          <w:rFonts w:ascii="Arial" w:cs="Arial" w:eastAsia="Arial" w:hAnsi="Arial"/>
          <w:sz w:val="18"/>
          <w:szCs w:val="18"/>
          <w:color w:val="auto"/>
        </w:rPr>
        <w:t>was Vice President Strategic Transformation, also, China Portfolio for CEO based in Shanghai and Vice President Commercial International covering China, Australia, Brazil, Russia, America Latin, Asia, Turkey, the Middle East and Africa.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580" w:hanging="110"/>
        <w:spacing w:after="0"/>
        <w:tabs>
          <w:tab w:leader="none" w:pos="580" w:val="left"/>
        </w:tabs>
        <w:numPr>
          <w:ilvl w:val="0"/>
          <w:numId w:val="43"/>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Sherbrooke, Masters of Business Administration</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43"/>
        </w:numPr>
        <w:rPr>
          <w:rFonts w:ascii="Wingdings" w:cs="Wingdings" w:eastAsia="Wingdings" w:hAnsi="Wingdings"/>
          <w:sz w:val="11"/>
          <w:szCs w:val="11"/>
          <w:b w:val="1"/>
          <w:bCs w:val="1"/>
          <w:color w:val="auto"/>
        </w:rPr>
      </w:pPr>
      <w:r>
        <w:rPr>
          <w:rFonts w:ascii="Arial" w:cs="Arial" w:eastAsia="Arial" w:hAnsi="Arial"/>
          <w:sz w:val="18"/>
          <w:szCs w:val="18"/>
          <w:color w:val="auto"/>
        </w:rPr>
        <w:t>Harvard Business School, Enterprise Executive Transformation Program</w:t>
      </w:r>
    </w:p>
    <w:p>
      <w:pPr>
        <w:spacing w:after="0" w:line="2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Priya Singhal,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right="220"/>
        <w:spacing w:after="0" w:line="245" w:lineRule="auto"/>
        <w:rPr>
          <w:sz w:val="20"/>
          <w:szCs w:val="20"/>
          <w:color w:val="auto"/>
        </w:rPr>
      </w:pPr>
      <w:r>
        <w:rPr>
          <w:rFonts w:ascii="Arial" w:cs="Arial" w:eastAsia="Arial" w:hAnsi="Arial"/>
          <w:sz w:val="18"/>
          <w:szCs w:val="18"/>
          <w:color w:val="auto"/>
        </w:rPr>
        <w:t>Dr. Singhal has served as our Executive Vice President and Head of Development since January 2023. Prior to that Dr. Singhal served as our Interim Head of Research and Development since 2021 in addition to serving as Head of Global Safety and Regulatory Sciences,</w:t>
      </w:r>
    </w:p>
    <w:p>
      <w:pPr>
        <w:ind w:left="40" w:right="180"/>
        <w:spacing w:after="0"/>
        <w:rPr>
          <w:sz w:val="20"/>
          <w:szCs w:val="20"/>
          <w:color w:val="auto"/>
        </w:rPr>
      </w:pPr>
      <w:r>
        <w:rPr>
          <w:rFonts w:ascii="Arial" w:cs="Arial" w:eastAsia="Arial" w:hAnsi="Arial"/>
          <w:sz w:val="17"/>
          <w:szCs w:val="17"/>
          <w:color w:val="auto"/>
        </w:rPr>
        <w:t>including China and Japan Research and Development, since rejoining Biogen in 2020. Dr. Singhal was initially at Biogen from 2012 to 2018 and served in positions of increasing seniority as Vice President Clinical Trials Benefit-Risk Management, Global Head of Safety and</w:t>
      </w:r>
    </w:p>
    <w:p>
      <w:pPr>
        <w:spacing w:after="0" w:line="1" w:lineRule="exact"/>
        <w:rPr>
          <w:sz w:val="20"/>
          <w:szCs w:val="20"/>
          <w:color w:val="auto"/>
        </w:rPr>
      </w:pPr>
    </w:p>
    <w:p>
      <w:pPr>
        <w:ind w:left="40" w:right="100"/>
        <w:spacing w:after="0"/>
        <w:rPr>
          <w:sz w:val="20"/>
          <w:szCs w:val="20"/>
          <w:color w:val="auto"/>
        </w:rPr>
      </w:pPr>
      <w:r>
        <w:rPr>
          <w:rFonts w:ascii="Arial" w:cs="Arial" w:eastAsia="Arial" w:hAnsi="Arial"/>
          <w:sz w:val="18"/>
          <w:szCs w:val="18"/>
          <w:color w:val="auto"/>
        </w:rPr>
        <w:t>Benefit Risk Management and as the Interim Co-lead and Senior Vice President of Global Development. Prior to her 2020 return to Biogen, Dr. Singhal served as Head of Research and Development and Manufacturing at Zafgen Inc. from 2019 to 2020. From 2008 to 2012 Dr. Singhal held roles at Vertex Pharmaceuticals, including Vice President, Medical Affairs. Dr. Singhal began her drug-development career at Millennium Pharmaceuticals, Inc. in 2005 and led benefit-risk management for Velcade and other compounds.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580" w:hanging="110"/>
        <w:spacing w:after="0"/>
        <w:tabs>
          <w:tab w:leader="none" w:pos="580" w:val="left"/>
        </w:tabs>
        <w:numPr>
          <w:ilvl w:val="0"/>
          <w:numId w:val="44"/>
        </w:numPr>
        <w:rPr>
          <w:rFonts w:ascii="Wingdings" w:cs="Wingdings" w:eastAsia="Wingdings" w:hAnsi="Wingdings"/>
          <w:sz w:val="11"/>
          <w:szCs w:val="11"/>
          <w:b w:val="1"/>
          <w:bCs w:val="1"/>
          <w:color w:val="auto"/>
        </w:rPr>
      </w:pPr>
      <w:r>
        <w:rPr>
          <w:rFonts w:ascii="Arial" w:cs="Arial" w:eastAsia="Arial" w:hAnsi="Arial"/>
          <w:sz w:val="18"/>
          <w:szCs w:val="18"/>
          <w:color w:val="auto"/>
        </w:rPr>
        <w:t>Harvard School of Public Health, M.P.H. in International Health</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44"/>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Mumbai, Doctor of Medicine (M.D.)</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Jane Grogan,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right="80"/>
        <w:spacing w:after="0" w:line="247" w:lineRule="auto"/>
        <w:rPr>
          <w:sz w:val="20"/>
          <w:szCs w:val="20"/>
          <w:color w:val="auto"/>
        </w:rPr>
      </w:pPr>
      <w:r>
        <w:rPr>
          <w:rFonts w:ascii="Arial" w:cs="Arial" w:eastAsia="Arial" w:hAnsi="Arial"/>
          <w:sz w:val="18"/>
          <w:szCs w:val="18"/>
          <w:color w:val="auto"/>
        </w:rPr>
        <w:t>Dr. Grogan has served as our Executive Vice President and Head of Development since October 2023. Dr. Grogan most recently served as the Chief Scientific Officer at Graphite Bio from 2021 to 2023 and ArsenalBio from 2019 to 2021, both cell and gene therapy companies. From 2004 to 2019 Dr. Grogan held several roles in increasing seniority at Genentech across Immunology and Immuno-oncology, covering research strategies and drug development across Rheumatoid Arthritis, Lupus, MS, Inflammatory Bowel Disease and Cancer.</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 w:lineRule="exact"/>
        <w:rPr>
          <w:sz w:val="20"/>
          <w:szCs w:val="20"/>
          <w:color w:val="auto"/>
        </w:rPr>
      </w:pPr>
    </w:p>
    <w:p>
      <w:pPr>
        <w:ind w:left="580" w:hanging="110"/>
        <w:spacing w:after="0"/>
        <w:tabs>
          <w:tab w:leader="none" w:pos="580" w:val="left"/>
        </w:tabs>
        <w:numPr>
          <w:ilvl w:val="0"/>
          <w:numId w:val="45"/>
        </w:numPr>
        <w:rPr>
          <w:rFonts w:ascii="Wingdings" w:cs="Wingdings" w:eastAsia="Wingdings" w:hAnsi="Wingdings"/>
          <w:sz w:val="11"/>
          <w:szCs w:val="11"/>
          <w:b w:val="1"/>
          <w:bCs w:val="1"/>
          <w:color w:val="auto"/>
        </w:rPr>
      </w:pPr>
      <w:r>
        <w:rPr>
          <w:rFonts w:ascii="Arial" w:cs="Arial" w:eastAsia="Arial" w:hAnsi="Arial"/>
          <w:sz w:val="18"/>
          <w:szCs w:val="18"/>
          <w:color w:val="auto"/>
        </w:rPr>
        <w:t>Leiden University, Ph.D. in Immunology</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45"/>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Melbourne, B.Sc in Biochemistry and Pharmacology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Adam Keeney,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Dr. Keeney has served as our Executive Vice President and Head of Corporate Development since April 2023. Dr. Keeney brings more than 20 years of experience leading R&amp;D, business development and strategy organizations at industry-leading companies within biotech and large pharma, Dr. Keeney most recently served as the Chief Executive Officer of NodThera, a clinical stage biotech company focused on chronic inflammation from 2018 to 2022. Prior to NodThera, Dr. Keeney was at Sanofi from 2014 to 2018 where he had responsibility for all of Sanofi Genzyme's business development activities, including early- and late-stage deals across therapeutic areas and modalities, successfully completing several significant transactions. From 2004 to 2013 Dr. Keeney worked at Johnson &amp; Johnson where he held a number of business development roles with increasing responsibility and started his career at Lundbeck as a discovery scientist.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580" w:hanging="110"/>
        <w:spacing w:after="0"/>
        <w:tabs>
          <w:tab w:leader="none" w:pos="580" w:val="left"/>
        </w:tabs>
        <w:numPr>
          <w:ilvl w:val="0"/>
          <w:numId w:val="46"/>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Nottingham, UK, Ph.D. in Neuropharmacology</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46"/>
        </w:numPr>
        <w:rPr>
          <w:rFonts w:ascii="Wingdings" w:cs="Wingdings" w:eastAsia="Wingdings" w:hAnsi="Wingdings"/>
          <w:sz w:val="11"/>
          <w:szCs w:val="11"/>
          <w:b w:val="1"/>
          <w:bCs w:val="1"/>
          <w:color w:val="auto"/>
        </w:rPr>
      </w:pPr>
      <w:r>
        <w:rPr>
          <w:rFonts w:ascii="Arial" w:cs="Arial" w:eastAsia="Arial" w:hAnsi="Arial"/>
          <w:sz w:val="18"/>
          <w:szCs w:val="18"/>
          <w:color w:val="auto"/>
        </w:rPr>
        <w:t>University of Leeds, UK, BSc (Hons)</w:t>
      </w:r>
    </w:p>
    <w:p>
      <w:pPr>
        <w:spacing w:after="0" w:line="2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573BA"/>
        </w:rPr>
        <w:t>Sean Godbout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08914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16510</wp:posOffset>
            </wp:positionV>
            <wp:extent cx="70891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4" w:lineRule="exact"/>
        <w:rPr>
          <w:sz w:val="20"/>
          <w:szCs w:val="20"/>
          <w:color w:val="auto"/>
        </w:rPr>
      </w:pPr>
    </w:p>
    <w:p>
      <w:pPr>
        <w:ind w:left="60" w:right="120"/>
        <w:spacing w:after="0" w:line="228" w:lineRule="auto"/>
        <w:rPr>
          <w:sz w:val="20"/>
          <w:szCs w:val="20"/>
          <w:color w:val="auto"/>
        </w:rPr>
      </w:pPr>
      <w:r>
        <w:rPr>
          <w:rFonts w:ascii="Arial" w:cs="Arial" w:eastAsia="Arial" w:hAnsi="Arial"/>
          <w:sz w:val="17"/>
          <w:szCs w:val="17"/>
          <w:color w:val="auto"/>
        </w:rPr>
        <w:t>Mr. Godbout has served as our Vice President, Chief Accounting Officer and Global Corporate Controller since March 2025. Prior to that, Mr. Godbout served as our Global Corporate Controller from October 2023 to February 2025 and Corporate Controller from September 2019 to October 2023 and has held roles of increasing seniority at the Company since 2007. Prior to joining Biogen, Mr. Godbout spent 10</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years at PricewaterhouseCoopers LLP and he is a licensed CPA.</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12065</wp:posOffset>
            </wp:positionV>
            <wp:extent cx="70891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7" w:lineRule="exact"/>
        <w:rPr>
          <w:sz w:val="20"/>
          <w:szCs w:val="20"/>
          <w:color w:val="auto"/>
        </w:rPr>
      </w:pPr>
    </w:p>
    <w:p>
      <w:pPr>
        <w:ind w:left="580" w:hanging="110"/>
        <w:spacing w:after="0"/>
        <w:tabs>
          <w:tab w:leader="none" w:pos="580" w:val="left"/>
        </w:tabs>
        <w:numPr>
          <w:ilvl w:val="0"/>
          <w:numId w:val="47"/>
        </w:numPr>
        <w:rPr>
          <w:rFonts w:ascii="Wingdings" w:cs="Wingdings" w:eastAsia="Wingdings" w:hAnsi="Wingdings"/>
          <w:sz w:val="11"/>
          <w:szCs w:val="11"/>
          <w:b w:val="1"/>
          <w:bCs w:val="1"/>
          <w:color w:val="auto"/>
        </w:rPr>
      </w:pPr>
      <w:r>
        <w:rPr>
          <w:rFonts w:ascii="Arial" w:cs="Arial" w:eastAsia="Arial" w:hAnsi="Arial"/>
          <w:sz w:val="18"/>
          <w:szCs w:val="18"/>
          <w:color w:val="auto"/>
        </w:rPr>
        <w:t>Cornell University, B.S. Industrial and labor Relations</w:t>
      </w:r>
    </w:p>
    <w:p>
      <w:pPr>
        <w:spacing w:after="0" w:line="31" w:lineRule="exact"/>
        <w:rPr>
          <w:rFonts w:ascii="Wingdings" w:cs="Wingdings" w:eastAsia="Wingdings" w:hAnsi="Wingdings"/>
          <w:sz w:val="11"/>
          <w:szCs w:val="11"/>
          <w:b w:val="1"/>
          <w:bCs w:val="1"/>
          <w:color w:val="auto"/>
        </w:rPr>
      </w:pPr>
    </w:p>
    <w:p>
      <w:pPr>
        <w:ind w:left="580" w:hanging="110"/>
        <w:spacing w:after="0"/>
        <w:tabs>
          <w:tab w:leader="none" w:pos="580" w:val="left"/>
        </w:tabs>
        <w:numPr>
          <w:ilvl w:val="0"/>
          <w:numId w:val="47"/>
        </w:numPr>
        <w:rPr>
          <w:rFonts w:ascii="Wingdings" w:cs="Wingdings" w:eastAsia="Wingdings" w:hAnsi="Wingdings"/>
          <w:sz w:val="11"/>
          <w:szCs w:val="11"/>
          <w:b w:val="1"/>
          <w:bCs w:val="1"/>
          <w:color w:val="auto"/>
        </w:rPr>
      </w:pPr>
      <w:r>
        <w:rPr>
          <w:rFonts w:ascii="Arial" w:cs="Arial" w:eastAsia="Arial" w:hAnsi="Arial"/>
          <w:sz w:val="18"/>
          <w:szCs w:val="18"/>
          <w:color w:val="auto"/>
        </w:rPr>
        <w:t>Northeastern University, M.S. Accounting and Masters of Business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color w:val="0070C0"/>
        </w:rPr>
        <w:t>AVAILABLE INFORMATION</w:t>
      </w:r>
    </w:p>
    <w:p>
      <w:pPr>
        <w:spacing w:after="0" w:line="11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Our principal executive offices are located at 225 Binney Street, Cambridge, MA 02142 and our telephone number is (617) 679-2000. Our website address is www.biogen.com. We make available free of charge through the </w:t>
      </w:r>
      <w:r>
        <w:rPr>
          <w:rFonts w:ascii="Arial" w:cs="Arial" w:eastAsia="Arial" w:hAnsi="Arial"/>
          <w:sz w:val="18"/>
          <w:szCs w:val="18"/>
          <w:i w:val="1"/>
          <w:iCs w:val="1"/>
          <w:color w:val="auto"/>
        </w:rPr>
        <w:t>Investors</w:t>
      </w:r>
      <w:r>
        <w:rPr>
          <w:rFonts w:ascii="Arial" w:cs="Arial" w:eastAsia="Arial" w:hAnsi="Arial"/>
          <w:sz w:val="18"/>
          <w:szCs w:val="18"/>
          <w:color w:val="auto"/>
        </w:rPr>
        <w:t xml:space="preserve"> section of our website our Annual Reports on Form 10-K, Quarterly Reports on Form 10-Q, Current Reports on Form 8-K and all amendments to those reports as soon as reasonably practicable after such material is electronically filed with or furnished to the SEC. We include our website address in this report only as an inactive textual reference and do not intend it to be an active link to our website. The contents of our website are not incorporated into this report.</w:t>
      </w:r>
    </w:p>
    <w:p>
      <w:pPr>
        <w:spacing w:after="0" w:line="57" w:lineRule="exact"/>
        <w:rPr>
          <w:sz w:val="20"/>
          <w:szCs w:val="20"/>
          <w:color w:val="auto"/>
        </w:rPr>
      </w:pPr>
    </w:p>
    <w:p>
      <w:pPr>
        <w:spacing w:after="0"/>
        <w:rPr>
          <w:sz w:val="20"/>
          <w:szCs w:val="20"/>
          <w:color w:val="auto"/>
        </w:rPr>
      </w:pPr>
      <w:r>
        <w:rPr>
          <w:rFonts w:ascii="Arial" w:cs="Arial" w:eastAsia="Arial" w:hAnsi="Arial"/>
          <w:sz w:val="25"/>
          <w:szCs w:val="25"/>
          <w:color w:val="auto"/>
        </w:rPr>
        <w:t>USE OF WEBSITE TO PROVIDE INFORMATION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have used, or expect in the future to use, our investor relations website (investors.biogen.com), the Biogen LinkedIn account (linkedin.com/company/biogen/-) and the Biogen X account (https://x.com/biogen) as a means of disclosing information to the public in a broad, non-exclusionary manner, including for purposes of the SEC’s Regulation Fair Disclosure (Reg FD). Accordingly, investors should monitor our investor relations website and these social media channels in addition to our press releases, SEC filings, public conference calls and websites, as the information posted on them could be material to investors.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1500" w:val="left"/>
        </w:tabs>
        <w:rPr>
          <w:sz w:val="20"/>
          <w:szCs w:val="20"/>
          <w:color w:val="auto"/>
        </w:rPr>
      </w:pPr>
      <w:r>
        <w:rPr>
          <w:rFonts w:ascii="Arial" w:cs="Arial" w:eastAsia="Arial" w:hAnsi="Arial"/>
          <w:sz w:val="29"/>
          <w:szCs w:val="29"/>
          <w:color w:val="auto"/>
        </w:rPr>
        <w:t>ITEM 1A.</w:t>
      </w:r>
      <w:r>
        <w:rPr>
          <w:sz w:val="20"/>
          <w:szCs w:val="20"/>
          <w:color w:val="auto"/>
        </w:rPr>
        <w:tab/>
      </w:r>
      <w:r>
        <w:rPr>
          <w:rFonts w:ascii="Arial" w:cs="Arial" w:eastAsia="Arial" w:hAnsi="Arial"/>
          <w:sz w:val="28"/>
          <w:szCs w:val="28"/>
          <w:color w:val="auto"/>
        </w:rPr>
        <w:t>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are substantially dependent on revenue from our products.</w:t>
      </w:r>
    </w:p>
    <w:p>
      <w:pPr>
        <w:spacing w:after="0" w:line="115"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 significant portion of our revenue is concentrated on sales of our products in increasingly competitive markets. Any of the following negative developments relating to any of our products or any of our anti-CD20 therapeutic programs may adversely affect our revenue and results of operations or our stock price:</w:t>
      </w:r>
    </w:p>
    <w:p>
      <w:pPr>
        <w:spacing w:after="0" w:line="14" w:lineRule="exact"/>
        <w:rPr>
          <w:sz w:val="20"/>
          <w:szCs w:val="20"/>
          <w:color w:val="auto"/>
        </w:rPr>
      </w:pPr>
    </w:p>
    <w:p>
      <w:pPr>
        <w:ind w:left="340" w:right="700" w:hanging="332"/>
        <w:spacing w:after="0" w:line="298" w:lineRule="auto"/>
        <w:tabs>
          <w:tab w:leader="none" w:pos="29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introduction, greater acceptance or more favorable reimbursement of competing products, including new originator therapies, generics, prodrugs and biosimilars of existing products and products approved under abbreviated regulatory pathways;</w:t>
      </w: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safety or efficacy issues;</w:t>
      </w:r>
    </w:p>
    <w:p>
      <w:pPr>
        <w:spacing w:after="0" w:line="63" w:lineRule="exact"/>
        <w:rPr>
          <w:rFonts w:ascii="Arial" w:cs="Arial" w:eastAsia="Arial" w:hAnsi="Arial"/>
          <w:sz w:val="18"/>
          <w:szCs w:val="18"/>
          <w:color w:val="auto"/>
        </w:rPr>
      </w:pPr>
    </w:p>
    <w:p>
      <w:pPr>
        <w:ind w:left="340" w:right="300" w:hanging="332"/>
        <w:spacing w:after="0" w:line="262"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limitations and additional pressures on product pricing or price increases, including those relating to inflation and those resulting from governmental or regulatory requirements, including those relating to any future potential drug price negotiation under the IRA or other legislative or executive acts; increased competition, including from generic or biosimilar versions of our products; or changes in, or implementation of, reimbursement policies and practices of payors and other third parties;</w:t>
      </w:r>
    </w:p>
    <w:p>
      <w:pPr>
        <w:spacing w:after="0" w:line="14" w:lineRule="exact"/>
        <w:rPr>
          <w:rFonts w:ascii="Arial" w:cs="Arial" w:eastAsia="Arial" w:hAnsi="Arial"/>
          <w:sz w:val="18"/>
          <w:szCs w:val="18"/>
          <w:color w:val="auto"/>
        </w:rPr>
      </w:pPr>
    </w:p>
    <w:p>
      <w:pPr>
        <w:ind w:left="280" w:hanging="272"/>
        <w:spacing w:after="0"/>
        <w:tabs>
          <w:tab w:leader="none" w:pos="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 legal, administrative, geopolitical, regulatory or legislative developments; and</w:t>
      </w:r>
    </w:p>
    <w:p>
      <w:pPr>
        <w:spacing w:after="0" w:line="63" w:lineRule="exact"/>
        <w:rPr>
          <w:rFonts w:ascii="Arial" w:cs="Arial" w:eastAsia="Arial" w:hAnsi="Arial"/>
          <w:sz w:val="18"/>
          <w:szCs w:val="18"/>
          <w:color w:val="auto"/>
        </w:rPr>
      </w:pPr>
    </w:p>
    <w:p>
      <w:pPr>
        <w:ind w:left="340" w:right="200" w:hanging="332"/>
        <w:spacing w:after="0" w:line="287" w:lineRule="auto"/>
        <w:tabs>
          <w:tab w:leader="none" w:pos="2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which may be impacted by our pricing and reimbursement decisions.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LEQEMBI is in the early stages of commercial launch in the U.S. and certain international markets and SKYCLARYS is in the early stages of</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commercial launch in certain European markets. In addition to risks associated with new product launches and the other factors described in these Risk Factors, Biogen’s and Eisai’s ability to successfully commercialize LEQEMBI and our ability to successfully commercialize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SKYCLARYS may be adversely affected due to:</w:t>
      </w:r>
    </w:p>
    <w:p>
      <w:pPr>
        <w:spacing w:after="0" w:line="45"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Eisai’s ability to obtain and maintain adequate reimbursement for LEQEMBI;</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effectiveness of Eisai's and Biogen’s commercial strategy for marketing LEQEMBI;</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requirements such as participation in a registry and the use of imaging or other diagnostics for LEQEMBI;</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approval in other markets;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approval and/or greater acceptance of other new products for the same or similar indications;</w:t>
      </w:r>
    </w:p>
    <w:p>
      <w:pPr>
        <w:spacing w:after="0" w:line="63" w:lineRule="exact"/>
        <w:rPr>
          <w:rFonts w:ascii="Arial" w:cs="Arial" w:eastAsia="Arial" w:hAnsi="Arial"/>
          <w:sz w:val="18"/>
          <w:szCs w:val="18"/>
          <w:color w:val="auto"/>
        </w:rPr>
      </w:pPr>
    </w:p>
    <w:p>
      <w:pPr>
        <w:jc w:val="both"/>
        <w:ind w:left="340" w:right="140" w:hanging="332"/>
        <w:spacing w:after="0" w:line="268" w:lineRule="auto"/>
        <w:tabs>
          <w:tab w:leader="none" w:pos="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Eisai’s and Biogen’s ability to maintain a positive reputation among patients, healthcare providers and others in the Alzheimer’s disease community, which may be impacted by pricing and reimbursement decisions relating to LEQEMBI, which are made by Eisai and/or third parties;</w:t>
      </w:r>
    </w:p>
    <w:p>
      <w:pPr>
        <w:spacing w:after="0" w:line="8"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Biogen's ability to obtain and maintain adequate reimbursement for SKYCLARYS; and</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effectiveness of Biogen's commercial strategy for marketing SKYCLARYS.</w:t>
      </w:r>
    </w:p>
    <w:p>
      <w:pPr>
        <w:spacing w:after="0" w:line="119"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2573BA"/>
        </w:rPr>
        <w:t>Our long-term success depends upon the successful development of new products and additional indications for our existing products.</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long -term success depends upon the successful development of new products from our research and development activities or our licenses or acquisitions from third parties, as well as the development of additional indications for our existing products. Product development is very expensive and involves a high degree of uncertainty and risk and is not always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ASO platform, presents additional challenges and risks, including obtaining approval from regulatory authorities that have limited experience with the development of such therapies. For example, we are currently seeking approval of a subcutaneous formulation of LEQEMBI as a starting dose in the U.S. and any delays or challenges may impact our ability to realize the anticipated benefits from LEQEMBI.</w:t>
      </w:r>
    </w:p>
    <w:p>
      <w:pPr>
        <w:spacing w:after="0" w:line="7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Clinical trial data are subject to differing interpretations and even if we view data as sufficient to support the safety, effectiveness and/or approval of a product candidate,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Success in preclinical work or early 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or delay the likelihood of regulatory approval. This may result in terminated programs, significant restrictions on use, safety warnings in an approved label, adverse placement within the treatment paradigm or significant reduction in the commercial potential of the product candidate.</w:t>
      </w:r>
    </w:p>
    <w:p>
      <w:pPr>
        <w:spacing w:after="0" w:line="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Even if we could successfully develop new products or additional indications for our existing products, we may make a strategic decision to discontinue development of a product candidate or an additional indication for our existing products if, for example, we believe commercialization will be difficult relative to the standard of care or we prioritize other opportunities in our pipeline.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If we fail to compete effectively, our business and market position would suffer.</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companies that have a greater number of products on the market and in the product pipeline, substantially greater financial, marketing, research and development and other resources, and other technological or competitive advantages.</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in the past reduced, and may in the future significantly reduce, both the price that we are able to charge for our products and the volume of products we sell, which has and may continue to negatively impact our revenue. In addition, in some markets, when a generic or biosimilar version of one of our products is commercialized, it has in the past and may in the future be automatically substituted for our product and significantly reduce our revenue in a short period of time.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maintain and grow our business may be adversely affected by a number of factors, including:</w:t>
      </w:r>
    </w:p>
    <w:p>
      <w:pPr>
        <w:spacing w:after="0" w:line="63" w:lineRule="exact"/>
        <w:rPr>
          <w:sz w:val="20"/>
          <w:szCs w:val="20"/>
          <w:color w:val="auto"/>
        </w:rPr>
      </w:pPr>
    </w:p>
    <w:p>
      <w:pPr>
        <w:ind w:left="340" w:right="100" w:hanging="332"/>
        <w:spacing w:after="0" w:line="281" w:lineRule="auto"/>
        <w:tabs>
          <w:tab w:leader="none" w:pos="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introduction of other products, including products that may be more efficacious, safer, less expensive or more convenient alternatives to our products, including our own products and products of our collaborators;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off-label use by physicians of therapies indicated for other conditions to treat patients;</w:t>
      </w:r>
    </w:p>
    <w:p>
      <w:pPr>
        <w:spacing w:after="0" w:line="63" w:lineRule="exact"/>
        <w:rPr>
          <w:rFonts w:ascii="Arial" w:cs="Arial" w:eastAsia="Arial" w:hAnsi="Arial"/>
          <w:sz w:val="18"/>
          <w:szCs w:val="18"/>
          <w:color w:val="auto"/>
        </w:rPr>
      </w:pPr>
    </w:p>
    <w:p>
      <w:pPr>
        <w:ind w:left="340" w:right="280" w:hanging="332"/>
        <w:spacing w:after="0" w:line="281" w:lineRule="auto"/>
        <w:tabs>
          <w:tab w:leader="none" w:pos="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patient dynamics, including the size of the patient population and our ability to identify, attract and maintain new and current patients to our therapies;</w:t>
      </w:r>
    </w:p>
    <w:p>
      <w:pPr>
        <w:spacing w:after="0" w:line="1" w:lineRule="exact"/>
        <w:rPr>
          <w:rFonts w:ascii="Arial" w:cs="Arial" w:eastAsia="Arial" w:hAnsi="Arial"/>
          <w:sz w:val="18"/>
          <w:szCs w:val="18"/>
          <w:color w:val="auto"/>
        </w:rPr>
      </w:pPr>
    </w:p>
    <w:p>
      <w:pPr>
        <w:ind w:left="340" w:right="460" w:hanging="332"/>
        <w:spacing w:after="0" w:line="281" w:lineRule="auto"/>
        <w:tabs>
          <w:tab w:leader="none" w:pos="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reluctance of physicians to prescribe, and patients to use, our products without additional data on the efficacy and safety of such products;</w:t>
      </w:r>
    </w:p>
    <w:p>
      <w:pPr>
        <w:spacing w:after="0" w:line="1" w:lineRule="exact"/>
        <w:rPr>
          <w:rFonts w:ascii="Arial" w:cs="Arial" w:eastAsia="Arial" w:hAnsi="Arial"/>
          <w:sz w:val="18"/>
          <w:szCs w:val="18"/>
          <w:color w:val="auto"/>
        </w:rPr>
      </w:pPr>
    </w:p>
    <w:p>
      <w:pPr>
        <w:jc w:val="both"/>
        <w:ind w:left="340" w:right="240" w:hanging="332"/>
        <w:spacing w:after="0" w:line="287" w:lineRule="auto"/>
        <w:tabs>
          <w:tab w:leader="none" w:pos="295" w:val="left"/>
        </w:tabs>
        <w:numPr>
          <w:ilvl w:val="0"/>
          <w:numId w:val="50"/>
        </w:numPr>
        <w:rPr>
          <w:rFonts w:ascii="Arial" w:cs="Arial" w:eastAsia="Arial" w:hAnsi="Arial"/>
          <w:sz w:val="17"/>
          <w:szCs w:val="17"/>
          <w:color w:val="auto"/>
        </w:rPr>
      </w:pPr>
      <w:r>
        <w:rPr>
          <w:rFonts w:ascii="Arial" w:cs="Arial" w:eastAsia="Arial" w:hAnsi="Arial"/>
          <w:sz w:val="17"/>
          <w:szCs w:val="17"/>
          <w:color w:val="auto"/>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ind w:left="340" w:right="420" w:hanging="332"/>
        <w:spacing w:after="0" w:line="281" w:lineRule="auto"/>
        <w:tabs>
          <w:tab w:leader="none" w:pos="2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inability to obtain and maintain appropriate pricing and adequate reimbursement for our products compared to our competitors in key markets; and</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obtain and maintain patent, data or market exclusivity for our products.</w:t>
      </w:r>
    </w:p>
    <w:p>
      <w:pPr>
        <w:spacing w:after="0" w:line="119"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2573BA"/>
        </w:rPr>
        <w:t>Our business may be adversely affected if we do not successfully execute or realize the anticipated benefits of our strategic and growth initiatives.</w:t>
      </w:r>
    </w:p>
    <w:p>
      <w:pPr>
        <w:spacing w:after="0" w:line="31"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The successful execution of our strategic and growth initiatives depends upon internal development projects, commercial initiatives and external opportunities, which may include the acquisition and in-licensing of products, technologies, companies, the entry into strategic alliances and collaborations, as well as our ability to execute on strategic decisions and initiatives.</w:t>
      </w:r>
    </w:p>
    <w:p>
      <w:pPr>
        <w:spacing w:after="0" w:line="6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w:t>
      </w:r>
    </w:p>
    <w:p>
      <w:pPr>
        <w:spacing w:after="0" w:line="63" w:lineRule="exact"/>
        <w:rPr>
          <w:sz w:val="20"/>
          <w:szCs w:val="20"/>
          <w:color w:val="auto"/>
        </w:rPr>
      </w:pPr>
    </w:p>
    <w:p>
      <w:pPr>
        <w:jc w:val="both"/>
        <w:ind w:right="780"/>
        <w:spacing w:after="0" w:line="268" w:lineRule="auto"/>
        <w:rPr>
          <w:sz w:val="20"/>
          <w:szCs w:val="20"/>
          <w:color w:val="auto"/>
        </w:rPr>
      </w:pPr>
      <w:r>
        <w:rPr>
          <w:rFonts w:ascii="Arial" w:cs="Arial" w:eastAsia="Arial" w:hAnsi="Arial"/>
          <w:sz w:val="18"/>
          <w:szCs w:val="18"/>
          <w:color w:val="auto"/>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have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availability of high quality, fairly valued external product development is limited and the opportunity to acquire or in-license is highly competitive. As such, we are not certain that we will be able to identify suitable candidates for acquisition or in-licensing or if we will be able to reach agreement to make any such acquisition or in-license if suitable candidates are identified.</w:t>
      </w:r>
    </w:p>
    <w:p>
      <w:pPr>
        <w:spacing w:after="0" w:line="6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may fail to initiate or complete transactions for many reasons, including failure to obtain regulatory or other approvals as well as a result of disputes or litigation. Furthermore, we may not be able to achieve the full strategic and financial benefits expected to result from transactions, collaborations or strategic decisions, such as the decision to retain the biosimilars business, or the benefits may be delayed or not occur at all. We may also face additional costs or liabilities in completed transactions that were not contemplated prior to completion.</w:t>
      </w:r>
    </w:p>
    <w:p>
      <w:pPr>
        <w:spacing w:after="0" w:line="6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w:t>
      </w:r>
    </w:p>
    <w:p>
      <w:pPr>
        <w:spacing w:after="0" w:line="5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face risks associated with our Fit for Growth program that may impair our ability to achieve anticipated savings and operational efficiencies or that may otherwise harm our business. These risks include delays in implementation of cost optimization actions, loss of workforce capabilities, higher than anticipated separation expenses, litigation and the failure to meet financial and operational targets. In addition, the calculation of the anticipated cost savings and other benefits resulting from our Fit for Growth program are subject to many estimates and assumptions. These estimates and assumptions are subject to significant business, economic, competitive and other uncertainties and contingencies, many of which are beyond our control. If these estimates and assumptions are incorrect or if we experience delays or unforeseen events, our business and financial results could be adversely affected.</w:t>
      </w:r>
    </w:p>
    <w:p>
      <w:pPr>
        <w:spacing w:after="0" w:line="6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2573BA"/>
        </w:rPr>
        <w:t>Sales of our products depend, to a significant extent, on the availability and extent of adequate coverage, pricing and reimbursement from government health administration authorities, private health insurers and other organizations,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spacing w:after="0" w:line="5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Sales of our products depend, to a significant extent, on the availability and extent of adequate coverage, pricing and reimbursement from governmental health administration authorities, private health insurers and other organizations. When a new pharmaceutical product is approved, the availability of government and private reimbursement for that product, diagnosis of the condition it treats and the cost to administer it may be uncertain, as is the pricing and amount for which that product will be reimbursed.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Pricing and reimbursement for our products may be adversely affected by a number of factors, including:</w:t>
      </w:r>
    </w:p>
    <w:p>
      <w:pPr>
        <w:spacing w:after="0" w:line="63" w:lineRule="exact"/>
        <w:rPr>
          <w:sz w:val="20"/>
          <w:szCs w:val="20"/>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and implementation of, federal, state or foreign government regulations or private third-party payors’ reimbursement policies;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w:t>
      </w:r>
    </w:p>
    <w:p>
      <w:pPr>
        <w:spacing w:after="0" w:line="63" w:lineRule="exact"/>
        <w:rPr>
          <w:rFonts w:ascii="Arial" w:cs="Arial" w:eastAsia="Arial" w:hAnsi="Arial"/>
          <w:sz w:val="18"/>
          <w:szCs w:val="18"/>
          <w:color w:val="auto"/>
        </w:rPr>
      </w:pPr>
    </w:p>
    <w:p>
      <w:pPr>
        <w:ind w:left="340" w:right="480" w:hanging="332"/>
        <w:spacing w:after="0" w:line="287" w:lineRule="auto"/>
        <w:tabs>
          <w:tab w:leader="none" w:pos="2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consolidation and increasing assertiveness of governmental health administration authorities, private health insurers and other organizations seeking price discounts or rebates in connection with the placement of our products on their formularies and, in some cases, the imposition of restrictions on access or coverage of particular drugs or pricing determined based on perceived value;</w:t>
      </w:r>
    </w:p>
    <w:p>
      <w:pPr>
        <w:ind w:left="340" w:right="280" w:hanging="332"/>
        <w:spacing w:after="0" w:line="281" w:lineRule="auto"/>
        <w:tabs>
          <w:tab w:leader="none" w:pos="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receive reimbursement for our products or our ability to receive comparable reimbursement to that of competing products; and</w:t>
      </w:r>
    </w:p>
    <w:p>
      <w:pPr>
        <w:spacing w:after="0" w:line="1" w:lineRule="exact"/>
        <w:rPr>
          <w:rFonts w:ascii="Arial" w:cs="Arial" w:eastAsia="Arial" w:hAnsi="Arial"/>
          <w:sz w:val="18"/>
          <w:szCs w:val="18"/>
          <w:color w:val="auto"/>
        </w:rPr>
      </w:pPr>
    </w:p>
    <w:p>
      <w:pPr>
        <w:ind w:left="340" w:right="200" w:hanging="332"/>
        <w:spacing w:after="0" w:line="268" w:lineRule="auto"/>
        <w:tabs>
          <w:tab w:leader="none" w:pos="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spacing w:after="0" w:line="4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ability to set the price for our products varies significantly from country to country and, as a result, so can the price of our products. Governments may use a variety of cost-containment measures to control the cost of products, including price cuts, mandatory rebates, value-based pricing and reference pricing (i.e., referencing prices in other countries and using those reference prices to set a price). Drug prices are under significant scrutiny in the markets in which our products are prescribed; for example the IRA has certain provisions related to drug pricing, including the ability for the U.S. government to set prices for certain drugs in Medicare. We expect drug pricing and other healthcare costs to continue to be subject to political or societal pressures on a global basis. Certain countries set prices by reference to the prices in other countries where our products are marketed. Our inability to obtain and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maintain adequate prices in a particular country has limited, and may in the future limit, the revenue from our products within that country and has, and may in the future, also adversely affect our ability to secure acceptable prices in existing and potential new markets, which has limited, and may in the future limit, market growth and result in reductions in revenue. This has created, or may create, the opportunity for third-party cross-border trade or influence our decision to sell or not to sell a product, thus adversely affecting our geographic expansion plans and revenue. Additionally, in certain jurisdictions governmental health agencies are permitted to adjust, retroactively and/or prospectively, reimbursement rates for our products. Reimbursement for our products by governments, including the timing of any reimbursements, are also affected by budgetary or political constraints, particularly in challenging economic environments. Government agencies often do not set their own budgets and therefore, have limited control over the amount of money they can spend. In addition, these agencies experience political pressure that dictate the manner in which they spend money. There can be no assurance that the economic, budgeting or political issues will not worsen and adversely impact sales or reimbursements of our products.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Competition from current and future competitors has and may continue to negatively impact our ability to maintain pricing and our market share. New products marketed by our competitors have caused and could continue to cause our revenue to decrease due to potential price reductions and lower sales volumes. Additionally, the introduction of generic or biosimilar versions of our products, follow-on products, prodrugs or products approved under abbreviated regulatory pathways has and may continue to significantly reduce the price and the volume of products we sell.</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third-party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and/or could cause a decline or volatility in our stock price.</w:t>
      </w:r>
    </w:p>
    <w:p>
      <w:pPr>
        <w:spacing w:after="0" w:line="38" w:lineRule="exact"/>
        <w:rPr>
          <w:sz w:val="20"/>
          <w:szCs w:val="20"/>
          <w:color w:val="auto"/>
        </w:rPr>
      </w:pPr>
    </w:p>
    <w:p>
      <w:pPr>
        <w:jc w:val="both"/>
        <w:ind w:right="220"/>
        <w:spacing w:after="0" w:line="272" w:lineRule="auto"/>
        <w:rPr>
          <w:sz w:val="20"/>
          <w:szCs w:val="20"/>
          <w:color w:val="auto"/>
        </w:rPr>
      </w:pPr>
      <w:r>
        <w:rPr>
          <w:rFonts w:ascii="Arial" w:cs="Arial" w:eastAsia="Arial" w:hAnsi="Arial"/>
          <w:sz w:val="18"/>
          <w:szCs w:val="18"/>
          <w:b w:val="1"/>
          <w:bCs w:val="1"/>
          <w:i w:val="1"/>
          <w:iCs w:val="1"/>
          <w:color w:val="2573BA"/>
        </w:rPr>
        <w:t>We depend on relationships with collaborators and other third parties for revenue, and for the development, regulatory approval, commercialization and marketing of certain of our products and product candidates, which are outside of our full control, and if these relationships fail, our business may be adversely affected.</w:t>
      </w:r>
    </w:p>
    <w:p>
      <w:pPr>
        <w:spacing w:after="0" w:line="50"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We rely on a number of collaborative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 parties. Reliance on third parties subjects us to a number of risks, including:</w:t>
      </w:r>
    </w:p>
    <w:p>
      <w:pPr>
        <w:spacing w:after="0" w:line="14" w:lineRule="exact"/>
        <w:rPr>
          <w:sz w:val="20"/>
          <w:szCs w:val="20"/>
          <w:color w:val="auto"/>
        </w:rPr>
      </w:pPr>
    </w:p>
    <w:p>
      <w:pPr>
        <w:ind w:left="340" w:right="440" w:hanging="332"/>
        <w:spacing w:after="0" w:line="281" w:lineRule="auto"/>
        <w:tabs>
          <w:tab w:leader="none" w:pos="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or third parties devote to our programs, products or product candidates, which may affect our ability to achieve development goals or milestones;</w:t>
      </w:r>
    </w:p>
    <w:p>
      <w:pPr>
        <w:spacing w:after="0" w:line="1" w:lineRule="exact"/>
        <w:rPr>
          <w:rFonts w:ascii="Arial" w:cs="Arial" w:eastAsia="Arial" w:hAnsi="Arial"/>
          <w:sz w:val="18"/>
          <w:szCs w:val="18"/>
          <w:color w:val="auto"/>
        </w:rPr>
      </w:pPr>
    </w:p>
    <w:p>
      <w:pPr>
        <w:ind w:left="340" w:right="120" w:hanging="332"/>
        <w:spacing w:after="0" w:line="268" w:lineRule="auto"/>
        <w:tabs>
          <w:tab w:leader="none" w:pos="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may arise under an agreement, including with respect to the achievement and payment of milestones, payment of development or commercial costs, ownership of rights to technology developed, and the underlying agreement may fail to provide us with significant protection or may fail to be effectively enforced if the collaborators or third parties fail to perform;</w:t>
      </w:r>
    </w:p>
    <w:p>
      <w:pPr>
        <w:spacing w:after="0" w:line="8" w:lineRule="exact"/>
        <w:rPr>
          <w:rFonts w:ascii="Arial" w:cs="Arial" w:eastAsia="Arial" w:hAnsi="Arial"/>
          <w:sz w:val="18"/>
          <w:szCs w:val="18"/>
          <w:color w:val="auto"/>
        </w:rPr>
      </w:pPr>
    </w:p>
    <w:p>
      <w:pPr>
        <w:ind w:left="340" w:hanging="332"/>
        <w:spacing w:after="0" w:line="262" w:lineRule="auto"/>
        <w:tabs>
          <w:tab w:leader="none" w:pos="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interests of our collaborators or third parties may not always align with our interests, and such parties may not protect and enforce any intellectual property rights or pursue regulatory approvals or market a product in the same manner or to the same extent that we would, which could adversely affect our revenue, or may adopt tax strategies that could have an adverse effect on our business, results of operations or financial condition;</w:t>
      </w:r>
    </w:p>
    <w:p>
      <w:pPr>
        <w:spacing w:after="0" w:line="14" w:lineRule="exact"/>
        <w:rPr>
          <w:rFonts w:ascii="Arial" w:cs="Arial" w:eastAsia="Arial" w:hAnsi="Arial"/>
          <w:sz w:val="18"/>
          <w:szCs w:val="18"/>
          <w:color w:val="auto"/>
        </w:rPr>
      </w:pPr>
    </w:p>
    <w:p>
      <w:pPr>
        <w:ind w:left="340" w:right="380" w:hanging="332"/>
        <w:spacing w:after="0" w:line="268" w:lineRule="auto"/>
        <w:tabs>
          <w:tab w:leader="none" w:pos="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of the parties to cooperate effectively, which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spacing w:after="0" w:line="8" w:lineRule="exact"/>
        <w:rPr>
          <w:rFonts w:ascii="Arial" w:cs="Arial" w:eastAsia="Arial" w:hAnsi="Arial"/>
          <w:sz w:val="18"/>
          <w:szCs w:val="18"/>
          <w:color w:val="auto"/>
        </w:rPr>
      </w:pPr>
    </w:p>
    <w:p>
      <w:pPr>
        <w:ind w:left="340" w:right="340" w:hanging="332"/>
        <w:spacing w:after="0" w:line="262" w:lineRule="auto"/>
        <w:tabs>
          <w:tab w:leader="none" w:pos="2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failure on the part of our collaborators or third 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or reputation as well as involve us in possible legal proceedings;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right="120" w:hanging="332"/>
        <w:spacing w:after="0" w:line="268" w:lineRule="auto"/>
        <w:tabs>
          <w:tab w:leader="none" w:pos="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disruptions, turnover or changes in strategy, priorities or capabilities at our collaborators resulting from, for example, a change in control, may impact the commercialization or manufacturing of our shared products and may result in loss of revenue or higher operating expense; and</w:t>
      </w:r>
    </w:p>
    <w:p>
      <w:pPr>
        <w:spacing w:after="0" w:line="8" w:lineRule="exact"/>
        <w:rPr>
          <w:rFonts w:ascii="Arial" w:cs="Arial" w:eastAsia="Arial" w:hAnsi="Arial"/>
          <w:sz w:val="18"/>
          <w:szCs w:val="18"/>
          <w:color w:val="auto"/>
        </w:rPr>
      </w:pPr>
    </w:p>
    <w:p>
      <w:pPr>
        <w:ind w:left="340" w:right="420" w:hanging="332"/>
        <w:spacing w:after="0" w:line="268" w:lineRule="auto"/>
        <w:tabs>
          <w:tab w:leader="none" w:pos="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improper conduct or actions on the part of our collaborators or third parties could subject us to civil or criminal investigations and monetary and injunctive penalties, require management attention, impact the accuracy and timing of our financial reporting and/or adversely impact our business and our reputation.</w:t>
      </w:r>
    </w:p>
    <w:p>
      <w:pPr>
        <w:spacing w:after="0" w:line="49"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spacing w:after="0" w:line="38" w:lineRule="exact"/>
        <w:rPr>
          <w:sz w:val="20"/>
          <w:szCs w:val="20"/>
          <w:color w:val="auto"/>
        </w:rPr>
      </w:pPr>
    </w:p>
    <w:p>
      <w:pPr>
        <w:jc w:val="both"/>
        <w:ind w:right="160"/>
        <w:spacing w:after="0" w:line="294" w:lineRule="auto"/>
        <w:rPr>
          <w:sz w:val="20"/>
          <w:szCs w:val="20"/>
          <w:color w:val="auto"/>
        </w:rPr>
      </w:pPr>
      <w:r>
        <w:rPr>
          <w:rFonts w:ascii="Arial" w:cs="Arial" w:eastAsia="Arial" w:hAnsi="Arial"/>
          <w:sz w:val="18"/>
          <w:szCs w:val="18"/>
          <w:b w:val="1"/>
          <w:bCs w:val="1"/>
          <w:i w:val="1"/>
          <w:iCs w:val="1"/>
          <w:color w:val="2573BA"/>
        </w:rPr>
        <w:t>Our results of operations may be adversely affected by current and potential future healthcare reforms including those contained in the PPACA, IRA, OBBBA, MFN and executive orders.</w:t>
      </w:r>
    </w:p>
    <w:p>
      <w:pPr>
        <w:spacing w:after="0" w:line="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the cost of healthcare. Legislative and regulatory proposals, enactments to reform healthcare insurance programs (including those in the IRA and OBBBA) and increasing pressure from social sources could significantly influence the manner in which our products are prescribed, purchased and reimbursed. For example, provisions of the PPACA have resulted in changes in the way healthcare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under Section 340B of the PHS Act and similar state legislation. These changes have had and are expected to continue to have a significant impact on our business.</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July 2025 the U.S. signed into law the OBBBA, which enacts significant potential changes to Medicaid funding and rescinds or does not continue elements of the PPACA. The OBBBA implements additional eligibility rules on government health plans, expands administrative procedures around enrollment, modifies how states can obtain federal funding for Medicaid and no longer extends ACA premium subsidies. Additional federal and state guidance is expected to be issued in order to implement these OBBBA provisions, most of which have effective dates in 2027 and 2028. At this time, we are unable to determine the overall impact that the OBBBA will have on our business, results of operations and financial condition, or the impact the OBBBA will have on the pharmaceutical industry as a whole because any such impact will depend upon developing interpretations of the OBBBA provisions and implementing regulations, which may be material.</w:t>
      </w:r>
    </w:p>
    <w:p>
      <w:pPr>
        <w:spacing w:after="0" w:line="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is substantial public attention on the costs of prescription drugs and we expect drug pricing and other healthcare costs to continue to be subject to political and societal pressures globally. In addition, there have been, and are expected to continue to be, legislative proposals to address prescription drug pricing. We face uncertainties regarding potential healthcare reforms, governmental policy and prioritization. The uncertainty about the future of the PPACA and healthcare laws may put downward pressure on drug pricing and increase our regulatory burdens and operating costs. For example, we expect the IRA's drug pricing controls and Medicare Part D redesign to have an adverse impact on sales, particularly for our products that are more substantially reliant on Medicare reimbursement.</w:t>
      </w:r>
    </w:p>
    <w:p>
      <w:pPr>
        <w:spacing w:after="0" w:line="6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Additionally, the current government administration has introduced various measures to address prescription drug pricing and access, including through issuance of an executive order aiming to establish an MFN drug pricing policy that would tie U.S. drug prices to the prices paid for drugs in other developed countries. If HHS sets MFN pricing targets for prescription drugs, including the use of international pricing reference to set drug prices in the U.S., or if legislation is passed enabling generic drug or biosimilar entry sooner than expected, our business could be materially harmed, including with respect to our ability to set adequate pricing for new drugs to recover our research and development costs. Additional proposals, regulations or initiatives related to drug pricing, such as the CMS-proposed MFN initiatives, the Global Benchmark for Efficient Drug Pricing for certain Medicare Part B drugs and the Guarding U.S. Medicare Against Rising Drug Costs for certain Medicare Part D drugs, continue to be debated, and additional executive orders or regulatory initiatives focused on drug pricing and competition may be adopted and implemented in some form. The timing and extent of implementation of any of the measures described above is uncertain and we cannot fully predict their impact on our product candidates and our business. The adoption of these and any other government controls and measures, and tightening of restrictive policies in jurisdictions with existing controls and measures, could exclude or limit our product candidates from coverage, limit payments for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pharmaceuticals, limit our ability to launch products in certain markets and impact healthcare systems and drug markets in the U.S. and abroad, thereby negatively affecting our revenue and adversely impacting our business.</w:t>
      </w:r>
    </w:p>
    <w:p>
      <w:pPr>
        <w:spacing w:after="0" w:line="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There is also significant economic pressure on state budgets, that may result in states increasingly seeking to achieve budget savings through mechanisms that limit coverage or payment for our drugs.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requesting manufacturers to pay supplemental rebates and requiring prior authorization by the state program for use of any drug for which supplemental rebates are not being paid. Government efforts to reduce Medicaid expense may lead to increased use of managed care organizations by Medicaid programs. This may result in managed care organizations influencing prescription decisions for a larger segment of the population and a corresponding limitation on prices and reimbursement for our products.</w:t>
      </w:r>
    </w:p>
    <w:p>
      <w:pPr>
        <w:spacing w:after="0" w:line="6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the E.U. and some other international markets, the government provides healthcare at low cost to consumers and regulates pharmaceutical prices, patient eligibility or reimbursement levels to control costs for the government-sponsored healthcare system. Many countries have announced or implemented measures, and may in the future implement new or additional measures, to reduce healthcare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spacing w:after="0" w:line="65"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b w:val="1"/>
          <w:bCs w:val="1"/>
          <w:i w:val="1"/>
          <w:iCs w:val="1"/>
          <w:color w:val="2573BA"/>
        </w:rPr>
        <w:t>Our success in commercializing biosimilars is subject to risks and uncertainties inherent in the development, manufacture and commercialization of biosimilars. If we are unsuccessful, our business may be adversely affected.</w:t>
      </w:r>
    </w:p>
    <w:p>
      <w:pPr>
        <w:spacing w:after="0" w:line="4" w:lineRule="exact"/>
        <w:rPr>
          <w:sz w:val="20"/>
          <w:szCs w:val="20"/>
          <w:color w:val="auto"/>
        </w:rPr>
      </w:pPr>
    </w:p>
    <w:p>
      <w:pPr>
        <w:ind w:right="400"/>
        <w:spacing w:after="0" w:line="281" w:lineRule="auto"/>
        <w:rPr>
          <w:sz w:val="20"/>
          <w:szCs w:val="20"/>
          <w:color w:val="auto"/>
        </w:rPr>
      </w:pPr>
      <w:r>
        <w:rPr>
          <w:rFonts w:ascii="Arial" w:cs="Arial" w:eastAsia="Arial" w:hAnsi="Arial"/>
          <w:sz w:val="18"/>
          <w:szCs w:val="18"/>
          <w:color w:val="auto"/>
        </w:rPr>
        <w:t>The development, manufacture and commercialization of biosimilars require specialized expertise and are costly and subject to complex regulation. Our success in commercializing biosimilars is subject to a number of risks, including:</w:t>
      </w:r>
    </w:p>
    <w:p>
      <w:pPr>
        <w:spacing w:after="0" w:line="1" w:lineRule="exact"/>
        <w:rPr>
          <w:sz w:val="20"/>
          <w:szCs w:val="20"/>
          <w:color w:val="auto"/>
        </w:rPr>
      </w:pPr>
    </w:p>
    <w:p>
      <w:pPr>
        <w:ind w:left="340" w:right="160" w:hanging="332"/>
        <w:spacing w:after="0" w:line="256" w:lineRule="auto"/>
        <w:tabs>
          <w:tab w:leader="none" w:pos="2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Reliance on Third Parties. </w:t>
      </w:r>
      <w:r>
        <w:rPr>
          <w:rFonts w:ascii="Arial" w:cs="Arial" w:eastAsia="Arial" w:hAnsi="Arial"/>
          <w:sz w:val="18"/>
          <w:szCs w:val="18"/>
          <w:color w:val="auto"/>
        </w:rPr>
        <w:t>We are dependent, in part, on the efforts of collaboration partners and other third parties for the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manufacturing of biosimilars. These third parties are independent entities subject to their own unique operational, strategic and financial risks that are outside of our control and may be affected by events outside of our control. For example, one of our contract manufacturers for IMRALDI and BENEPALI was acquired by a third party in 2024 which may impact the contract manufacturer's operational, strategic or financial risk. If these third parties fail to perform, or reduce their third-party manufacturing production, our biosimilar product development or commercialization of biosimilars could be delayed, revenue from biosimilars could decline and/or we may not realize the anticipated benefits of these arrangements;</w:t>
      </w:r>
    </w:p>
    <w:p>
      <w:pPr>
        <w:spacing w:after="0" w:line="20" w:lineRule="exact"/>
        <w:rPr>
          <w:rFonts w:ascii="Arial" w:cs="Arial" w:eastAsia="Arial" w:hAnsi="Arial"/>
          <w:sz w:val="18"/>
          <w:szCs w:val="18"/>
          <w:color w:val="auto"/>
        </w:rPr>
      </w:pPr>
    </w:p>
    <w:p>
      <w:pPr>
        <w:ind w:left="340" w:right="120" w:hanging="332"/>
        <w:spacing w:after="0" w:line="259" w:lineRule="auto"/>
        <w:tabs>
          <w:tab w:leader="none" w:pos="2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Challenges. </w:t>
      </w:r>
      <w:r>
        <w:rPr>
          <w:rFonts w:ascii="Arial" w:cs="Arial" w:eastAsia="Arial" w:hAnsi="Arial"/>
          <w:sz w:val="18"/>
          <w:szCs w:val="18"/>
          <w:color w:val="auto"/>
        </w:rPr>
        <w:t>Biosimilar products face significant competition, including from innovator products and biosimilar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by other companies that may receive greater acceptance or more favorable reimbursement.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in this business area;</w:t>
      </w:r>
    </w:p>
    <w:p>
      <w:pPr>
        <w:spacing w:after="0" w:line="17" w:lineRule="exact"/>
        <w:rPr>
          <w:rFonts w:ascii="Arial" w:cs="Arial" w:eastAsia="Arial" w:hAnsi="Arial"/>
          <w:sz w:val="18"/>
          <w:szCs w:val="18"/>
          <w:color w:val="auto"/>
        </w:rPr>
      </w:pPr>
    </w:p>
    <w:p>
      <w:pPr>
        <w:ind w:left="340" w:right="500" w:hanging="332"/>
        <w:spacing w:after="0" w:line="281" w:lineRule="auto"/>
        <w:tabs>
          <w:tab w:leader="none" w:pos="2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Biosimilar products may face regulatory hurdles or delays due to the evolving and uncertain regulatory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pathway of biosimilars products in certain jurisdictions;</w:t>
      </w:r>
    </w:p>
    <w:p>
      <w:pPr>
        <w:spacing w:after="0" w:line="1" w:lineRule="exact"/>
        <w:rPr>
          <w:rFonts w:ascii="Arial" w:cs="Arial" w:eastAsia="Arial" w:hAnsi="Arial"/>
          <w:sz w:val="18"/>
          <w:szCs w:val="18"/>
          <w:color w:val="auto"/>
        </w:rPr>
      </w:pPr>
    </w:p>
    <w:p>
      <w:pPr>
        <w:ind w:left="340" w:right="200" w:hanging="332"/>
        <w:spacing w:after="0" w:line="281" w:lineRule="auto"/>
        <w:tabs>
          <w:tab w:leader="none" w:pos="295"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Ability to Provide Adequate Supply. </w:t>
      </w:r>
      <w:r>
        <w:rPr>
          <w:rFonts w:ascii="Arial" w:cs="Arial" w:eastAsia="Arial" w:hAnsi="Arial"/>
          <w:sz w:val="17"/>
          <w:szCs w:val="17"/>
          <w:color w:val="auto"/>
        </w:rPr>
        <w:t>Manufacturing biosimilars is complex. If we encounter any persistent manufacturing or supply chain</w:t>
      </w:r>
      <w:r>
        <w:rPr>
          <w:rFonts w:ascii="Arial" w:cs="Arial" w:eastAsia="Arial" w:hAnsi="Arial"/>
          <w:sz w:val="17"/>
          <w:szCs w:val="17"/>
          <w:i w:val="1"/>
          <w:iCs w:val="1"/>
          <w:color w:val="auto"/>
        </w:rPr>
        <w:t xml:space="preserve"> </w:t>
      </w:r>
      <w:r>
        <w:rPr>
          <w:rFonts w:ascii="Arial" w:cs="Arial" w:eastAsia="Arial" w:hAnsi="Arial"/>
          <w:sz w:val="17"/>
          <w:szCs w:val="17"/>
          <w:color w:val="auto"/>
        </w:rPr>
        <w:t>difficulties we may be unable to meet demand. We are dependent on a third party for the manufacture of our biosimilar products and such third party may not perform its obligations in a timely and cost-effective manner or in compliance with applicable regulations and may be unable or unwilling to increase production capacity commensurate with demand for our existing or future biosimilar products;</w:t>
      </w:r>
    </w:p>
    <w:p>
      <w:pPr>
        <w:spacing w:after="0" w:line="2" w:lineRule="exact"/>
        <w:rPr>
          <w:rFonts w:ascii="Arial" w:cs="Arial" w:eastAsia="Arial" w:hAnsi="Arial"/>
          <w:sz w:val="17"/>
          <w:szCs w:val="17"/>
          <w:color w:val="auto"/>
        </w:rPr>
      </w:pPr>
    </w:p>
    <w:p>
      <w:pPr>
        <w:jc w:val="both"/>
        <w:ind w:left="340" w:hanging="332"/>
        <w:spacing w:after="0" w:line="268" w:lineRule="auto"/>
        <w:tabs>
          <w:tab w:leader="none" w:pos="2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and Regulatory Challenges. </w:t>
      </w:r>
      <w:r>
        <w:rPr>
          <w:rFonts w:ascii="Arial" w:cs="Arial" w:eastAsia="Arial" w:hAnsi="Arial"/>
          <w:sz w:val="18"/>
          <w:szCs w:val="18"/>
          <w:color w:val="auto"/>
        </w:rPr>
        <w:t>Biosimilar products may face extensive intellectual property clearances and infringement</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injunctions or regulatory challenges, which could prevent the commercial launch of a product or delay it for many years or result in imposition of monetary damages, penalties or other civil sanctions and damage our reputation; and</w:t>
      </w:r>
    </w:p>
    <w:p>
      <w:pPr>
        <w:spacing w:after="0" w:line="8" w:lineRule="exact"/>
        <w:rPr>
          <w:rFonts w:ascii="Arial" w:cs="Arial" w:eastAsia="Arial" w:hAnsi="Arial"/>
          <w:sz w:val="18"/>
          <w:szCs w:val="18"/>
          <w:color w:val="auto"/>
        </w:rPr>
      </w:pPr>
    </w:p>
    <w:p>
      <w:pPr>
        <w:ind w:left="340" w:right="180" w:hanging="332"/>
        <w:spacing w:after="0" w:line="268" w:lineRule="auto"/>
        <w:tabs>
          <w:tab w:leader="none" w:pos="29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Failure to Gain Market and Patient Acceptance. </w:t>
      </w:r>
      <w:r>
        <w:rPr>
          <w:rFonts w:ascii="Arial" w:cs="Arial" w:eastAsia="Arial" w:hAnsi="Arial"/>
          <w:sz w:val="18"/>
          <w:szCs w:val="18"/>
          <w:color w:val="auto"/>
        </w:rPr>
        <w:t>Market success of biosimilar products will be adversely affected if patients, physicians</w:t>
      </w:r>
      <w:r>
        <w:rPr>
          <w:rFonts w:ascii="Arial" w:cs="Arial" w:eastAsia="Arial" w:hAnsi="Arial"/>
          <w:sz w:val="18"/>
          <w:szCs w:val="18"/>
          <w:i w:val="1"/>
          <w:iCs w:val="1"/>
          <w:color w:val="auto"/>
        </w:rPr>
        <w:t xml:space="preserve"> </w:t>
      </w:r>
      <w:r>
        <w:rPr>
          <w:rFonts w:ascii="Arial" w:cs="Arial" w:eastAsia="Arial" w:hAnsi="Arial"/>
          <w:sz w:val="18"/>
          <w:szCs w:val="18"/>
          <w:color w:val="auto"/>
        </w:rPr>
        <w:t>and/or payors do not accept biosimilar products as safe and efficacious products offering a more competitive price or other benefit over existing therapies.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Intellectual Property</w:t>
      </w:r>
    </w:p>
    <w:p>
      <w:pPr>
        <w:spacing w:after="0" w:line="106"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2573BA"/>
        </w:rPr>
        <w:t>If we are unable to obtain and maintain adequate protection for our data, intellectual property and other proprietary rights, our business may be harmed.</w:t>
      </w:r>
    </w:p>
    <w:p>
      <w:pPr>
        <w:spacing w:after="0" w:line="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defend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exclusivity and other protections, resulting in a reduction in revenue from affected products.</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our products may be determined to infringe patents or other intellectual property rights held by third parties. Legal proceedings, administrative challenges or other types of proceedings are and may in the future be necessary to determine the validity, scope or non-infringement of certain patent rights claimed by third parties to be pertinent to the manufacture, use or sale of our products. Legal proceedings may also be necessary to determine the rights, obligations and payments claimed during and after the expiration of intellectual property license agreements we have entered with third parties. Such proceedings are unpredictable and are often protracted and expensive. Negative outcomes of such proceedings could hinder or prevent us from manufacturing and marketing our products,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could reduce our profits from the covered products and services. Any of these circumstances could result in financial, business or reputational harm to us or could cause our stock price to decline or experience periods of volatility.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Development, Clinical Testing and Regulation of Our Products and Product Candidates</w:t>
      </w:r>
    </w:p>
    <w:p>
      <w:pPr>
        <w:spacing w:after="0" w:line="106"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2573BA"/>
        </w:rPr>
        <w:t>Successful preclinical work or early/late stage clinical trials does not ensure success in later stage trials, regulatory approval or commercial viability of a product.</w:t>
      </w:r>
    </w:p>
    <w:p>
      <w:pPr>
        <w:spacing w:after="0" w:line="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Positive results in preclinical work or early/late stage clinical trials have in the past and may in the future fail to be replicated in subsequent or confirmatory trials. Additionally, success in preclinical work or early/late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disagree with our trial design or endpoints. Regulatory authorities may also fail to approve the facilities or processes used to manufacture a product candidate, our dosing or delivery methods or companion devices. Regulatory authorities have in the past and may in the future grant marketing approval that is more restricted than anticipated, including limiting indications to narrow patient populations and the imposition of safety monitoring, educational requirements, requiring confirmatory trials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spacing w:after="0" w:line="79"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opened clinical trial sites and are enrolling patients in a number of countries where our experience is limited. In most cases, we use the services of third parties to carry out our clinical trial related activities and rely on such parties to accurately report their results. Our reliance on third 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significantly affected, including adversely affecting our expenses associated with such trials. We may need to replace our CROs, which may result in the delay of the affected trials or otherwise adversely affect our efforts to obtain regulatory approvals and commercialize our product candidates.</w:t>
      </w:r>
    </w:p>
    <w:p>
      <w:pPr>
        <w:spacing w:after="0" w:line="77" w:lineRule="exact"/>
        <w:rPr>
          <w:sz w:val="20"/>
          <w:szCs w:val="20"/>
          <w:color w:val="auto"/>
        </w:rPr>
      </w:pPr>
    </w:p>
    <w:p>
      <w:pPr>
        <w:ind w:right="440"/>
        <w:spacing w:after="0" w:line="294" w:lineRule="auto"/>
        <w:rPr>
          <w:sz w:val="20"/>
          <w:szCs w:val="20"/>
          <w:color w:val="auto"/>
        </w:rPr>
      </w:pPr>
      <w:r>
        <w:rPr>
          <w:rFonts w:ascii="Arial" w:cs="Arial" w:eastAsia="Arial" w:hAnsi="Arial"/>
          <w:sz w:val="18"/>
          <w:szCs w:val="18"/>
          <w:b w:val="1"/>
          <w:bCs w:val="1"/>
          <w:i w:val="1"/>
          <w:iCs w:val="1"/>
          <w:color w:val="2573BA"/>
        </w:rPr>
        <w:t>Adverse safety events or restrictions on use and safety warnings for our products can negatively affect our business, product sales and stock price.</w:t>
      </w:r>
    </w:p>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Adverse safety events involving our products, generic or biosimilar versions of our products or products from the same class as one of our products may have a negative impact on our business. Discovery of safety issues with our products could create product liability and has and may in the future cause additional regulatory scrutiny and 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adversely impact our results of operations.</w:t>
      </w:r>
    </w:p>
    <w:p>
      <w:pPr>
        <w:spacing w:after="0" w:line="5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lead to periods of stock price volatility.</w:t>
      </w:r>
    </w:p>
    <w:p>
      <w:pPr>
        <w:spacing w:after="0" w:line="5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Restrictions on use or safety warnings that may be required to be included in the label of our products may significantly reduce expected revenue for those products or require significant expense or divert management time.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 breakdown or breach of our information systems could subject us to liability or interrupt our business operations.</w:t>
      </w:r>
    </w:p>
    <w:p>
      <w:pPr>
        <w:spacing w:after="0" w:line="8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are increasingly dependent upon information systems and data to operate our business. Changes in how we operate have caused us to modify our business practices in ways that heighten this dependence, including changing the requirement that most of our office-based employees in the U.S. and our other key markets work from the office, with many of our employees now working in hybrid or full-remote positions. As a result, we are increasingly dependent upon our information systems to operate our business and our ability to effectively manage our business depends on the security, reliability and adequacy of our information systems and data, which includes use of cloud technologies, including Software as a Service (SaaS), Platform as a Service (PaaS) and Infrastructure as a Service (IaaS). Breakdowns, invasions, corruptions, destructions and/or breaches, which may include impacts such as, but not limited to, comprising the capacity, reliability or security of our information systems or those of our business partners, including our cloud technologies, and/or unauthorized access to our data and information could subject us to significant liability, negatively impact our business operations, and/or require replacement of technology and/or sizeable ransom payments. Our information systems, including our cloud technologies, continue to increase in multitude and complexity, increasing our vulnerability when breakdowns, malicious intrusions and random attacks occur. Data privacy or security breaches also pose a risk that sensitive data, including intellectual property, trade secrets or personal information belonging to us, patients, customers or other business partners, may be exposed to unauthorized persons or to the public.</w:t>
      </w:r>
    </w:p>
    <w:p>
      <w:pPr>
        <w:spacing w:after="0" w:line="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Cybersecurity threats and incidents are increasing in their frequency, sophistication and intensity, and are becoming increasingly difficult to detect, particularly when they impact vendors, customers or suppliers, and other companies in our supply chain. Cybersecurity threats and incidents are often carried out by motivated, well-resourced, skilled and persistent threat actors, including nation states, organized crime groups, “hacktivists” and may include or target employees or contractors acting with careless or malicious intent. Recent developments in the threat landscape include use of adversarial AI techniques and machine learning, as well as an increased number of cyber extortion attacks, with higher financial ransom demand amounts and increasing sophistication and variety of ransomware techniques and methodology. Geopolitical instability may increase the risk of cybersecurity threats. Cybersecurity threats or incidents may include deployment of harmful malware and key loggers, ransomware, a denial-of-service attack, a malicious website, the use of social engineering and other means to affect the confidentiality, integrity and availability of our information systems and data. Cybersecurity threats and incidents also include manufacturing, hardware or software supply chain attacks, which could cause a delay in the manufacturing of products or products produced for contract manufacturing or lead to a data privacy or security breach. Our key business partners face similar risks and any security breach of their systems could adversely affect our security posture. In addition, our increased use of cloud technologies heightens these and other operational risks, and any failure by cloud or other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technology service providers to adequately safeguard their systems and prevent cyber-attacks could disrupt our operations and result in misappropriation, corruption or loss of confidential or propriety information.</w:t>
      </w:r>
    </w:p>
    <w:p>
      <w:pPr>
        <w:spacing w:after="0" w:line="18"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While we continue to build and improve our systems and infrastructure, including our business continuity plans, there can be no assurance that our efforts will detect and prevent cybersecurity threats or incidents in our systems and any such incidents could materially adversely affect our business and operations and/or result in the loss of critical or sensitive information, which could result in material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spacing w:after="0" w:line="4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Regulations continue to change as regulators worldwide consider new rules. For example, the SEC has adopted additional disclosure rules regarding cyber security risk management, strategy, governance and incident reporting by public companies. These regulations or other regulations being considered in Europe and around the world may impact the manner in which we operate.</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Regulators currently impose new data privacy and security requirements, including monetary fines for privacy violations. For example, the E.U.’s General Data Protection Regulation established regulations regarding the handling of personal data, and provides an enforcement authority and imposes large penalties for noncompliance. U.S. data privacy and security laws, such as the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patients, healthcare providers and the general public to lose trust in us, which could have a material adverse effect on our business.</w:t>
      </w:r>
    </w:p>
    <w:p>
      <w:pPr>
        <w:spacing w:after="0" w:line="75" w:lineRule="exact"/>
        <w:rPr>
          <w:sz w:val="20"/>
          <w:szCs w:val="20"/>
          <w:color w:val="auto"/>
        </w:rPr>
      </w:pPr>
    </w:p>
    <w:p>
      <w:pPr>
        <w:ind w:right="900"/>
        <w:spacing w:after="0" w:line="280" w:lineRule="auto"/>
        <w:rPr>
          <w:sz w:val="20"/>
          <w:szCs w:val="20"/>
          <w:color w:val="auto"/>
        </w:rPr>
      </w:pPr>
      <w:r>
        <w:rPr>
          <w:rFonts w:ascii="Arial" w:cs="Arial" w:eastAsia="Arial" w:hAnsi="Arial"/>
          <w:sz w:val="18"/>
          <w:szCs w:val="18"/>
          <w:b w:val="1"/>
          <w:bCs w:val="1"/>
          <w:i w:val="1"/>
          <w:iCs w:val="1"/>
          <w:color w:val="2573BA"/>
        </w:rPr>
        <w:t>The increasing use of AI-based software presents new risks and challenges and could adversely affect our business and reputation.</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As with many developing technologies, AI-based software presents risks and challenges. For example, algorithms may be flawed, data sets may be insufficient, of poor quality or contain biased information; and inappropriate or controversial data practices could impair results. AI-based software is increasingly used in the biopharmaceutical industry, including by us, for research, marketing, manufacturing and commercialization, and we anticipate increasing our usage of technology that uses AI in the future. If the analyses that AI-based software assist in producing are deficient or inaccurate, we could be subjected to competitive harm, potential legal liability and brand or reputational</w:t>
      </w:r>
    </w:p>
    <w:p>
      <w:pPr>
        <w:spacing w:after="0" w:line="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harm. Use of AI-based software internally, by third parties or by threat actors may also lead to cybersecurity risks or the release of confidential proprietary information, including personal data, which may impact our ability to realize the benefit of our intellectual property or</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violate our internal policies, data protection laws or contractual requirements. The use of AI-based software may also result in unauthorized access of personal data or the intellectual property of third parties. Since the use of AI is subject to new or evolving laws and regulations, compliance may impose operational costs and limit our ability to use AI-based software, and failure to comply may result in potential government actions, litigation, fines, penalties or adverse publicity.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Manufacturing issues could substantially increase our costs, limit supply of our products and/or reduce our revenue.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manufacturing our products is complex, highly regulated and subject to numerous risks, including:</w:t>
      </w:r>
    </w:p>
    <w:p>
      <w:pPr>
        <w:spacing w:after="0" w:line="63" w:lineRule="exact"/>
        <w:rPr>
          <w:sz w:val="20"/>
          <w:szCs w:val="20"/>
          <w:color w:val="auto"/>
        </w:rPr>
      </w:pPr>
    </w:p>
    <w:p>
      <w:pPr>
        <w:ind w:left="340" w:hanging="332"/>
        <w:spacing w:after="0" w:line="254" w:lineRule="auto"/>
        <w:tabs>
          <w:tab w:leader="none" w:pos="29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Risks of Reliance on Third Parties and Single Source Providers. </w:t>
      </w:r>
      <w:r>
        <w:rPr>
          <w:rFonts w:ascii="Arial" w:cs="Arial" w:eastAsia="Arial" w:hAnsi="Arial"/>
          <w:sz w:val="18"/>
          <w:szCs w:val="18"/>
          <w:color w:val="auto"/>
        </w:rPr>
        <w:t>We rely on third-party suppliers and manufacturers for many aspects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manufacturing process for our products and product candidates. In some cases, due to the unique manner in which our products are manufactured, we rely on single source providers of raw materials and manufacturing supplies. These third parties are independent entities subject to their own unique operational, strategic and financial risks that are outside of our control and may be affected by events outside of our control. Additionally,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23" w:lineRule="exact"/>
        <w:rPr>
          <w:rFonts w:ascii="Arial" w:cs="Arial" w:eastAsia="Arial" w:hAnsi="Arial"/>
          <w:sz w:val="18"/>
          <w:szCs w:val="18"/>
          <w:color w:val="auto"/>
        </w:rPr>
      </w:pPr>
    </w:p>
    <w:p>
      <w:pPr>
        <w:ind w:left="340" w:right="320" w:hanging="332"/>
        <w:spacing w:after="0" w:line="282" w:lineRule="auto"/>
        <w:tabs>
          <w:tab w:leader="none" w:pos="295"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Global Bulk Supply Risks. </w:t>
      </w:r>
      <w:r>
        <w:rPr>
          <w:rFonts w:ascii="Arial" w:cs="Arial" w:eastAsia="Arial" w:hAnsi="Arial"/>
          <w:sz w:val="17"/>
          <w:szCs w:val="17"/>
          <w:color w:val="auto"/>
        </w:rPr>
        <w:t>We rely on our manufacturing facilities for the production of drug substance for our large molecule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product candidates. Our global bulk supply of these products and product candidates depends on the uninterrupted and efficient operation of these facilities, which could be adversely affected by equipment failures, labor or raw material shortages, geopolitical instability, public health epidemics, natural disasters, adverse weather events, power failures, cyber-attacks and many other factors.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40" w:right="60" w:hanging="332"/>
        <w:spacing w:after="0" w:line="257" w:lineRule="auto"/>
        <w:tabs>
          <w:tab w:leader="none" w:pos="29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Risks Relating to Compliance with current GMP (cGMP). </w:t>
      </w:r>
      <w:r>
        <w:rPr>
          <w:rFonts w:ascii="Arial" w:cs="Arial" w:eastAsia="Arial" w:hAnsi="Arial"/>
          <w:sz w:val="18"/>
          <w:szCs w:val="18"/>
          <w:color w:val="auto"/>
        </w:rPr>
        <w:t>We and our third-party providers are required to maintain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cGMP and other stringent requirements, as applicable,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 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20" w:lineRule="exact"/>
        <w:rPr>
          <w:rFonts w:ascii="Arial" w:cs="Arial" w:eastAsia="Arial" w:hAnsi="Arial"/>
          <w:sz w:val="18"/>
          <w:szCs w:val="18"/>
          <w:color w:val="auto"/>
        </w:rPr>
      </w:pPr>
    </w:p>
    <w:p>
      <w:pPr>
        <w:ind w:left="340" w:hanging="332"/>
        <w:spacing w:after="0" w:line="259" w:lineRule="auto"/>
        <w:tabs>
          <w:tab w:leader="none" w:pos="295"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Risk of Product Loss. </w:t>
      </w:r>
      <w:r>
        <w:rPr>
          <w:rFonts w:ascii="Arial" w:cs="Arial" w:eastAsia="Arial" w:hAnsi="Arial"/>
          <w:sz w:val="18"/>
          <w:szCs w:val="18"/>
          <w:color w:val="auto"/>
        </w:rPr>
        <w:t>The manufacturing process for our products is extremely susceptible to product loss due to contamination,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w:t>
      </w:r>
    </w:p>
    <w:p>
      <w:pPr>
        <w:spacing w:after="0" w:line="36"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Furthermore, factors such as geopolitical instability, public health epidemics, natural disasters, adverse weather events, labor or raw material shortages, imposition of tariffs or trade restrictions, power failures, cyber-attacks and other supply chain disruptions could result in difficulties and delays in manufacturing our products, which could have an adverse impact on our results of operations or result in product shortages.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6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spacing w:after="0" w:line="65"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2573BA"/>
        </w:rPr>
        <w:t>Management, personnel and other organizational changes may disrupt our operations, and we may have difficulty retaining personnel or attracting and retaining qualified replacements on a timely basis for the management and other personnel who may leave the Company, which could disrupt our business and adversely affect our operations.</w:t>
      </w:r>
    </w:p>
    <w:p>
      <w:pPr>
        <w:spacing w:after="0" w:line="3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Changes in management, other personnel and our overall retention rate may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spacing w:after="0" w:line="4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success is dependent upon our ability to attract and retain qualified management and other personnel in a highly competitive environment. Qualified individuals are in high demand, and we may incur significant costs to attract or retain them. We may face difficulty in attracting and retaining talent for a number of reasons, including management changes, integration related to the acquisition of HI-Bio, the underperformance or discontinuation of one or more marketed, preclinical or clinical programs, recruitment by competitors or changes in the overall labor market. Changes in our organizational structure or in our flexible working arrangements could also impact productivity and morale as well as our 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spacing w:after="0" w:line="79"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b w:val="1"/>
          <w:bCs w:val="1"/>
          <w:i w:val="1"/>
          <w:iCs w:val="1"/>
          <w:color w:val="2573BA"/>
        </w:rPr>
        <w:t>If we fail to comply with the extensive legal and regulatory requirements affecting the healthcare industry, we could face increased costs, penalties and a loss of business.</w:t>
      </w:r>
    </w:p>
    <w:p>
      <w:pPr>
        <w:spacing w:after="0" w:line="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healthcare providers that prescribe or purchase our products are also subject to laws and government regulation designed to prevent fraud and abuse in the sale and use of products and place significant restrictions on the marketing practices of healthcare companies. Healthcare companies are facing heightened scrutiny of their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relationships with healthcare providers and have been the target of lawsuits and investigations alleging violations of laws and government regulation, including claims asserting submission of incorrect pricing information, impermissible off-label promotion of pharmaceutical products, payments intended to influence the referral of healthcare business, submission of false claims for government reimbursement, antitrust violations or violations related to environmental matters. There is also enhanced scrutiny of company-sponsored patient assistance programs, including testing,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or other patient assistance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Conditions and regulations governing the healthcare industry are subject to change, with possible retroactive effect, including:</w:t>
      </w:r>
    </w:p>
    <w:p>
      <w:pPr>
        <w:spacing w:after="0" w:line="63" w:lineRule="exact"/>
        <w:rPr>
          <w:sz w:val="20"/>
          <w:szCs w:val="20"/>
          <w:color w:val="auto"/>
        </w:rPr>
      </w:pPr>
    </w:p>
    <w:p>
      <w:pPr>
        <w:jc w:val="both"/>
        <w:ind w:left="340" w:right="180" w:hanging="332"/>
        <w:spacing w:after="0" w:line="259" w:lineRule="auto"/>
        <w:tabs>
          <w:tab w:leader="none" w:pos="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judicial decisions, related to healthcare availability, pricing or marketing practices, compliance with employment practices, method of delivery, payment for healthcare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17" w:lineRule="exact"/>
        <w:rPr>
          <w:rFonts w:ascii="Arial" w:cs="Arial" w:eastAsia="Arial" w:hAnsi="Arial"/>
          <w:sz w:val="18"/>
          <w:szCs w:val="18"/>
          <w:color w:val="auto"/>
        </w:rPr>
      </w:pPr>
    </w:p>
    <w:p>
      <w:pPr>
        <w:jc w:val="both"/>
        <w:ind w:left="340" w:right="560" w:hanging="332"/>
        <w:spacing w:after="0" w:line="287" w:lineRule="auto"/>
        <w:tabs>
          <w:tab w:leader="none" w:pos="295"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changes and the potential imposition of new or changing standards in the FDA and foreign regulatory approval processes, staffing, resources or perspectives that may delay or prevent certain processes, including, but not limited to, the approval of new products, product labels and/or formulations and approvals required for manufacturing facilities and may result in lost market opportunity;</w:t>
      </w:r>
    </w:p>
    <w:p>
      <w:pPr>
        <w:jc w:val="both"/>
        <w:ind w:left="340" w:right="80" w:hanging="332"/>
        <w:spacing w:after="0" w:line="268" w:lineRule="auto"/>
        <w:tabs>
          <w:tab w:leader="none" w:pos="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government shutdowns, funding disputes, reorganizations, furloughs or reductions in staffing and/or resources or changes in priorities or focus may result in delays to the review and approval process, slowing the time necessary for new drug candidates and other regulatory matters to be reviewed and/or approved, which may adversely affect our business;</w:t>
      </w:r>
    </w:p>
    <w:p>
      <w:pPr>
        <w:spacing w:after="0" w:line="8" w:lineRule="exact"/>
        <w:rPr>
          <w:rFonts w:ascii="Arial" w:cs="Arial" w:eastAsia="Arial" w:hAnsi="Arial"/>
          <w:sz w:val="18"/>
          <w:szCs w:val="18"/>
          <w:color w:val="auto"/>
        </w:rPr>
      </w:pPr>
    </w:p>
    <w:p>
      <w:pPr>
        <w:ind w:left="340" w:hanging="332"/>
        <w:spacing w:after="0" w:line="268" w:lineRule="auto"/>
        <w:tabs>
          <w:tab w:leader="none" w:pos="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2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Additionally, conditions and regulations governing the healthcare industry in the U.S. are subject to greater risk of change and uncertainty as a result of changes in legislative and regulatory priorities and personnel.</w:t>
      </w:r>
    </w:p>
    <w:p>
      <w:pPr>
        <w:spacing w:after="0" w:line="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 -party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sales and operations are subject to the risks of doing business internationally.</w:t>
      </w:r>
    </w:p>
    <w:p>
      <w:pPr>
        <w:spacing w:after="0" w:line="102"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Certain countries may require local clinical trial data as part of the drug registration process in addition to global clinical trials, which can add to overall drug development and registration timelines. We may also be required to increase our reliance on third-party agents or distributors and unfamiliar operations and arrangements previously utilized by companies we collaborate with or acquire in emerging markets.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Our sales and operations are subject to the risks of doing business internationally, including:</w:t>
      </w:r>
    </w:p>
    <w:p>
      <w:pPr>
        <w:spacing w:after="0" w:line="63"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impact of public health epidemics on the global economy and the delivery of healthcare treatments;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approvals of products in a timely manner;</w:t>
      </w:r>
    </w:p>
    <w:p>
      <w:pPr>
        <w:spacing w:after="0" w:line="63" w:lineRule="exact"/>
        <w:rPr>
          <w:rFonts w:ascii="Arial" w:cs="Arial" w:eastAsia="Arial" w:hAnsi="Arial"/>
          <w:sz w:val="18"/>
          <w:szCs w:val="18"/>
          <w:color w:val="auto"/>
        </w:rPr>
      </w:pPr>
    </w:p>
    <w:p>
      <w:pPr>
        <w:ind w:left="340" w:right="520" w:hanging="332"/>
        <w:spacing w:after="0" w:line="281"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limitations and additional pressures on our ability to obtain and maintain product pricing, reimbursement or receive price increases, including those resulting from governmental or regulatory requirements;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increased cost of goods due to factors such as inflation and supply chain disruptions;</w:t>
      </w:r>
    </w:p>
    <w:p>
      <w:pPr>
        <w:spacing w:after="0" w:line="63" w:lineRule="exact"/>
        <w:rPr>
          <w:rFonts w:ascii="Arial" w:cs="Arial" w:eastAsia="Arial" w:hAnsi="Arial"/>
          <w:sz w:val="18"/>
          <w:szCs w:val="18"/>
          <w:color w:val="auto"/>
        </w:rPr>
      </w:pPr>
    </w:p>
    <w:p>
      <w:pPr>
        <w:ind w:left="340" w:right="560" w:hanging="332"/>
        <w:spacing w:after="0" w:line="281"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additional complexity in manufacturing or conducting clinical research internationally, including materials manufactured in China or working with CROs in China;</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delays in clinical trials relating to geopolitical instability related to Russia's invasion of Ukraine and the military conflict in the Middle East;</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to successfully complete subsequent or confirmatory clinical trials in countries where our experience is limited;</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longer payment and reimbursement cycles and uncertainties regarding the collectability of accounts receivable;</w:t>
      </w:r>
    </w:p>
    <w:p>
      <w:pPr>
        <w:spacing w:after="0" w:line="63" w:lineRule="exact"/>
        <w:rPr>
          <w:rFonts w:ascii="Arial" w:cs="Arial" w:eastAsia="Arial" w:hAnsi="Arial"/>
          <w:sz w:val="18"/>
          <w:szCs w:val="18"/>
          <w:color w:val="auto"/>
        </w:rPr>
      </w:pPr>
    </w:p>
    <w:p>
      <w:pPr>
        <w:ind w:left="340" w:right="920" w:hanging="332"/>
        <w:spacing w:after="0" w:line="281"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 net income and value of certain of our investments;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diverse data privacy and protection requirements;</w:t>
      </w:r>
    </w:p>
    <w:p>
      <w:pPr>
        <w:spacing w:after="0" w:line="63" w:lineRule="exact"/>
        <w:rPr>
          <w:rFonts w:ascii="Arial" w:cs="Arial" w:eastAsia="Arial" w:hAnsi="Arial"/>
          <w:sz w:val="18"/>
          <w:szCs w:val="18"/>
          <w:color w:val="auto"/>
        </w:rPr>
      </w:pPr>
    </w:p>
    <w:p>
      <w:pPr>
        <w:ind w:left="340" w:right="140" w:hanging="332"/>
        <w:spacing w:after="0" w:line="281"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1" w:lineRule="exact"/>
        <w:rPr>
          <w:rFonts w:ascii="Arial" w:cs="Arial" w:eastAsia="Arial" w:hAnsi="Arial"/>
          <w:sz w:val="18"/>
          <w:szCs w:val="18"/>
          <w:color w:val="auto"/>
        </w:rPr>
      </w:pPr>
    </w:p>
    <w:p>
      <w:pPr>
        <w:ind w:left="340" w:right="360" w:hanging="332"/>
        <w:spacing w:after="0" w:line="281"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anti-bribery and anti-corruption legislation across the globe, including the U.K. Bribery Act 2010, and elsewhere and escalation of investigations and prosecutions pursuant to such laws;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63" w:lineRule="exact"/>
        <w:rPr>
          <w:rFonts w:ascii="Arial" w:cs="Arial" w:eastAsia="Arial" w:hAnsi="Arial"/>
          <w:sz w:val="18"/>
          <w:szCs w:val="18"/>
          <w:color w:val="auto"/>
        </w:rPr>
      </w:pPr>
    </w:p>
    <w:p>
      <w:pPr>
        <w:ind w:left="340" w:right="520" w:hanging="332"/>
        <w:spacing w:after="0" w:line="287" w:lineRule="auto"/>
        <w:tabs>
          <w:tab w:leader="none" w:pos="2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imposition of tariffs or reciprocal tariffs, trade protection measures, embargoes, import or export licensing requirements and the imposition of trade sanctions and other similar restrictions.</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international operations are also subject to regulation under U.S. law. For example, the U.S. federal government has initiated Section 232 investigations including with respect to pharmaceutical imports into the U.S. The result of these Section 232 investigations and any subsequent rulemaking could result in the government taking actions such as trade protection measures, embargoes, import or export licensing requirements, the imposition of trade sanctions or similar restrictions, which could have adverse consequences to our business and operations.</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Additionally, the U.S.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we could suffer severe penalties and may be subject to other liabilities, which could negatively affect our business, operating results and financial condition.</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88" w:lineRule="auto"/>
        <w:rPr>
          <w:sz w:val="20"/>
          <w:szCs w:val="20"/>
          <w:color w:val="auto"/>
        </w:rPr>
      </w:pPr>
      <w:r>
        <w:rPr>
          <w:rFonts w:ascii="Arial" w:cs="Arial" w:eastAsia="Arial" w:hAnsi="Arial"/>
          <w:sz w:val="18"/>
          <w:szCs w:val="18"/>
          <w:b w:val="1"/>
          <w:bCs w:val="1"/>
          <w:i w:val="1"/>
          <w:iCs w:val="1"/>
          <w:color w:val="2573BA"/>
        </w:rPr>
        <w:t>We built a large-scale biologics manufacturing facility and are building a clinical packaging and other manufacturing facility, which represent a significant investment with no assurance that such investment will be recouped.</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order to support our future growth and drug development pipeline, we have expanded our large molecule production capacity by building a large-scale biologics manufacturing facility in Solothurn, Switzerland with no assurance that the additional capacity will be required or this investment will be recouped. Although the Solothurn facility was approved by the FDA for LEQEMBI and TYSABRI, there can be no assurance that the regulatory authorities will approve the Solothurn facility for the manufacturing of other products.</w:t>
      </w:r>
    </w:p>
    <w:p>
      <w:pPr>
        <w:spacing w:after="0" w:line="4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Additionally, we are building a new clinical packaging and other manufacturing facility as well as modernizing and automating our existing manufacturing facilities in RTP with no assurance that these investments will be fully utilized.</w:t>
      </w:r>
    </w:p>
    <w:p>
      <w:pPr>
        <w:spacing w:after="0" w:line="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If we are unable to fully utilize our manufacturing facilities, our business may be harmed. Charges resulting from excess capacity may occur and would have a negative effect on our financial condition and results of operations.</w:t>
      </w:r>
    </w:p>
    <w:p>
      <w:pPr>
        <w:spacing w:after="0" w:line="47" w:lineRule="exact"/>
        <w:rPr>
          <w:sz w:val="20"/>
          <w:szCs w:val="20"/>
          <w:color w:val="auto"/>
        </w:rPr>
      </w:pPr>
    </w:p>
    <w:p>
      <w:pPr>
        <w:ind w:right="360"/>
        <w:spacing w:after="0" w:line="280" w:lineRule="auto"/>
        <w:rPr>
          <w:sz w:val="20"/>
          <w:szCs w:val="20"/>
          <w:color w:val="auto"/>
        </w:rPr>
      </w:pPr>
      <w:r>
        <w:rPr>
          <w:rFonts w:ascii="Arial" w:cs="Arial" w:eastAsia="Arial" w:hAnsi="Arial"/>
          <w:sz w:val="18"/>
          <w:szCs w:val="18"/>
          <w:b w:val="1"/>
          <w:bCs w:val="1"/>
          <w:i w:val="1"/>
          <w:iCs w:val="1"/>
          <w:color w:val="2573BA"/>
        </w:rPr>
        <w:t>The illegal distribution and sale by third parties of counterfeit or unfit versions of our products or stolen products could have a negative impact on our reputation and business.</w:t>
      </w:r>
    </w:p>
    <w:p>
      <w:pPr>
        <w:spacing w:after="0" w:line="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Third 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 increasing use of social media platforms presents new risks and challenges.</w:t>
      </w:r>
    </w:p>
    <w:p>
      <w:pPr>
        <w:spacing w:after="0" w:line="48"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the effectiveness of a product or to report an alleged adverse event. When such disclosures occur, there is a risk that we may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w:t>
      </w:r>
    </w:p>
    <w:p>
      <w:pPr>
        <w:spacing w:after="0" w:line="2"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our products. There is also a risk of inappropriate disclosure of sensitive information or negative or inaccurate posts or comments about us on social media. We may also encounter criticism on social media regarding our company, management, product candidates or products.</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immediacy of social media precludes us from having real-time control over postings made regarding us via social media, whether matters of fact or opinion. Our reputation could be damaged by the negative publicity generated from false or misleading social media posts concerning us, which we may not be able to reverse. If any of these events were to occur or we otherwise fail to comply with applicable regulations, we could incur liability, face restrictive regulatory actions or incur other harm to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Holding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operating results are subject to significant fluctuations.</w:t>
      </w:r>
    </w:p>
    <w:p>
      <w:pPr>
        <w:spacing w:after="0" w:line="6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Our quarterly revenue, expense and net income have fluctuated in the past and are likely to fluctuate significantly in the future due to the risks described in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as well as the timing of charges and expense that we may take. We have recorded, or may in the future be required to record, charges that include:</w:t>
      </w:r>
    </w:p>
    <w:p>
      <w:pPr>
        <w:spacing w:after="0" w:line="9" w:lineRule="exact"/>
        <w:rPr>
          <w:sz w:val="20"/>
          <w:szCs w:val="20"/>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 of restructurings or other initiatives to streamline our operations and reallocate resources;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costs associated with decisions to terminate research and development programs;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long-lived assets, including IPR&amp;D and other intangible assets;</w:t>
      </w:r>
    </w:p>
    <w:p>
      <w:pPr>
        <w:spacing w:after="0" w:line="63" w:lineRule="exact"/>
        <w:rPr>
          <w:rFonts w:ascii="Arial" w:cs="Arial" w:eastAsia="Arial" w:hAnsi="Arial"/>
          <w:sz w:val="18"/>
          <w:szCs w:val="18"/>
          <w:color w:val="auto"/>
        </w:rPr>
      </w:pPr>
    </w:p>
    <w:p>
      <w:pPr>
        <w:ind w:left="340" w:right="180" w:hanging="332"/>
        <w:spacing w:after="0" w:line="281" w:lineRule="auto"/>
        <w:tabs>
          <w:tab w:leader="none" w:pos="2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charges for excess capacity, charges for excess or obsolescence and charges for inventory write-downs relating to product suspensions, expirations or recalls;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or our equity investments;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bad debt expense and increased bad debt reserves;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outcomes of litigation and other legal or administrative proceedings, regulatory matters and tax matters;</w:t>
      </w:r>
    </w:p>
    <w:p>
      <w:pPr>
        <w:spacing w:after="0" w:line="63" w:lineRule="exact"/>
        <w:rPr>
          <w:rFonts w:ascii="Arial" w:cs="Arial" w:eastAsia="Arial" w:hAnsi="Arial"/>
          <w:sz w:val="18"/>
          <w:szCs w:val="18"/>
          <w:color w:val="auto"/>
        </w:rPr>
      </w:pPr>
    </w:p>
    <w:p>
      <w:pPr>
        <w:ind w:left="340" w:right="400" w:hanging="332"/>
        <w:spacing w:after="0" w:line="281" w:lineRule="auto"/>
        <w:tabs>
          <w:tab w:leader="none" w:pos="2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payments in connection with acquisitions, divestitures and other business development activities and under license and collaboration agreements;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failure to meet certain contractual commitments; and</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impact of public health epidemics on employees, the global economy and the delivery of healthcare.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during any one period do not necessarily suggest the results of future periods.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investments in properties may not be fully realized.</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 lease termination fees, rent expense in excess of sublease income and impairment of leasehold improvements and accelerated depreciation of assets. Any of these events may have an adverse impact on our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may not be able to access the capital and credit markets on favorable terms, which could increase financing costs.</w:t>
      </w:r>
    </w:p>
    <w:p>
      <w:pPr>
        <w:spacing w:after="0" w:line="10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seek access to the capital and credit markets to supplement our existing funds and cash generated from operations for working capital, capital expenditure, debt refinancing,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 which could significantly increase our financing costs. Changes in credit ratings issued by nationally recognized credit rating agencies could also adversely affect our cost of financing and the market price of our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indebtedness could adversely affect us and limit our ability to plan for or respond to changes in our business.</w:t>
      </w:r>
    </w:p>
    <w:p>
      <w:pPr>
        <w:spacing w:after="0" w:line="88" w:lineRule="exact"/>
        <w:rPr>
          <w:sz w:val="20"/>
          <w:szCs w:val="20"/>
          <w:color w:val="auto"/>
        </w:rPr>
      </w:pPr>
    </w:p>
    <w:p>
      <w:pPr>
        <w:ind w:right="700"/>
        <w:spacing w:after="0" w:line="281" w:lineRule="auto"/>
        <w:rPr>
          <w:sz w:val="20"/>
          <w:szCs w:val="20"/>
          <w:color w:val="auto"/>
        </w:rPr>
      </w:pPr>
      <w:r>
        <w:rPr>
          <w:rFonts w:ascii="Arial" w:cs="Arial" w:eastAsia="Arial" w:hAnsi="Arial"/>
          <w:sz w:val="18"/>
          <w:szCs w:val="18"/>
          <w:color w:val="auto"/>
        </w:rPr>
        <w:t>Our indebtedness, together with our significant contingent liabilities, including milestone and royalty payment obligations, could have important consequences to our business; for example, such obligations could:</w:t>
      </w:r>
    </w:p>
    <w:p>
      <w:pPr>
        <w:spacing w:after="0" w:line="1" w:lineRule="exact"/>
        <w:rPr>
          <w:sz w:val="20"/>
          <w:szCs w:val="20"/>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63" w:lineRule="exact"/>
        <w:rPr>
          <w:rFonts w:ascii="Arial" w:cs="Arial" w:eastAsia="Arial" w:hAnsi="Arial"/>
          <w:sz w:val="18"/>
          <w:szCs w:val="18"/>
          <w:color w:val="auto"/>
        </w:rPr>
      </w:pPr>
    </w:p>
    <w:p>
      <w:pPr>
        <w:ind w:left="280" w:hanging="272"/>
        <w:spacing w:after="0"/>
        <w:tabs>
          <w:tab w:leader="none" w:pos="2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63" w:lineRule="exact"/>
        <w:rPr>
          <w:rFonts w:ascii="Arial" w:cs="Arial" w:eastAsia="Arial" w:hAnsi="Arial"/>
          <w:sz w:val="18"/>
          <w:szCs w:val="18"/>
          <w:color w:val="auto"/>
        </w:rPr>
      </w:pPr>
    </w:p>
    <w:p>
      <w:pPr>
        <w:ind w:left="340" w:right="480" w:hanging="332"/>
        <w:spacing w:after="0" w:line="268" w:lineRule="auto"/>
        <w:tabs>
          <w:tab w:leader="none" w:pos="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spacing w:after="0" w:line="8" w:lineRule="exact"/>
        <w:rPr>
          <w:rFonts w:ascii="Arial" w:cs="Arial" w:eastAsia="Arial" w:hAnsi="Arial"/>
          <w:sz w:val="18"/>
          <w:szCs w:val="18"/>
          <w:color w:val="auto"/>
        </w:rPr>
      </w:pPr>
    </w:p>
    <w:p>
      <w:pPr>
        <w:ind w:left="340" w:right="340" w:hanging="332"/>
        <w:spacing w:after="0" w:line="287" w:lineRule="auto"/>
        <w:tabs>
          <w:tab w:leader="none" w:pos="2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disadvantage compared to our competitors that have less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 portfolio is subject to market, interest and credit risk that may reduce its value.</w:t>
      </w:r>
    </w:p>
    <w:p>
      <w:pPr>
        <w:spacing w:after="0" w:line="1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a portfolio of marketable securities for investment of our cash as well as investments in equity securities of certain biotechnology companies. Changes in the value of our investment portfolio has in the past and may in the future adversely affect our earnings. The value of our investments may decline due to, among other things, increases in interest rates, downgrades of the bonds and other securities in our portfolio, negative company-specific news, biotechnology market sentiment,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79" w:lineRule="exact"/>
        <w:rPr>
          <w:sz w:val="20"/>
          <w:szCs w:val="20"/>
          <w:color w:val="auto"/>
        </w:rPr>
      </w:pPr>
    </w:p>
    <w:p>
      <w:pPr>
        <w:ind w:right="680"/>
        <w:spacing w:after="0" w:line="294" w:lineRule="auto"/>
        <w:rPr>
          <w:sz w:val="20"/>
          <w:szCs w:val="20"/>
          <w:color w:val="auto"/>
        </w:rPr>
      </w:pPr>
      <w:r>
        <w:rPr>
          <w:rFonts w:ascii="Arial" w:cs="Arial" w:eastAsia="Arial" w:hAnsi="Arial"/>
          <w:sz w:val="18"/>
          <w:szCs w:val="18"/>
          <w:b w:val="1"/>
          <w:bCs w:val="1"/>
          <w:i w:val="1"/>
          <w:iCs w:val="1"/>
          <w:color w:val="2573BA"/>
        </w:rPr>
        <w:t>There can be no assurance that we will repurchase shares or that we will repurchase shares at favorable prices, which may negatively affect our stock price.</w:t>
      </w:r>
    </w:p>
    <w:p>
      <w:pPr>
        <w:spacing w:after="0" w:line="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requirements for strategic transactions, our results of operations, our financial condition and other factors beyond our control that we may deem relevant. Additionally, the IRA includes an excise tax on share repurchases, which will increase the cost of share repurchases. A reduction in repurchases under, or the completion of, our share repurchase programs could have a negative effect on our stock price. We can provide no assurance that we will repurchase shares at favorable prices, if at all.</w:t>
      </w:r>
    </w:p>
    <w:p>
      <w:pPr>
        <w:spacing w:after="0" w:line="70"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2573BA"/>
        </w:rPr>
        <w:t>Some of our collaboration agreements contain change in control provisions that may discourage a third party from attempting to acquire us.</w:t>
      </w:r>
    </w:p>
    <w:p>
      <w:pPr>
        <w:spacing w:after="0" w:line="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result in reduced milestone, profit or royalty payments to us or give our collaboration partner rights to terminate our collaboration agreement, acquire operational control or force the purchase or sale of the programs that are the subject of the collaboration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General Risk Factors</w:t>
      </w:r>
    </w:p>
    <w:p>
      <w:pPr>
        <w:spacing w:after="0" w:line="119"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2573BA"/>
        </w:rPr>
        <w:t>Our effective tax rate fluctuates, and we may incur obligations in tax jurisdictions in excess of accrued amounts in our financial statements.</w:t>
      </w:r>
    </w:p>
    <w:p>
      <w:pPr>
        <w:spacing w:after="0" w:line="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global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adjustments to the value of our uncertain tax positions, interpretations by tax authorities or other bodies with jurisdiction, the result of tax cases, changes in accounting for income taxes and changes in tax laws, especially in the U.S. (including the OBBBA) and Switzerland, and regulations either prospectively or retrospectively and the effects of the integrations of Reata and HI-Bio. Our estimates concerning the impact of the OBBBA remain subject to developing interpretations of the provisions of the OBBBA, which may require further adjustments and changes in our estimates, and could have a material adverse effect on our business.</w:t>
      </w:r>
    </w:p>
    <w:p>
      <w:pPr>
        <w:spacing w:after="0" w:line="6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inability to secure or sustain acceptable arrangements with tax authorities and future changes in the tax laws, among other things, may result in tax obligations in excess of amounts accrued in our financial statements.</w:t>
      </w:r>
    </w:p>
    <w:p>
      <w:pPr>
        <w:spacing w:after="0" w:line="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enactment of some or all of the recommendations set forth or that may be forthcoming in the OECD’s project on “Base Erosion and Profit Shifting” by tax authorities and economic blocs in the countries in which we operate, could unfavorably impact our effective tax rate. Many countries have or are in the process of enacting legislation intended to implement the OECD GloBE Model Rules. The impact on the Company will depend on the timing of implementation, the exact nature of each country's GloBE legislation, guidance and regulations (including the Pillar Two side-by-side package announced by the OECD in January 2026) thereon and their application by tax authorities either prospectively or retrospectively.</w:t>
      </w:r>
    </w:p>
    <w:p>
      <w:pPr>
        <w:spacing w:after="0" w:line="76"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b w:val="1"/>
          <w:bCs w:val="1"/>
          <w:i w:val="1"/>
          <w:iCs w:val="1"/>
          <w:color w:val="2573BA"/>
        </w:rPr>
        <w:t>Our business involves environmental and operational risks, which include the cost of compliance and the risk of contamination or injury.</w:t>
      </w:r>
    </w:p>
    <w:p>
      <w:pPr>
        <w:spacing w:after="0" w:line="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business and the business of several of our strategic partners involve the controlled use of hazardous materials, chemicals, biologics and radioactive compounds which make us subject to changing and evolving rules and interpretations, which could require us to incur substantial costs associated with compliance or to alter one or more of our business practices.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 Additionally, regulators have passed new environmental disclosure rules. For example, the E.U., California and certain other countries we do business in have promulgated climate disclosure rules that will generally require additional disclosure. These new rules collectively will impose additional disclosure requirements relating to climate-related risks and emissions disclosures. We expect to be subject to these new laws and regulations if or when they go into effect, which would impose extensive reporting obligations about greenhouse gas emissions and climate-related financial risks. These recently enacted and proposed regulations may require us to incur compliance and disclosure costs and will likely require substantial management attention.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9"/>
          <w:szCs w:val="29"/>
          <w:color w:val="auto"/>
        </w:rPr>
        <w:t>ITEM 1B. UNRESOLVED STAFF COMMENTS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color w:val="auto"/>
        </w:rPr>
        <w:t>ITEM 1C. CYBERSECURITY</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70C0"/>
        </w:rPr>
        <w:t>RISK MANAGEMENT AND STRATEGY</w:t>
      </w:r>
    </w:p>
    <w:p>
      <w:pPr>
        <w:spacing w:after="0" w:line="1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maintain a technology and cybersecurity program, which includes information security, as part of our overall risk management process with the aim that our information systems, including those of our vendors and other third parties, will be resilient, effective and capable of safeguarding against emerging risks and cybersecurity threats. We endeavor to assure our program is appropriately resourced and to attract and retain expert talent to execute it.</w:t>
      </w:r>
    </w:p>
    <w:p>
      <w:pPr>
        <w:spacing w:after="0" w:line="6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designing, operating, evaluating and maintaining our program we use internal and external resources and frameworks, including cybersecurity expert consultants, industry working groups, the U.S. NIST Cybersecurity Framework and the U.S. Cybersecurity Agency's National Cyber Incident Scoring System model to benchmark, inform and evaluate the design of our program, our operational capabilities and our program maturity.</w:t>
      </w:r>
    </w:p>
    <w:p>
      <w:pPr>
        <w:spacing w:after="0" w:line="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have designed our cybersecurity policies and procedures to align with international regulatory frameworks, including the NIS2 Directive in the E.U. Our program integrates periodic reviews and updates to ensure our controls remain effective and compliant with evolving international regulations.</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Consistent with NIST 800-53, our technology and cybersecurity program and controls include a third party and vendor risk management component. As part of our vendor risk management program, we conduct security assessments prior to engagement of high-risk vendors and other third-party providers and have a monitoring program to evaluate ongoing compliance with our cybersecurity standards.</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key element of our technology and cybersecurity program strategy is fostering training and awareness. Our training and awareness program includes annual cybersecurity awareness training and role-based phishing tests for our employees and for third parties with access to our systems.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technology and cybersecurity program focuses on the defense, rapid detection and rapid remediation of cybersecurity threats and incidents. Our program includes systems and processes designed based on defense-in-depth and zero-trust architectural principles and that are intended to provide the control capabilities set forth in NIST's 800-53 Rev 5, Security and Privacy Controls for Information Systems and Organizations. Our program also includes cybersecurity policies and a crisis response and management plan that is intended to allow rapid management and response and appropriate communication of cybersecurity threats and incidents.</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staff a cybersecurity operations center to respond to threats and incidents. Our cybersecurity crisis management plan sets forth the items, procedures and actions we expect to address and follow in the event of a cybersecurity incident, including detection, response, mitigation and remediation. In addition to the cybersecurity operations center and our designated cybersecurity response team, we maintain a cross-functional cybersecurity crisis core team, which includes our CISO and senior representatives from our Legal, Finance, IT and Corporate Security teams.</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a potential threat or incident is identified, our cyber security incident response team will assign a risk level classification and initiate the escalation and other steps called for by our plan. All incidents that are initially assessed by the cybersecurity incident response team as potentially high-risk are escalated promptly to our CISO. Our CISO, Chief Legal Officer and Chief Financial Officer, will determine whether and what elements of our cybersecurity crisis response and management plan should be activated, including escalation to other senior management or our Executive Committee. Our Executive Committee will inform our Board of Directors of cybersecurity incidents, as appropriate, considering a variety of factors, including financial, operational, legal or reputational impact.</w:t>
      </w:r>
    </w:p>
    <w:p>
      <w:pPr>
        <w:spacing w:after="0" w:line="74"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Our program's maturity and operational readiness are regularly evaluated by internal audit and independent experts using the U.S. NIST's CyberSecurity Framework and penetration tests. Our program, and the results of these independent evaluations and testing, are regularly reviewed by our senior management and members of our Board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29"/>
          <w:szCs w:val="29"/>
          <w:color w:val="0070C0"/>
        </w:rPr>
        <w:t>CYBERSECURITY RISK GOVERNANCE</w:t>
      </w:r>
    </w:p>
    <w:p>
      <w:pPr>
        <w:spacing w:after="0" w:line="112"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We are committed to appropriate cybersecurity governance and oversight. Our technology and cybersecurity program is the principal responsibility of our Chief Information Officer and CISO, each of whom have over 20 years of</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experience in information systems, including cybersecurity training and experience. Additionally, we have a Cybersecurity steering committee that includes senior representatives from our Legal, Finance and IT departments, which meets regularly to discuss cybersecurity matters.</w:t>
      </w:r>
    </w:p>
    <w:p>
      <w:pPr>
        <w:spacing w:after="0" w:line="2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Board of Directors oversees management's processes for identifying and mitigating risks, including cybersecurity and information security risks. Our Board of Directors regularly reviews our technology and cybersecurity program and effectiveness, internal audits of our program, independent external expert evaluations of our program's maturity and operational readiness and the results of penetration testing. Our Board of Directors also receives cybersecurity updates and education on a broad range of topics, including:</w:t>
      </w:r>
    </w:p>
    <w:p>
      <w:pPr>
        <w:spacing w:after="0" w:line="68" w:lineRule="exact"/>
        <w:rPr>
          <w:sz w:val="20"/>
          <w:szCs w:val="20"/>
          <w:color w:val="auto"/>
        </w:rPr>
      </w:pPr>
    </w:p>
    <w:p>
      <w:pPr>
        <w:ind w:left="620" w:hanging="288"/>
        <w:spacing w:after="0"/>
        <w:tabs>
          <w:tab w:leader="none" w:pos="620" w:val="left"/>
        </w:tabs>
        <w:numPr>
          <w:ilvl w:val="0"/>
          <w:numId w:val="61"/>
        </w:numPr>
        <w:rPr>
          <w:rFonts w:ascii="Arial" w:cs="Arial" w:eastAsia="Arial" w:hAnsi="Arial"/>
          <w:sz w:val="18"/>
          <w:szCs w:val="18"/>
          <w:color w:val="0070C0"/>
        </w:rPr>
      </w:pPr>
      <w:r>
        <w:rPr>
          <w:rFonts w:ascii="Arial" w:cs="Arial" w:eastAsia="Arial" w:hAnsi="Arial"/>
          <w:sz w:val="18"/>
          <w:szCs w:val="18"/>
          <w:color w:val="auto"/>
        </w:rPr>
        <w:t>Current cybersecurity landscape and emerging threats;</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61"/>
        </w:numPr>
        <w:rPr>
          <w:rFonts w:ascii="Arial" w:cs="Arial" w:eastAsia="Arial" w:hAnsi="Arial"/>
          <w:sz w:val="18"/>
          <w:szCs w:val="18"/>
          <w:color w:val="0070C0"/>
        </w:rPr>
      </w:pPr>
      <w:r>
        <w:rPr>
          <w:rFonts w:ascii="Arial" w:cs="Arial" w:eastAsia="Arial" w:hAnsi="Arial"/>
          <w:sz w:val="18"/>
          <w:szCs w:val="18"/>
          <w:color w:val="auto"/>
        </w:rPr>
        <w:t>Status of ongoing cybersecurity initiatives and strategies;</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61"/>
        </w:numPr>
        <w:rPr>
          <w:rFonts w:ascii="Arial" w:cs="Arial" w:eastAsia="Arial" w:hAnsi="Arial"/>
          <w:sz w:val="18"/>
          <w:szCs w:val="18"/>
          <w:color w:val="0070C0"/>
        </w:rPr>
      </w:pPr>
      <w:r>
        <w:rPr>
          <w:rFonts w:ascii="Arial" w:cs="Arial" w:eastAsia="Arial" w:hAnsi="Arial"/>
          <w:sz w:val="18"/>
          <w:szCs w:val="18"/>
          <w:color w:val="auto"/>
        </w:rPr>
        <w:t>Incident report and learnings from any cybersecurity events; and</w:t>
      </w:r>
    </w:p>
    <w:p>
      <w:pPr>
        <w:spacing w:after="0" w:line="117" w:lineRule="exact"/>
        <w:rPr>
          <w:rFonts w:ascii="Arial" w:cs="Arial" w:eastAsia="Arial" w:hAnsi="Arial"/>
          <w:sz w:val="18"/>
          <w:szCs w:val="18"/>
          <w:color w:val="0070C0"/>
        </w:rPr>
      </w:pPr>
    </w:p>
    <w:p>
      <w:pPr>
        <w:ind w:left="660" w:right="60" w:hanging="328"/>
        <w:spacing w:after="0" w:line="287" w:lineRule="auto"/>
        <w:tabs>
          <w:tab w:leader="none" w:pos="615" w:val="left"/>
        </w:tabs>
        <w:numPr>
          <w:ilvl w:val="0"/>
          <w:numId w:val="61"/>
        </w:numPr>
        <w:rPr>
          <w:rFonts w:ascii="Arial" w:cs="Arial" w:eastAsia="Arial" w:hAnsi="Arial"/>
          <w:sz w:val="18"/>
          <w:szCs w:val="18"/>
          <w:color w:val="0070C0"/>
        </w:rPr>
      </w:pPr>
      <w:r>
        <w:rPr>
          <w:rFonts w:ascii="Arial" w:cs="Arial" w:eastAsia="Arial" w:hAnsi="Arial"/>
          <w:sz w:val="18"/>
          <w:szCs w:val="18"/>
          <w:color w:val="auto"/>
        </w:rPr>
        <w:t>Compliance with regulatory requirements and industry standards, including international regulations such as the NIS2 Directive in the E.U.</w:t>
      </w:r>
    </w:p>
    <w:p>
      <w:pPr>
        <w:spacing w:after="0" w:line="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We do not believe that any risks from cybersecurity threats have materially affected or are reasonably likely to materially affect our business strategy, results of operations or financial condition during the period covered by this filing. For additional information on our cybersecurity risks, please read </w:t>
      </w:r>
      <w:r>
        <w:rPr>
          <w:rFonts w:ascii="Arial" w:cs="Arial" w:eastAsia="Arial" w:hAnsi="Arial"/>
          <w:sz w:val="18"/>
          <w:szCs w:val="18"/>
          <w:i w:val="1"/>
          <w:iCs w:val="1"/>
          <w:color w:val="auto"/>
        </w:rPr>
        <w:t>Item 1A. Risk Factors - A breakdown or breach of our information systems could subject us to liability or interrupt the</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 of our business operations</w:t>
      </w:r>
      <w:r>
        <w:rPr>
          <w:rFonts w:ascii="Arial" w:cs="Arial" w:eastAsia="Arial" w:hAnsi="Arial"/>
          <w:sz w:val="18"/>
          <w:szCs w:val="18"/>
          <w:color w:val="auto"/>
        </w:rPr>
        <w:t>, included in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color w:val="auto"/>
        </w:rPr>
        <w:t>ITEM 2. PROPERTIES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significant properties owned and leased as of December 31, 2025.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Arial" w:cs="Arial" w:eastAsia="Arial" w:hAnsi="Arial"/>
                <w:sz w:val="14"/>
                <w:szCs w:val="14"/>
                <w:color w:val="0070C0"/>
              </w:rPr>
              <w:t>Location</w:t>
            </w:r>
          </w:p>
        </w:tc>
        <w:tc>
          <w:tcPr>
            <w:tcW w:w="100" w:type="dxa"/>
            <w:vAlign w:val="bottom"/>
            <w:vMerge w:val="restart"/>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color w:val="0070C0"/>
              </w:rPr>
              <w:t>Approximate Square</w:t>
            </w:r>
          </w:p>
        </w:tc>
        <w:tc>
          <w:tcPr>
            <w:tcW w:w="4640" w:type="dxa"/>
            <w:vAlign w:val="bottom"/>
            <w:vMerge w:val="restart"/>
          </w:tcPr>
          <w:p>
            <w:pPr>
              <w:ind w:left="20"/>
              <w:spacing w:after="0"/>
              <w:rPr>
                <w:sz w:val="20"/>
                <w:szCs w:val="20"/>
                <w:color w:val="auto"/>
              </w:rPr>
            </w:pPr>
            <w:r>
              <w:rPr>
                <w:rFonts w:ascii="Arial" w:cs="Arial" w:eastAsia="Arial" w:hAnsi="Arial"/>
                <w:sz w:val="14"/>
                <w:szCs w:val="14"/>
                <w:color w:val="0070C0"/>
              </w:rPr>
              <w:t>Use</w:t>
            </w:r>
          </w:p>
        </w:tc>
        <w:tc>
          <w:tcPr>
            <w:tcW w:w="100" w:type="dxa"/>
            <w:vAlign w:val="bottom"/>
            <w:vMerge w:val="restart"/>
          </w:tcPr>
          <w:p>
            <w:pPr>
              <w:spacing w:after="0"/>
              <w:rPr>
                <w:sz w:val="14"/>
                <w:szCs w:val="14"/>
                <w:color w:val="auto"/>
              </w:rPr>
            </w:pPr>
          </w:p>
        </w:tc>
        <w:tc>
          <w:tcPr>
            <w:tcW w:w="2220" w:type="dxa"/>
            <w:vAlign w:val="bottom"/>
            <w:vMerge w:val="restart"/>
          </w:tcPr>
          <w:p>
            <w:pPr>
              <w:ind w:left="20"/>
              <w:spacing w:after="0"/>
              <w:rPr>
                <w:sz w:val="20"/>
                <w:szCs w:val="20"/>
                <w:color w:val="auto"/>
              </w:rPr>
            </w:pPr>
            <w:r>
              <w:rPr>
                <w:rFonts w:ascii="Arial" w:cs="Arial" w:eastAsia="Arial" w:hAnsi="Arial"/>
                <w:sz w:val="14"/>
                <w:szCs w:val="14"/>
                <w:color w:val="0070C0"/>
              </w:rPr>
              <w:t>Owned/Leased</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0070C0"/>
              </w:rPr>
              <w:t>Feet</w:t>
            </w:r>
          </w:p>
        </w:tc>
        <w:tc>
          <w:tcPr>
            <w:tcW w:w="100" w:type="dxa"/>
            <w:vAlign w:val="bottom"/>
          </w:tcPr>
          <w:p>
            <w:pPr>
              <w:spacing w:after="0"/>
              <w:rPr>
                <w:sz w:val="16"/>
                <w:szCs w:val="16"/>
                <w:color w:val="auto"/>
              </w:rPr>
            </w:pPr>
          </w:p>
        </w:tc>
        <w:tc>
          <w:tcPr>
            <w:tcW w:w="46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U.S.</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Cambridge, Massachusetts</w:t>
            </w:r>
          </w:p>
        </w:tc>
        <w:tc>
          <w:tcPr>
            <w:tcW w:w="1500" w:type="dxa"/>
            <w:vAlign w:val="bottom"/>
          </w:tcPr>
          <w:p>
            <w:pPr>
              <w:jc w:val="right"/>
              <w:spacing w:after="0"/>
              <w:rPr>
                <w:sz w:val="20"/>
                <w:szCs w:val="20"/>
                <w:color w:val="auto"/>
              </w:rPr>
            </w:pPr>
            <w:r>
              <w:rPr>
                <w:rFonts w:ascii="Arial" w:cs="Arial" w:eastAsia="Arial" w:hAnsi="Arial"/>
                <w:sz w:val="14"/>
                <w:szCs w:val="14"/>
                <w:color w:val="auto"/>
              </w:rPr>
              <w:t>263,000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Research laboratory and cogeneration plant</w:t>
            </w:r>
          </w:p>
        </w:tc>
        <w:tc>
          <w:tcPr>
            <w:tcW w:w="2220" w:type="dxa"/>
            <w:vAlign w:val="bottom"/>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Cambridge, Massachusetts</w:t>
            </w:r>
          </w:p>
        </w:tc>
        <w:tc>
          <w:tcPr>
            <w:tcW w:w="1500" w:type="dxa"/>
            <w:vAlign w:val="bottom"/>
          </w:tcPr>
          <w:p>
            <w:pPr>
              <w:jc w:val="right"/>
              <w:spacing w:after="0"/>
              <w:rPr>
                <w:sz w:val="20"/>
                <w:szCs w:val="20"/>
                <w:color w:val="auto"/>
              </w:rPr>
            </w:pPr>
            <w:r>
              <w:rPr>
                <w:rFonts w:ascii="Arial" w:cs="Arial" w:eastAsia="Arial" w:hAnsi="Arial"/>
                <w:sz w:val="14"/>
                <w:szCs w:val="14"/>
                <w:color w:val="auto"/>
              </w:rPr>
              <w:t>729,000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Corporate headquarters and laboratory</w:t>
            </w:r>
          </w:p>
        </w:tc>
        <w:tc>
          <w:tcPr>
            <w:tcW w:w="2220" w:type="dxa"/>
            <w:vAlign w:val="bottom"/>
          </w:tcPr>
          <w:p>
            <w:pPr>
              <w:ind w:left="20"/>
              <w:spacing w:after="0"/>
              <w:rPr>
                <w:sz w:val="20"/>
                <w:szCs w:val="20"/>
                <w:color w:val="auto"/>
              </w:rPr>
            </w:pPr>
            <w:r>
              <w:rPr>
                <w:rFonts w:ascii="Arial" w:cs="Arial" w:eastAsia="Arial" w:hAnsi="Arial"/>
                <w:sz w:val="14"/>
                <w:szCs w:val="14"/>
                <w:color w:val="auto"/>
              </w:rPr>
              <w:t>Leased - Expires 2028</w:t>
            </w: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RTP, North Carolina</w:t>
            </w:r>
          </w:p>
        </w:tc>
        <w:tc>
          <w:tcPr>
            <w:tcW w:w="1500" w:type="dxa"/>
            <w:vAlign w:val="bottom"/>
          </w:tcPr>
          <w:p>
            <w:pPr>
              <w:jc w:val="right"/>
              <w:spacing w:after="0"/>
              <w:rPr>
                <w:sz w:val="20"/>
                <w:szCs w:val="20"/>
                <w:color w:val="auto"/>
              </w:rPr>
            </w:pPr>
            <w:r>
              <w:rPr>
                <w:rFonts w:ascii="Arial" w:cs="Arial" w:eastAsia="Arial" w:hAnsi="Arial"/>
                <w:sz w:val="14"/>
                <w:szCs w:val="14"/>
                <w:color w:val="auto"/>
              </w:rPr>
              <w:t>1,237,000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Office, laboratory, manufacturing, warehouse</w:t>
            </w:r>
          </w:p>
        </w:tc>
        <w:tc>
          <w:tcPr>
            <w:tcW w:w="2220" w:type="dxa"/>
            <w:vAlign w:val="bottom"/>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Durham, North Carolina</w:t>
            </w:r>
          </w:p>
        </w:tc>
        <w:tc>
          <w:tcPr>
            <w:tcW w:w="1500" w:type="dxa"/>
            <w:vAlign w:val="bottom"/>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Warehouse</w:t>
            </w:r>
          </w:p>
        </w:tc>
        <w:tc>
          <w:tcPr>
            <w:tcW w:w="2220" w:type="dxa"/>
            <w:vAlign w:val="bottom"/>
          </w:tcPr>
          <w:p>
            <w:pPr>
              <w:ind w:left="20"/>
              <w:spacing w:after="0"/>
              <w:rPr>
                <w:sz w:val="20"/>
                <w:szCs w:val="20"/>
                <w:color w:val="auto"/>
              </w:rPr>
            </w:pPr>
            <w:r>
              <w:rPr>
                <w:rFonts w:ascii="Arial" w:cs="Arial" w:eastAsia="Arial" w:hAnsi="Arial"/>
                <w:sz w:val="14"/>
                <w:szCs w:val="14"/>
                <w:color w:val="auto"/>
              </w:rPr>
              <w:t>Leased - Expires 2030</w:t>
            </w: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Plano, Texas</w:t>
            </w:r>
          </w:p>
        </w:tc>
        <w:tc>
          <w:tcPr>
            <w:tcW w:w="1500" w:type="dxa"/>
            <w:vAlign w:val="bottom"/>
          </w:tcPr>
          <w:p>
            <w:pPr>
              <w:jc w:val="right"/>
              <w:spacing w:after="0"/>
              <w:rPr>
                <w:sz w:val="20"/>
                <w:szCs w:val="20"/>
                <w:color w:val="auto"/>
              </w:rPr>
            </w:pPr>
            <w:r>
              <w:rPr>
                <w:rFonts w:ascii="Arial" w:cs="Arial" w:eastAsia="Arial" w:hAnsi="Arial"/>
                <w:sz w:val="14"/>
                <w:szCs w:val="14"/>
                <w:color w:val="auto"/>
              </w:rPr>
              <w:t>327,000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Office and laboratory</w:t>
            </w:r>
          </w:p>
        </w:tc>
        <w:tc>
          <w:tcPr>
            <w:tcW w:w="2220" w:type="dxa"/>
            <w:vAlign w:val="bottom"/>
          </w:tcPr>
          <w:p>
            <w:pPr>
              <w:ind w:left="20"/>
              <w:spacing w:after="0"/>
              <w:rPr>
                <w:sz w:val="20"/>
                <w:szCs w:val="20"/>
                <w:color w:val="auto"/>
              </w:rPr>
            </w:pPr>
            <w:r>
              <w:rPr>
                <w:rFonts w:ascii="Arial" w:cs="Arial" w:eastAsia="Arial" w:hAnsi="Arial"/>
                <w:sz w:val="14"/>
                <w:szCs w:val="14"/>
                <w:color w:val="auto"/>
              </w:rPr>
              <w:t>Leased - Expires 2038</w:t>
            </w:r>
          </w:p>
        </w:tc>
        <w:tc>
          <w:tcPr>
            <w:tcW w:w="0" w:type="dxa"/>
            <w:vAlign w:val="bottom"/>
          </w:tcPr>
          <w:p>
            <w:pPr>
              <w:spacing w:after="0"/>
              <w:rPr>
                <w:sz w:val="1"/>
                <w:szCs w:val="1"/>
                <w:color w:val="auto"/>
              </w:rPr>
            </w:pPr>
          </w:p>
        </w:tc>
      </w:tr>
      <w:tr>
        <w:trPr>
          <w:trHeight w:val="269"/>
        </w:trPr>
        <w:tc>
          <w:tcPr>
            <w:tcW w:w="2680" w:type="dxa"/>
            <w:vAlign w:val="bottom"/>
            <w:gridSpan w:val="2"/>
          </w:tcPr>
          <w:p>
            <w:pPr>
              <w:ind w:left="20"/>
              <w:spacing w:after="0"/>
              <w:rPr>
                <w:sz w:val="20"/>
                <w:szCs w:val="20"/>
                <w:color w:val="auto"/>
              </w:rPr>
            </w:pPr>
            <w:r>
              <w:rPr>
                <w:rFonts w:ascii="Arial" w:cs="Arial" w:eastAsia="Arial" w:hAnsi="Arial"/>
                <w:sz w:val="14"/>
                <w:szCs w:val="14"/>
                <w:color w:val="auto"/>
              </w:rPr>
              <w:t>International</w:t>
            </w:r>
            <w:r>
              <w:rPr>
                <w:rFonts w:ascii="Arial" w:cs="Arial" w:eastAsia="Arial" w:hAnsi="Arial"/>
                <w:sz w:val="18"/>
                <w:szCs w:val="18"/>
                <w:color w:val="auto"/>
                <w:vertAlign w:val="superscript"/>
              </w:rPr>
              <w:t>(1)</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Solothurn, Switzerland</w:t>
            </w:r>
          </w:p>
        </w:tc>
        <w:tc>
          <w:tcPr>
            <w:tcW w:w="1500" w:type="dxa"/>
            <w:vAlign w:val="bottom"/>
          </w:tcPr>
          <w:p>
            <w:pPr>
              <w:jc w:val="right"/>
              <w:spacing w:after="0"/>
              <w:rPr>
                <w:sz w:val="20"/>
                <w:szCs w:val="20"/>
                <w:color w:val="auto"/>
              </w:rPr>
            </w:pPr>
            <w:r>
              <w:rPr>
                <w:rFonts w:ascii="Arial" w:cs="Arial" w:eastAsia="Arial" w:hAnsi="Arial"/>
                <w:sz w:val="14"/>
                <w:szCs w:val="14"/>
                <w:color w:val="auto"/>
              </w:rPr>
              <w:t>734,000</w:t>
            </w:r>
          </w:p>
        </w:tc>
        <w:tc>
          <w:tcPr>
            <w:tcW w:w="100" w:type="dxa"/>
            <w:vAlign w:val="bottom"/>
          </w:tcPr>
          <w:p>
            <w:pPr>
              <w:spacing w:after="0"/>
              <w:rPr>
                <w:sz w:val="16"/>
                <w:szCs w:val="16"/>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Manufacturing facility, warehouse and office</w:t>
            </w:r>
          </w:p>
        </w:tc>
        <w:tc>
          <w:tcPr>
            <w:tcW w:w="2220" w:type="dxa"/>
            <w:vAlign w:val="bottom"/>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Baar, Switzerland</w:t>
            </w:r>
          </w:p>
        </w:tc>
        <w:tc>
          <w:tcPr>
            <w:tcW w:w="1500" w:type="dxa"/>
            <w:vAlign w:val="bottom"/>
          </w:tcPr>
          <w:p>
            <w:pPr>
              <w:jc w:val="right"/>
              <w:spacing w:after="0"/>
              <w:rPr>
                <w:sz w:val="20"/>
                <w:szCs w:val="20"/>
                <w:color w:val="auto"/>
              </w:rPr>
            </w:pPr>
            <w:r>
              <w:rPr>
                <w:rFonts w:ascii="Arial" w:cs="Arial" w:eastAsia="Arial" w:hAnsi="Arial"/>
                <w:sz w:val="14"/>
                <w:szCs w:val="14"/>
                <w:color w:val="auto"/>
              </w:rPr>
              <w:t>81,800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International headquarters</w:t>
            </w:r>
          </w:p>
        </w:tc>
        <w:tc>
          <w:tcPr>
            <w:tcW w:w="2220" w:type="dxa"/>
            <w:vAlign w:val="bottom"/>
          </w:tcPr>
          <w:p>
            <w:pPr>
              <w:ind w:left="20"/>
              <w:spacing w:after="0"/>
              <w:rPr>
                <w:sz w:val="20"/>
                <w:szCs w:val="20"/>
                <w:color w:val="auto"/>
              </w:rPr>
            </w:pPr>
            <w:r>
              <w:rPr>
                <w:rFonts w:ascii="Arial" w:cs="Arial" w:eastAsia="Arial" w:hAnsi="Arial"/>
                <w:sz w:val="14"/>
                <w:szCs w:val="14"/>
                <w:color w:val="auto"/>
              </w:rPr>
              <w:t>Leased - Expires 2028</w:t>
            </w:r>
          </w:p>
        </w:tc>
        <w:tc>
          <w:tcPr>
            <w:tcW w:w="0" w:type="dxa"/>
            <w:vAlign w:val="bottom"/>
          </w:tcPr>
          <w:p>
            <w:pPr>
              <w:spacing w:after="0"/>
              <w:rPr>
                <w:sz w:val="1"/>
                <w:szCs w:val="1"/>
                <w:color w:val="auto"/>
              </w:rPr>
            </w:pPr>
          </w:p>
        </w:tc>
      </w:tr>
      <w:tr>
        <w:trPr>
          <w:trHeight w:val="203"/>
        </w:trPr>
        <w:tc>
          <w:tcPr>
            <w:tcW w:w="2680" w:type="dxa"/>
            <w:vAlign w:val="bottom"/>
            <w:gridSpan w:val="2"/>
          </w:tcPr>
          <w:p>
            <w:pPr>
              <w:ind w:left="140"/>
              <w:spacing w:after="0"/>
              <w:rPr>
                <w:sz w:val="20"/>
                <w:szCs w:val="20"/>
                <w:color w:val="auto"/>
              </w:rPr>
            </w:pPr>
            <w:r>
              <w:rPr>
                <w:rFonts w:ascii="Arial" w:cs="Arial" w:eastAsia="Arial" w:hAnsi="Arial"/>
                <w:sz w:val="14"/>
                <w:szCs w:val="14"/>
                <w:color w:val="auto"/>
              </w:rPr>
              <w:t>Athlone, Ireland</w:t>
            </w:r>
          </w:p>
        </w:tc>
        <w:tc>
          <w:tcPr>
            <w:tcW w:w="1500" w:type="dxa"/>
            <w:vAlign w:val="bottom"/>
          </w:tcPr>
          <w:p>
            <w:pPr>
              <w:jc w:val="right"/>
              <w:spacing w:after="0"/>
              <w:rPr>
                <w:sz w:val="20"/>
                <w:szCs w:val="20"/>
                <w:color w:val="auto"/>
              </w:rPr>
            </w:pPr>
            <w:r>
              <w:rPr>
                <w:rFonts w:ascii="Arial" w:cs="Arial" w:eastAsia="Arial" w:hAnsi="Arial"/>
                <w:sz w:val="14"/>
                <w:szCs w:val="14"/>
                <w:color w:val="auto"/>
              </w:rPr>
              <w:t>47,500</w:t>
            </w:r>
          </w:p>
        </w:tc>
        <w:tc>
          <w:tcPr>
            <w:tcW w:w="100" w:type="dxa"/>
            <w:vAlign w:val="bottom"/>
          </w:tcPr>
          <w:p>
            <w:pPr>
              <w:spacing w:after="0"/>
              <w:rPr>
                <w:sz w:val="17"/>
                <w:szCs w:val="17"/>
                <w:color w:val="auto"/>
              </w:rPr>
            </w:pPr>
          </w:p>
        </w:tc>
        <w:tc>
          <w:tcPr>
            <w:tcW w:w="4740" w:type="dxa"/>
            <w:vAlign w:val="bottom"/>
            <w:gridSpan w:val="2"/>
          </w:tcPr>
          <w:p>
            <w:pPr>
              <w:ind w:left="20"/>
              <w:spacing w:after="0"/>
              <w:rPr>
                <w:sz w:val="20"/>
                <w:szCs w:val="20"/>
                <w:color w:val="auto"/>
              </w:rPr>
            </w:pPr>
            <w:r>
              <w:rPr>
                <w:rFonts w:ascii="Arial" w:cs="Arial" w:eastAsia="Arial" w:hAnsi="Arial"/>
                <w:sz w:val="14"/>
                <w:szCs w:val="14"/>
                <w:color w:val="auto"/>
              </w:rPr>
              <w:t>Fill finish manufacturing facility</w:t>
            </w:r>
          </w:p>
        </w:tc>
        <w:tc>
          <w:tcPr>
            <w:tcW w:w="2220" w:type="dxa"/>
            <w:vAlign w:val="bottom"/>
          </w:tcPr>
          <w:p>
            <w:pPr>
              <w:ind w:left="20"/>
              <w:spacing w:after="0"/>
              <w:rPr>
                <w:sz w:val="20"/>
                <w:szCs w:val="20"/>
                <w:color w:val="auto"/>
              </w:rPr>
            </w:pPr>
            <w:r>
              <w:rPr>
                <w:rFonts w:ascii="Arial" w:cs="Arial" w:eastAsia="Arial" w:hAnsi="Arial"/>
                <w:sz w:val="14"/>
                <w:szCs w:val="14"/>
                <w:color w:val="auto"/>
              </w:rPr>
              <w:t>Leased - Expires 2047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27774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49" w:lineRule="exact"/>
        <w:rPr>
          <w:sz w:val="20"/>
          <w:szCs w:val="20"/>
          <w:color w:val="auto"/>
        </w:rPr>
      </w:pPr>
    </w:p>
    <w:p>
      <w:pPr>
        <w:ind w:left="180" w:right="580" w:hanging="172"/>
        <w:spacing w:after="0" w:line="231" w:lineRule="auto"/>
        <w:tabs>
          <w:tab w:leader="none" w:pos="172"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We also lease office space in other international regions including: the U.K.; Germany; France; Japan; Canada and numerous other countries. Our international lease agreements expire at various dates through the year 2047.</w:t>
      </w:r>
    </w:p>
    <w:p>
      <w:pPr>
        <w:spacing w:after="0" w:line="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 the fourth quarter of 2021 we began construction of a new clinical packaging and other manufacturing facility in RTP, North Carolina to support our R&amp;D pipeline across multiple therapeutic areas. The new manufacturing facility is approximately 197,000 square feet. The construction of this manufacturing facility was completed during 2025 and the majority of the facility was placed in service during the fourth quarter of 2025.</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0070C0"/>
        </w:rPr>
        <w:t>NEW CORPORATE HEADQUARTERS LEASE</w:t>
      </w:r>
    </w:p>
    <w:p>
      <w:pPr>
        <w:spacing w:after="0" w:line="1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March 2025 we entered into a lease agreement with MIT Investment Management Company and BioMed Realty for the lease of approximately 580,000 square feet of office and research and development space located at 75 Broadway, Cambridge, Massachusetts, which will be used as our new global corporate headquarters, as well as integrating our research and development and technical operations teams alongside our North American commercial organization. As part of a multi-year real estate consolidation plan that is expected to result in a reduction of approximately 40% of our real estate footprint in Massachusetts, this new lease is intended to replace two existing leases, both in Cambridge, Massachusetts, including our current corporate headquarters. We expect the initial lease term of approximately 15.5 years to commence on May 31, 2028.</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We believe that our existing properties, including both owned and leased sites, are adequate and suitable for the conduct of our business. We believe our capital resources are sufficient to purchase, lease or construct any additional facilities required to meet our expected long-term growth needs.</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color w:val="auto"/>
        </w:rPr>
        <w:t>ITEM 3. LEGAL PROCEEDINGS</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 discussion of legal matters as of December 31, 2025,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consolidated financial statements included in this report, which is incorporated into this item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29"/>
          <w:szCs w:val="29"/>
          <w:color w:val="auto"/>
        </w:rPr>
        <w:t>ITEM 4. MINE SAFETY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9"/>
          <w:szCs w:val="29"/>
          <w:color w:val="00587F"/>
        </w:rPr>
        <w:t>PART II</w:t>
      </w:r>
    </w:p>
    <w:p>
      <w:pPr>
        <w:spacing w:after="0" w:line="180" w:lineRule="exact"/>
        <w:rPr>
          <w:sz w:val="20"/>
          <w:szCs w:val="20"/>
          <w:color w:val="auto"/>
        </w:rPr>
      </w:pPr>
    </w:p>
    <w:p>
      <w:pPr>
        <w:ind w:right="460"/>
        <w:spacing w:after="0" w:line="295" w:lineRule="auto"/>
        <w:rPr>
          <w:sz w:val="20"/>
          <w:szCs w:val="20"/>
          <w:color w:val="auto"/>
        </w:rPr>
      </w:pPr>
      <w:r>
        <w:rPr>
          <w:rFonts w:ascii="Arial" w:cs="Arial" w:eastAsia="Arial" w:hAnsi="Arial"/>
          <w:sz w:val="28"/>
          <w:szCs w:val="28"/>
          <w:color w:val="auto"/>
        </w:rPr>
        <w:t>ITEM 5. MARKET FOR REGISTRANT'S COMMON EQUITY, RELATED STOCKHOLDER MATTERS AND ISSUER PURCHASES OF EQUITY SECURITIES</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MARKET AND STOCKHOLDER INFORMATION</w:t>
      </w:r>
    </w:p>
    <w:p>
      <w:pPr>
        <w:spacing w:after="0" w:line="11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common stock trades on The Nasdaq Global Select Market under the symbol “BIIB.” As of February 4, 2026, there were approximately 372 shareholders of record of our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DIVIDENDS</w:t>
      </w:r>
    </w:p>
    <w:p>
      <w:pPr>
        <w:spacing w:after="0" w:line="12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not paid cash dividends since our inception. While we historically have not paid cash dividends and do not have a current intention to pay cash dividends, we continually review our capital allocation strategies, including, among other things, payment of cash dividends, share repurchases and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0070C0"/>
        </w:rPr>
        <w:t>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common stock repurchase activity during the fourth quarter of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ind w:left="208"/>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Average Price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4"/>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ind w:left="188"/>
              <w:spacing w:after="0" w:line="145" w:lineRule="exact"/>
              <w:rPr>
                <w:sz w:val="20"/>
                <w:szCs w:val="20"/>
                <w:color w:val="auto"/>
              </w:rPr>
            </w:pPr>
            <w:r>
              <w:rPr>
                <w:rFonts w:ascii="Arial" w:cs="Arial" w:eastAsia="Arial" w:hAnsi="Arial"/>
                <w:sz w:val="14"/>
                <w:szCs w:val="14"/>
                <w:b w:val="1"/>
                <w:bCs w:val="1"/>
                <w:color w:val="auto"/>
              </w:rPr>
              <w:t>as Part of 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28"/>
              <w:spacing w:after="0" w:line="145"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39"/>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80" w:type="dxa"/>
            <w:vAlign w:val="bottom"/>
            <w:vMerge w:val="restart"/>
          </w:tcPr>
          <w:p>
            <w:pPr>
              <w:spacing w:after="0"/>
              <w:rPr>
                <w:sz w:val="12"/>
                <w:szCs w:val="12"/>
                <w:color w:val="auto"/>
              </w:rPr>
            </w:pPr>
          </w:p>
        </w:tc>
        <w:tc>
          <w:tcPr>
            <w:tcW w:w="16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left="68"/>
              <w:spacing w:after="0" w:line="139" w:lineRule="exact"/>
              <w:rPr>
                <w:sz w:val="20"/>
                <w:szCs w:val="20"/>
                <w:color w:val="auto"/>
              </w:rPr>
            </w:pPr>
            <w:r>
              <w:rPr>
                <w:rFonts w:ascii="Arial" w:cs="Arial" w:eastAsia="Arial" w:hAnsi="Arial"/>
                <w:sz w:val="14"/>
                <w:szCs w:val="14"/>
                <w:b w:val="1"/>
                <w:bCs w:val="1"/>
                <w:color w:val="auto"/>
              </w:rPr>
              <w:t>Paid per Share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jc w:val="center"/>
              <w:ind w:left="208"/>
              <w:spacing w:after="0" w:line="139" w:lineRule="exact"/>
              <w:rPr>
                <w:sz w:val="20"/>
                <w:szCs w:val="20"/>
                <w:color w:val="auto"/>
              </w:rPr>
            </w:pPr>
            <w:r>
              <w:rPr>
                <w:rFonts w:ascii="Arial" w:cs="Arial" w:eastAsia="Arial" w:hAnsi="Arial"/>
                <w:sz w:val="14"/>
                <w:szCs w:val="14"/>
                <w:b w:val="1"/>
                <w:bCs w:val="1"/>
                <w:color w:val="auto"/>
              </w:rPr>
              <w:t>Announced Programs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rPr>
              <w:t>Our Programs</w:t>
            </w:r>
          </w:p>
        </w:tc>
        <w:tc>
          <w:tcPr>
            <w:tcW w:w="0" w:type="dxa"/>
            <w:vAlign w:val="bottom"/>
          </w:tcPr>
          <w:p>
            <w:pPr>
              <w:spacing w:after="0"/>
              <w:rPr>
                <w:sz w:val="1"/>
                <w:szCs w:val="1"/>
                <w:color w:val="auto"/>
              </w:rPr>
            </w:pPr>
          </w:p>
        </w:tc>
      </w:tr>
      <w:tr>
        <w:trPr>
          <w:trHeight w:val="185"/>
        </w:trPr>
        <w:tc>
          <w:tcPr>
            <w:tcW w:w="32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36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8"/>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October 1, 2025 - October 31, 2025</w:t>
            </w:r>
          </w:p>
        </w:tc>
        <w:tc>
          <w:tcPr>
            <w:tcW w:w="1640" w:type="dxa"/>
            <w:vAlign w:val="bottom"/>
            <w:shd w:val="clear" w:color="auto" w:fill="DBDBDB"/>
          </w:tcPr>
          <w:p>
            <w:pPr>
              <w:ind w:left="144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spacing w:after="0"/>
              <w:rPr>
                <w:sz w:val="16"/>
                <w:szCs w:val="16"/>
                <w:color w:val="auto"/>
              </w:rPr>
            </w:pPr>
          </w:p>
        </w:tc>
        <w:tc>
          <w:tcPr>
            <w:tcW w:w="260" w:type="dxa"/>
            <w:vAlign w:val="bottom"/>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1900" w:type="dxa"/>
            <w:vAlign w:val="bottom"/>
            <w:shd w:val="clear" w:color="auto" w:fill="DBDBDB"/>
          </w:tcPr>
          <w:p>
            <w:pPr>
              <w:spacing w:after="0"/>
              <w:rPr>
                <w:sz w:val="16"/>
                <w:szCs w:val="16"/>
                <w:color w:val="auto"/>
              </w:rPr>
            </w:pPr>
          </w:p>
        </w:tc>
        <w:tc>
          <w:tcPr>
            <w:tcW w:w="280" w:type="dxa"/>
            <w:vAlign w:val="bottom"/>
            <w:shd w:val="clear" w:color="auto" w:fill="DBDBDB"/>
          </w:tcPr>
          <w:p>
            <w:pPr>
              <w:ind w:left="6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spacing w:after="0"/>
              <w:rPr>
                <w:sz w:val="16"/>
                <w:szCs w:val="16"/>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2,050.0</w:t>
            </w:r>
          </w:p>
        </w:tc>
        <w:tc>
          <w:tcPr>
            <w:tcW w:w="0" w:type="dxa"/>
            <w:vAlign w:val="bottom"/>
          </w:tcPr>
          <w:p>
            <w:pPr>
              <w:spacing w:after="0"/>
              <w:rPr>
                <w:sz w:val="1"/>
                <w:szCs w:val="1"/>
                <w:color w:val="auto"/>
              </w:rPr>
            </w:pPr>
          </w:p>
        </w:tc>
      </w:tr>
      <w:tr>
        <w:trPr>
          <w:trHeight w:val="203"/>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November 1, 2025 - November 30, 2025</w:t>
            </w:r>
          </w:p>
        </w:tc>
        <w:tc>
          <w:tcPr>
            <w:tcW w:w="1640" w:type="dxa"/>
            <w:vAlign w:val="bottom"/>
            <w:shd w:val="clear" w:color="auto" w:fill="DBDBDB"/>
          </w:tcPr>
          <w:p>
            <w:pPr>
              <w:ind w:left="144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spacing w:after="0"/>
              <w:rPr>
                <w:sz w:val="17"/>
                <w:szCs w:val="17"/>
                <w:color w:val="auto"/>
              </w:rPr>
            </w:pPr>
          </w:p>
        </w:tc>
        <w:tc>
          <w:tcPr>
            <w:tcW w:w="260" w:type="dxa"/>
            <w:vAlign w:val="bottom"/>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1900" w:type="dxa"/>
            <w:vAlign w:val="bottom"/>
            <w:shd w:val="clear" w:color="auto" w:fill="DBDBDB"/>
          </w:tcPr>
          <w:p>
            <w:pPr>
              <w:spacing w:after="0"/>
              <w:rPr>
                <w:sz w:val="17"/>
                <w:szCs w:val="17"/>
                <w:color w:val="auto"/>
              </w:rPr>
            </w:pPr>
          </w:p>
        </w:tc>
        <w:tc>
          <w:tcPr>
            <w:tcW w:w="280" w:type="dxa"/>
            <w:vAlign w:val="bottom"/>
            <w:shd w:val="clear" w:color="auto" w:fill="DBDBDB"/>
          </w:tcPr>
          <w:p>
            <w:pPr>
              <w:ind w:left="6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2,050.0</w:t>
            </w:r>
          </w:p>
        </w:tc>
        <w:tc>
          <w:tcPr>
            <w:tcW w:w="0" w:type="dxa"/>
            <w:vAlign w:val="bottom"/>
          </w:tcPr>
          <w:p>
            <w:pPr>
              <w:spacing w:after="0"/>
              <w:rPr>
                <w:sz w:val="1"/>
                <w:szCs w:val="1"/>
                <w:color w:val="auto"/>
              </w:rPr>
            </w:pPr>
          </w:p>
        </w:tc>
      </w:tr>
      <w:tr>
        <w:trPr>
          <w:trHeight w:val="207"/>
        </w:trPr>
        <w:tc>
          <w:tcPr>
            <w:tcW w:w="3320" w:type="dxa"/>
            <w:vAlign w:val="bottom"/>
            <w:gridSpan w:val="2"/>
          </w:tcPr>
          <w:p>
            <w:pPr>
              <w:ind w:left="20"/>
              <w:spacing w:after="0"/>
              <w:rPr>
                <w:sz w:val="20"/>
                <w:szCs w:val="20"/>
                <w:color w:val="auto"/>
              </w:rPr>
            </w:pPr>
            <w:r>
              <w:rPr>
                <w:rFonts w:ascii="Arial" w:cs="Arial" w:eastAsia="Arial" w:hAnsi="Arial"/>
                <w:sz w:val="14"/>
                <w:szCs w:val="14"/>
                <w:color w:val="auto"/>
              </w:rPr>
              <w:t>December 1, 2025 - December 31, 2025</w:t>
            </w:r>
          </w:p>
        </w:tc>
        <w:tc>
          <w:tcPr>
            <w:tcW w:w="1640" w:type="dxa"/>
            <w:vAlign w:val="bottom"/>
            <w:tcBorders>
              <w:bottom w:val="single" w:sz="8" w:color="auto"/>
            </w:tcBorders>
            <w:shd w:val="clear" w:color="auto" w:fill="DBDBDB"/>
          </w:tcPr>
          <w:p>
            <w:pPr>
              <w:ind w:left="144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26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1900" w:type="dxa"/>
            <w:vAlign w:val="bottom"/>
            <w:shd w:val="clear" w:color="auto" w:fill="DBDBDB"/>
          </w:tcPr>
          <w:p>
            <w:pPr>
              <w:spacing w:after="0"/>
              <w:rPr>
                <w:sz w:val="17"/>
                <w:szCs w:val="17"/>
                <w:color w:val="auto"/>
              </w:rPr>
            </w:pPr>
          </w:p>
        </w:tc>
        <w:tc>
          <w:tcPr>
            <w:tcW w:w="280" w:type="dxa"/>
            <w:vAlign w:val="bottom"/>
            <w:shd w:val="clear" w:color="auto" w:fill="DBDBDB"/>
          </w:tcPr>
          <w:p>
            <w:pPr>
              <w:ind w:left="6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2,050.0</w:t>
            </w:r>
          </w:p>
        </w:tc>
        <w:tc>
          <w:tcPr>
            <w:tcW w:w="0" w:type="dxa"/>
            <w:vAlign w:val="bottom"/>
          </w:tcPr>
          <w:p>
            <w:pPr>
              <w:spacing w:after="0"/>
              <w:rPr>
                <w:sz w:val="1"/>
                <w:szCs w:val="1"/>
                <w:color w:val="auto"/>
              </w:rPr>
            </w:pPr>
          </w:p>
        </w:tc>
      </w:tr>
      <w:tr>
        <w:trPr>
          <w:trHeight w:val="225"/>
        </w:trPr>
        <w:tc>
          <w:tcPr>
            <w:tcW w:w="3320" w:type="dxa"/>
            <w:vAlign w:val="bottom"/>
            <w:gridSpan w:val="2"/>
          </w:tcPr>
          <w:p>
            <w:pPr>
              <w:ind w:left="140"/>
              <w:spacing w:after="0"/>
              <w:rPr>
                <w:sz w:val="20"/>
                <w:szCs w:val="20"/>
                <w:color w:val="auto"/>
              </w:rPr>
            </w:pPr>
            <w:r>
              <w:rPr>
                <w:rFonts w:ascii="Arial" w:cs="Arial" w:eastAsia="Arial" w:hAnsi="Arial"/>
                <w:sz w:val="14"/>
                <w:szCs w:val="14"/>
                <w:color w:val="auto"/>
              </w:rPr>
              <w:t>Total</w:t>
            </w:r>
            <w:r>
              <w:rPr>
                <w:rFonts w:ascii="Arial" w:cs="Arial" w:eastAsia="Arial" w:hAnsi="Arial"/>
                <w:sz w:val="9"/>
                <w:szCs w:val="9"/>
                <w:color w:val="auto"/>
              </w:rPr>
              <w:t>(1)</w:t>
            </w:r>
          </w:p>
        </w:tc>
        <w:tc>
          <w:tcPr>
            <w:tcW w:w="1640" w:type="dxa"/>
            <w:vAlign w:val="bottom"/>
            <w:tcBorders>
              <w:bottom w:val="single" w:sz="8" w:color="auto"/>
            </w:tcBorders>
            <w:shd w:val="clear" w:color="auto" w:fill="DBDBDB"/>
          </w:tcPr>
          <w:p>
            <w:pPr>
              <w:ind w:left="144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9"/>
                <w:szCs w:val="19"/>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w w:val="76"/>
              </w:rPr>
              <w:t>$</w:t>
            </w:r>
          </w:p>
        </w:tc>
        <w:tc>
          <w:tcPr>
            <w:tcW w:w="126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ind w:left="40"/>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179705</wp:posOffset>
            </wp:positionV>
            <wp:extent cx="27774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62" w:lineRule="exact"/>
        <w:rPr>
          <w:sz w:val="20"/>
          <w:szCs w:val="20"/>
          <w:color w:val="auto"/>
        </w:rPr>
      </w:pPr>
    </w:p>
    <w:p>
      <w:pPr>
        <w:ind w:left="140" w:hanging="132"/>
        <w:spacing w:after="0"/>
        <w:tabs>
          <w:tab w:leader="none" w:pos="140" w:val="left"/>
        </w:tabs>
        <w:numPr>
          <w:ilvl w:val="0"/>
          <w:numId w:val="63"/>
        </w:numPr>
        <w:rPr>
          <w:rFonts w:ascii="Arial" w:cs="Arial" w:eastAsia="Arial" w:hAnsi="Arial"/>
          <w:sz w:val="16"/>
          <w:szCs w:val="16"/>
          <w:color w:val="auto"/>
          <w:vertAlign w:val="superscript"/>
        </w:rPr>
      </w:pPr>
      <w:r>
        <w:rPr>
          <w:rFonts w:ascii="Arial" w:cs="Arial" w:eastAsia="Arial" w:hAnsi="Arial"/>
          <w:sz w:val="12"/>
          <w:szCs w:val="12"/>
          <w:color w:val="auto"/>
        </w:rPr>
        <w:t>There were no share repurchases during the fourth quarter of 2025.</w:t>
      </w:r>
    </w:p>
    <w:p>
      <w:pPr>
        <w:spacing w:after="0" w:line="7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repurchases of our common stock during the years ended December 31, 2025, 2024 and 2023. Approximately $2.1 billion remained available under our 2020 Share Repurchase Program as of December 31, 2025.</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PERFORMANCE GRAPH</w:t>
      </w:r>
    </w:p>
    <w:p>
      <w:pPr>
        <w:spacing w:after="0" w:line="1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performance graph below compares the five-year cumulative total stockholder return on our common stock, the Nasdaq Pharmaceutical Index, the S&amp;P 500 Index and the Nasdaq Biotechnology Index. The performance graph below assumes the investment of $100.00 on December 31, 2020, in our common stock and each of the three indexes, with dividends being reinvested.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stock price performance in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5254625" cy="4114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r>
      <w:tr>
        <w:trPr>
          <w:trHeight w:val="190"/>
        </w:trPr>
        <w:tc>
          <w:tcPr>
            <w:tcW w:w="3060" w:type="dxa"/>
            <w:vAlign w:val="bottom"/>
          </w:tcPr>
          <w:p>
            <w:pPr>
              <w:spacing w:after="0"/>
              <w:rPr>
                <w:sz w:val="20"/>
                <w:szCs w:val="20"/>
                <w:color w:val="auto"/>
              </w:rPr>
            </w:pPr>
            <w:r>
              <w:rPr>
                <w:rFonts w:ascii="Arial" w:cs="Arial" w:eastAsia="Arial" w:hAnsi="Arial"/>
                <w:sz w:val="14"/>
                <w:szCs w:val="14"/>
                <w:color w:val="auto"/>
              </w:rPr>
              <w:t>Biogen Inc.</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$97.98</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8"/>
              </w:rPr>
              <w:t>$113.08</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$105.65</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$62.43</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$71.84</w:t>
            </w: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Nasdaq Pharmaceutical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$124.39</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$138.51</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$143.88</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$156.19</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$200.89</w:t>
            </w: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S&amp;P 500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$128.71</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$105.40</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$133.10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$166.40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$196.16</w:t>
            </w: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Nasdaq Biotechnology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$100.02</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$89.90</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$94.03</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$93.49</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$124.75</w:t>
            </w:r>
          </w:p>
        </w:tc>
      </w:tr>
    </w:tbl>
    <w:p>
      <w:pPr>
        <w:spacing w:after="0" w:line="16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information included under the heading </w:t>
      </w:r>
      <w:r>
        <w:rPr>
          <w:rFonts w:ascii="Arial" w:cs="Arial" w:eastAsia="Arial" w:hAnsi="Arial"/>
          <w:sz w:val="18"/>
          <w:szCs w:val="18"/>
          <w:i w:val="1"/>
          <w:iCs w:val="1"/>
          <w:color w:val="auto"/>
        </w:rPr>
        <w:t>Performance Graph</w:t>
      </w:r>
      <w:r>
        <w:rPr>
          <w:rFonts w:ascii="Arial" w:cs="Arial" w:eastAsia="Arial" w:hAnsi="Arial"/>
          <w:sz w:val="18"/>
          <w:szCs w:val="18"/>
          <w:color w:val="auto"/>
        </w:rPr>
        <w:t xml:space="preserve"> is “furnished” and not “filed” for purposes of Section 18 of the Securities Exchange Act, or otherwise subject to the liabilities of that section, nor shall it be deemed to be “soliciting material” subject to Regulation 14A or incorporated by reference in any filing under the Securities Act of 1933 or the Securities Exchange Act of 1934.</w:t>
      </w:r>
    </w:p>
    <w:p>
      <w:pPr>
        <w:spacing w:after="0" w:line="103" w:lineRule="exact"/>
        <w:rPr>
          <w:sz w:val="20"/>
          <w:szCs w:val="20"/>
          <w:color w:val="auto"/>
        </w:rPr>
      </w:pPr>
    </w:p>
    <w:p>
      <w:pPr>
        <w:spacing w:after="0"/>
        <w:tabs>
          <w:tab w:leader="none" w:pos="1320" w:val="left"/>
        </w:tabs>
        <w:rPr>
          <w:sz w:val="20"/>
          <w:szCs w:val="20"/>
          <w:color w:val="auto"/>
        </w:rPr>
      </w:pPr>
      <w:r>
        <w:rPr>
          <w:rFonts w:ascii="Arial" w:cs="Arial" w:eastAsia="Arial" w:hAnsi="Arial"/>
          <w:sz w:val="29"/>
          <w:szCs w:val="29"/>
          <w:color w:val="auto"/>
        </w:rPr>
        <w:t>ITEM 6.</w:t>
      </w:r>
      <w:r>
        <w:rPr>
          <w:sz w:val="20"/>
          <w:szCs w:val="20"/>
          <w:color w:val="auto"/>
        </w:rPr>
        <w:tab/>
      </w:r>
      <w:r>
        <w:rPr>
          <w:rFonts w:ascii="Arial" w:cs="Arial" w:eastAsia="Arial" w:hAnsi="Arial"/>
          <w:sz w:val="28"/>
          <w:szCs w:val="28"/>
          <w:color w:val="auto"/>
        </w:rPr>
        <w:t>RESERVED</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20"/>
        <w:spacing w:after="0" w:line="276" w:lineRule="auto"/>
        <w:rPr>
          <w:sz w:val="20"/>
          <w:szCs w:val="20"/>
          <w:color w:val="auto"/>
        </w:rPr>
      </w:pPr>
      <w:r>
        <w:rPr>
          <w:rFonts w:ascii="Arial" w:cs="Arial" w:eastAsia="Arial" w:hAnsi="Arial"/>
          <w:sz w:val="29"/>
          <w:szCs w:val="29"/>
          <w:color w:val="auto"/>
        </w:rPr>
        <w:t>ITEM 7. MANAGEMENT'S DISCUSSION AND ANALYSIS OF FINANCIAL CONDITION AND RESULTS OF OPERATIONS</w:t>
      </w:r>
    </w:p>
    <w:p>
      <w:pPr>
        <w:spacing w:after="0" w:line="2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the accompanying notes beginning on page F-1 of this report.</w:t>
      </w:r>
    </w:p>
    <w:p>
      <w:pPr>
        <w:spacing w:after="0" w:line="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For our discussion of the year ended December 31, 2024, compared to the year ended December 31, 2023, please read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located in our Annual Report on Form 10-K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2024.</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EXECUTIVE SUMMARY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INTRODUCTION</w:t>
      </w:r>
    </w:p>
    <w:p>
      <w:pPr>
        <w:spacing w:after="0" w:line="10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We have a broad portfolio of medicines to treat MS, have introduced the first approved treatment for SMA, co-developed treatments to address a defining pathology of Alzheimer’s disease and launched the first approved treatment to target a genetic cause of ALS. We market the first and only drug approved in the U.S., the E.U. and certain international markets for the treatment of FA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spacing w:after="0" w:line="7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marketed products include VUMERITY, TYSABRI, TECFIDERA, AVONEX and PLEGRIDY for the treatment of MS; SPINRAZA for the treatment of SMA; SKYCLARYS for the treatment of FA; and QALSODY for the treatment of ALS.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Supernus on the commercialization of ZURZUVAE for the treatment of PPD. We have certain business and financial rights with respect to RITUXAN for the treatment of non-Hodgkin's lymphoma, CLL and other conditions; RITUXAN HYCELA for the treatment of non-Hodgkin's lymphoma and CLL; GAZYVA for the treatment of CLL, follicular lymphoma and, following its approval in October 2025, lupus nephritis;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 owned member of the Roche Group.</w:t>
      </w:r>
    </w:p>
    <w:p>
      <w:pPr>
        <w:spacing w:after="0" w:line="7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and FLIXABI, an infliximab biosimilar referencing REMICADE.</w:t>
      </w:r>
    </w:p>
    <w:p>
      <w:pPr>
        <w:spacing w:after="0" w:line="45"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4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regularly review our manufacturing capacity, capabilities, processes and facilities. In order to support our future growth and drug development pipeline, we expanded our large molecule production capacity and built a large-scale biologics manufacturing facility in Solothurn, Switzerland. The Solothurn facility is operational and has been approved for the manufacture of LEQEMBI and TYSABRI. We believe that the Solothurn facility will support our anticipated near to mid-term needs for the manufacturing of biologic assets. The plant represents a significant increase in our overall manufacturing capacity. Additionally, we continue to invest to modernize, automate and support the capacity requirements for our pipeline and existing products at our existing manufacturing facilities in RTP. If we are unable to fully utilize our manufacturing facilities, we will incur additional excess capacity charges which would have a negative effect on our financial condition and results of operations.</w:t>
      </w:r>
    </w:p>
    <w:p>
      <w:pPr>
        <w:spacing w:after="0" w:line="7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In the longer term, our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BUSINESS ENVIRONMENT</w:t>
      </w:r>
    </w:p>
    <w:p>
      <w:pPr>
        <w:spacing w:after="0" w:line="108" w:lineRule="exact"/>
        <w:rPr>
          <w:sz w:val="20"/>
          <w:szCs w:val="20"/>
          <w:color w:val="auto"/>
        </w:rPr>
      </w:pPr>
    </w:p>
    <w:p>
      <w:pPr>
        <w:jc w:val="both"/>
        <w:ind w:right="260"/>
        <w:spacing w:after="0" w:line="318" w:lineRule="auto"/>
        <w:rPr>
          <w:sz w:val="20"/>
          <w:szCs w:val="20"/>
          <w:color w:val="auto"/>
        </w:rPr>
      </w:pPr>
      <w:r>
        <w:rPr>
          <w:rFonts w:ascii="Arial" w:cs="Arial" w:eastAsia="Arial" w:hAnsi="Arial"/>
          <w:sz w:val="17"/>
          <w:szCs w:val="17"/>
          <w:color w:val="auto"/>
        </w:rPr>
        <w:t xml:space="preserve">For a detailed discussion on our business environment, please read </w:t>
      </w:r>
      <w:r>
        <w:rPr>
          <w:rFonts w:ascii="Arial" w:cs="Arial" w:eastAsia="Arial" w:hAnsi="Arial"/>
          <w:sz w:val="17"/>
          <w:szCs w:val="17"/>
          <w:i w:val="1"/>
          <w:iCs w:val="1"/>
          <w:color w:val="auto"/>
        </w:rPr>
        <w:t>Item 1. Business,</w:t>
      </w:r>
      <w:r>
        <w:rPr>
          <w:rFonts w:ascii="Arial" w:cs="Arial" w:eastAsia="Arial" w:hAnsi="Arial"/>
          <w:sz w:val="17"/>
          <w:szCs w:val="17"/>
          <w:color w:val="auto"/>
        </w:rPr>
        <w:t xml:space="preserve"> included in this report. For additional information on our competition and pricing risks that could negatively impact our product sales, please read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included in this report.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TECFIDERA</w:t>
      </w:r>
    </w:p>
    <w:p>
      <w:pPr>
        <w:spacing w:after="0" w:line="108"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Multiple TECFIDERA generic entrants are now in North America, Brazil and certain European countries and have deeply discounted prices compared to TECFIDERA. The generic competition for TECFIDERA has significantly reduced our TECFIDERA revenue and we expect that TECFIDERA revenue will continue to decline. In November 2025 the Technical Boards of Appeal of the European Patent Office revoked our EP 2 653 873 patent related to TECFIDERA, after which we stopped enforcing this patent and its national counterparts.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to our consolidated financial statements included in this report.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TYSABRI</w:t>
      </w:r>
    </w:p>
    <w:p>
      <w:pPr>
        <w:spacing w:after="0" w:line="10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 biosimilar entrant of TYSABRI was approved in the U.S. and the E.U. in 2023. We expect the future sales of TYSABRI will continue to be adversely affected by the entrance of this biosimilar.</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GOODWILL</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review our goodwill for impairment annually, as of October 31, and whenever events or changes in circumstances indicate that the carrying value of the goodwill may not be recoverable. As part of this analysis, we compare the fair value of our one reporting unit to its carrying value through the assessment of qualitative, and, if necessary, quantitative factors. If the carrying value of the net assets assigned to the reporting unit exceeds the fair value of our reporting unit, we will record an impairment loss equal to the difference. As of our most recent annual impairment analysis, we had no accumulated impairment losses related to goodwill.</w:t>
      </w:r>
    </w:p>
    <w:p>
      <w:pPr>
        <w:spacing w:after="0" w:line="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interim goodwill impairment test based on quantitative factors may be required if adverse events indicate an impairment might be present. We monitor changes to our stock price between annual impairment tests, and we believe that general deterioration in macroeconomic and industry-specific conditions may not be indicators of a goodwill impairment, as such conditions may not represent a significant adverse change to our underlying operating performance, cash flows, financial condition or liquidity. Should our market capitalization decline below the carrying value of our net assets for a sustained period, we would consider the length and severity of the decline and the reason for the decline when assessing whether potential goodwill impairment exists.</w:t>
      </w:r>
    </w:p>
    <w:p>
      <w:pPr>
        <w:spacing w:after="0" w:line="7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 xml:space="preserve">For additional information on goodwill, please read </w:t>
      </w:r>
      <w:r>
        <w:rPr>
          <w:rFonts w:ascii="Arial" w:cs="Arial" w:eastAsia="Arial" w:hAnsi="Arial"/>
          <w:sz w:val="18"/>
          <w:szCs w:val="18"/>
          <w:i w:val="1"/>
          <w:iCs w:val="1"/>
          <w:color w:val="auto"/>
        </w:rPr>
        <w:t>Note 7, Intangible Assets and Goodwill</w:t>
      </w:r>
      <w:r>
        <w:rPr>
          <w:rFonts w:ascii="Arial" w:cs="Arial" w:eastAsia="Arial" w:hAnsi="Arial"/>
          <w:sz w:val="18"/>
          <w:szCs w:val="18"/>
          <w:color w:val="auto"/>
        </w:rPr>
        <w:t>, to our consolidated financial statements included in this report.</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INTERNATIONAL TRADE</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Global disputes and interruptions in international relationships, including tariffs, trade protection measures, embargoes, import or export licensing requirements and the imposition of trade sanctions or similar restrictions, may affect our ability to do business and the costs that we incur in providing products to our patients.</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U.S. has imposed a baseline tariff on imports from all countries, subject to certain exceptions. Trade-related tensions between the U.S. and China have led to a series of tariffs and sanctions being imposed by the U.S. on imports from China and retaliatory tariffs imposed by China on U.S. imports.</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U.S. Secretary of Commerce has further initiated an investigation to determine the effects on the national security of imports of pharmaceuticals and pharmaceutical ingredients, including finished drug products, medical countermeasures, critical inputs such as active pharmaceutical ingredients, key starting materials and derivative products of those items, under Section 232 of the Trade Expansion Act of 1962.</w:t>
      </w:r>
    </w:p>
    <w:p>
      <w:pPr>
        <w:spacing w:after="0" w:line="6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There is a high degree of uncertainty concerning what future steps countries and economic blocs will take in response to changes in global trade rules and economics.</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a significant manufacturing presence in the U.S. While our portfolio is evolving, approximately three quarters of our 2025 U.S. product revenue was attributable to products which were largely manufactured in the U.S. However, we, and the pharmaceutical industry, do utilize partners and production facilities located outside the U.S. for certain raw materials, ingredients, processes and components for our pharmaceutical products and their delivery devices. Engaging alternative suppliers may involve seeking additional regulatory approvals and incurring additional costs and risks associated with new suppliers. This may be costly in terms of time and resources needed or result in delays.</w:t>
      </w:r>
    </w:p>
    <w:p>
      <w:pPr>
        <w:spacing w:after="0" w:line="7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Key products that are currently manufactured mainly outside the U.S. are TECFIDERA, VUMERITY and LEQEMBI. In 2024 we initiated a technology transfer process to enable us to manufacture LEQEMBI in the U.S., which was approved in January 2026.</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Although certain starting materials for SKYCLARYS rely on a single supplier based in China, the manufacturing process, including active pharmaceutical ingredients and drug substance, is primarily conducted in the 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are working to mitigate potential exposure from tariffs across our network.</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the date of this filing, we do not expect the tariffs currently applicable to our business to result in a material adverse effect on our operations in 2026. This is based on existing tariffs either in place or potential tariffs as previously announced by the U.S. Administration, our manufacturing footprint, and our inventory levels and positioning. Should significant additional tariffs be enacted, our business could be impacted in the future and differ materially from our current expectations. We will continue to monitor the current and future global tariff landscape as it evolves.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GEOPOLITICAL TENSIONS</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ongoing geopolitical tensions related to Russia's invasion of Ukraine and the military conflict in the Middle East and other global geopolitical developments have resulted in global business disruptions and economic volatility. For example, sanctions and other restrictions have been levied on the government and businesses in Russia. Although we do not have affiliates or employees in either Russia or Ukraine, we do provide various therapies to patients in Russia through a distributor. Government sanctions on the export of certain manufacturing materials to Russia may delay or limit our ability to get new products approved. The impact of the conflict on our operations and financial performance remains uncertain and will depend on future developments, including the severity and duration of the conflict between Russia and Ukraine, its impact on regional and global economic conditions and whether the conflict spreads or has effects on countries outside Ukraine and Russia.</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will continue to monitor the ongoing conflict between Russia and Ukraine as well as the military conflict in the Middle East and other global geopolitical developments and assess any potential impacts on our business, supply chain, partners or customers, as well as any factors that could have an adverse effect on our results of operations. Revenue generated from sales in Russia and Ukraine represent less than 2.0% of total revenue for the years ended December 31, 2025, 2024 and 2023. Additionally, revenue generated from sales in the broader Middle East region represents less than 2.0% of total revenue for the years ended December 31, 2025, 2024 and 2023.</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0070C0"/>
        </w:rPr>
        <w:t>FACTORS AFFECTING PHARMACEUTICAL PRICING AND OTHER DEVELOPMENTS</w:t>
      </w:r>
    </w:p>
    <w:p>
      <w:pPr>
        <w:spacing w:after="0" w:line="1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other income tax balances as of December 31, 2025 and 2024. Preliminary guidance has been issued by the IRS and we expect additional guidance and regulations to be issued in future periods. We will continue to assess its potential impact on our business and results of operations as further information becomes available.</w:t>
      </w:r>
    </w:p>
    <w:p>
      <w:pPr>
        <w:spacing w:after="0" w:line="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IRA also contains substantial drug pricing reforms that may have a significant impact on the pharmaceutical industry in the U.S. This includes the following:</w:t>
      </w:r>
    </w:p>
    <w:p>
      <w:pPr>
        <w:spacing w:after="0" w:line="45" w:lineRule="exact"/>
        <w:rPr>
          <w:sz w:val="20"/>
          <w:szCs w:val="20"/>
          <w:color w:val="auto"/>
        </w:rPr>
      </w:pPr>
    </w:p>
    <w:p>
      <w:pPr>
        <w:ind w:left="660" w:hanging="409"/>
        <w:spacing w:after="0" w:line="268" w:lineRule="auto"/>
        <w:tabs>
          <w:tab w:leader="none" w:pos="6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allowing CMS to negotiate prices for select high-cost Medicare Part D drugs (beginning in 2026) and Part B drugs (beginning in 2028) to reduce out-of-pocket prescription drug costs for beneficiaries, potentially resulting in higher contributions from plans and manufacturers;</w:t>
      </w:r>
    </w:p>
    <w:p>
      <w:pPr>
        <w:spacing w:after="0" w:line="62" w:lineRule="exact"/>
        <w:rPr>
          <w:rFonts w:ascii="Arial" w:cs="Arial" w:eastAsia="Arial" w:hAnsi="Arial"/>
          <w:sz w:val="18"/>
          <w:szCs w:val="18"/>
          <w:color w:val="auto"/>
        </w:rPr>
      </w:pPr>
    </w:p>
    <w:p>
      <w:pPr>
        <w:ind w:left="660" w:right="40" w:hanging="409"/>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drug inflationary rebate requirements to penalize manufacturers from raising the prices of Medicare covered single-source drugs and biologics beyond the inflation-adjusted rate, beginning in 2022 for Part D drugs and 2023 for Part B drugs;</w:t>
      </w:r>
    </w:p>
    <w:p>
      <w:pPr>
        <w:spacing w:after="0" w:line="44" w:lineRule="exact"/>
        <w:rPr>
          <w:rFonts w:ascii="Arial" w:cs="Arial" w:eastAsia="Arial" w:hAnsi="Arial"/>
          <w:sz w:val="18"/>
          <w:szCs w:val="18"/>
          <w:color w:val="auto"/>
        </w:rPr>
      </w:pPr>
    </w:p>
    <w:p>
      <w:pPr>
        <w:ind w:left="660" w:right="140" w:hanging="409"/>
        <w:spacing w:after="0" w:line="287"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incentivize biosimilar development, the IRA provides an 8.0% Medicare Part B add-on payment for qualifying biosimilar products for a five-year period; and</w:t>
      </w:r>
    </w:p>
    <w:p>
      <w:pPr>
        <w:spacing w:after="0" w:line="45" w:lineRule="exact"/>
        <w:rPr>
          <w:sz w:val="20"/>
          <w:szCs w:val="20"/>
          <w:color w:val="auto"/>
        </w:rPr>
      </w:pPr>
    </w:p>
    <w:p>
      <w:pPr>
        <w:ind w:left="660" w:right="60" w:hanging="404"/>
        <w:spacing w:after="0" w:line="257" w:lineRule="auto"/>
        <w:tabs>
          <w:tab w:leader="none" w:pos="640" w:val="left"/>
        </w:tabs>
        <w:rPr>
          <w:sz w:val="20"/>
          <w:szCs w:val="20"/>
          <w:color w:val="auto"/>
        </w:rPr>
      </w:pPr>
      <w:r>
        <w:rPr>
          <w:rFonts w:ascii="Arial" w:cs="Arial" w:eastAsia="Arial" w:hAnsi="Arial"/>
          <w:sz w:val="18"/>
          <w:szCs w:val="18"/>
          <w:color w:val="auto"/>
        </w:rPr>
        <w:t>(IV)</w:t>
        <w:tab/>
        <w:t>Medicare Part D redesign which replaces the current coverage gap provisions and establishes a $2,000 cap for out-of-pocket costs for Medicare beneficiaries beginning in 2025, with manufacturers being responsible for up to 10.0% of costs up to the $2,000 cap and up to 20.0% after that cap is reached. Manufacturers that qualify as either specified or specified small manufacturers will phase-in the new manufacturer liability for prescription drug costs over a 7-year period from 2025 to 2031 for certain Medicare Part D drugs dispensed to certain beneficiaries. In April 2024 CMS informed us that we qualified for the specified manufacturer exception pertaining to the Medicare Part D redesign.</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IRA's drug pricing controls and Medicare Part D redesign had an adverse impact on our sales, particularly for our products that are more substantially reliant on Medicare reimbursement. The IRA Medicare Part D redesign had a</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modest net unfavorable impact to our 2025 revenue of approximately $90.0 million, concentrated in our SKYCLARYS and MS portfolio product revenue, approximately a quarter of which was associated with SKYCLARYS.</w:t>
      </w:r>
    </w:p>
    <w:p>
      <w:pPr>
        <w:spacing w:after="0" w:line="4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degree of impact from this legislation on our business depends on a number of forthcoming implementation actions by regulatory authorities, which may be further impacted by other legislative acts that may modify or replace the IRA, such as the OBBBA, as discussed below. The full extent of the IRA's impacts on our sales and, in turn, our business, remains uncertain.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in May 2025 the U.S. government issued an executive order aiming to establish an MFN drug pricing policy that would tie U.S. drug prices to the prices paid for drugs in other developed countries. If HHS sets MFN pricing targets for prescription drugs, including the use of international reference pricing to set drug prices in the U.S., it could result in reduced prices and reimbursement for certain of the Company's products in the U.S. We continue to evaluate the potential impact of this executive order. This executive order and any additional legislation, regulations or initiatives related to drug pricing, such as the CMS-proposed MFN initiatives, the Global Benchmark for Efficient Drug Pricing for certain Medicare Part B drugs and the Guarding U.S. Medicare Against Rising Drug Costs for certain Medicare Part D drugs, could create additional uncertainty around the timing and prioritization around worldwide commercial efforts and adversely impact our business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0070C0"/>
        </w:rPr>
        <w:t>2025 LEGISLATION AND TAX REFORM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On July 4, 2025, the U.S. signed into law the H.R.1 legislation formally titled "An Act to Provide for Reconciliation Pursuant to Title II of 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 Res. 14", commonly referred to as the OBBBA.</w:t>
      </w:r>
    </w:p>
    <w:p>
      <w:pPr>
        <w:spacing w:after="0" w:line="9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OBBBA contains tax provisions, such as the permanent extension or revision of certain expiring provisions of the Tax Cuts and Jobs Act enacted in 2017, modifications to the international tax framework and the restoration of favorable tax treatment for certain business provisions. The provisions of the OBBBA have multiple effective dates, with certain provisions effective in 2025 and others implemented through 2027.</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OBBBA did not result in any material adjustments to our total income tax provision for the year ended December 31, 2025, and we have adjusted our deferred tax balances to reflect the impacts of the OBBBA enactment. However, given the complexity of tax laws, related regulations and interpretations, our current estimates may require revision as additional information becomes available regarding the application of the OBBBA provisions.</w:t>
      </w:r>
    </w:p>
    <w:p>
      <w:pPr>
        <w:spacing w:after="0" w:line="68" w:lineRule="exact"/>
        <w:rPr>
          <w:sz w:val="20"/>
          <w:szCs w:val="20"/>
          <w:color w:val="auto"/>
        </w:rPr>
      </w:pPr>
    </w:p>
    <w:p>
      <w:pPr>
        <w:jc w:val="both"/>
        <w:ind w:right="160"/>
        <w:spacing w:after="0" w:line="262" w:lineRule="auto"/>
        <w:rPr>
          <w:sz w:val="20"/>
          <w:szCs w:val="20"/>
          <w:color w:val="auto"/>
        </w:rPr>
      </w:pPr>
      <w:r>
        <w:rPr>
          <w:rFonts w:ascii="Arial" w:cs="Arial" w:eastAsia="Arial" w:hAnsi="Arial"/>
          <w:sz w:val="18"/>
          <w:szCs w:val="18"/>
          <w:color w:val="auto"/>
        </w:rPr>
        <w:t>The OBBBA also enacts significant potential changes to Medicaid funding and rescinds or does not continue elements of the PPACA. The OBBBA implements additional eligibility rules on government health plans, expands administrative procedures around enrollment, modifies how states can obtain federal funding for Medicaid and no longer extends ACA premium subsidies. Additional federal and state guidance is expected to be issued in order to implement these OBBBA provisions, most of which have effective dates in 2027 and 2028.</w:t>
      </w:r>
    </w:p>
    <w:p>
      <w:pPr>
        <w:spacing w:after="0" w:line="6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At this time, we are unable to determine the overall impact that the OBBBA will have on our business, results of operations and financial condition, or the impact the OBBBA will have on the pharmaceutical industry as a whole because any such impact will depend upon developing interpretations of the OBBBA provisions and implementing regulations, which may be material.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color w:val="0070C0"/>
        </w:rPr>
        <w:t>FINANCIAL HIGHLIGHTS</w:t>
      </w:r>
    </w:p>
    <w:p>
      <w:pPr>
        <w:spacing w:after="0" w:line="72"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 xml:space="preserve">As described below under </w:t>
      </w:r>
      <w:r>
        <w:rPr>
          <w:rFonts w:ascii="Arial" w:cs="Arial" w:eastAsia="Arial" w:hAnsi="Arial"/>
          <w:sz w:val="16"/>
          <w:szCs w:val="16"/>
          <w:i w:val="1"/>
          <w:iCs w:val="1"/>
          <w:color w:val="auto"/>
        </w:rPr>
        <w:t>Results of Operations</w:t>
      </w:r>
      <w:r>
        <w:rPr>
          <w:rFonts w:ascii="Arial" w:cs="Arial" w:eastAsia="Arial" w:hAnsi="Arial"/>
          <w:sz w:val="16"/>
          <w:szCs w:val="16"/>
          <w:color w:val="auto"/>
        </w:rPr>
        <w:t>, our net income and diluted earnings per share attributable to Biogen Inc. for the year ended December 31, 2025, compared to the year ended December 31, 2024, reflects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548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9" w:lineRule="exact"/>
        <w:rPr>
          <w:sz w:val="20"/>
          <w:szCs w:val="20"/>
          <w:color w:val="auto"/>
        </w:rPr>
      </w:pPr>
    </w:p>
    <w:p>
      <w:pPr>
        <w:ind w:left="1880"/>
        <w:spacing w:after="0"/>
        <w:tabs>
          <w:tab w:leader="none" w:pos="7080" w:val="left"/>
        </w:tabs>
        <w:rPr>
          <w:sz w:val="20"/>
          <w:szCs w:val="20"/>
          <w:color w:val="auto"/>
        </w:rPr>
      </w:pPr>
      <w:r>
        <w:rPr>
          <w:rFonts w:ascii="Arial" w:cs="Arial" w:eastAsia="Arial" w:hAnsi="Arial"/>
          <w:sz w:val="18"/>
          <w:szCs w:val="18"/>
          <w:color w:val="0070C0"/>
        </w:rPr>
        <w:t>TOTAL REVENUE</w:t>
      </w:r>
      <w:r>
        <w:rPr>
          <w:sz w:val="20"/>
          <w:szCs w:val="20"/>
          <w:color w:val="auto"/>
        </w:rPr>
        <w:tab/>
      </w:r>
      <w:r>
        <w:rPr>
          <w:rFonts w:ascii="Arial" w:cs="Arial" w:eastAsia="Arial" w:hAnsi="Arial"/>
          <w:sz w:val="17"/>
          <w:szCs w:val="17"/>
          <w:color w:val="0070C0"/>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54850" cy="8572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548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jc w:val="center"/>
              <w:ind w:left="1150"/>
              <w:spacing w:after="0"/>
              <w:rPr>
                <w:sz w:val="20"/>
                <w:szCs w:val="20"/>
                <w:color w:val="auto"/>
              </w:rPr>
            </w:pPr>
            <w:r>
              <w:rPr>
                <w:rFonts w:ascii="Arial" w:cs="Arial" w:eastAsia="Arial" w:hAnsi="Arial"/>
                <w:sz w:val="18"/>
                <w:szCs w:val="18"/>
                <w:color w:val="0070C0"/>
              </w:rPr>
              <w:t>Increased</w:t>
            </w:r>
          </w:p>
        </w:tc>
        <w:tc>
          <w:tcPr>
            <w:tcW w:w="7240" w:type="dxa"/>
            <w:vAlign w:val="bottom"/>
          </w:tcPr>
          <w:p>
            <w:pPr>
              <w:jc w:val="center"/>
              <w:ind w:left="1710"/>
              <w:spacing w:after="0"/>
              <w:rPr>
                <w:sz w:val="20"/>
                <w:szCs w:val="20"/>
                <w:color w:val="auto"/>
              </w:rPr>
            </w:pPr>
            <w:r>
              <w:rPr>
                <w:rFonts w:ascii="Arial" w:cs="Arial" w:eastAsia="Arial" w:hAnsi="Arial"/>
                <w:sz w:val="18"/>
                <w:szCs w:val="18"/>
                <w:color w:val="0070C0"/>
              </w:rPr>
              <w:t>Decreased</w:t>
            </w:r>
          </w:p>
        </w:tc>
      </w:tr>
      <w:tr>
        <w:trPr>
          <w:trHeight w:val="252"/>
        </w:trPr>
        <w:tc>
          <w:tcPr>
            <w:tcW w:w="4000" w:type="dxa"/>
            <w:vAlign w:val="bottom"/>
          </w:tcPr>
          <w:p>
            <w:pPr>
              <w:jc w:val="center"/>
              <w:ind w:left="1130"/>
              <w:spacing w:after="0"/>
              <w:rPr>
                <w:sz w:val="20"/>
                <w:szCs w:val="20"/>
                <w:color w:val="auto"/>
              </w:rPr>
            </w:pPr>
            <w:r>
              <w:rPr>
                <w:rFonts w:ascii="Arial" w:cs="Arial" w:eastAsia="Arial" w:hAnsi="Arial"/>
                <w:sz w:val="18"/>
                <w:szCs w:val="18"/>
                <w:color w:val="0070C0"/>
                <w:w w:val="99"/>
              </w:rPr>
              <w:t>$214.7 million or 2.2%</w:t>
            </w:r>
          </w:p>
        </w:tc>
        <w:tc>
          <w:tcPr>
            <w:tcW w:w="7240" w:type="dxa"/>
            <w:vAlign w:val="bottom"/>
          </w:tcPr>
          <w:p>
            <w:pPr>
              <w:jc w:val="center"/>
              <w:ind w:left="1690"/>
              <w:spacing w:after="0"/>
              <w:rPr>
                <w:sz w:val="20"/>
                <w:szCs w:val="20"/>
                <w:color w:val="auto"/>
              </w:rPr>
            </w:pPr>
            <w:r>
              <w:rPr>
                <w:rFonts w:ascii="Arial" w:cs="Arial" w:eastAsia="Arial" w:hAnsi="Arial"/>
                <w:sz w:val="18"/>
                <w:szCs w:val="18"/>
                <w:color w:val="0070C0"/>
                <w:w w:val="99"/>
              </w:rPr>
              <w:t>$2.39 or 21.4%</w:t>
            </w:r>
          </w:p>
        </w:tc>
      </w:tr>
      <w:tr>
        <w:trPr>
          <w:trHeight w:val="77"/>
        </w:trPr>
        <w:tc>
          <w:tcPr>
            <w:tcW w:w="4000" w:type="dxa"/>
            <w:vAlign w:val="bottom"/>
            <w:tcBorders>
              <w:bottom w:val="single" w:sz="8" w:color="0070C0"/>
            </w:tcBorders>
          </w:tcPr>
          <w:p>
            <w:pPr>
              <w:spacing w:after="0"/>
              <w:rPr>
                <w:sz w:val="6"/>
                <w:szCs w:val="6"/>
                <w:color w:val="auto"/>
              </w:rPr>
            </w:pPr>
          </w:p>
        </w:tc>
        <w:tc>
          <w:tcPr>
            <w:tcW w:w="7240" w:type="dxa"/>
            <w:vAlign w:val="bottom"/>
            <w:tcBorders>
              <w:bottom w:val="single" w:sz="8" w:color="0070C0"/>
            </w:tcBorders>
          </w:tcPr>
          <w:p>
            <w:pPr>
              <w:spacing w:after="0"/>
              <w:rPr>
                <w:sz w:val="6"/>
                <w:szCs w:val="6"/>
                <w:color w:val="auto"/>
              </w:rPr>
            </w:pPr>
          </w:p>
        </w:tc>
      </w:tr>
      <w:tr>
        <w:trPr>
          <w:trHeight w:val="223"/>
        </w:trPr>
        <w:tc>
          <w:tcPr>
            <w:tcW w:w="4000" w:type="dxa"/>
            <w:vAlign w:val="bottom"/>
            <w:tcBorders>
              <w:bottom w:val="single" w:sz="8" w:color="0070C0"/>
            </w:tcBorders>
          </w:tcPr>
          <w:p>
            <w:pPr>
              <w:spacing w:after="0"/>
              <w:rPr>
                <w:sz w:val="19"/>
                <w:szCs w:val="19"/>
                <w:color w:val="auto"/>
              </w:rPr>
            </w:pPr>
          </w:p>
        </w:tc>
        <w:tc>
          <w:tcPr>
            <w:tcW w:w="7240" w:type="dxa"/>
            <w:vAlign w:val="bottom"/>
            <w:tcBorders>
              <w:bottom w:val="single" w:sz="8" w:color="0070C0"/>
            </w:tcBorders>
          </w:tcPr>
          <w:p>
            <w:pPr>
              <w:ind w:left="480"/>
              <w:spacing w:after="0"/>
              <w:rPr>
                <w:sz w:val="20"/>
                <w:szCs w:val="20"/>
                <w:color w:val="auto"/>
              </w:rPr>
            </w:pPr>
            <w:r>
              <w:rPr>
                <w:rFonts w:ascii="Arial" w:cs="Arial" w:eastAsia="Arial" w:hAnsi="Arial"/>
                <w:sz w:val="18"/>
                <w:szCs w:val="18"/>
                <w:color w:val="0070C0"/>
              </w:rPr>
              <w:t>PRODUCT REVENUE, NET</w:t>
            </w:r>
          </w:p>
        </w:tc>
      </w:tr>
    </w:tbl>
    <w:p>
      <w:pPr>
        <w:spacing w:after="0" w:line="99" w:lineRule="exact"/>
        <w:rPr>
          <w:sz w:val="20"/>
          <w:szCs w:val="20"/>
          <w:color w:val="auto"/>
        </w:rPr>
      </w:pP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Decreased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-1161415</wp:posOffset>
            </wp:positionV>
            <wp:extent cx="2571750" cy="9861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71750" cy="986155"/>
                    </a:xfrm>
                    <a:prstGeom prst="rect">
                      <a:avLst/>
                    </a:prstGeom>
                    <a:noFill/>
                  </pic:spPr>
                </pic:pic>
              </a:graphicData>
            </a:graphic>
          </wp:anchor>
        </w:drawing>
      </w:r>
    </w:p>
    <w:p>
      <w:pPr>
        <w:spacing w:after="0" w:line="12"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$94.1 million or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33089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42" w:lineRule="exact"/>
        <w:rPr>
          <w:sz w:val="20"/>
          <w:szCs w:val="20"/>
          <w:color w:val="auto"/>
        </w:rPr>
      </w:pPr>
    </w:p>
    <w:p>
      <w:pPr>
        <w:ind w:left="120" w:hanging="112"/>
        <w:spacing w:after="0"/>
        <w:tabs>
          <w:tab w:leader="none" w:pos="120" w:val="left"/>
        </w:tabs>
        <w:numPr>
          <w:ilvl w:val="0"/>
          <w:numId w:val="65"/>
        </w:numPr>
        <w:rPr>
          <w:rFonts w:ascii="Arial" w:cs="Arial" w:eastAsia="Arial" w:hAnsi="Arial"/>
          <w:sz w:val="16"/>
          <w:szCs w:val="16"/>
          <w:color w:val="0070C0"/>
        </w:rPr>
      </w:pPr>
      <w:r>
        <w:rPr>
          <w:rFonts w:ascii="Arial" w:cs="Arial" w:eastAsia="Arial" w:hAnsi="Arial"/>
          <w:sz w:val="16"/>
          <w:szCs w:val="16"/>
          <w:color w:val="0070C0"/>
        </w:rPr>
        <w:t>MS revenue decreased $310.9 million, or 7.1%</w:t>
      </w:r>
    </w:p>
    <w:p>
      <w:pPr>
        <w:spacing w:after="0" w:line="32" w:lineRule="exact"/>
        <w:rPr>
          <w:rFonts w:ascii="Arial" w:cs="Arial" w:eastAsia="Arial" w:hAnsi="Arial"/>
          <w:sz w:val="16"/>
          <w:szCs w:val="16"/>
          <w:color w:val="0070C0"/>
        </w:rPr>
      </w:pPr>
    </w:p>
    <w:p>
      <w:pPr>
        <w:ind w:left="120" w:hanging="112"/>
        <w:spacing w:after="0"/>
        <w:tabs>
          <w:tab w:leader="none" w:pos="120" w:val="left"/>
        </w:tabs>
        <w:numPr>
          <w:ilvl w:val="0"/>
          <w:numId w:val="65"/>
        </w:numPr>
        <w:rPr>
          <w:rFonts w:ascii="Arial" w:cs="Arial" w:eastAsia="Arial" w:hAnsi="Arial"/>
          <w:sz w:val="16"/>
          <w:szCs w:val="16"/>
          <w:color w:val="0070C0"/>
        </w:rPr>
      </w:pPr>
      <w:r>
        <w:rPr>
          <w:rFonts w:ascii="Arial" w:cs="Arial" w:eastAsia="Arial" w:hAnsi="Arial"/>
          <w:sz w:val="16"/>
          <w:szCs w:val="16"/>
          <w:color w:val="0070C0"/>
        </w:rPr>
        <w:t>Rare disease revenue increased $166.1 million, or 8.4%</w:t>
      </w:r>
    </w:p>
    <w:p>
      <w:pPr>
        <w:spacing w:after="0" w:line="20" w:lineRule="exact"/>
        <w:rPr>
          <w:sz w:val="20"/>
          <w:szCs w:val="20"/>
          <w:color w:val="auto"/>
        </w:rPr>
      </w:pPr>
      <w:r>
        <w:rPr>
          <w:sz w:val="20"/>
          <w:szCs w:val="20"/>
          <w:color w:val="auto"/>
        </w:rPr>
        <w:br w:type="column"/>
      </w:r>
    </w:p>
    <w:p>
      <w:pPr>
        <w:ind w:left="155" w:right="160" w:hanging="155"/>
        <w:spacing w:after="0" w:line="261" w:lineRule="auto"/>
        <w:tabs>
          <w:tab w:leader="none" w:pos="110" w:val="left"/>
        </w:tabs>
        <w:numPr>
          <w:ilvl w:val="0"/>
          <w:numId w:val="66"/>
        </w:numPr>
        <w:rPr>
          <w:rFonts w:ascii="Arial" w:cs="Arial" w:eastAsia="Arial" w:hAnsi="Arial"/>
          <w:sz w:val="14"/>
          <w:szCs w:val="14"/>
          <w:color w:val="0070C0"/>
        </w:rPr>
      </w:pPr>
      <w:r>
        <w:rPr>
          <w:rFonts w:ascii="Arial" w:cs="Arial" w:eastAsia="Arial" w:hAnsi="Arial"/>
          <w:sz w:val="14"/>
          <w:szCs w:val="14"/>
          <w:color w:val="auto"/>
        </w:rPr>
        <w:t>The decrease in MS product revenue was primarily due to a decrease in global TECFIDERA and TYSABRI demand due to increased competition outside the U.S. from generic and biosimilar competition, respectively, partially offset by an increase in demand for U.S. VUMERITY. MS product revenue in the U.S. also benefited from favorable commercial mix and approximately $47.6 million of favorable changes in estimates from discounts and allowances.</w:t>
      </w:r>
    </w:p>
    <w:p>
      <w:pPr>
        <w:spacing w:after="0" w:line="3" w:lineRule="exact"/>
        <w:rPr>
          <w:rFonts w:ascii="Arial" w:cs="Arial" w:eastAsia="Arial" w:hAnsi="Arial"/>
          <w:sz w:val="14"/>
          <w:szCs w:val="14"/>
          <w:color w:val="0070C0"/>
        </w:rPr>
      </w:pPr>
    </w:p>
    <w:p>
      <w:pPr>
        <w:ind w:left="155" w:right="180" w:hanging="155"/>
        <w:spacing w:after="0" w:line="268" w:lineRule="auto"/>
        <w:tabs>
          <w:tab w:leader="none" w:pos="110" w:val="left"/>
        </w:tabs>
        <w:numPr>
          <w:ilvl w:val="0"/>
          <w:numId w:val="66"/>
        </w:numPr>
        <w:rPr>
          <w:rFonts w:ascii="Arial" w:cs="Arial" w:eastAsia="Arial" w:hAnsi="Arial"/>
          <w:sz w:val="14"/>
          <w:szCs w:val="14"/>
          <w:b w:val="1"/>
          <w:bCs w:val="1"/>
          <w:color w:val="0070C0"/>
        </w:rPr>
      </w:pPr>
      <w:r>
        <w:rPr>
          <w:rFonts w:ascii="Arial" w:cs="Arial" w:eastAsia="Arial" w:hAnsi="Arial"/>
          <w:sz w:val="14"/>
          <w:szCs w:val="14"/>
          <w:color w:val="auto"/>
        </w:rPr>
        <w:t>The increase in rare disease product revenue was primarily due to our new product launches, including global SKYCLARYS revenue of $520.5 million and global QALSODY revenue of $86.9 million in 2025.</w:t>
      </w:r>
    </w:p>
    <w:p>
      <w:pPr>
        <w:ind w:left="155" w:right="460" w:hanging="155"/>
        <w:spacing w:after="0" w:line="303" w:lineRule="auto"/>
        <w:tabs>
          <w:tab w:leader="none" w:pos="110" w:val="left"/>
        </w:tabs>
        <w:numPr>
          <w:ilvl w:val="0"/>
          <w:numId w:val="66"/>
        </w:numPr>
        <w:rPr>
          <w:rFonts w:ascii="Arial" w:cs="Arial" w:eastAsia="Arial" w:hAnsi="Arial"/>
          <w:sz w:val="14"/>
          <w:szCs w:val="14"/>
          <w:color w:val="0070C0"/>
        </w:rPr>
      </w:pPr>
      <w:r>
        <w:rPr>
          <w:rFonts w:ascii="Arial" w:cs="Arial" w:eastAsia="Arial" w:hAnsi="Arial"/>
          <w:sz w:val="14"/>
          <w:szCs w:val="14"/>
          <w:color w:val="auto"/>
        </w:rPr>
        <w:t>ZURZUVAE revenue of $195.1 million in 2025 was driven by the continued launch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527050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8" w:lineRule="exact"/>
        <w:rPr>
          <w:sz w:val="20"/>
          <w:szCs w:val="20"/>
          <w:color w:val="auto"/>
        </w:rPr>
      </w:pPr>
    </w:p>
    <w:p>
      <w:pPr>
        <w:sectPr>
          <w:pgSz w:w="11900" w:h="16838" w:orient="portrait"/>
          <w:cols w:equalWidth="0" w:num="2">
            <w:col w:w="5185" w:space="720"/>
            <w:col w:w="5335"/>
          </w:cols>
          <w:pgMar w:left="320" w:top="238" w:right="339" w:bottom="1440" w:gutter="0" w:footer="0" w:header="0"/>
          <w:type w:val="continuous"/>
        </w:sectPr>
      </w:pPr>
    </w:p>
    <w:p>
      <w:pPr>
        <w:jc w:val="center"/>
        <w:spacing w:after="0"/>
        <w:rPr>
          <w:sz w:val="20"/>
          <w:szCs w:val="20"/>
          <w:color w:val="auto"/>
        </w:rPr>
      </w:pPr>
      <w:r>
        <w:rPr>
          <w:rFonts w:ascii="Arial" w:cs="Arial" w:eastAsia="Arial" w:hAnsi="Arial"/>
          <w:sz w:val="17"/>
          <w:szCs w:val="17"/>
          <w:color w:val="0070C0"/>
        </w:rPr>
        <w:t>TOTAL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-1204595</wp:posOffset>
            </wp:positionV>
            <wp:extent cx="2571750" cy="1028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71750" cy="1028700"/>
                    </a:xfrm>
                    <a:prstGeom prst="rect">
                      <a:avLst/>
                    </a:prstGeom>
                    <a:noFill/>
                  </pic:spPr>
                </pic:pic>
              </a:graphicData>
            </a:graphic>
          </wp:anchor>
        </w:drawing>
      </w:r>
    </w:p>
    <w:p>
      <w:pPr>
        <w:spacing w:after="0" w:line="12" w:lineRule="exact"/>
        <w:rPr>
          <w:sz w:val="20"/>
          <w:szCs w:val="20"/>
          <w:color w:val="auto"/>
        </w:rPr>
      </w:pPr>
    </w:p>
    <w:p>
      <w:pPr>
        <w:jc w:val="center"/>
        <w:ind w:left="55"/>
        <w:spacing w:after="0"/>
        <w:rPr>
          <w:sz w:val="20"/>
          <w:szCs w:val="20"/>
          <w:color w:val="auto"/>
        </w:rPr>
      </w:pPr>
      <w:r>
        <w:rPr>
          <w:rFonts w:ascii="Arial" w:cs="Arial" w:eastAsia="Arial" w:hAnsi="Arial"/>
          <w:sz w:val="16"/>
          <w:szCs w:val="16"/>
          <w:color w:val="0070C0"/>
        </w:rPr>
        <w:t>$564.2 million or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33089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42" w:lineRule="exact"/>
        <w:rPr>
          <w:sz w:val="20"/>
          <w:szCs w:val="20"/>
          <w:color w:val="auto"/>
        </w:rPr>
      </w:pPr>
    </w:p>
    <w:p>
      <w:pPr>
        <w:ind w:left="120" w:hanging="112"/>
        <w:spacing w:after="0"/>
        <w:tabs>
          <w:tab w:leader="none" w:pos="120" w:val="left"/>
        </w:tabs>
        <w:numPr>
          <w:ilvl w:val="0"/>
          <w:numId w:val="67"/>
        </w:numPr>
        <w:rPr>
          <w:rFonts w:ascii="Arial" w:cs="Arial" w:eastAsia="Arial" w:hAnsi="Arial"/>
          <w:sz w:val="16"/>
          <w:szCs w:val="16"/>
          <w:color w:val="0070C0"/>
        </w:rPr>
      </w:pPr>
      <w:r>
        <w:rPr>
          <w:rFonts w:ascii="Arial" w:cs="Arial" w:eastAsia="Arial" w:hAnsi="Arial"/>
          <w:sz w:val="16"/>
          <w:szCs w:val="16"/>
          <w:color w:val="0070C0"/>
        </w:rPr>
        <w:t>Cost of sales increased $93.8 million, or 4.1%</w:t>
      </w:r>
    </w:p>
    <w:p>
      <w:pPr>
        <w:spacing w:after="0" w:line="32" w:lineRule="exact"/>
        <w:rPr>
          <w:rFonts w:ascii="Arial" w:cs="Arial" w:eastAsia="Arial" w:hAnsi="Arial"/>
          <w:sz w:val="16"/>
          <w:szCs w:val="16"/>
          <w:color w:val="0070C0"/>
        </w:rPr>
      </w:pPr>
    </w:p>
    <w:p>
      <w:pPr>
        <w:ind w:left="120" w:hanging="112"/>
        <w:spacing w:after="0"/>
        <w:tabs>
          <w:tab w:leader="none" w:pos="120" w:val="left"/>
        </w:tabs>
        <w:numPr>
          <w:ilvl w:val="0"/>
          <w:numId w:val="67"/>
        </w:numPr>
        <w:rPr>
          <w:rFonts w:ascii="Arial" w:cs="Arial" w:eastAsia="Arial" w:hAnsi="Arial"/>
          <w:sz w:val="16"/>
          <w:szCs w:val="16"/>
          <w:color w:val="0070C0"/>
        </w:rPr>
      </w:pPr>
      <w:r>
        <w:rPr>
          <w:rFonts w:ascii="Arial" w:cs="Arial" w:eastAsia="Arial" w:hAnsi="Arial"/>
          <w:sz w:val="16"/>
          <w:szCs w:val="16"/>
          <w:color w:val="0070C0"/>
        </w:rPr>
        <w:t>R&amp;D expense decreased $201.7 million, or 10.2%</w:t>
      </w:r>
    </w:p>
    <w:p>
      <w:pPr>
        <w:spacing w:after="0" w:line="30" w:lineRule="exact"/>
        <w:rPr>
          <w:rFonts w:ascii="Arial" w:cs="Arial" w:eastAsia="Arial" w:hAnsi="Arial"/>
          <w:sz w:val="16"/>
          <w:szCs w:val="16"/>
          <w:color w:val="0070C0"/>
        </w:rPr>
      </w:pPr>
    </w:p>
    <w:p>
      <w:pPr>
        <w:ind w:left="120" w:hanging="112"/>
        <w:spacing w:after="0"/>
        <w:tabs>
          <w:tab w:leader="none" w:pos="120" w:val="left"/>
        </w:tabs>
        <w:numPr>
          <w:ilvl w:val="0"/>
          <w:numId w:val="67"/>
        </w:numPr>
        <w:rPr>
          <w:rFonts w:ascii="Arial" w:cs="Arial" w:eastAsia="Arial" w:hAnsi="Arial"/>
          <w:sz w:val="16"/>
          <w:szCs w:val="16"/>
          <w:color w:val="0070C0"/>
        </w:rPr>
      </w:pPr>
      <w:r>
        <w:rPr>
          <w:rFonts w:ascii="Arial" w:cs="Arial" w:eastAsia="Arial" w:hAnsi="Arial"/>
          <w:sz w:val="16"/>
          <w:szCs w:val="16"/>
          <w:color w:val="0070C0"/>
        </w:rPr>
        <w:t>SG&amp;A expense increased $29.9 million, or 1.2%</w:t>
      </w:r>
    </w:p>
    <w:p>
      <w:pPr>
        <w:spacing w:after="0" w:line="19" w:lineRule="exact"/>
        <w:rPr>
          <w:rFonts w:ascii="Arial" w:cs="Arial" w:eastAsia="Arial" w:hAnsi="Arial"/>
          <w:sz w:val="16"/>
          <w:szCs w:val="16"/>
          <w:color w:val="0070C0"/>
        </w:rPr>
      </w:pPr>
    </w:p>
    <w:p>
      <w:pPr>
        <w:ind w:left="180" w:right="285" w:hanging="172"/>
        <w:spacing w:after="0" w:line="264" w:lineRule="auto"/>
        <w:tabs>
          <w:tab w:leader="none" w:pos="129" w:val="left"/>
        </w:tabs>
        <w:numPr>
          <w:ilvl w:val="0"/>
          <w:numId w:val="67"/>
        </w:numPr>
        <w:rPr>
          <w:rFonts w:ascii="Arial" w:cs="Arial" w:eastAsia="Arial" w:hAnsi="Arial"/>
          <w:sz w:val="16"/>
          <w:szCs w:val="16"/>
          <w:color w:val="0070C0"/>
        </w:rPr>
      </w:pPr>
      <w:r>
        <w:rPr>
          <w:rFonts w:ascii="Arial" w:cs="Arial" w:eastAsia="Arial" w:hAnsi="Arial"/>
          <w:sz w:val="16"/>
          <w:szCs w:val="16"/>
          <w:color w:val="0070C0"/>
        </w:rPr>
        <w:t>Acquired IPR&amp;D, upfront and milestone expense increased $410.3 million</w:t>
      </w:r>
    </w:p>
    <w:p>
      <w:pPr>
        <w:ind w:left="120" w:hanging="112"/>
        <w:spacing w:after="0"/>
        <w:tabs>
          <w:tab w:leader="none" w:pos="120" w:val="left"/>
        </w:tabs>
        <w:numPr>
          <w:ilvl w:val="0"/>
          <w:numId w:val="67"/>
        </w:numPr>
        <w:rPr>
          <w:rFonts w:ascii="Arial" w:cs="Arial" w:eastAsia="Arial" w:hAnsi="Arial"/>
          <w:sz w:val="16"/>
          <w:szCs w:val="16"/>
          <w:color w:val="0070C0"/>
        </w:rPr>
      </w:pPr>
      <w:r>
        <w:rPr>
          <w:rFonts w:ascii="Arial" w:cs="Arial" w:eastAsia="Arial" w:hAnsi="Arial"/>
          <w:sz w:val="16"/>
          <w:szCs w:val="16"/>
          <w:color w:val="0070C0"/>
        </w:rPr>
        <w:t>Impairment of ROU asset of $52.9 million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155" w:right="260" w:hanging="155"/>
        <w:spacing w:after="0" w:line="262" w:lineRule="auto"/>
        <w:tabs>
          <w:tab w:leader="none" w:pos="110" w:val="left"/>
        </w:tabs>
        <w:numPr>
          <w:ilvl w:val="0"/>
          <w:numId w:val="68"/>
        </w:numPr>
        <w:rPr>
          <w:rFonts w:ascii="Arial" w:cs="Arial" w:eastAsia="Arial" w:hAnsi="Arial"/>
          <w:sz w:val="14"/>
          <w:szCs w:val="14"/>
          <w:color w:val="0070C0"/>
        </w:rPr>
      </w:pPr>
      <w:r>
        <w:rPr>
          <w:rFonts w:ascii="Arial" w:cs="Arial" w:eastAsia="Arial" w:hAnsi="Arial"/>
          <w:sz w:val="14"/>
          <w:szCs w:val="14"/>
          <w:color w:val="auto"/>
        </w:rPr>
        <w:t>The increase in cost of sales was primarily due to a charge recorded during 2025 of approximately $104.9 million related to a litigation matter and product mix, including higher contract manufacturing revenue driven by the timing of batch releases.</w:t>
      </w:r>
    </w:p>
    <w:p>
      <w:pPr>
        <w:ind w:left="155" w:right="160" w:hanging="155"/>
        <w:spacing w:after="0" w:line="267" w:lineRule="auto"/>
        <w:tabs>
          <w:tab w:leader="none" w:pos="110" w:val="left"/>
        </w:tabs>
        <w:numPr>
          <w:ilvl w:val="0"/>
          <w:numId w:val="68"/>
        </w:numPr>
        <w:rPr>
          <w:rFonts w:ascii="Arial" w:cs="Arial" w:eastAsia="Arial" w:hAnsi="Arial"/>
          <w:sz w:val="14"/>
          <w:szCs w:val="14"/>
          <w:color w:val="0070C0"/>
        </w:rPr>
      </w:pPr>
      <w:r>
        <w:rPr>
          <w:rFonts w:ascii="Arial" w:cs="Arial" w:eastAsia="Arial" w:hAnsi="Arial"/>
          <w:sz w:val="14"/>
          <w:szCs w:val="14"/>
          <w:color w:val="auto"/>
        </w:rPr>
        <w:t>The decrease in R&amp;D expense was primarily driven by continued cost reduction measures realized in connection with our portfolio prioritization initiatives and our Fit for Growth program, offset in part by higher spend on clinical trials, including litifilimab and felzartamab. Higher clinical trial spend related to litifilimab was offset by $200.0 million in R&amp;D funding received from Royalty Pharma in 2025.</w:t>
      </w:r>
    </w:p>
    <w:p>
      <w:pPr>
        <w:spacing w:after="0" w:line="157" w:lineRule="exact"/>
        <w:rPr>
          <w:rFonts w:ascii="Arial" w:cs="Arial" w:eastAsia="Arial" w:hAnsi="Arial"/>
          <w:sz w:val="14"/>
          <w:szCs w:val="14"/>
          <w:color w:val="0070C0"/>
        </w:rPr>
      </w:pPr>
    </w:p>
    <w:p>
      <w:pPr>
        <w:ind w:left="155" w:right="220" w:hanging="155"/>
        <w:spacing w:after="0" w:line="266" w:lineRule="auto"/>
        <w:tabs>
          <w:tab w:leader="none" w:pos="97" w:val="left"/>
        </w:tabs>
        <w:numPr>
          <w:ilvl w:val="0"/>
          <w:numId w:val="68"/>
        </w:numPr>
        <w:rPr>
          <w:rFonts w:ascii="Arial" w:cs="Arial" w:eastAsia="Arial" w:hAnsi="Arial"/>
          <w:sz w:val="14"/>
          <w:szCs w:val="14"/>
          <w:b w:val="1"/>
          <w:bCs w:val="1"/>
          <w:i w:val="1"/>
          <w:iCs w:val="1"/>
          <w:color w:val="0E32E1"/>
        </w:rPr>
      </w:pPr>
      <w:r>
        <w:rPr>
          <w:rFonts w:ascii="Arial" w:cs="Arial" w:eastAsia="Arial" w:hAnsi="Arial"/>
          <w:sz w:val="14"/>
          <w:szCs w:val="14"/>
          <w:color w:val="auto"/>
        </w:rPr>
        <w:t>The increase in SG&amp;A expense was primarily due to an increase in operational spending on sales and marketing activities in support of LEQEMBI and SKYCLARYS as we continue to expand our U.S. and international product launches.</w:t>
      </w:r>
    </w:p>
    <w:p>
      <w:pPr>
        <w:spacing w:after="0" w:line="1" w:lineRule="exact"/>
        <w:rPr>
          <w:rFonts w:ascii="Arial" w:cs="Arial" w:eastAsia="Arial" w:hAnsi="Arial"/>
          <w:sz w:val="14"/>
          <w:szCs w:val="14"/>
          <w:b w:val="1"/>
          <w:bCs w:val="1"/>
          <w:i w:val="1"/>
          <w:iCs w:val="1"/>
          <w:color w:val="0E32E1"/>
        </w:rPr>
      </w:pPr>
    </w:p>
    <w:p>
      <w:pPr>
        <w:jc w:val="both"/>
        <w:ind w:left="155" w:right="200" w:hanging="155"/>
        <w:spacing w:after="0" w:line="268" w:lineRule="auto"/>
        <w:tabs>
          <w:tab w:leader="none" w:pos="110" w:val="left"/>
        </w:tabs>
        <w:numPr>
          <w:ilvl w:val="0"/>
          <w:numId w:val="68"/>
        </w:numPr>
        <w:rPr>
          <w:rFonts w:ascii="Arial" w:cs="Arial" w:eastAsia="Arial" w:hAnsi="Arial"/>
          <w:sz w:val="14"/>
          <w:szCs w:val="14"/>
          <w:color w:val="0070C0"/>
        </w:rPr>
      </w:pPr>
      <w:r>
        <w:rPr>
          <w:rFonts w:ascii="Arial" w:cs="Arial" w:eastAsia="Arial" w:hAnsi="Arial"/>
          <w:sz w:val="14"/>
          <w:szCs w:val="14"/>
          <w:color w:val="auto"/>
        </w:rPr>
        <w:t>The increase in acquired IPR&amp;D, upfront and milestone expense was primarily due to higher upfront and milestone payments incurred during 2025 compared to 2024.</w:t>
      </w:r>
    </w:p>
    <w:p>
      <w:pPr>
        <w:ind w:left="155" w:right="220" w:hanging="155"/>
        <w:spacing w:after="0" w:line="261" w:lineRule="auto"/>
        <w:tabs>
          <w:tab w:leader="none" w:pos="110" w:val="left"/>
        </w:tabs>
        <w:numPr>
          <w:ilvl w:val="0"/>
          <w:numId w:val="68"/>
        </w:numPr>
        <w:rPr>
          <w:rFonts w:ascii="Arial" w:cs="Arial" w:eastAsia="Arial" w:hAnsi="Arial"/>
          <w:sz w:val="14"/>
          <w:szCs w:val="14"/>
          <w:color w:val="0070C0"/>
        </w:rPr>
      </w:pPr>
      <w:r>
        <w:rPr>
          <w:rFonts w:ascii="Arial" w:cs="Arial" w:eastAsia="Arial" w:hAnsi="Arial"/>
          <w:sz w:val="14"/>
          <w:szCs w:val="14"/>
          <w:color w:val="auto"/>
        </w:rPr>
        <w:t>OIE includes higher litigation related expense in 2025 compared to 2024. In 2025 we recorded $139.5 million related to various litigation matters, including our agreement in principle to resolve all claims relating to Biogen's acquisition of Convergence.</w:t>
      </w:r>
    </w:p>
    <w:p>
      <w:pPr>
        <w:spacing w:after="0" w:line="1" w:lineRule="exact"/>
        <w:rPr>
          <w:rFonts w:ascii="Arial" w:cs="Arial" w:eastAsia="Arial" w:hAnsi="Arial"/>
          <w:sz w:val="14"/>
          <w:szCs w:val="14"/>
          <w:color w:val="0070C0"/>
        </w:rPr>
      </w:pPr>
    </w:p>
    <w:p>
      <w:pPr>
        <w:ind w:left="155" w:right="380" w:hanging="155"/>
        <w:spacing w:after="0" w:line="303" w:lineRule="auto"/>
        <w:tabs>
          <w:tab w:leader="none" w:pos="110" w:val="left"/>
        </w:tabs>
        <w:numPr>
          <w:ilvl w:val="0"/>
          <w:numId w:val="68"/>
        </w:numPr>
        <w:rPr>
          <w:rFonts w:ascii="Arial" w:cs="Arial" w:eastAsia="Arial" w:hAnsi="Arial"/>
          <w:sz w:val="14"/>
          <w:szCs w:val="14"/>
          <w:color w:val="0070C0"/>
        </w:rPr>
      </w:pPr>
      <w:r>
        <w:rPr>
          <w:rFonts w:ascii="Arial" w:cs="Arial" w:eastAsia="Arial" w:hAnsi="Arial"/>
          <w:sz w:val="14"/>
          <w:szCs w:val="14"/>
          <w:color w:val="auto"/>
        </w:rPr>
        <w:t>Impairment of ROU asset reflects an impairment charge recorded in 2025 of approximately $52.9 million related to our Reata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3810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 w:lineRule="exact"/>
        <w:rPr>
          <w:sz w:val="20"/>
          <w:szCs w:val="20"/>
          <w:color w:val="auto"/>
        </w:rPr>
      </w:pPr>
    </w:p>
    <w:p>
      <w:pPr>
        <w:sectPr>
          <w:pgSz w:w="11900" w:h="16838" w:orient="portrait"/>
          <w:cols w:equalWidth="0" w:num="2">
            <w:col w:w="5185" w:space="720"/>
            <w:col w:w="5335"/>
          </w:cols>
          <w:pgMar w:left="320" w:top="238"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0070C0"/>
        </w:rPr>
        <w:t>FINANCIAL CONDITION,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152" w:lineRule="exact"/>
        <w:rPr>
          <w:sz w:val="20"/>
          <w:szCs w:val="20"/>
          <w:color w:val="auto"/>
        </w:rPr>
      </w:pPr>
    </w:p>
    <w:p>
      <w:pPr>
        <w:ind w:left="180" w:right="120" w:hanging="172"/>
        <w:spacing w:after="0" w:line="268" w:lineRule="auto"/>
        <w:tabs>
          <w:tab w:leader="none" w:pos="136" w:val="left"/>
        </w:tabs>
        <w:numPr>
          <w:ilvl w:val="0"/>
          <w:numId w:val="69"/>
        </w:numPr>
        <w:rPr>
          <w:rFonts w:ascii="Arial" w:cs="Arial" w:eastAsia="Arial" w:hAnsi="Arial"/>
          <w:sz w:val="14"/>
          <w:szCs w:val="14"/>
          <w:b w:val="1"/>
          <w:bCs w:val="1"/>
          <w:color w:val="0070C0"/>
        </w:rPr>
      </w:pPr>
      <w:r>
        <w:rPr>
          <w:rFonts w:ascii="Arial" w:cs="Arial" w:eastAsia="Arial" w:hAnsi="Arial"/>
          <w:sz w:val="14"/>
          <w:szCs w:val="14"/>
          <w:color w:val="auto"/>
        </w:rPr>
        <w:t>Cash, cash equivalents and marketable securities totaled approximately $4.2 billion as of December 31, 2025, compared to approximately $2.4 billion as of December 31, 2024.</w:t>
      </w:r>
    </w:p>
    <w:p>
      <w:pPr>
        <w:spacing w:after="0" w:line="1" w:lineRule="exact"/>
        <w:rPr>
          <w:rFonts w:ascii="Arial" w:cs="Arial" w:eastAsia="Arial" w:hAnsi="Arial"/>
          <w:sz w:val="14"/>
          <w:szCs w:val="14"/>
          <w:b w:val="1"/>
          <w:bCs w:val="1"/>
          <w:color w:val="0070C0"/>
        </w:rPr>
      </w:pPr>
    </w:p>
    <w:p>
      <w:pPr>
        <w:ind w:left="180" w:hanging="172"/>
        <w:spacing w:after="0" w:line="303" w:lineRule="auto"/>
        <w:tabs>
          <w:tab w:leader="none" w:pos="136" w:val="left"/>
        </w:tabs>
        <w:numPr>
          <w:ilvl w:val="0"/>
          <w:numId w:val="69"/>
        </w:numPr>
        <w:rPr>
          <w:rFonts w:ascii="Arial" w:cs="Arial" w:eastAsia="Arial" w:hAnsi="Arial"/>
          <w:sz w:val="14"/>
          <w:szCs w:val="14"/>
          <w:color w:val="0070C0"/>
        </w:rPr>
      </w:pPr>
      <w:r>
        <w:rPr>
          <w:rFonts w:ascii="Arial" w:cs="Arial" w:eastAsia="Arial" w:hAnsi="Arial"/>
          <w:sz w:val="14"/>
          <w:szCs w:val="14"/>
          <w:color w:val="auto"/>
        </w:rPr>
        <w:t>We generated approximately $2.2 billion of net cash flow from operations during 2025, compared to approximately $2.9 billion in 2024.</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155" w:right="280" w:hanging="155"/>
        <w:spacing w:after="0" w:line="268" w:lineRule="auto"/>
        <w:tabs>
          <w:tab w:leader="none" w:pos="110" w:val="left"/>
        </w:tabs>
        <w:numPr>
          <w:ilvl w:val="0"/>
          <w:numId w:val="70"/>
        </w:numPr>
        <w:rPr>
          <w:rFonts w:ascii="Arial" w:cs="Arial" w:eastAsia="Arial" w:hAnsi="Arial"/>
          <w:sz w:val="14"/>
          <w:szCs w:val="14"/>
          <w:color w:val="0070C0"/>
        </w:rPr>
      </w:pPr>
      <w:r>
        <w:rPr>
          <w:rFonts w:ascii="Arial" w:cs="Arial" w:eastAsia="Arial" w:hAnsi="Arial"/>
          <w:sz w:val="14"/>
          <w:szCs w:val="14"/>
          <w:color w:val="auto"/>
        </w:rPr>
        <w:t>The year-over-year reduction in net cash flow from operations was due in part to higher worldwide tax payments in 2025 of approximately $864.0 million driven by the timing of estimated payments.</w:t>
      </w:r>
    </w:p>
    <w:p>
      <w:pPr>
        <w:spacing w:after="0" w:line="1" w:lineRule="exact"/>
        <w:rPr>
          <w:rFonts w:ascii="Arial" w:cs="Arial" w:eastAsia="Arial" w:hAnsi="Arial"/>
          <w:sz w:val="14"/>
          <w:szCs w:val="14"/>
          <w:color w:val="0070C0"/>
        </w:rPr>
      </w:pPr>
    </w:p>
    <w:p>
      <w:pPr>
        <w:ind w:left="155" w:right="200" w:hanging="155"/>
        <w:spacing w:after="0" w:line="272" w:lineRule="auto"/>
        <w:tabs>
          <w:tab w:leader="none" w:pos="110" w:val="left"/>
        </w:tabs>
        <w:numPr>
          <w:ilvl w:val="0"/>
          <w:numId w:val="70"/>
        </w:numPr>
        <w:rPr>
          <w:rFonts w:ascii="Arial" w:cs="Arial" w:eastAsia="Arial" w:hAnsi="Arial"/>
          <w:sz w:val="14"/>
          <w:szCs w:val="14"/>
          <w:color w:val="0070C0"/>
        </w:rPr>
      </w:pPr>
      <w:r>
        <w:rPr>
          <w:rFonts w:ascii="Arial" w:cs="Arial" w:eastAsia="Arial" w:hAnsi="Arial"/>
          <w:sz w:val="14"/>
          <w:szCs w:val="14"/>
          <w:color w:val="auto"/>
        </w:rPr>
        <w:t>In May 2025 we issued our 2025 Senior Notes for an aggregate principal amount of $1.75 billion. In June 2025 we used the net proceeds to redeem our 4.050% Senior Notes due September 15, 2025.</w:t>
      </w:r>
    </w:p>
    <w:p>
      <w:pPr>
        <w:spacing w:after="0" w:line="200" w:lineRule="exact"/>
        <w:rPr>
          <w:sz w:val="20"/>
          <w:szCs w:val="20"/>
          <w:color w:val="auto"/>
        </w:rPr>
      </w:pPr>
    </w:p>
    <w:p>
      <w:pPr>
        <w:sectPr>
          <w:pgSz w:w="11900" w:h="16838" w:orient="portrait"/>
          <w:cols w:equalWidth="0" w:num="2">
            <w:col w:w="5200" w:space="705"/>
            <w:col w:w="5335"/>
          </w:cols>
          <w:pgMar w:left="320" w:top="238" w:right="339" w:bottom="1440" w:gutter="0" w:footer="0" w:header="0"/>
          <w:type w:val="continuous"/>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5"/>
          <w:szCs w:val="25"/>
          <w:color w:val="0070C0"/>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color w:val="0070C0"/>
        </w:rPr>
        <w:t>ACQUISITIONS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ALCYONE THERAPEUTICS, INC.</w:t>
      </w:r>
    </w:p>
    <w:p>
      <w:pPr>
        <w:spacing w:after="0" w:line="10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November 2025 we completed the acquisition of all of the issued and outstanding shares of Alcyone Therapeutics, Inc., a clinical-stage biotechnology company focused on pediatric care through precision CNS therapeutics and dosing platforms. Alcyone's lead asset is ThecaFlex DRx, an implantable subcutaneous port and catheter device being investigated for the intrathecal delivery of ASOs, including SPINRAZA, which is designed to provide an alternative to repeat lumbar punctures in chronic intrathecal administration of medicines.</w:t>
      </w:r>
    </w:p>
    <w:p>
      <w:pPr>
        <w:spacing w:after="0" w:line="6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Total consideration for this transaction, which was recorded in acquired in-process research and development, upfront and milestone expense in our consolidated statements of income for the year ended December 31, 2025, was approximately $85.0 million, comprising a $50.0 million payment made upon closing and a $ 35.0 million payment that was considered probable as of December 31, 2025, and made upon FDA approval of a supplemental application in January 2026.</w:t>
      </w:r>
    </w:p>
    <w:p>
      <w:pPr>
        <w:spacing w:after="0" w:line="68"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We may pay additional development and regulatory milestone payments to the former shareholders of Alcyone of up to a total of $75.0 million if approval is received for ThecaFlex DRx administration of SPINRAZA or other additional pipeline products.</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accounted for this transaction as an asset acquisition as the value being acquired primarily relates to a single asset. Under the terms of this acquisition, we will oversee the end-to-end development, manufacturing and commercialization of ThecaFlex DRx.</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our acquisition of Alcyone,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to our consolidated financial statements included in this report.</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color w:val="0070C0"/>
        </w:rPr>
        <w:t>COLLABORATIVE AND OTHER RELATIONSHIPS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DAYRA THERAPEUTICS, INC. COLLABORATION</w:t>
      </w:r>
    </w:p>
    <w:p>
      <w:pPr>
        <w:spacing w:after="0" w:line="9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October 2025 we entered into a research collaboration with Dayra to discover and develop oral macrocyclic peptides for priority targets in immunological conditions.</w:t>
      </w:r>
    </w:p>
    <w:p>
      <w:pPr>
        <w:spacing w:after="0" w:line="31"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Under the terms of this agreement, both companies will collaborate to identify, validate and optimize oral macrocycle candidates for high-priority immunological targets, with our company advancing the molecules through further development and potential commercialization, including manufacturing.</w:t>
      </w:r>
    </w:p>
    <w:p>
      <w:pPr>
        <w:spacing w:after="0" w:line="3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connection with the closing of this transaction we made an upfront payment of $50.0 million to Dayra, which was recognized in acquired in-process research and development, upfront and milestone expense within our consolidated statements of income for the year ended December 31, 2025.</w:t>
      </w:r>
    </w:p>
    <w:p>
      <w:pPr>
        <w:spacing w:after="0" w:line="49"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This agreement also provides us with the option to acquire the development candidates from Dayra, subject to additional payments per program. Dayra will also be eligible to receive potential preclinical and clinical development milestone payments per program.</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 xml:space="preserve">For additional information on our research arrangement with Dayra,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VANQUA BIO, INC. COLLABORATION</w:t>
      </w:r>
    </w:p>
    <w:p>
      <w:pPr>
        <w:spacing w:after="0" w:line="92"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 October 2025 we entered into a license agreement with Vanqua granting us exclusive worldwide rights to further develop, manufacture and commercialize Vanqua's preclinical oral C5aR1 antagonist compound.</w:t>
      </w:r>
    </w:p>
    <w:p>
      <w:pPr>
        <w:spacing w:after="0" w:line="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connection with the closing of this transaction we made an upfront payment of $70.0 million to Vanqua, which was recognized in acquired in-process research and development, upfront and milestone expense within our consolidated statements of income for the year ended December 31, 2025.</w:t>
      </w:r>
    </w:p>
    <w:p>
      <w:pPr>
        <w:spacing w:after="0" w:line="49"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We may pay Vanqua potential development, regulatory or commercial, and sales milestone payments of up to $135.0 million, $295.0 million and $ 560.0 million, respectively, if all the specified milestones set forth in this collaboration are achieved. In addition, we may pay Vanqua tiered royalties on potential net sales of any licensed product under this collaboration in the mid-single digit to low-double digit percentages.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 xml:space="preserve">For additional information on our license agreement with Vanqua,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CITY THERAPEUTICS, INC. COLLABORATION</w:t>
      </w:r>
    </w:p>
    <w:p>
      <w:pPr>
        <w:spacing w:after="0" w:line="1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May 2025 we entered into a strategic research arrangement with City Therapeutics to develop select novel RNAi therapies. Through this arrangement, City Therapeutics will leverage its next-generation RNAi engineering technologies to develop an RNAi trigger molecule (or molecules) combined with our proprietary drug delivery technology. The collaboration will initially focus on a single target that mediates key CNS diseases, utilizing tissue enhanced delivery technologies with the aim of allowing for systemic administration of medicines. We will be responsible for IND-enabling studies and global clinical development along with any regulatory submissions and all activities related to commercialization, including manufacturing.</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closing of this transaction we made an upfront payment of $16.0 million to City Therapeutics, which was recognized in acquired in-process research and development, upfront and milestone expense within our consolidated statements of income for the year ended December 31, 2025, and invested $30.0 million in exchange for a City Therapeutics convertible note, representing a minority equity interest in City Therapeutics, if converted. This convertible note was recorded as a component of investments and other assets within our consolidated balance sheets as of December 31, 2025.</w:t>
      </w:r>
    </w:p>
    <w:p>
      <w:pPr>
        <w:spacing w:after="0" w:line="7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 xml:space="preserve">For additional information on our strategic research arrangement with City Therapeutics,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STOKE THERAPEUTICS, INC. COLLABORATION</w:t>
      </w:r>
    </w:p>
    <w:p>
      <w:pPr>
        <w:spacing w:after="0" w:line="1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February 2025 we entered into a collaboration and license agreement with Stoke to co-develop and commercialize zorevunersen, an investigational ASO that targets the SCN1A gene for the potential treatment of Dravet syndrome, a rare form of genetic epilepsy associated with refractory seizures and neurodevelopmental impairments. Zorevunersen dosed its first patient in August 2025, advancing zorevunersen to a global Phase 3 trial.</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 the terms of this agreement, Stoke will continue to lead global development and retain exclusive development and commercialization rights for zorevunersen in the U.S., Canada and Mexico and we will have exclusive rights to commercialize zorevunersen in the rest of the world.</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connection with the closing of this transaction we made an upfront payment of $165.0 million to Stoke, which was recognized in acquired in-process research and development, upfront and milestone expense within our consolidated statements of income for the year ended December 31, 2025.</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also have an exclusive option to license certain future follow-on ASO products targeting the SCN1A gene in all territories worldwide other than the U.S., Canada and Mexico, in exchange for separate milestone, cost sharing and royalty considerations.</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 with Stoke,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ROYALTY PHARMA FUNDING ARRANGEMENT</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February 2025 we entered into a funding agreement with Royalty Pharma under which we received $200.0 million in 2025 and will receive up to $50.0 million in 2026 to co-fund our development costs for the litifilimab program. As there is a substantive transfer of risk to the financial partner for the amount invested, the development funding will be recognized by us as an obligation to perform contractual services. This funding is being recognized as a reduction to research and development expense within our consolidated statements of income, proportionate to the related expense. For the year ended December 31, 2025, we recorded a reduction to research and development expense of $200.0 million within our consolidated statements of income.</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If the litifilimab clinical trials are successful for the indications based on the applicable clinical trials, upon regulatory approval in the U.S. or certain major markets in the world, Royalty Pharma will be eligible to receive approval-based fixed milestone payments of up to $250.0 million. The milestone payments due upon approval will be recorded as a component of other (income) expense, net within our consolidated statements of income, when incurred.</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If litifilimab receives regulatory approval, Royalty Pharma will be eligible to receive royalties of a mid-single digit percentage of the applicable net sales. Royalties on net sales will be recorded as cost of sales within our consolidated statements of income.</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funding arrangement with Royalty Pharma,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70C0"/>
        </w:rPr>
        <w:t>DEVELOPMENTS IN KEY COLLABORATIVE RELATIONSHIPS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LEQEMBI (lecanemab)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in the U.S. consisted of the following:</w:t>
      </w:r>
    </w:p>
    <w:p>
      <w:pPr>
        <w:spacing w:after="0" w:line="90" w:lineRule="exact"/>
        <w:rPr>
          <w:sz w:val="20"/>
          <w:szCs w:val="20"/>
          <w:color w:val="auto"/>
        </w:rPr>
      </w:pPr>
    </w:p>
    <w:p>
      <w:pPr>
        <w:ind w:left="340" w:right="560" w:hanging="332"/>
        <w:spacing w:after="0" w:line="287" w:lineRule="auto"/>
        <w:tabs>
          <w:tab w:leader="none" w:pos="295" w:val="left"/>
        </w:tabs>
        <w:numPr>
          <w:ilvl w:val="0"/>
          <w:numId w:val="71"/>
        </w:numPr>
        <w:rPr>
          <w:rFonts w:ascii="Arial" w:cs="Arial" w:eastAsia="Arial" w:hAnsi="Arial"/>
          <w:sz w:val="18"/>
          <w:szCs w:val="18"/>
          <w:color w:val="0070C0"/>
        </w:rPr>
      </w:pPr>
      <w:r>
        <w:rPr>
          <w:rFonts w:ascii="Arial" w:cs="Arial" w:eastAsia="Arial" w:hAnsi="Arial"/>
          <w:sz w:val="18"/>
          <w:szCs w:val="18"/>
          <w:color w:val="auto"/>
        </w:rPr>
        <w:t>In January 2026 the FDA accepted for review the supplemental BLA for LEQEMBI subcutaneous autoinjector, LEQEMBI IQLIK, for weekly starting dose, with a PDUFA action date of May 24, 2026.</w:t>
      </w:r>
    </w:p>
    <w:p>
      <w:pPr>
        <w:spacing w:after="0" w:line="31" w:lineRule="exact"/>
        <w:rPr>
          <w:rFonts w:ascii="Arial" w:cs="Arial" w:eastAsia="Arial" w:hAnsi="Arial"/>
          <w:sz w:val="18"/>
          <w:szCs w:val="18"/>
          <w:color w:val="0070C0"/>
        </w:rPr>
      </w:pPr>
    </w:p>
    <w:p>
      <w:pPr>
        <w:ind w:left="280" w:hanging="272"/>
        <w:spacing w:after="0"/>
        <w:tabs>
          <w:tab w:leader="none" w:pos="280" w:val="left"/>
        </w:tabs>
        <w:numPr>
          <w:ilvl w:val="0"/>
          <w:numId w:val="71"/>
        </w:numPr>
        <w:rPr>
          <w:rFonts w:ascii="Arial" w:cs="Arial" w:eastAsia="Arial" w:hAnsi="Arial"/>
          <w:sz w:val="18"/>
          <w:szCs w:val="18"/>
          <w:color w:val="0070C0"/>
        </w:rPr>
      </w:pPr>
      <w:r>
        <w:rPr>
          <w:rFonts w:ascii="Arial" w:cs="Arial" w:eastAsia="Arial" w:hAnsi="Arial"/>
          <w:sz w:val="18"/>
          <w:szCs w:val="18"/>
          <w:color w:val="auto"/>
        </w:rPr>
        <w:t>In August 2025 the FDA approved the BLA for LEQEMBI subcutaneous autoinjector, LEQEMBI IQLIK, for weekly maintenance dosing.</w:t>
      </w:r>
    </w:p>
    <w:p>
      <w:pPr>
        <w:spacing w:after="0" w:line="103" w:lineRule="exact"/>
        <w:rPr>
          <w:rFonts w:ascii="Arial" w:cs="Arial" w:eastAsia="Arial" w:hAnsi="Arial"/>
          <w:sz w:val="18"/>
          <w:szCs w:val="18"/>
          <w:color w:val="0070C0"/>
        </w:rPr>
      </w:pPr>
    </w:p>
    <w:p>
      <w:pPr>
        <w:ind w:left="280" w:hanging="272"/>
        <w:spacing w:after="0"/>
        <w:tabs>
          <w:tab w:leader="none" w:pos="280" w:val="left"/>
        </w:tabs>
        <w:numPr>
          <w:ilvl w:val="0"/>
          <w:numId w:val="71"/>
        </w:numPr>
        <w:rPr>
          <w:rFonts w:ascii="Arial" w:cs="Arial" w:eastAsia="Arial" w:hAnsi="Arial"/>
          <w:sz w:val="18"/>
          <w:szCs w:val="18"/>
          <w:color w:val="0070C0"/>
        </w:rPr>
      </w:pPr>
      <w:r>
        <w:rPr>
          <w:rFonts w:ascii="Arial" w:cs="Arial" w:eastAsia="Arial" w:hAnsi="Arial"/>
          <w:sz w:val="18"/>
          <w:szCs w:val="18"/>
          <w:color w:val="auto"/>
        </w:rPr>
        <w:t>In January 2025 the FDA approved LEQEMBI monthly IV maintenance dosing for the treatment of early Alzheimer's disease.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Rest of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(lecanemab) in rest of world markets consisted of the following:</w:t>
      </w:r>
    </w:p>
    <w:p>
      <w:pPr>
        <w:spacing w:after="0" w:line="117" w:lineRule="exact"/>
        <w:rPr>
          <w:sz w:val="20"/>
          <w:szCs w:val="20"/>
          <w:color w:val="auto"/>
        </w:rPr>
      </w:pPr>
    </w:p>
    <w:p>
      <w:pPr>
        <w:ind w:left="280" w:hanging="272"/>
        <w:spacing w:after="0"/>
        <w:tabs>
          <w:tab w:leader="none" w:pos="280" w:val="left"/>
        </w:tabs>
        <w:numPr>
          <w:ilvl w:val="0"/>
          <w:numId w:val="72"/>
        </w:numPr>
        <w:rPr>
          <w:rFonts w:ascii="Arial" w:cs="Arial" w:eastAsia="Arial" w:hAnsi="Arial"/>
          <w:sz w:val="18"/>
          <w:szCs w:val="18"/>
          <w:color w:val="0070C0"/>
        </w:rPr>
      </w:pPr>
      <w:r>
        <w:rPr>
          <w:rFonts w:ascii="Arial" w:cs="Arial" w:eastAsia="Arial" w:hAnsi="Arial"/>
          <w:sz w:val="18"/>
          <w:szCs w:val="18"/>
          <w:color w:val="auto"/>
        </w:rPr>
        <w:t>In January 2026 the BLA for LEQEMBI subcutaneous autoinjector was accepted for review by the NMPA in China.</w:t>
      </w:r>
    </w:p>
    <w:p>
      <w:pPr>
        <w:spacing w:after="0" w:line="90" w:lineRule="exact"/>
        <w:rPr>
          <w:rFonts w:ascii="Arial" w:cs="Arial" w:eastAsia="Arial" w:hAnsi="Arial"/>
          <w:sz w:val="18"/>
          <w:szCs w:val="18"/>
          <w:color w:val="0070C0"/>
        </w:rPr>
      </w:pPr>
    </w:p>
    <w:p>
      <w:pPr>
        <w:ind w:left="340" w:right="740" w:hanging="332"/>
        <w:spacing w:after="0" w:line="287" w:lineRule="auto"/>
        <w:tabs>
          <w:tab w:leader="none" w:pos="295" w:val="left"/>
        </w:tabs>
        <w:numPr>
          <w:ilvl w:val="0"/>
          <w:numId w:val="72"/>
        </w:numPr>
        <w:rPr>
          <w:rFonts w:ascii="Arial" w:cs="Arial" w:eastAsia="Arial" w:hAnsi="Arial"/>
          <w:sz w:val="18"/>
          <w:szCs w:val="18"/>
          <w:color w:val="0070C0"/>
        </w:rPr>
      </w:pPr>
      <w:r>
        <w:rPr>
          <w:rFonts w:ascii="Arial" w:cs="Arial" w:eastAsia="Arial" w:hAnsi="Arial"/>
          <w:sz w:val="18"/>
          <w:szCs w:val="18"/>
          <w:color w:val="auto"/>
        </w:rPr>
        <w:t>In November 2025 Eisai filed an NDA for LEQEMBI in Japan seeking approval for a subcutaneous autoinjector as a new route of administration to Japan's Pharmaceuticals and Medical Devices Agency.</w:t>
      </w:r>
    </w:p>
    <w:p>
      <w:pPr>
        <w:spacing w:after="0" w:line="31" w:lineRule="exact"/>
        <w:rPr>
          <w:rFonts w:ascii="Arial" w:cs="Arial" w:eastAsia="Arial" w:hAnsi="Arial"/>
          <w:sz w:val="18"/>
          <w:szCs w:val="18"/>
          <w:color w:val="0070C0"/>
        </w:rPr>
      </w:pPr>
    </w:p>
    <w:p>
      <w:pPr>
        <w:ind w:left="340" w:right="600" w:hanging="332"/>
        <w:spacing w:after="0" w:line="287" w:lineRule="auto"/>
        <w:tabs>
          <w:tab w:leader="none" w:pos="295" w:val="left"/>
        </w:tabs>
        <w:numPr>
          <w:ilvl w:val="0"/>
          <w:numId w:val="72"/>
        </w:numPr>
        <w:rPr>
          <w:rFonts w:ascii="Arial" w:cs="Arial" w:eastAsia="Arial" w:hAnsi="Arial"/>
          <w:sz w:val="18"/>
          <w:szCs w:val="18"/>
          <w:color w:val="0070C0"/>
        </w:rPr>
      </w:pPr>
      <w:r>
        <w:rPr>
          <w:rFonts w:ascii="Arial" w:cs="Arial" w:eastAsia="Arial" w:hAnsi="Arial"/>
          <w:sz w:val="18"/>
          <w:szCs w:val="18"/>
          <w:color w:val="auto"/>
        </w:rPr>
        <w:t>In November 2025 the MHRA in the UK approved LEQEMBI monthly IV maintenance dosing for the treatment of early Alzheimer's disease.</w:t>
      </w:r>
    </w:p>
    <w:p>
      <w:pPr>
        <w:spacing w:after="0" w:line="31" w:lineRule="exact"/>
        <w:rPr>
          <w:rFonts w:ascii="Arial" w:cs="Arial" w:eastAsia="Arial" w:hAnsi="Arial"/>
          <w:sz w:val="18"/>
          <w:szCs w:val="18"/>
          <w:color w:val="0070C0"/>
        </w:rPr>
      </w:pPr>
    </w:p>
    <w:p>
      <w:pPr>
        <w:ind w:left="340" w:right="340" w:hanging="332"/>
        <w:spacing w:after="0" w:line="268" w:lineRule="auto"/>
        <w:tabs>
          <w:tab w:leader="none" w:pos="295" w:val="left"/>
        </w:tabs>
        <w:numPr>
          <w:ilvl w:val="0"/>
          <w:numId w:val="72"/>
        </w:numPr>
        <w:rPr>
          <w:rFonts w:ascii="Arial" w:cs="Arial" w:eastAsia="Arial" w:hAnsi="Arial"/>
          <w:sz w:val="18"/>
          <w:szCs w:val="18"/>
          <w:color w:val="0070C0"/>
        </w:rPr>
      </w:pPr>
      <w:r>
        <w:rPr>
          <w:rFonts w:ascii="Arial" w:cs="Arial" w:eastAsia="Arial" w:hAnsi="Arial"/>
          <w:sz w:val="18"/>
          <w:szCs w:val="18"/>
          <w:color w:val="auto"/>
        </w:rPr>
        <w:t>In October 2025 Health Canada issued a Notice of Compliance with Conditions for LEQEMBI for the treatment of adult patients with a clinical diagnosis of mild cognitive impairment or mild dementia due to Alzheimer's disease who are either apolipoprotein E ε4 non-carriers or heterozygotes and who have confirmed amyloid pathology.</w:t>
      </w:r>
    </w:p>
    <w:p>
      <w:pPr>
        <w:spacing w:after="0" w:line="35" w:lineRule="exact"/>
        <w:rPr>
          <w:rFonts w:ascii="Arial" w:cs="Arial" w:eastAsia="Arial" w:hAnsi="Arial"/>
          <w:sz w:val="18"/>
          <w:szCs w:val="18"/>
          <w:color w:val="0070C0"/>
        </w:rPr>
      </w:pPr>
    </w:p>
    <w:p>
      <w:pPr>
        <w:ind w:left="340" w:right="320" w:hanging="332"/>
        <w:spacing w:after="0" w:line="287" w:lineRule="auto"/>
        <w:tabs>
          <w:tab w:leader="none" w:pos="295" w:val="left"/>
        </w:tabs>
        <w:numPr>
          <w:ilvl w:val="0"/>
          <w:numId w:val="72"/>
        </w:numPr>
        <w:rPr>
          <w:rFonts w:ascii="Arial" w:cs="Arial" w:eastAsia="Arial" w:hAnsi="Arial"/>
          <w:sz w:val="18"/>
          <w:szCs w:val="18"/>
          <w:color w:val="0070C0"/>
        </w:rPr>
      </w:pPr>
      <w:r>
        <w:rPr>
          <w:rFonts w:ascii="Arial" w:cs="Arial" w:eastAsia="Arial" w:hAnsi="Arial"/>
          <w:sz w:val="18"/>
          <w:szCs w:val="18"/>
          <w:color w:val="auto"/>
        </w:rPr>
        <w:t>In September 2025 the National Medical Products Administration in China approved LEQEMBI monthly IV maintenance dosing for the treatment of early Alzheimer's disease.</w:t>
      </w:r>
    </w:p>
    <w:p>
      <w:pPr>
        <w:spacing w:after="0" w:line="31" w:lineRule="exact"/>
        <w:rPr>
          <w:rFonts w:ascii="Arial" w:cs="Arial" w:eastAsia="Arial" w:hAnsi="Arial"/>
          <w:sz w:val="18"/>
          <w:szCs w:val="18"/>
          <w:color w:val="0070C0"/>
        </w:rPr>
      </w:pPr>
    </w:p>
    <w:p>
      <w:pPr>
        <w:ind w:left="340" w:right="200" w:hanging="332"/>
        <w:spacing w:after="0" w:line="287" w:lineRule="auto"/>
        <w:tabs>
          <w:tab w:leader="none" w:pos="295" w:val="left"/>
        </w:tabs>
        <w:numPr>
          <w:ilvl w:val="0"/>
          <w:numId w:val="72"/>
        </w:numPr>
        <w:rPr>
          <w:rFonts w:ascii="Arial" w:cs="Arial" w:eastAsia="Arial" w:hAnsi="Arial"/>
          <w:sz w:val="18"/>
          <w:szCs w:val="18"/>
          <w:color w:val="0070C0"/>
        </w:rPr>
      </w:pPr>
      <w:r>
        <w:rPr>
          <w:rFonts w:ascii="Arial" w:cs="Arial" w:eastAsia="Arial" w:hAnsi="Arial"/>
          <w:sz w:val="18"/>
          <w:szCs w:val="18"/>
          <w:color w:val="auto"/>
        </w:rPr>
        <w:t>In September 2025 the Therapeutic Goods Administration of Australia approved LEQEMBI for adults who are either apolipoprotein E ε4 non-carriers or heterozygous carriers.</w:t>
      </w:r>
    </w:p>
    <w:p>
      <w:pPr>
        <w:spacing w:after="0" w:line="17" w:lineRule="exact"/>
        <w:rPr>
          <w:rFonts w:ascii="Arial" w:cs="Arial" w:eastAsia="Arial" w:hAnsi="Arial"/>
          <w:sz w:val="18"/>
          <w:szCs w:val="18"/>
          <w:color w:val="0070C0"/>
        </w:rPr>
      </w:pPr>
    </w:p>
    <w:p>
      <w:pPr>
        <w:ind w:left="340" w:hanging="332"/>
        <w:spacing w:after="0" w:line="268" w:lineRule="auto"/>
        <w:tabs>
          <w:tab w:leader="none" w:pos="295" w:val="left"/>
        </w:tabs>
        <w:numPr>
          <w:ilvl w:val="0"/>
          <w:numId w:val="72"/>
        </w:numPr>
        <w:rPr>
          <w:rFonts w:ascii="Arial" w:cs="Arial" w:eastAsia="Arial" w:hAnsi="Arial"/>
          <w:sz w:val="18"/>
          <w:szCs w:val="18"/>
          <w:color w:val="0070C0"/>
        </w:rPr>
      </w:pPr>
      <w:r>
        <w:rPr>
          <w:rFonts w:ascii="Arial" w:cs="Arial" w:eastAsia="Arial" w:hAnsi="Arial"/>
          <w:sz w:val="18"/>
          <w:szCs w:val="18"/>
          <w:color w:val="auto"/>
        </w:rPr>
        <w:t>In June 2025 we filed a request for arbitration in the International Court of Arbitration of the International Chamber of Commerce seeking adoption of a budget and commercialization plan for the European Territory that allocates commercialization activities to Biogen and Eisai in an equitable fashion taking into account our respective capabilities and provides a meaningful role for each party.</w:t>
      </w:r>
    </w:p>
    <w:p>
      <w:pPr>
        <w:spacing w:after="0" w:line="49" w:lineRule="exact"/>
        <w:rPr>
          <w:rFonts w:ascii="Arial" w:cs="Arial" w:eastAsia="Arial" w:hAnsi="Arial"/>
          <w:sz w:val="18"/>
          <w:szCs w:val="18"/>
          <w:color w:val="0070C0"/>
        </w:rPr>
      </w:pPr>
    </w:p>
    <w:p>
      <w:pPr>
        <w:ind w:left="340" w:right="420" w:hanging="332"/>
        <w:spacing w:after="0" w:line="268" w:lineRule="auto"/>
        <w:tabs>
          <w:tab w:leader="none" w:pos="295" w:val="left"/>
        </w:tabs>
        <w:numPr>
          <w:ilvl w:val="0"/>
          <w:numId w:val="72"/>
        </w:numPr>
        <w:rPr>
          <w:rFonts w:ascii="Arial" w:cs="Arial" w:eastAsia="Arial" w:hAnsi="Arial"/>
          <w:sz w:val="18"/>
          <w:szCs w:val="18"/>
          <w:color w:val="0070C0"/>
        </w:rPr>
      </w:pPr>
      <w:r>
        <w:rPr>
          <w:rFonts w:ascii="Arial" w:cs="Arial" w:eastAsia="Arial" w:hAnsi="Arial"/>
          <w:sz w:val="18"/>
          <w:szCs w:val="18"/>
          <w:color w:val="auto"/>
        </w:rPr>
        <w:t>In April 2025 the EC approved LEQEMBI in the E.U. for the treatment of adult patients with a clinical diagnosis of mild cognitive impairment and mild dementia due to Alzheimer's disease who are apolipoprotein E ε4 non-carriers or heterozygotes with confirmed amyloid pathology.</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ZURZUVAE (zuranolone)</w:t>
      </w:r>
    </w:p>
    <w:p>
      <w:pPr>
        <w:spacing w:after="0" w:line="106" w:lineRule="exact"/>
        <w:rPr>
          <w:sz w:val="20"/>
          <w:szCs w:val="20"/>
          <w:color w:val="auto"/>
        </w:rPr>
      </w:pPr>
    </w:p>
    <w:p>
      <w:pPr>
        <w:ind w:left="340" w:right="200" w:hanging="332"/>
        <w:spacing w:after="0" w:line="287" w:lineRule="auto"/>
        <w:tabs>
          <w:tab w:leader="none" w:pos="295" w:val="left"/>
        </w:tabs>
        <w:numPr>
          <w:ilvl w:val="0"/>
          <w:numId w:val="73"/>
        </w:numPr>
        <w:rPr>
          <w:rFonts w:ascii="Arial" w:cs="Arial" w:eastAsia="Arial" w:hAnsi="Arial"/>
          <w:sz w:val="18"/>
          <w:szCs w:val="18"/>
          <w:color w:val="0070C0"/>
        </w:rPr>
      </w:pPr>
      <w:r>
        <w:rPr>
          <w:rFonts w:ascii="Arial" w:cs="Arial" w:eastAsia="Arial" w:hAnsi="Arial"/>
          <w:sz w:val="18"/>
          <w:szCs w:val="18"/>
          <w:color w:val="auto"/>
        </w:rPr>
        <w:t>In September 2025 the EC approved ZURZUVAE in the E.U. for the treatment of PPD in adults following childbirth, offering the first and only treatment indicated for PPD in the E.U.</w:t>
      </w:r>
    </w:p>
    <w:p>
      <w:pPr>
        <w:spacing w:after="0" w:line="44" w:lineRule="exact"/>
        <w:rPr>
          <w:rFonts w:ascii="Arial" w:cs="Arial" w:eastAsia="Arial" w:hAnsi="Arial"/>
          <w:sz w:val="18"/>
          <w:szCs w:val="18"/>
          <w:color w:val="0070C0"/>
        </w:rPr>
      </w:pPr>
    </w:p>
    <w:p>
      <w:pPr>
        <w:ind w:left="340" w:hanging="332"/>
        <w:spacing w:after="0" w:line="287" w:lineRule="auto"/>
        <w:tabs>
          <w:tab w:leader="none" w:pos="295" w:val="left"/>
        </w:tabs>
        <w:numPr>
          <w:ilvl w:val="0"/>
          <w:numId w:val="73"/>
        </w:numPr>
        <w:rPr>
          <w:rFonts w:ascii="Arial" w:cs="Arial" w:eastAsia="Arial" w:hAnsi="Arial"/>
          <w:sz w:val="18"/>
          <w:szCs w:val="18"/>
          <w:color w:val="0070C0"/>
        </w:rPr>
      </w:pPr>
      <w:r>
        <w:rPr>
          <w:rFonts w:ascii="Arial" w:cs="Arial" w:eastAsia="Arial" w:hAnsi="Arial"/>
          <w:sz w:val="18"/>
          <w:szCs w:val="18"/>
          <w:color w:val="auto"/>
        </w:rPr>
        <w:t>In August 2025 the Medicines and Healthcare products Regulatory Agency in the U.K. granted marketing authorization for ZURZUVAE for moderate to severe PPD in the U.K.</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SALANERSEN (BIIB115)</w:t>
      </w:r>
    </w:p>
    <w:p>
      <w:pPr>
        <w:spacing w:after="0" w:line="119" w:lineRule="exact"/>
        <w:rPr>
          <w:sz w:val="20"/>
          <w:szCs w:val="20"/>
          <w:color w:val="auto"/>
        </w:rPr>
      </w:pPr>
    </w:p>
    <w:p>
      <w:pPr>
        <w:ind w:left="340" w:right="280" w:hanging="332"/>
        <w:spacing w:after="0" w:line="262" w:lineRule="auto"/>
        <w:tabs>
          <w:tab w:leader="none" w:pos="295" w:val="left"/>
        </w:tabs>
        <w:numPr>
          <w:ilvl w:val="0"/>
          <w:numId w:val="74"/>
        </w:numPr>
        <w:rPr>
          <w:rFonts w:ascii="Arial" w:cs="Arial" w:eastAsia="Arial" w:hAnsi="Arial"/>
          <w:sz w:val="18"/>
          <w:szCs w:val="18"/>
          <w:color w:val="0070C0"/>
        </w:rPr>
      </w:pPr>
      <w:r>
        <w:rPr>
          <w:rFonts w:ascii="Arial" w:cs="Arial" w:eastAsia="Arial" w:hAnsi="Arial"/>
          <w:sz w:val="18"/>
          <w:szCs w:val="18"/>
          <w:color w:val="auto"/>
        </w:rPr>
        <w:t>In June 2025 we announced positive interim topline results from the Phase 1b study of salanersen, an ASO being developed for the treatment of SMA. Interim Phase 1b data shows children with SMA previously treated with gene therapy experienced a substantial slowing of neurodegeneration and clinically meaningful improvements in motor function following initiation of salanersen. Our Phase 3 registrational study of salanersen is expected to begin in 2026.</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9"/>
          <w:szCs w:val="29"/>
          <w:color w:val="0070C0"/>
        </w:rPr>
        <w:t>OTHER KEY DEVELOPMENTS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FELZARTAMAB</w:t>
      </w:r>
    </w:p>
    <w:p>
      <w:pPr>
        <w:spacing w:after="0" w:line="106" w:lineRule="exact"/>
        <w:rPr>
          <w:sz w:val="20"/>
          <w:szCs w:val="20"/>
          <w:color w:val="auto"/>
        </w:rPr>
      </w:pPr>
    </w:p>
    <w:p>
      <w:pPr>
        <w:ind w:left="340" w:right="120" w:hanging="332"/>
        <w:spacing w:after="0" w:line="259" w:lineRule="auto"/>
        <w:tabs>
          <w:tab w:leader="none" w:pos="295" w:val="left"/>
        </w:tabs>
        <w:numPr>
          <w:ilvl w:val="0"/>
          <w:numId w:val="75"/>
        </w:numPr>
        <w:rPr>
          <w:rFonts w:ascii="Arial" w:cs="Arial" w:eastAsia="Arial" w:hAnsi="Arial"/>
          <w:sz w:val="18"/>
          <w:szCs w:val="18"/>
          <w:color w:val="0070C0"/>
        </w:rPr>
      </w:pPr>
      <w:r>
        <w:rPr>
          <w:rFonts w:ascii="Arial" w:cs="Arial" w:eastAsia="Arial" w:hAnsi="Arial"/>
          <w:sz w:val="18"/>
          <w:szCs w:val="18"/>
          <w:color w:val="auto"/>
        </w:rPr>
        <w:t>In June 2025 we announced the initiation of dosing in the global Phase 3 PREVAIL study. This study will evaluate the efficacy and safety of the investigational drug felzartamab compared to placebo on proteinuria and preservation of kidney function in adults diagnosed with IgAN. In connection with the initiation of this dosing we paid a $30.0 million milestone payment to MorphoSys in July 2025. Additionally, in June 2025 we announced the initiation of dosing in the global Phase 3 PROMINENT study. This study will evaluate the efficacy and safety of the investigational drug felzartamab compared to tacrolimus in adults diagnosed with PMN.</w:t>
      </w:r>
    </w:p>
    <w:p>
      <w:pPr>
        <w:spacing w:after="0" w:line="71" w:lineRule="exact"/>
        <w:rPr>
          <w:rFonts w:ascii="Arial" w:cs="Arial" w:eastAsia="Arial" w:hAnsi="Arial"/>
          <w:sz w:val="18"/>
          <w:szCs w:val="18"/>
          <w:color w:val="0070C0"/>
        </w:rPr>
      </w:pPr>
    </w:p>
    <w:p>
      <w:pPr>
        <w:ind w:left="340" w:right="160" w:hanging="332"/>
        <w:spacing w:after="0" w:line="268" w:lineRule="auto"/>
        <w:tabs>
          <w:tab w:leader="none" w:pos="295" w:val="left"/>
        </w:tabs>
        <w:numPr>
          <w:ilvl w:val="0"/>
          <w:numId w:val="75"/>
        </w:numPr>
        <w:rPr>
          <w:rFonts w:ascii="Arial" w:cs="Arial" w:eastAsia="Arial" w:hAnsi="Arial"/>
          <w:sz w:val="18"/>
          <w:szCs w:val="18"/>
          <w:color w:val="0070C0"/>
        </w:rPr>
      </w:pPr>
      <w:r>
        <w:rPr>
          <w:rFonts w:ascii="Arial" w:cs="Arial" w:eastAsia="Arial" w:hAnsi="Arial"/>
          <w:sz w:val="18"/>
          <w:szCs w:val="18"/>
          <w:color w:val="auto"/>
        </w:rPr>
        <w:t>In March 2025 we announced the initiation of dosing in the global Phase 3 TRANSCEND study. This study will evaluate the efficacy and safety of the investigational drug felzartamab compared to placebo in adult kidney transplant recipients diagnosed with AMR. In connection with the initiation of this dosing we paid a $35.0 million milestone payment to MorphoSys in April 2025.</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SPINRAZA (nusinersen)</w:t>
      </w:r>
    </w:p>
    <w:p>
      <w:pPr>
        <w:spacing w:after="0" w:line="106" w:lineRule="exact"/>
        <w:rPr>
          <w:sz w:val="20"/>
          <w:szCs w:val="20"/>
          <w:color w:val="auto"/>
        </w:rPr>
      </w:pPr>
    </w:p>
    <w:p>
      <w:pPr>
        <w:ind w:left="340" w:right="100" w:hanging="332"/>
        <w:spacing w:after="0" w:line="262" w:lineRule="auto"/>
        <w:tabs>
          <w:tab w:leader="none" w:pos="295" w:val="left"/>
        </w:tabs>
        <w:numPr>
          <w:ilvl w:val="0"/>
          <w:numId w:val="76"/>
        </w:numPr>
        <w:rPr>
          <w:rFonts w:ascii="Arial" w:cs="Arial" w:eastAsia="Arial" w:hAnsi="Arial"/>
          <w:sz w:val="18"/>
          <w:szCs w:val="18"/>
          <w:color w:val="0070C0"/>
        </w:rPr>
      </w:pPr>
      <w:r>
        <w:rPr>
          <w:rFonts w:ascii="Arial" w:cs="Arial" w:eastAsia="Arial" w:hAnsi="Arial"/>
          <w:sz w:val="18"/>
          <w:szCs w:val="18"/>
          <w:color w:val="auto"/>
        </w:rPr>
        <w:t>In January 2026 the EC granted marketing authorization for a high dose regimen of SPINRAZA in the E.U. for the treatment of 5q SMA, which is the most common form of the disease and represents approximately 95% of all SMA cases. The high dose regimen is comprised of 50 mg/5 mL and 28 mg/5 mL doses and individuals transitioning from the 12 mg dose will receive one 50 mg dose in place of their next 12 mg dose, followed by 28 mg maintenance doses every four months thereafter.</w:t>
      </w:r>
    </w:p>
    <w:p>
      <w:pPr>
        <w:spacing w:after="0" w:line="68" w:lineRule="exact"/>
        <w:rPr>
          <w:rFonts w:ascii="Arial" w:cs="Arial" w:eastAsia="Arial" w:hAnsi="Arial"/>
          <w:sz w:val="18"/>
          <w:szCs w:val="18"/>
          <w:color w:val="0070C0"/>
        </w:rPr>
      </w:pPr>
    </w:p>
    <w:p>
      <w:pPr>
        <w:ind w:left="280" w:hanging="272"/>
        <w:spacing w:after="0"/>
        <w:tabs>
          <w:tab w:leader="none" w:pos="280" w:val="left"/>
        </w:tabs>
        <w:numPr>
          <w:ilvl w:val="0"/>
          <w:numId w:val="76"/>
        </w:numPr>
        <w:rPr>
          <w:rFonts w:ascii="Arial" w:cs="Arial" w:eastAsia="Arial" w:hAnsi="Arial"/>
          <w:sz w:val="18"/>
          <w:szCs w:val="18"/>
          <w:color w:val="0070C0"/>
        </w:rPr>
      </w:pPr>
      <w:r>
        <w:rPr>
          <w:rFonts w:ascii="Arial" w:cs="Arial" w:eastAsia="Arial" w:hAnsi="Arial"/>
          <w:sz w:val="18"/>
          <w:szCs w:val="18"/>
          <w:color w:val="auto"/>
        </w:rPr>
        <w:t>In September 2025 the high dose regimen of SPINRAZA was approved by the Ministry of Health, Labour and Welfare in Japan.</w:t>
      </w:r>
    </w:p>
    <w:p>
      <w:pPr>
        <w:spacing w:after="0" w:line="117" w:lineRule="exact"/>
        <w:rPr>
          <w:rFonts w:ascii="Arial" w:cs="Arial" w:eastAsia="Arial" w:hAnsi="Arial"/>
          <w:sz w:val="18"/>
          <w:szCs w:val="18"/>
          <w:color w:val="0070C0"/>
        </w:rPr>
      </w:pPr>
    </w:p>
    <w:p>
      <w:pPr>
        <w:ind w:left="340" w:right="80" w:hanging="332"/>
        <w:spacing w:after="0" w:line="262" w:lineRule="auto"/>
        <w:tabs>
          <w:tab w:leader="none" w:pos="295" w:val="left"/>
        </w:tabs>
        <w:numPr>
          <w:ilvl w:val="0"/>
          <w:numId w:val="76"/>
        </w:numPr>
        <w:rPr>
          <w:rFonts w:ascii="Arial" w:cs="Arial" w:eastAsia="Arial" w:hAnsi="Arial"/>
          <w:sz w:val="18"/>
          <w:szCs w:val="18"/>
          <w:color w:val="0070C0"/>
        </w:rPr>
      </w:pPr>
      <w:r>
        <w:rPr>
          <w:rFonts w:ascii="Arial" w:cs="Arial" w:eastAsia="Arial" w:hAnsi="Arial"/>
          <w:sz w:val="18"/>
          <w:szCs w:val="18"/>
          <w:color w:val="auto"/>
        </w:rPr>
        <w:t>In September 2025 the FDA issued a CRL for the supplemental NDA for a higher dose regimen of nusinersen for the treatment of SMA. The CRL requested an update to the technical information to be included in the Chemistry Manufacturing and Controls module of the supplemental NDA and did not cite any deficiencies in the clinical data of the high dose regimen. We resubmitted the supplemental NDA to the FDA, which has been accepted for review with a PDUFA action date of April 3, 2026.</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SKYCLARYS (omaveloxolone)</w:t>
      </w:r>
    </w:p>
    <w:p>
      <w:pPr>
        <w:spacing w:after="0" w:line="106" w:lineRule="exact"/>
        <w:rPr>
          <w:sz w:val="20"/>
          <w:szCs w:val="20"/>
          <w:color w:val="auto"/>
        </w:rPr>
      </w:pPr>
    </w:p>
    <w:p>
      <w:pPr>
        <w:ind w:left="340" w:right="80" w:hanging="332"/>
        <w:spacing w:after="0" w:line="287" w:lineRule="auto"/>
        <w:tabs>
          <w:tab w:leader="none" w:pos="295" w:val="left"/>
        </w:tabs>
        <w:numPr>
          <w:ilvl w:val="0"/>
          <w:numId w:val="77"/>
        </w:numPr>
        <w:rPr>
          <w:rFonts w:ascii="Arial" w:cs="Arial" w:eastAsia="Arial" w:hAnsi="Arial"/>
          <w:sz w:val="18"/>
          <w:szCs w:val="18"/>
          <w:color w:val="0070C0"/>
        </w:rPr>
      </w:pPr>
      <w:r>
        <w:rPr>
          <w:rFonts w:ascii="Arial" w:cs="Arial" w:eastAsia="Arial" w:hAnsi="Arial"/>
          <w:sz w:val="18"/>
          <w:szCs w:val="18"/>
          <w:color w:val="auto"/>
        </w:rPr>
        <w:t>In June 2025 we announced the initiation of dosing in the global Phase 3 BRAVE study. This study will evaluate the efficacy and safety of omaveloxolone in children with FA between the ages of two and sixteen.</w:t>
      </w:r>
    </w:p>
    <w:p>
      <w:pPr>
        <w:spacing w:after="0" w:line="44" w:lineRule="exact"/>
        <w:rPr>
          <w:rFonts w:ascii="Arial" w:cs="Arial" w:eastAsia="Arial" w:hAnsi="Arial"/>
          <w:sz w:val="18"/>
          <w:szCs w:val="18"/>
          <w:color w:val="0070C0"/>
        </w:rPr>
      </w:pPr>
    </w:p>
    <w:p>
      <w:pPr>
        <w:ind w:left="340" w:right="480" w:hanging="332"/>
        <w:spacing w:after="0" w:line="287" w:lineRule="auto"/>
        <w:tabs>
          <w:tab w:leader="none" w:pos="295" w:val="left"/>
        </w:tabs>
        <w:numPr>
          <w:ilvl w:val="0"/>
          <w:numId w:val="77"/>
        </w:numPr>
        <w:rPr>
          <w:rFonts w:ascii="Arial" w:cs="Arial" w:eastAsia="Arial" w:hAnsi="Arial"/>
          <w:sz w:val="18"/>
          <w:szCs w:val="18"/>
          <w:color w:val="0070C0"/>
        </w:rPr>
      </w:pPr>
      <w:r>
        <w:rPr>
          <w:rFonts w:ascii="Arial" w:cs="Arial" w:eastAsia="Arial" w:hAnsi="Arial"/>
          <w:sz w:val="18"/>
          <w:szCs w:val="18"/>
          <w:color w:val="auto"/>
        </w:rPr>
        <w:t>In April 2025 SKYCLARYS was approved by the Medicines and Healthcare products Regulatory Agency in the U.K. and in Brazil. In March 2025 SKYCLARYS was approved by Health Canada.</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QALSODY (tofersen)</w:t>
      </w:r>
    </w:p>
    <w:p>
      <w:pPr>
        <w:spacing w:after="0" w:line="119" w:lineRule="exact"/>
        <w:rPr>
          <w:sz w:val="20"/>
          <w:szCs w:val="20"/>
          <w:color w:val="auto"/>
        </w:rPr>
      </w:pPr>
    </w:p>
    <w:p>
      <w:pPr>
        <w:ind w:left="340" w:right="480" w:hanging="332"/>
        <w:spacing w:after="0" w:line="287" w:lineRule="auto"/>
        <w:tabs>
          <w:tab w:leader="none" w:pos="295" w:val="left"/>
        </w:tabs>
        <w:numPr>
          <w:ilvl w:val="0"/>
          <w:numId w:val="78"/>
        </w:numPr>
        <w:rPr>
          <w:rFonts w:ascii="Arial" w:cs="Arial" w:eastAsia="Arial" w:hAnsi="Arial"/>
          <w:sz w:val="18"/>
          <w:szCs w:val="18"/>
          <w:color w:val="0070C0"/>
        </w:rPr>
      </w:pPr>
      <w:r>
        <w:rPr>
          <w:rFonts w:ascii="Arial" w:cs="Arial" w:eastAsia="Arial" w:hAnsi="Arial"/>
          <w:sz w:val="18"/>
          <w:szCs w:val="18"/>
          <w:color w:val="auto"/>
        </w:rPr>
        <w:t>In July 2025 the Medicines and Healthcare products Regulatory Agency in the U.K. approved QALSODY for the treatment of ALS in adults who have a mutation in the SOD1 gene.</w:t>
      </w:r>
    </w:p>
    <w:p>
      <w:pPr>
        <w:spacing w:after="0" w:line="44" w:lineRule="exact"/>
        <w:rPr>
          <w:rFonts w:ascii="Arial" w:cs="Arial" w:eastAsia="Arial" w:hAnsi="Arial"/>
          <w:sz w:val="18"/>
          <w:szCs w:val="18"/>
          <w:color w:val="0070C0"/>
        </w:rPr>
      </w:pPr>
    </w:p>
    <w:p>
      <w:pPr>
        <w:ind w:left="340" w:hanging="332"/>
        <w:spacing w:after="0" w:line="287" w:lineRule="auto"/>
        <w:tabs>
          <w:tab w:leader="none" w:pos="295" w:val="left"/>
        </w:tabs>
        <w:numPr>
          <w:ilvl w:val="0"/>
          <w:numId w:val="78"/>
        </w:numPr>
        <w:rPr>
          <w:rFonts w:ascii="Arial" w:cs="Arial" w:eastAsia="Arial" w:hAnsi="Arial"/>
          <w:sz w:val="18"/>
          <w:szCs w:val="18"/>
          <w:color w:val="0070C0"/>
        </w:rPr>
      </w:pPr>
      <w:r>
        <w:rPr>
          <w:rFonts w:ascii="Arial" w:cs="Arial" w:eastAsia="Arial" w:hAnsi="Arial"/>
          <w:sz w:val="18"/>
          <w:szCs w:val="18"/>
          <w:color w:val="auto"/>
        </w:rPr>
        <w:t>In March 2025 Health Canada issued marketing authorization with conditions for QALSODY for the treatment of ALS in adults who have a mutation in the SOD1 gene. The authorization is conditional, pending the results of trials to verify its clinical benefit.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BIIB080</w:t>
      </w:r>
    </w:p>
    <w:p>
      <w:pPr>
        <w:spacing w:after="0" w:line="106" w:lineRule="exact"/>
        <w:rPr>
          <w:sz w:val="20"/>
          <w:szCs w:val="20"/>
          <w:color w:val="auto"/>
        </w:rPr>
      </w:pPr>
    </w:p>
    <w:p>
      <w:pPr>
        <w:ind w:left="340" w:right="100" w:hanging="332"/>
        <w:spacing w:after="0" w:line="287" w:lineRule="auto"/>
        <w:tabs>
          <w:tab w:leader="none" w:pos="295" w:val="left"/>
        </w:tabs>
        <w:numPr>
          <w:ilvl w:val="0"/>
          <w:numId w:val="79"/>
        </w:numPr>
        <w:rPr>
          <w:rFonts w:ascii="Arial" w:cs="Arial" w:eastAsia="Arial" w:hAnsi="Arial"/>
          <w:sz w:val="18"/>
          <w:szCs w:val="18"/>
          <w:color w:val="0070C0"/>
        </w:rPr>
      </w:pPr>
      <w:r>
        <w:rPr>
          <w:rFonts w:ascii="Arial" w:cs="Arial" w:eastAsia="Arial" w:hAnsi="Arial"/>
          <w:sz w:val="18"/>
          <w:szCs w:val="18"/>
          <w:color w:val="auto"/>
        </w:rPr>
        <w:t>In April 2025 the FDA granted Fast Track designation to BIIB080, an investigational ASO therapy targeting tau for the potential treatment of Alzheimer's disease.</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070C0"/>
        </w:rPr>
        <w:t>CORPORATE MATTERS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2025 SENIOR NOTES</w:t>
      </w:r>
    </w:p>
    <w:p>
      <w:pPr>
        <w:spacing w:after="0" w:line="11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On May 12, 2025, we issued senior unsecured notes for an aggregate principal amount of $1.75 billion. In June 2025 we used the net proceeds from the sale of our 2025 Senior Notes to redeem our 4.050% Senior Notes due September 15, 2025, prior to maturity.</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 xml:space="preserve">For additional information relating to our 2025 Senior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NEW CORPORATE HEADQUARTERS LEASE</w:t>
      </w:r>
    </w:p>
    <w:p>
      <w:pPr>
        <w:spacing w:after="0" w:line="10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March 2025 we entered into a lease agreement with MIT Investment Management Company and BioMed Realty for the lease of approximately 580,000 square feet of office and research and development space located at 75 Broadway, Cambridge, Massachusetts, which will be used as our new global corporate headquarters, as well as integrating our research and development and technical operations teams alongside our North American commercial organization. As part of a multi-year real estate consolidation plan that is expected to result in a reduction of approximately 40% of our real estate footprint in Massachusetts, this new lease is intended to replace two existing leases, both in Cambridge, Massachusetts, including our current corporate headquarters. We expect the initial lease term of approximately 15.5 years to commence on May 31, 2028.</w:t>
      </w:r>
    </w:p>
    <w:p>
      <w:pPr>
        <w:spacing w:after="0" w:line="7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additional information on our lease agreement, please read </w:t>
      </w:r>
      <w:r>
        <w:rPr>
          <w:rFonts w:ascii="Arial" w:cs="Arial" w:eastAsia="Arial" w:hAnsi="Arial"/>
          <w:sz w:val="18"/>
          <w:szCs w:val="18"/>
          <w:i w:val="1"/>
          <w:iCs w:val="1"/>
          <w:color w:val="auto"/>
        </w:rPr>
        <w:t>Note 12, Leases,</w:t>
      </w:r>
      <w:r>
        <w:rPr>
          <w:rFonts w:ascii="Arial" w:cs="Arial" w:eastAsia="Arial" w:hAnsi="Arial"/>
          <w:sz w:val="18"/>
          <w:szCs w:val="18"/>
          <w:color w:val="auto"/>
        </w:rPr>
        <w:t xml:space="preserve"> to our consolidated financial statements included in this report.</w:t>
      </w:r>
    </w:p>
    <w:p>
      <w:pPr>
        <w:spacing w:after="0" w:line="72" w:lineRule="exact"/>
        <w:rPr>
          <w:sz w:val="20"/>
          <w:szCs w:val="20"/>
          <w:color w:val="auto"/>
        </w:rPr>
      </w:pPr>
    </w:p>
    <w:p>
      <w:pPr>
        <w:spacing w:after="0"/>
        <w:rPr>
          <w:sz w:val="20"/>
          <w:szCs w:val="20"/>
          <w:color w:val="auto"/>
        </w:rPr>
      </w:pPr>
      <w:r>
        <w:rPr>
          <w:rFonts w:ascii="Arial" w:cs="Arial" w:eastAsia="Arial" w:hAnsi="Arial"/>
          <w:sz w:val="29"/>
          <w:szCs w:val="29"/>
          <w:color w:val="0070C0"/>
        </w:rPr>
        <w:t>DISCONTINUED PROGRAMS AND STUDIES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SALE OF TOFIDENCE</w:t>
      </w:r>
    </w:p>
    <w:p>
      <w:pPr>
        <w:spacing w:after="0" w:line="1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March 2025 we completed the sale of our regulatory and commercial rights in the U.S. for TOFIDENCE, a tocilizumab biosimilar referencing ACTEMRA, to Organon. Under the terms of this transaction, we received a payment of approximately $51.0 million in July 2025 and recognized a de minimis loss within our consolidated statements of income for the year ended December 31, 2025.</w:t>
      </w:r>
    </w:p>
    <w:p>
      <w:pPr>
        <w:spacing w:after="0" w:line="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For additional information on our sale of TOFIDENCE,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our consolidated financial statements included in this report.</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SALE OF BYOOVIZ AND OPUVIZ RIGHTS</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October 2025 we completed the sale of our remaining commercial rights to two ophthalmology assets in Europe: BYOOVIZ, a ranibizumab biosimilar referencing LUCENTIS, and OPUVIZ, an aflibercept biosimilar referencing EYLEA. Samsung Bioepis will have full responsibility for commercialization of BYOOVIZ upon the transfer of commercial rights from Biogen back to Samsung Bioepis, which became effective as of January 2026. Under the terms of this transaction, we received a payment of $28.0 million in November 2025 and recognized a minimal gain on disposal within our consolidated statements of income for the year ended December 31, 2025.</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license arrangements with Samsung Bioepis,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BIIB143 (cemdomespib)</w:t>
      </w:r>
    </w:p>
    <w:p>
      <w:pPr>
        <w:spacing w:after="0" w:line="92"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In early 2025 we discontinued further development of BIIB143 (cemdomespib) for the treatment of DPN, as part of our ongoing pipeline prioritization efforts.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FELZARTAMAB - LUPUS NEPHRITIS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2025 we discontinued the open label Phase 1b study of felzartamab for the treatment of lupus nephritis.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00587F"/>
        </w:rPr>
        <w:t>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REVENUE</w:t>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The following revenue discussion should be read in conjunction with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consolidated financial statements included in this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Revenue is summarized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 Change</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660" w:type="dxa"/>
            <w:vAlign w:val="bottom"/>
            <w:tcBorders>
              <w:bottom w:val="single" w:sz="8" w:color="auto"/>
            </w:tcBorders>
          </w:tcPr>
          <w:p>
            <w:pPr>
              <w:spacing w:after="0"/>
              <w:rPr>
                <w:sz w:val="17"/>
                <w:szCs w:val="17"/>
                <w:color w:val="auto"/>
              </w:rPr>
            </w:pPr>
          </w:p>
        </w:tc>
      </w:tr>
      <w:tr>
        <w:trPr>
          <w:trHeight w:val="18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gridSpan w:val="9"/>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800" w:type="dxa"/>
            <w:vAlign w:val="bottom"/>
            <w:shd w:val="clear" w:color="auto" w:fill="DBDBDB"/>
          </w:tcPr>
          <w:p>
            <w:pPr>
              <w:jc w:val="right"/>
              <w:ind w:right="110"/>
              <w:spacing w:after="0"/>
              <w:rPr>
                <w:sz w:val="20"/>
                <w:szCs w:val="20"/>
                <w:color w:val="auto"/>
              </w:rPr>
            </w:pPr>
            <w:r>
              <w:rPr>
                <w:rFonts w:ascii="Arial" w:cs="Arial" w:eastAsia="Arial" w:hAnsi="Arial"/>
                <w:sz w:val="14"/>
                <w:szCs w:val="14"/>
                <w:b w:val="1"/>
                <w:bCs w:val="1"/>
                <w:color w:val="026DCE"/>
              </w:rPr>
              <w:t>2025</w:t>
            </w:r>
          </w:p>
        </w:tc>
        <w:tc>
          <w:tcPr>
            <w:tcW w:w="16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5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740" w:type="dxa"/>
            <w:vAlign w:val="bottom"/>
            <w:shd w:val="clear" w:color="auto" w:fill="DBDBDB"/>
          </w:tcPr>
          <w:p>
            <w:pPr>
              <w:jc w:val="right"/>
              <w:ind w:right="270"/>
              <w:spacing w:after="0"/>
              <w:rPr>
                <w:sz w:val="20"/>
                <w:szCs w:val="20"/>
                <w:color w:val="auto"/>
              </w:rPr>
            </w:pPr>
            <w:r>
              <w:rPr>
                <w:rFonts w:ascii="Arial" w:cs="Arial" w:eastAsia="Arial" w:hAnsi="Arial"/>
                <w:sz w:val="14"/>
                <w:szCs w:val="14"/>
                <w:b w:val="1"/>
                <w:bCs w:val="1"/>
                <w:color w:val="026DCE"/>
              </w:rPr>
              <w:t>2025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50"/>
              <w:spacing w:after="0"/>
              <w:rPr>
                <w:sz w:val="20"/>
                <w:szCs w:val="20"/>
                <w:color w:val="auto"/>
              </w:rPr>
            </w:pPr>
            <w:r>
              <w:rPr>
                <w:rFonts w:ascii="Arial" w:cs="Arial" w:eastAsia="Arial" w:hAnsi="Arial"/>
                <w:sz w:val="14"/>
                <w:szCs w:val="14"/>
                <w:b w:val="1"/>
                <w:bCs w:val="1"/>
                <w:color w:val="auto"/>
              </w:rPr>
              <w:t>2024</w:t>
            </w:r>
          </w:p>
        </w:tc>
      </w:tr>
      <w:tr>
        <w:trPr>
          <w:trHeight w:val="92"/>
        </w:trPr>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DBDBDB"/>
            </w:tcBorders>
            <w:gridSpan w:val="2"/>
            <w:shd w:val="clear" w:color="auto" w:fill="DBDBDB"/>
          </w:tcPr>
          <w:p>
            <w:pPr>
              <w:jc w:val="right"/>
              <w:ind w:right="308"/>
              <w:spacing w:after="0" w:line="92" w:lineRule="exact"/>
              <w:rPr>
                <w:sz w:val="20"/>
                <w:szCs w:val="20"/>
                <w:color w:val="auto"/>
              </w:rPr>
            </w:pPr>
            <w:r>
              <w:rPr>
                <w:rFonts w:ascii="Arial" w:cs="Arial" w:eastAsia="Arial" w:hAnsi="Arial"/>
                <w:sz w:val="10"/>
                <w:szCs w:val="10"/>
                <w:b w:val="1"/>
                <w:bCs w:val="1"/>
                <w:color w:val="026DCE"/>
              </w:rPr>
              <w:t>vs.</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gridSpan w:val="2"/>
          </w:tcPr>
          <w:p>
            <w:pPr>
              <w:ind w:left="80"/>
              <w:spacing w:after="0" w:line="92" w:lineRule="exact"/>
              <w:rPr>
                <w:sz w:val="20"/>
                <w:szCs w:val="20"/>
                <w:color w:val="auto"/>
              </w:rPr>
            </w:pPr>
            <w:r>
              <w:rPr>
                <w:rFonts w:ascii="Arial" w:cs="Arial" w:eastAsia="Arial" w:hAnsi="Arial"/>
                <w:sz w:val="10"/>
                <w:szCs w:val="10"/>
                <w:b w:val="1"/>
                <w:bCs w:val="1"/>
                <w:color w:val="auto"/>
              </w:rPr>
              <w:t>vs.</w:t>
            </w:r>
          </w:p>
        </w:tc>
        <w:tc>
          <w:tcPr>
            <w:tcW w:w="200" w:type="dxa"/>
            <w:vAlign w:val="bottom"/>
            <w:tcBorders>
              <w:bottom w:val="single" w:sz="8" w:color="DBDBDB"/>
            </w:tcBorders>
            <w:shd w:val="clear" w:color="auto" w:fill="DBDBDB"/>
          </w:tcPr>
          <w:p>
            <w:pPr>
              <w:spacing w:after="0"/>
              <w:rPr>
                <w:sz w:val="8"/>
                <w:szCs w:val="8"/>
                <w:color w:val="auto"/>
              </w:rPr>
            </w:pPr>
          </w:p>
        </w:tc>
        <w:tc>
          <w:tcPr>
            <w:tcW w:w="740" w:type="dxa"/>
            <w:vAlign w:val="bottom"/>
            <w:tcBorders>
              <w:bottom w:val="single" w:sz="8" w:color="DBDBDB"/>
            </w:tcBorders>
            <w:shd w:val="clear" w:color="auto" w:fill="DBDBDB"/>
          </w:tcPr>
          <w:p>
            <w:pPr>
              <w:jc w:val="right"/>
              <w:ind w:right="310"/>
              <w:spacing w:after="0" w:line="92" w:lineRule="exact"/>
              <w:rPr>
                <w:sz w:val="20"/>
                <w:szCs w:val="20"/>
                <w:color w:val="auto"/>
              </w:rPr>
            </w:pPr>
            <w:r>
              <w:rPr>
                <w:rFonts w:ascii="Arial" w:cs="Arial" w:eastAsia="Arial" w:hAnsi="Arial"/>
                <w:sz w:val="10"/>
                <w:szCs w:val="10"/>
                <w:b w:val="1"/>
                <w:bCs w:val="1"/>
                <w:color w:val="026DCE"/>
              </w:rPr>
              <w:t>vs.</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jc w:val="right"/>
              <w:ind w:right="310"/>
              <w:spacing w:after="0" w:line="92" w:lineRule="exact"/>
              <w:rPr>
                <w:sz w:val="20"/>
                <w:szCs w:val="20"/>
                <w:color w:val="auto"/>
              </w:rPr>
            </w:pPr>
            <w:r>
              <w:rPr>
                <w:rFonts w:ascii="Arial" w:cs="Arial" w:eastAsia="Arial" w:hAnsi="Arial"/>
                <w:sz w:val="10"/>
                <w:szCs w:val="10"/>
                <w:b w:val="1"/>
                <w:bCs w:val="1"/>
                <w:color w:val="auto"/>
              </w:rPr>
              <w:t>vs.</w:t>
            </w:r>
          </w:p>
        </w:tc>
      </w:tr>
      <w:tr>
        <w:trPr>
          <w:trHeight w:val="19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7"/>
                <w:szCs w:val="17"/>
                <w:color w:val="auto"/>
              </w:rPr>
            </w:pPr>
          </w:p>
        </w:tc>
        <w:tc>
          <w:tcPr>
            <w:tcW w:w="220" w:type="dxa"/>
            <w:vAlign w:val="bottom"/>
            <w:tcBorders>
              <w:top w:val="single" w:sz="8" w:color="DDDDDD"/>
              <w:bottom w:val="single" w:sz="8" w:color="auto"/>
            </w:tcBorders>
            <w:shd w:val="clear" w:color="auto" w:fill="DDDDDD"/>
          </w:tcPr>
          <w:p>
            <w:pPr>
              <w:spacing w:after="0"/>
              <w:rPr>
                <w:sz w:val="17"/>
                <w:szCs w:val="17"/>
                <w:color w:val="auto"/>
              </w:rPr>
            </w:pPr>
          </w:p>
        </w:tc>
        <w:tc>
          <w:tcPr>
            <w:tcW w:w="780" w:type="dxa"/>
            <w:vAlign w:val="bottom"/>
            <w:tcBorders>
              <w:top w:val="single" w:sz="8" w:color="DDDDDD"/>
              <w:bottom w:val="single" w:sz="8" w:color="auto"/>
            </w:tcBorders>
            <w:gridSpan w:val="2"/>
            <w:shd w:val="clear" w:color="auto" w:fill="DDDDDD"/>
          </w:tcPr>
          <w:p>
            <w:pPr>
              <w:jc w:val="right"/>
              <w:ind w:right="340"/>
              <w:spacing w:after="0"/>
              <w:rPr>
                <w:sz w:val="20"/>
                <w:szCs w:val="20"/>
                <w:color w:val="auto"/>
              </w:rPr>
            </w:pPr>
            <w:r>
              <w:rPr>
                <w:rFonts w:ascii="Arial" w:cs="Arial" w:eastAsia="Arial" w:hAnsi="Arial"/>
                <w:sz w:val="14"/>
                <w:szCs w:val="14"/>
                <w:b w:val="1"/>
                <w:bCs w:val="1"/>
                <w:color w:val="2573BA"/>
              </w:rPr>
              <w:t>2025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800" w:type="dxa"/>
            <w:vAlign w:val="bottom"/>
            <w:tcBorders>
              <w:top w:val="single" w:sz="8" w:color="DBDBDB"/>
              <w:bottom w:val="single" w:sz="8" w:color="auto"/>
            </w:tcBorders>
            <w:shd w:val="clear" w:color="auto" w:fill="DBDBDB"/>
          </w:tcPr>
          <w:p>
            <w:pPr>
              <w:jc w:val="right"/>
              <w:ind w:right="90"/>
              <w:spacing w:after="0"/>
              <w:rPr>
                <w:sz w:val="20"/>
                <w:szCs w:val="20"/>
                <w:color w:val="auto"/>
              </w:rPr>
            </w:pPr>
            <w:r>
              <w:rPr>
                <w:rFonts w:ascii="Arial" w:cs="Arial" w:eastAsia="Arial" w:hAnsi="Arial"/>
                <w:sz w:val="14"/>
                <w:szCs w:val="14"/>
                <w:b w:val="1"/>
                <w:bCs w:val="1"/>
                <w:color w:val="026DCE"/>
              </w:rPr>
              <w:t>2024</w:t>
            </w:r>
          </w:p>
        </w:tc>
        <w:tc>
          <w:tcPr>
            <w:tcW w:w="160" w:type="dxa"/>
            <w:vAlign w:val="bottom"/>
            <w:tcBorders>
              <w:top w:val="single" w:sz="8" w:color="DBDBDB"/>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200" w:type="dxa"/>
            <w:vAlign w:val="bottom"/>
            <w:tcBorders>
              <w:top w:val="single" w:sz="8" w:color="DBDBDB"/>
              <w:bottom w:val="single" w:sz="8" w:color="auto"/>
            </w:tcBorders>
            <w:shd w:val="clear" w:color="auto" w:fill="DBDBDB"/>
          </w:tcPr>
          <w:p>
            <w:pPr>
              <w:spacing w:after="0"/>
              <w:rPr>
                <w:sz w:val="17"/>
                <w:szCs w:val="17"/>
                <w:color w:val="auto"/>
              </w:rPr>
            </w:pPr>
          </w:p>
        </w:tc>
        <w:tc>
          <w:tcPr>
            <w:tcW w:w="740" w:type="dxa"/>
            <w:vAlign w:val="bottom"/>
            <w:tcBorders>
              <w:top w:val="single" w:sz="8" w:color="DBDBDB"/>
              <w:bottom w:val="single" w:sz="8" w:color="auto"/>
            </w:tcBorders>
            <w:shd w:val="clear" w:color="auto" w:fill="DBDBDB"/>
          </w:tcPr>
          <w:p>
            <w:pPr>
              <w:jc w:val="right"/>
              <w:ind w:right="250"/>
              <w:spacing w:after="0"/>
              <w:rPr>
                <w:sz w:val="20"/>
                <w:szCs w:val="20"/>
                <w:color w:val="auto"/>
              </w:rPr>
            </w:pPr>
            <w:r>
              <w:rPr>
                <w:rFonts w:ascii="Arial" w:cs="Arial" w:eastAsia="Arial" w:hAnsi="Arial"/>
                <w:sz w:val="14"/>
                <w:szCs w:val="14"/>
                <w:b w:val="1"/>
                <w:bCs w:val="1"/>
                <w:color w:val="026DCE"/>
              </w:rPr>
              <w:t>2024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2023</w:t>
            </w:r>
          </w:p>
        </w:tc>
      </w:tr>
      <w:tr>
        <w:trPr>
          <w:trHeight w:val="189"/>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3"/>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3,547.9</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3,237.3</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3,141.4</w:t>
            </w:r>
          </w:p>
        </w:tc>
        <w:tc>
          <w:tcPr>
            <w:tcW w:w="12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9.6</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w w:val="96"/>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280"/>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310.6</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95.9</w:t>
            </w:r>
          </w:p>
        </w:tc>
      </w:tr>
      <w:tr>
        <w:trPr>
          <w:trHeight w:val="204"/>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3,571.5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3,976.2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4,105.3</w:t>
            </w:r>
          </w:p>
        </w:tc>
        <w:tc>
          <w:tcPr>
            <w:tcW w:w="120" w:type="dxa"/>
            <w:vAlign w:val="bottom"/>
          </w:tcPr>
          <w:p>
            <w:pPr>
              <w:spacing w:after="0"/>
              <w:rPr>
                <w:sz w:val="17"/>
                <w:szCs w:val="17"/>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(10.2)</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(404.7)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(129.1)</w:t>
            </w:r>
          </w:p>
        </w:tc>
      </w:tr>
      <w:tr>
        <w:trPr>
          <w:trHeight w:val="194"/>
        </w:trPr>
        <w:tc>
          <w:tcPr>
            <w:tcW w:w="3780" w:type="dxa"/>
            <w:vAlign w:val="bottom"/>
            <w:gridSpan w:val="2"/>
          </w:tcPr>
          <w:p>
            <w:pPr>
              <w:ind w:left="360"/>
              <w:spacing w:after="0"/>
              <w:rPr>
                <w:sz w:val="20"/>
                <w:szCs w:val="20"/>
                <w:color w:val="auto"/>
              </w:rPr>
            </w:pPr>
            <w:r>
              <w:rPr>
                <w:rFonts w:ascii="Arial" w:cs="Arial" w:eastAsia="Arial" w:hAnsi="Arial"/>
                <w:sz w:val="14"/>
                <w:szCs w:val="14"/>
                <w:color w:val="auto"/>
              </w:rPr>
              <w:t>Total product revenue, net</w:t>
            </w:r>
          </w:p>
        </w:tc>
        <w:tc>
          <w:tcPr>
            <w:tcW w:w="220" w:type="dxa"/>
            <w:vAlign w:val="bottom"/>
            <w:shd w:val="clear" w:color="auto" w:fill="DBDBDB"/>
          </w:tcPr>
          <w:p>
            <w:pPr>
              <w:spacing w:after="0"/>
              <w:rPr>
                <w:sz w:val="16"/>
                <w:szCs w:val="16"/>
                <w:color w:val="auto"/>
              </w:rPr>
            </w:pPr>
          </w:p>
        </w:tc>
        <w:tc>
          <w:tcPr>
            <w:tcW w:w="78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7,119.4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7,213.5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7,246.7</w:t>
            </w:r>
          </w:p>
        </w:tc>
        <w:tc>
          <w:tcPr>
            <w:tcW w:w="120" w:type="dxa"/>
            <w:vAlign w:val="bottom"/>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w:t>
            </w: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(94.1)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(33.2)</w:t>
            </w:r>
          </w:p>
        </w:tc>
      </w:tr>
      <w:tr>
        <w:trPr>
          <w:trHeight w:val="20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220" w:type="dxa"/>
            <w:vAlign w:val="bottom"/>
            <w:shd w:val="clear" w:color="auto" w:fill="DBDBDB"/>
          </w:tcPr>
          <w:p>
            <w:pPr>
              <w:spacing w:after="0"/>
              <w:rPr>
                <w:sz w:val="17"/>
                <w:szCs w:val="17"/>
                <w:color w:val="auto"/>
              </w:rPr>
            </w:pPr>
          </w:p>
        </w:tc>
        <w:tc>
          <w:tcPr>
            <w:tcW w:w="78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1,860.6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1,749.9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1,689.6</w:t>
            </w:r>
          </w:p>
        </w:tc>
        <w:tc>
          <w:tcPr>
            <w:tcW w:w="120" w:type="dxa"/>
            <w:vAlign w:val="bottom"/>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6.3</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28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60.3</w:t>
            </w:r>
          </w:p>
        </w:tc>
      </w:tr>
      <w:tr>
        <w:trPr>
          <w:trHeight w:val="215"/>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Alzheimer's collaboration revenue</w:t>
            </w:r>
            <w:r>
              <w:rPr>
                <w:rFonts w:ascii="Arial" w:cs="Arial" w:eastAsia="Arial" w:hAnsi="Arial"/>
                <w:sz w:val="18"/>
                <w:szCs w:val="18"/>
                <w:color w:val="auto"/>
                <w:vertAlign w:val="superscript"/>
              </w:rPr>
              <w:t>(1)</w:t>
            </w:r>
          </w:p>
        </w:tc>
        <w:tc>
          <w:tcPr>
            <w:tcW w:w="220" w:type="dxa"/>
            <w:vAlign w:val="bottom"/>
            <w:shd w:val="clear" w:color="auto" w:fill="DBDBDB"/>
          </w:tcPr>
          <w:p>
            <w:pPr>
              <w:spacing w:after="0"/>
              <w:rPr>
                <w:sz w:val="18"/>
                <w:szCs w:val="18"/>
                <w:color w:val="auto"/>
              </w:rPr>
            </w:pPr>
          </w:p>
        </w:tc>
        <w:tc>
          <w:tcPr>
            <w:tcW w:w="78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177.7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196.7</w:t>
            </w:r>
          </w:p>
        </w:tc>
        <w:tc>
          <w:tcPr>
            <w:tcW w:w="16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4"/>
                <w:szCs w:val="14"/>
                <w:color w:val="auto"/>
              </w:rPr>
              <w:t>nm</w:t>
            </w:r>
          </w:p>
        </w:tc>
        <w:tc>
          <w:tcPr>
            <w:tcW w:w="200" w:type="dxa"/>
            <w:vAlign w:val="bottom"/>
            <w:shd w:val="clear" w:color="auto" w:fill="DBDBDB"/>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59.9</w:t>
            </w:r>
          </w:p>
        </w:tc>
      </w:tr>
      <w:tr>
        <w:trPr>
          <w:trHeight w:val="194"/>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22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732.9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652.6</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899.3</w:t>
            </w:r>
          </w:p>
        </w:tc>
        <w:tc>
          <w:tcPr>
            <w:tcW w:w="120" w:type="dxa"/>
            <w:vAlign w:val="bottom"/>
          </w:tcPr>
          <w:p>
            <w:pPr>
              <w:spacing w:after="0"/>
              <w:rPr>
                <w:sz w:val="16"/>
                <w:szCs w:val="16"/>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12.3</w:t>
            </w:r>
          </w:p>
        </w:tc>
        <w:tc>
          <w:tcPr>
            <w:tcW w:w="16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80.3</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(246.7)</w:t>
            </w:r>
          </w:p>
        </w:tc>
      </w:tr>
      <w:tr>
        <w:trPr>
          <w:trHeight w:val="220"/>
        </w:trPr>
        <w:tc>
          <w:tcPr>
            <w:tcW w:w="3780" w:type="dxa"/>
            <w:vAlign w:val="bottom"/>
            <w:gridSpan w:val="2"/>
          </w:tcPr>
          <w:p>
            <w:pPr>
              <w:ind w:left="360"/>
              <w:spacing w:after="0"/>
              <w:rPr>
                <w:sz w:val="20"/>
                <w:szCs w:val="20"/>
                <w:color w:val="auto"/>
              </w:rPr>
            </w:pPr>
            <w:r>
              <w:rPr>
                <w:rFonts w:ascii="Arial" w:cs="Arial" w:eastAsia="Arial" w:hAnsi="Arial"/>
                <w:sz w:val="14"/>
                <w:szCs w:val="14"/>
                <w:color w:val="auto"/>
              </w:rPr>
              <w:t>Total revenue</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color w:val="2573BA"/>
              </w:rPr>
              <w:t>9,890.6</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9,675.9</w:t>
            </w:r>
          </w:p>
        </w:tc>
        <w:tc>
          <w:tcPr>
            <w:tcW w:w="120" w:type="dxa"/>
            <w:vAlign w:val="bottom"/>
          </w:tcPr>
          <w:p>
            <w:pPr>
              <w:spacing w:after="0"/>
              <w:rPr>
                <w:sz w:val="19"/>
                <w:szCs w:val="19"/>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9,835.6</w:t>
            </w:r>
          </w:p>
        </w:tc>
        <w:tc>
          <w:tcPr>
            <w:tcW w:w="120" w:type="dxa"/>
            <w:vAlign w:val="bottom"/>
          </w:tcPr>
          <w:p>
            <w:pPr>
              <w:spacing w:after="0"/>
              <w:rPr>
                <w:sz w:val="19"/>
                <w:szCs w:val="19"/>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w w:val="96"/>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214.7</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(159.7)</w:t>
            </w: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3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ind w:left="160" w:hanging="152"/>
        <w:spacing w:after="0" w:line="214" w:lineRule="auto"/>
        <w:tabs>
          <w:tab w:leader="none" w:pos="160" w:val="left"/>
        </w:tabs>
        <w:numPr>
          <w:ilvl w:val="0"/>
          <w:numId w:val="80"/>
        </w:numPr>
        <w:rPr>
          <w:rFonts w:ascii="Arial" w:cs="Arial" w:eastAsia="Arial" w:hAnsi="Arial"/>
          <w:sz w:val="18"/>
          <w:szCs w:val="18"/>
          <w:color w:val="auto"/>
          <w:vertAlign w:val="superscript"/>
        </w:rPr>
      </w:pPr>
      <w:r>
        <w:rPr>
          <w:rFonts w:ascii="Arial" w:cs="Arial" w:eastAsia="Arial" w:hAnsi="Arial"/>
          <w:sz w:val="14"/>
          <w:szCs w:val="14"/>
          <w:color w:val="auto"/>
        </w:rPr>
        <w:t>Alzheimer's collaboration revenue consists of our 50.0% share of LEQEMBI product revenue, net and cost of sales, including royalties.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PRODUCT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summarized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shd w:val="clear" w:color="auto" w:fill="DBDBDB"/>
          </w:tcPr>
          <w:p>
            <w:pPr>
              <w:jc w:val="center"/>
              <w:spacing w:after="0" w:line="143" w:lineRule="exact"/>
              <w:rPr>
                <w:sz w:val="20"/>
                <w:szCs w:val="20"/>
                <w:color w:val="auto"/>
              </w:rPr>
            </w:pPr>
            <w:r>
              <w:rPr>
                <w:rFonts w:ascii="Arial" w:cs="Arial" w:eastAsia="Arial" w:hAnsi="Arial"/>
                <w:sz w:val="14"/>
                <w:szCs w:val="14"/>
                <w:b w:val="1"/>
                <w:bCs w:val="1"/>
                <w:color w:val="026DCE"/>
              </w:rPr>
              <w:t>2025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ind w:right="249"/>
              <w:spacing w:after="0" w:line="143" w:lineRule="exact"/>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309"/>
              <w:spacing w:after="0" w:line="143" w:lineRule="exact"/>
              <w:rPr>
                <w:sz w:val="20"/>
                <w:szCs w:val="20"/>
                <w:color w:val="auto"/>
              </w:rPr>
            </w:pPr>
            <w:r>
              <w:rPr>
                <w:rFonts w:ascii="Arial" w:cs="Arial" w:eastAsia="Arial" w:hAnsi="Arial"/>
                <w:sz w:val="14"/>
                <w:szCs w:val="14"/>
                <w:b w:val="1"/>
                <w:bCs w:val="1"/>
                <w:color w:val="026DCE"/>
              </w:rPr>
              <w:t>2025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269"/>
              <w:spacing w:after="0" w:line="143"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07"/>
        </w:trPr>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960" w:type="dxa"/>
            <w:vAlign w:val="bottom"/>
            <w:shd w:val="clear" w:color="auto" w:fill="DBDBDB"/>
          </w:tcPr>
          <w:p>
            <w:pPr>
              <w:jc w:val="center"/>
              <w:spacing w:after="0" w:line="107" w:lineRule="exact"/>
              <w:rPr>
                <w:sz w:val="20"/>
                <w:szCs w:val="20"/>
                <w:color w:val="auto"/>
              </w:rPr>
            </w:pPr>
            <w:r>
              <w:rPr>
                <w:rFonts w:ascii="Arial" w:cs="Arial" w:eastAsia="Arial" w:hAnsi="Arial"/>
                <w:sz w:val="12"/>
                <w:szCs w:val="12"/>
                <w:b w:val="1"/>
                <w:bCs w:val="1"/>
                <w:color w:val="026DCE"/>
              </w:rPr>
              <w:t>vs.</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vs.</w:t>
            </w:r>
          </w:p>
        </w:tc>
        <w:tc>
          <w:tcPr>
            <w:tcW w:w="220" w:type="dxa"/>
            <w:vAlign w:val="bottom"/>
            <w:shd w:val="clear" w:color="auto" w:fill="DBDBDB"/>
          </w:tcPr>
          <w:p>
            <w:pPr>
              <w:spacing w:after="0"/>
              <w:rPr>
                <w:sz w:val="9"/>
                <w:szCs w:val="9"/>
                <w:color w:val="auto"/>
              </w:rPr>
            </w:pPr>
          </w:p>
        </w:tc>
        <w:tc>
          <w:tcPr>
            <w:tcW w:w="800" w:type="dxa"/>
            <w:vAlign w:val="bottom"/>
            <w:shd w:val="clear" w:color="auto" w:fill="DBDBDB"/>
          </w:tcPr>
          <w:p>
            <w:pPr>
              <w:jc w:val="right"/>
              <w:ind w:right="349"/>
              <w:spacing w:after="0" w:line="107" w:lineRule="exact"/>
              <w:rPr>
                <w:sz w:val="20"/>
                <w:szCs w:val="20"/>
                <w:color w:val="auto"/>
              </w:rPr>
            </w:pPr>
            <w:r>
              <w:rPr>
                <w:rFonts w:ascii="Arial" w:cs="Arial" w:eastAsia="Arial" w:hAnsi="Arial"/>
                <w:sz w:val="12"/>
                <w:szCs w:val="12"/>
                <w:b w:val="1"/>
                <w:bCs w:val="1"/>
                <w:color w:val="026DCE"/>
              </w:rPr>
              <w:t>vs.</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jc w:val="right"/>
              <w:ind w:right="329"/>
              <w:spacing w:after="0" w:line="107" w:lineRule="exact"/>
              <w:rPr>
                <w:sz w:val="20"/>
                <w:szCs w:val="20"/>
                <w:color w:val="auto"/>
              </w:rPr>
            </w:pPr>
            <w:r>
              <w:rPr>
                <w:rFonts w:ascii="Arial" w:cs="Arial" w:eastAsia="Arial" w:hAnsi="Arial"/>
                <w:sz w:val="12"/>
                <w:szCs w:val="12"/>
                <w:b w:val="1"/>
                <w:bCs w:val="1"/>
                <w:color w:val="auto"/>
              </w:rPr>
              <w:t>vs.</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shd w:val="clear" w:color="auto" w:fill="DDDDDD"/>
          </w:tcPr>
          <w:p>
            <w:pPr>
              <w:spacing w:after="0"/>
              <w:rPr>
                <w:sz w:val="18"/>
                <w:szCs w:val="18"/>
                <w:color w:val="auto"/>
              </w:rPr>
            </w:pPr>
          </w:p>
        </w:tc>
        <w:tc>
          <w:tcPr>
            <w:tcW w:w="800" w:type="dxa"/>
            <w:vAlign w:val="bottom"/>
            <w:tcBorders>
              <w:top w:val="single" w:sz="8" w:color="auto"/>
              <w:bottom w:val="single" w:sz="8" w:color="auto"/>
            </w:tcBorders>
            <w:shd w:val="clear" w:color="auto" w:fill="DDDDDD"/>
          </w:tcPr>
          <w:p>
            <w:pPr>
              <w:jc w:val="right"/>
              <w:ind w:right="288"/>
              <w:spacing w:after="0"/>
              <w:rPr>
                <w:sz w:val="20"/>
                <w:szCs w:val="20"/>
                <w:color w:val="auto"/>
              </w:rPr>
            </w:pPr>
            <w:r>
              <w:rPr>
                <w:rFonts w:ascii="Arial" w:cs="Arial" w:eastAsia="Arial" w:hAnsi="Arial"/>
                <w:sz w:val="14"/>
                <w:szCs w:val="14"/>
                <w:b w:val="1"/>
                <w:bCs w:val="1"/>
                <w:color w:val="2573BA"/>
              </w:rPr>
              <w:t>2025</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8"/>
                <w:szCs w:val="18"/>
                <w:color w:val="auto"/>
              </w:rPr>
            </w:pPr>
          </w:p>
        </w:tc>
        <w:tc>
          <w:tcPr>
            <w:tcW w:w="960" w:type="dxa"/>
            <w:vAlign w:val="bottom"/>
            <w:tcBorders>
              <w:top w:val="single" w:sz="8" w:color="DBDBDB"/>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026DCE"/>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Pr>
          <w:p>
            <w:pPr>
              <w:spacing w:after="0"/>
              <w:rPr>
                <w:sz w:val="18"/>
                <w:szCs w:val="18"/>
                <w:color w:val="auto"/>
              </w:rPr>
            </w:pPr>
          </w:p>
        </w:tc>
        <w:tc>
          <w:tcPr>
            <w:tcW w:w="220" w:type="dxa"/>
            <w:vAlign w:val="bottom"/>
            <w:tcBorders>
              <w:top w:val="single" w:sz="8" w:color="DBDBDB"/>
              <w:bottom w:val="single" w:sz="8" w:color="auto"/>
            </w:tcBorders>
            <w:shd w:val="clear" w:color="auto" w:fill="DBDBDB"/>
          </w:tcPr>
          <w:p>
            <w:pPr>
              <w:spacing w:after="0"/>
              <w:rPr>
                <w:sz w:val="18"/>
                <w:szCs w:val="18"/>
                <w:color w:val="auto"/>
              </w:rPr>
            </w:pPr>
          </w:p>
        </w:tc>
        <w:tc>
          <w:tcPr>
            <w:tcW w:w="800" w:type="dxa"/>
            <w:vAlign w:val="bottom"/>
            <w:tcBorders>
              <w:top w:val="single" w:sz="8" w:color="DBDBDB"/>
              <w:bottom w:val="single" w:sz="8" w:color="auto"/>
            </w:tcBorders>
            <w:shd w:val="clear" w:color="auto" w:fill="DBDBDB"/>
          </w:tcPr>
          <w:p>
            <w:pPr>
              <w:jc w:val="right"/>
              <w:ind w:right="289"/>
              <w:spacing w:after="0"/>
              <w:rPr>
                <w:sz w:val="20"/>
                <w:szCs w:val="20"/>
                <w:color w:val="auto"/>
              </w:rPr>
            </w:pPr>
            <w:r>
              <w:rPr>
                <w:rFonts w:ascii="Arial" w:cs="Arial" w:eastAsia="Arial" w:hAnsi="Arial"/>
                <w:sz w:val="14"/>
                <w:szCs w:val="14"/>
                <w:b w:val="1"/>
                <w:bCs w:val="1"/>
                <w:color w:val="026DCE"/>
              </w:rPr>
              <w:t>2024</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7"/>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4,038.9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4,349.8</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4,661.9</w:t>
            </w:r>
          </w:p>
        </w:tc>
        <w:tc>
          <w:tcPr>
            <w:tcW w:w="100" w:type="dxa"/>
            <w:vAlign w:val="bottom"/>
          </w:tcPr>
          <w:p>
            <w:pPr>
              <w:spacing w:after="0"/>
              <w:rPr>
                <w:sz w:val="17"/>
                <w:szCs w:val="17"/>
                <w:color w:val="auto"/>
              </w:rPr>
            </w:pPr>
          </w:p>
        </w:tc>
        <w:tc>
          <w:tcPr>
            <w:tcW w:w="960" w:type="dxa"/>
            <w:vAlign w:val="bottom"/>
            <w:shd w:val="clear" w:color="auto" w:fill="DBDBDB"/>
          </w:tcPr>
          <w:p>
            <w:pPr>
              <w:ind w:left="520"/>
              <w:spacing w:after="0"/>
              <w:rPr>
                <w:sz w:val="20"/>
                <w:szCs w:val="20"/>
                <w:color w:val="auto"/>
              </w:rPr>
            </w:pPr>
            <w:r>
              <w:rPr>
                <w:rFonts w:ascii="Arial" w:cs="Arial" w:eastAsia="Arial" w:hAnsi="Arial"/>
                <w:sz w:val="14"/>
                <w:szCs w:val="14"/>
                <w:color w:val="2573BA"/>
              </w:rPr>
              <w:t>(7.1)%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(310.9)</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(312.1)</w:t>
            </w:r>
          </w:p>
        </w:tc>
        <w:tc>
          <w:tcPr>
            <w:tcW w:w="0" w:type="dxa"/>
            <w:vAlign w:val="bottom"/>
          </w:tcPr>
          <w:p>
            <w:pPr>
              <w:spacing w:after="0"/>
              <w:rPr>
                <w:sz w:val="1"/>
                <w:szCs w:val="1"/>
                <w:color w:val="auto"/>
              </w:rPr>
            </w:pPr>
          </w:p>
        </w:tc>
      </w:tr>
      <w:tr>
        <w:trPr>
          <w:trHeight w:val="194"/>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Rare disease</w:t>
            </w: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2,154.2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1,988.1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1,803.0</w:t>
            </w:r>
          </w:p>
        </w:tc>
        <w:tc>
          <w:tcPr>
            <w:tcW w:w="100" w:type="dxa"/>
            <w:vAlign w:val="bottom"/>
          </w:tcPr>
          <w:p>
            <w:pPr>
              <w:spacing w:after="0"/>
              <w:rPr>
                <w:sz w:val="16"/>
                <w:szCs w:val="16"/>
                <w:color w:val="auto"/>
              </w:rPr>
            </w:pPr>
          </w:p>
        </w:tc>
        <w:tc>
          <w:tcPr>
            <w:tcW w:w="960" w:type="dxa"/>
            <w:vAlign w:val="bottom"/>
          </w:tcPr>
          <w:p>
            <w:pPr>
              <w:jc w:val="right"/>
              <w:ind w:right="109"/>
              <w:spacing w:after="0"/>
              <w:rPr>
                <w:sz w:val="20"/>
                <w:szCs w:val="20"/>
                <w:color w:val="auto"/>
              </w:rPr>
            </w:pPr>
            <w:r>
              <w:rPr>
                <w:rFonts w:ascii="Arial" w:cs="Arial" w:eastAsia="Arial" w:hAnsi="Arial"/>
                <w:sz w:val="14"/>
                <w:szCs w:val="14"/>
                <w:color w:val="2573BA"/>
              </w:rPr>
              <w:t>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2573BA"/>
              </w:rPr>
              <w:t>166.1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203"/>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22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729.1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793.1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770.0</w:t>
            </w:r>
          </w:p>
        </w:tc>
        <w:tc>
          <w:tcPr>
            <w:tcW w:w="100" w:type="dxa"/>
            <w:vAlign w:val="bottom"/>
          </w:tcPr>
          <w:p>
            <w:pPr>
              <w:spacing w:after="0"/>
              <w:rPr>
                <w:sz w:val="17"/>
                <w:szCs w:val="17"/>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2573BA"/>
              </w:rPr>
              <w:t>(8.1)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(64.0)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10"/>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220" w:type="dxa"/>
            <w:vAlign w:val="bottom"/>
            <w:tcBorders>
              <w:bottom w:val="single" w:sz="8" w:color="auto"/>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197.2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2573BA"/>
              </w:rPr>
              <w:t>139.0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8"/>
                <w:szCs w:val="18"/>
                <w:color w:val="auto"/>
              </w:rPr>
            </w:pPr>
          </w:p>
        </w:tc>
        <w:tc>
          <w:tcPr>
            <w:tcW w:w="220" w:type="dxa"/>
            <w:vAlign w:val="bottom"/>
            <w:tcBorders>
              <w:bottom w:val="single" w:sz="8" w:color="auto"/>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2573BA"/>
              </w:rPr>
              <w:t>114.7</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216"/>
        </w:trPr>
        <w:tc>
          <w:tcPr>
            <w:tcW w:w="3640" w:type="dxa"/>
            <w:vAlign w:val="bottom"/>
            <w:gridSpan w:val="2"/>
          </w:tcPr>
          <w:p>
            <w:pPr>
              <w:ind w:left="120"/>
              <w:spacing w:after="0"/>
              <w:rPr>
                <w:sz w:val="20"/>
                <w:szCs w:val="20"/>
                <w:color w:val="auto"/>
              </w:rPr>
            </w:pPr>
            <w:r>
              <w:rPr>
                <w:rFonts w:ascii="Arial" w:cs="Arial" w:eastAsia="Arial" w:hAnsi="Arial"/>
                <w:sz w:val="14"/>
                <w:szCs w:val="14"/>
                <w:color w:val="auto"/>
              </w:rPr>
              <w:t>Total product revenue, net</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7,119.4</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7,213.5</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7,246.7</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2573BA"/>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(94.1)</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-693420</wp:posOffset>
            </wp:positionV>
            <wp:extent cx="608330" cy="677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8330" cy="677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27774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ind w:left="160" w:hanging="152"/>
        <w:spacing w:after="0" w:line="214" w:lineRule="auto"/>
        <w:tabs>
          <w:tab w:leader="none" w:pos="160" w:val="left"/>
        </w:tabs>
        <w:numPr>
          <w:ilvl w:val="0"/>
          <w:numId w:val="81"/>
        </w:numPr>
        <w:rPr>
          <w:rFonts w:ascii="Arial" w:cs="Arial" w:eastAsia="Arial" w:hAnsi="Arial"/>
          <w:sz w:val="18"/>
          <w:szCs w:val="18"/>
          <w:color w:val="auto"/>
          <w:vertAlign w:val="superscript"/>
        </w:rPr>
      </w:pPr>
      <w:r>
        <w:rPr>
          <w:rFonts w:ascii="Arial" w:cs="Arial" w:eastAsia="Arial" w:hAnsi="Arial"/>
          <w:sz w:val="14"/>
          <w:szCs w:val="14"/>
          <w:color w:val="auto"/>
        </w:rPr>
        <w:t>Other includes ZURZUVAE, FUMADERM and ADUHELM.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4" w:lineRule="exact"/>
        <w:rPr>
          <w:sz w:val="20"/>
          <w:szCs w:val="20"/>
          <w:color w:val="auto"/>
        </w:rPr>
      </w:pPr>
    </w:p>
    <w:p>
      <w:pPr>
        <w:ind w:left="5900" w:right="120" w:hanging="161"/>
        <w:spacing w:after="0" w:line="257" w:lineRule="auto"/>
        <w:rPr>
          <w:sz w:val="20"/>
          <w:szCs w:val="20"/>
          <w:color w:val="auto"/>
        </w:rPr>
      </w:pPr>
      <w:r>
        <w:rPr>
          <w:rFonts w:ascii="Arial" w:cs="Arial" w:eastAsia="Arial" w:hAnsi="Arial"/>
          <w:sz w:val="17"/>
          <w:szCs w:val="17"/>
          <w:b w:val="1"/>
          <w:bCs w:val="1"/>
          <w:color w:val="0070C0"/>
        </w:rPr>
        <w:t xml:space="preserve">• </w:t>
      </w:r>
      <w:r>
        <w:rPr>
          <w:rFonts w:ascii="Arial" w:cs="Arial" w:eastAsia="Arial" w:hAnsi="Arial"/>
          <w:sz w:val="17"/>
          <w:szCs w:val="17"/>
          <w:color w:val="000000"/>
        </w:rPr>
        <w:t>Global VUMERITY revenue increased $118.8 million, from $628.0</w:t>
      </w:r>
      <w:r>
        <w:rPr>
          <w:rFonts w:ascii="Arial" w:cs="Arial" w:eastAsia="Arial" w:hAnsi="Arial"/>
          <w:sz w:val="17"/>
          <w:szCs w:val="17"/>
          <w:b w:val="1"/>
          <w:bCs w:val="1"/>
          <w:color w:val="0070C0"/>
        </w:rPr>
        <w:t xml:space="preserve"> </w:t>
      </w:r>
      <w:r>
        <w:rPr>
          <w:rFonts w:ascii="Arial" w:cs="Arial" w:eastAsia="Arial" w:hAnsi="Arial"/>
          <w:sz w:val="17"/>
          <w:szCs w:val="17"/>
          <w:color w:val="000000"/>
        </w:rPr>
        <w:t>million in 2024 to $746.8 million in 2025, or 18.9%, primarily due to an increase in global demand and a favorable change in estimate of approximately $20.3 million related to rebates and discounts in the U.S., partially offset by charges related to the IRA redesign.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2571750" cy="2957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71750" cy="2957830"/>
                    </a:xfrm>
                    <a:prstGeom prst="rect">
                      <a:avLst/>
                    </a:prstGeom>
                    <a:noFill/>
                  </pic:spPr>
                </pic:pic>
              </a:graphicData>
            </a:graphic>
          </wp:anchor>
        </w:drawing>
      </w:r>
    </w:p>
    <w:p>
      <w:pPr>
        <w:spacing w:after="0" w:line="13" w:lineRule="exact"/>
        <w:rPr>
          <w:sz w:val="20"/>
          <w:szCs w:val="20"/>
          <w:color w:val="auto"/>
        </w:rPr>
      </w:pPr>
    </w:p>
    <w:p>
      <w:pPr>
        <w:ind w:left="5900" w:right="180" w:hanging="161"/>
        <w:spacing w:after="0" w:line="260" w:lineRule="auto"/>
        <w:rPr>
          <w:sz w:val="20"/>
          <w:szCs w:val="20"/>
          <w:color w:val="auto"/>
        </w:rPr>
      </w:pPr>
      <w:r>
        <w:rPr>
          <w:rFonts w:ascii="Arial" w:cs="Arial" w:eastAsia="Arial" w:hAnsi="Arial"/>
          <w:sz w:val="17"/>
          <w:szCs w:val="17"/>
          <w:color w:val="0070C0"/>
        </w:rPr>
        <w:t xml:space="preserve">• </w:t>
      </w:r>
      <w:r>
        <w:rPr>
          <w:rFonts w:ascii="Arial" w:cs="Arial" w:eastAsia="Arial" w:hAnsi="Arial"/>
          <w:sz w:val="17"/>
          <w:szCs w:val="17"/>
          <w:color w:val="000000"/>
        </w:rPr>
        <w:t>Global TYSABRI revenue decreased $49.6 million, from $1,715.0</w:t>
      </w:r>
      <w:r>
        <w:rPr>
          <w:rFonts w:ascii="Arial" w:cs="Arial" w:eastAsia="Arial" w:hAnsi="Arial"/>
          <w:sz w:val="17"/>
          <w:szCs w:val="17"/>
          <w:color w:val="0070C0"/>
        </w:rPr>
        <w:t xml:space="preserve"> </w:t>
      </w:r>
      <w:r>
        <w:rPr>
          <w:rFonts w:ascii="Arial" w:cs="Arial" w:eastAsia="Arial" w:hAnsi="Arial"/>
          <w:sz w:val="17"/>
          <w:szCs w:val="17"/>
          <w:color w:val="000000"/>
        </w:rPr>
        <w:t>million in 2024 to $1,665.4 million in 2025, or 2.9%, primarily due to increased competition in rest of world, including the impacts from a biosimilar entrant of TYSABRI in Europe.</w:t>
      </w:r>
    </w:p>
    <w:p>
      <w:pPr>
        <w:spacing w:after="0" w:line="17" w:lineRule="exact"/>
        <w:rPr>
          <w:sz w:val="20"/>
          <w:szCs w:val="20"/>
          <w:color w:val="auto"/>
        </w:rPr>
      </w:pPr>
    </w:p>
    <w:p>
      <w:pPr>
        <w:ind w:left="5900" w:right="240" w:hanging="161"/>
        <w:spacing w:after="0" w:line="259"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Interferon revenue decreased $22.4 million, from $968.0</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2024 to $945.6 million in 2025, or 2.3%, driven by a decrease in demand as patients transition to higher efficacy therapies, offset in part by a favorable change in estimate of approximately $19.3 million related to rebates and discounts in the U.S.</w:t>
      </w:r>
    </w:p>
    <w:p>
      <w:pPr>
        <w:spacing w:after="0" w:line="17" w:lineRule="exact"/>
        <w:rPr>
          <w:sz w:val="20"/>
          <w:szCs w:val="20"/>
          <w:color w:val="auto"/>
        </w:rPr>
      </w:pPr>
    </w:p>
    <w:p>
      <w:pPr>
        <w:ind w:left="5900" w:right="180" w:hanging="161"/>
        <w:spacing w:after="0" w:line="266" w:lineRule="auto"/>
        <w:rPr>
          <w:sz w:val="20"/>
          <w:szCs w:val="20"/>
          <w:color w:val="auto"/>
        </w:rPr>
      </w:pPr>
      <w:r>
        <w:rPr>
          <w:rFonts w:ascii="Arial" w:cs="Arial" w:eastAsia="Arial" w:hAnsi="Arial"/>
          <w:sz w:val="17"/>
          <w:szCs w:val="17"/>
          <w:color w:val="0070C0"/>
        </w:rPr>
        <w:t xml:space="preserve">• </w:t>
      </w:r>
      <w:r>
        <w:rPr>
          <w:rFonts w:ascii="Arial" w:cs="Arial" w:eastAsia="Arial" w:hAnsi="Arial"/>
          <w:sz w:val="17"/>
          <w:szCs w:val="17"/>
          <w:color w:val="000000"/>
        </w:rPr>
        <w:t>Global TECFIDERA revenue decreased $287.4 million, from $967.1</w:t>
      </w:r>
      <w:r>
        <w:rPr>
          <w:rFonts w:ascii="Arial" w:cs="Arial" w:eastAsia="Arial" w:hAnsi="Arial"/>
          <w:sz w:val="17"/>
          <w:szCs w:val="17"/>
          <w:color w:val="0070C0"/>
        </w:rPr>
        <w:t xml:space="preserve"> </w:t>
      </w:r>
      <w:r>
        <w:rPr>
          <w:rFonts w:ascii="Arial" w:cs="Arial" w:eastAsia="Arial" w:hAnsi="Arial"/>
          <w:sz w:val="17"/>
          <w:szCs w:val="17"/>
          <w:color w:val="000000"/>
        </w:rPr>
        <w:t>million in 2024 to $679.7 million in 2025, or 29.7%, driven by a decrease in global demand as a result of multiple TECFIDERA generic entrants.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758190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MS revenue includes sales from TECFIDERA, VUMERITY, AVONEX, PLEGRIDY, TYSABRI and FAMPYRA. Effective January 1, 2025, our collaboration and license agreement for FAMPYRA global commercialization rights was terminated.</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2026 we expect total MS revenue will continue to decline as a result of increasing competition for many of our MS products in both the U.S. and rest of world markets. We expect TECFIDERA revenue will be adversely impacted by accelerating generic competition in certain markets in the E.U. Additionally, a biosimilar entrant of TYSABRI was approved in the U.S. and the E.U. in 2023. We expect that future sales of TYSABRI will continue to be adversely affected by the entrance of this biosimilar worldwide. We expect the decline to be partially offset by continued increasing demand for VUMERITY.</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38" w:right="4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RARE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0"/>
          <w:szCs w:val="20"/>
          <w:color w:val="auto"/>
        </w:rPr>
      </w:pPr>
    </w:p>
    <w:p>
      <w:pPr>
        <w:jc w:val="both"/>
        <w:ind w:left="5860" w:right="20" w:hanging="323"/>
        <w:spacing w:after="0" w:line="266" w:lineRule="auto"/>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U.S. SPINRAZA revenue decreased $0.2 million, from $625.7 million in 2024 to $625.5 million in 2025 as lower demand was mostly offset by an increase in pricing and timing of shipments.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2571750" cy="41148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71750" cy="4114800"/>
                    </a:xfrm>
                    <a:prstGeom prst="rect">
                      <a:avLst/>
                    </a:prstGeom>
                    <a:noFill/>
                  </pic:spPr>
                </pic:pic>
              </a:graphicData>
            </a:graphic>
          </wp:anchor>
        </w:drawing>
      </w:r>
    </w:p>
    <w:p>
      <w:pPr>
        <w:ind w:left="5860" w:hanging="323"/>
        <w:spacing w:after="0" w:line="259" w:lineRule="auto"/>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Rest of world SPINRAZA revenue decreased $26.2 million, from $947.5 million in 2024 to $921.3 million in 2025, or 2.8%, primarily due to lower demand and the unfavorable impact of foreign currency exchange, partially offset by a one-time VAT refund received in 2025 of approximately $18.1 million and the timing of shipments in certain rest of world markets.</w:t>
      </w:r>
    </w:p>
    <w:p>
      <w:pPr>
        <w:spacing w:after="0" w:line="17" w:lineRule="exact"/>
        <w:rPr>
          <w:sz w:val="20"/>
          <w:szCs w:val="20"/>
          <w:color w:val="auto"/>
        </w:rPr>
      </w:pPr>
    </w:p>
    <w:p>
      <w:pPr>
        <w:ind w:left="5860" w:hanging="323"/>
        <w:spacing w:after="0" w:line="266" w:lineRule="auto"/>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Global SKYCLARYS revenue increased $138.0 million, from $382.5 million in 2024 to $520.5 million in 2025, or 36.1%, primarily related to an increase in rest of world sales volumes driven by the continued launch in Europe and certain markets in the Middle East.</w:t>
      </w:r>
    </w:p>
    <w:p>
      <w:pPr>
        <w:spacing w:after="0" w:line="11" w:lineRule="exact"/>
        <w:rPr>
          <w:sz w:val="20"/>
          <w:szCs w:val="20"/>
          <w:color w:val="auto"/>
        </w:rPr>
      </w:pPr>
    </w:p>
    <w:p>
      <w:pPr>
        <w:ind w:left="5860" w:hanging="323"/>
        <w:spacing w:after="0" w:line="266" w:lineRule="auto"/>
        <w:tabs>
          <w:tab w:leader="none" w:pos="5840" w:val="left"/>
        </w:tabs>
        <w:rPr>
          <w:sz w:val="20"/>
          <w:szCs w:val="20"/>
          <w:color w:val="auto"/>
        </w:rPr>
      </w:pPr>
      <w:r>
        <w:rPr>
          <w:rFonts w:ascii="Arial" w:cs="Arial" w:eastAsia="Arial" w:hAnsi="Arial"/>
          <w:sz w:val="17"/>
          <w:szCs w:val="17"/>
          <w:b w:val="1"/>
          <w:bCs w:val="1"/>
          <w:color w:val="0070C0"/>
        </w:rPr>
        <w:t>•</w:t>
      </w:r>
      <w:r>
        <w:rPr>
          <w:sz w:val="20"/>
          <w:szCs w:val="20"/>
          <w:color w:val="auto"/>
        </w:rPr>
        <w:tab/>
      </w:r>
      <w:r>
        <w:rPr>
          <w:rFonts w:ascii="Arial" w:cs="Arial" w:eastAsia="Arial" w:hAnsi="Arial"/>
          <w:sz w:val="17"/>
          <w:szCs w:val="17"/>
          <w:color w:val="auto"/>
        </w:rPr>
        <w:t>Global QALSODY revenue increased $54.5 million, from $32.4 million in 2024 to $86.9 million in 2025, or 168.2%, primarily related to an increase in rest of world sales volumes driven by the continued launch in international markets as well as patient growth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2138680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Rare disease revenue includes sales from SPINRAZA, QALSODY, which became commercially available in the E.U. during the second quarter of 2024, and SKYCLARYS which became commercially available in the E.U. during the first quarter of 2024.</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2026 we expect growth in rare disease revenue due to the continued launch of SKYCLARYS in the U.S., Europe and other international markets as well as the continued launch of QALSODY in Europe. We anticipate global SPINRAZA revenue growth to be relatively flat in 2026.</w:t>
      </w: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38" w:right="49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BIOSIMILARS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0"/>
          <w:szCs w:val="20"/>
          <w:color w:val="auto"/>
        </w:rPr>
      </w:pPr>
    </w:p>
    <w:p>
      <w:pPr>
        <w:ind w:left="5860" w:right="100" w:hanging="323"/>
        <w:spacing w:after="0" w:line="260" w:lineRule="auto"/>
        <w:tabs>
          <w:tab w:leader="none" w:pos="5840" w:val="left"/>
        </w:tabs>
        <w:rPr>
          <w:sz w:val="20"/>
          <w:szCs w:val="20"/>
          <w:color w:val="auto"/>
        </w:rPr>
      </w:pPr>
      <w:r>
        <w:rPr>
          <w:rFonts w:ascii="Arial" w:cs="Arial" w:eastAsia="Arial" w:hAnsi="Arial"/>
          <w:sz w:val="16"/>
          <w:szCs w:val="16"/>
          <w:b w:val="1"/>
          <w:bCs w:val="1"/>
          <w:i w:val="1"/>
          <w:iCs w:val="1"/>
          <w:color w:val="0070C0"/>
        </w:rPr>
        <w:t>•</w:t>
      </w:r>
      <w:r>
        <w:rPr>
          <w:sz w:val="20"/>
          <w:szCs w:val="20"/>
          <w:color w:val="auto"/>
        </w:rPr>
        <w:tab/>
      </w:r>
      <w:r>
        <w:rPr>
          <w:rFonts w:ascii="Arial" w:cs="Arial" w:eastAsia="Arial" w:hAnsi="Arial"/>
          <w:sz w:val="17"/>
          <w:szCs w:val="17"/>
          <w:color w:val="auto"/>
        </w:rPr>
        <w:t>For 2025 compared to 2024, the decrease in biosimilar revenue was primarily due to a decrease in sales volumes, decreases in pricing due to competitive pressures in Europe and the unfavorable impact of foreign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58724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587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Biosimilars revenue includes sales from BENEPALI, IMRALDI, FLIXABI, BYOOVIZ and TOFIDENCE. In 2025 we completed the sale of our rights to TOFIDENCE and BYOOVIZ.</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OTHER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ZURZUVAE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U.S. ZURZUVAE revenue increased $122.9 million, from $72.2 million in 2024 to $195.1 million in 2025, or 170.2%, primarily due to higher demand resulting from an increase in total patients in the U.S. We anticipate growth in U.S. ZURZUVAE revenue as we expect total patients to continue to increase in 2026.</w:t>
      </w:r>
    </w:p>
    <w:p>
      <w:pPr>
        <w:sectPr>
          <w:pgSz w:w="11900" w:h="16838" w:orient="portrait"/>
          <w:cols w:equalWidth="0" w:num="1">
            <w:col w:w="11120"/>
          </w:cols>
          <w:pgMar w:left="320" w:top="238" w:right="4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38" w:right="4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0070C0"/>
        </w:rPr>
        <w:t>REVENUE FROM ANTI-CD20 THERAPEUTIC PROGRAMS</w:t>
      </w:r>
    </w:p>
    <w:p>
      <w:pPr>
        <w:spacing w:after="0" w:line="1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share of RITUXAN, including RITUXAN HYCELA, GAZYVA and LUNSUMIO collaboration operating profits in the U.S., royalty revenue on sales of OCREVUS and other revenue from anti-CD20 therapeutic programs are summarized in the table below. For purposes of this discussion, we refer to RITUXAN and RITUXAN HYCELA collectively as RITUXAN.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8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Royalty revenue on sales of OCREVUS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1,414.9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1,339.5</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1,266.2</w:t>
            </w:r>
          </w:p>
        </w:tc>
      </w:tr>
      <w:tr>
        <w:trPr>
          <w:trHeight w:val="203"/>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p>
        </w:tc>
        <w:tc>
          <w:tcPr>
            <w:tcW w:w="3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409.4</w:t>
            </w:r>
          </w:p>
        </w:tc>
      </w:tr>
      <w:tr>
        <w:trPr>
          <w:trHeight w:val="207"/>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r>
      <w:tr>
        <w:trPr>
          <w:trHeight w:val="220"/>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Total revenue from anti-CD20 therapeutic programs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1,860.6</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1,749.9</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1,689.6</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ROYALTY REVENUE ON SALES OF OCREVUS</w:t>
      </w:r>
    </w:p>
    <w:p>
      <w:pPr>
        <w:spacing w:after="0" w:line="10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For 2025 compared to 2024, the increase in royalty revenue on sales of OCREVUS was primarily due to sales growth of OCREVUS in the U.S.</w:t>
      </w:r>
    </w:p>
    <w:p>
      <w:pPr>
        <w:spacing w:after="0" w:line="4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BIOGEN'S SHARE OF PRE-TAX PROFITS IN THE U.S. FOR RITUXAN, GAZYVA AND LUNSUMIO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amounts comprising our share of pre-tax profits in the U.S. for RITUXAN, GAZYVA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LUNSUMIO:</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2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8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1,655.9</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1,531.0</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1,581.3</w:t>
            </w:r>
          </w:p>
        </w:tc>
      </w:tr>
      <w:tr>
        <w:trPr>
          <w:trHeight w:val="207"/>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Cost and expense</w:t>
            </w:r>
          </w:p>
        </w:tc>
        <w:tc>
          <w:tcPr>
            <w:tcW w:w="10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448.3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419.9</w:t>
            </w:r>
          </w:p>
        </w:tc>
      </w:tr>
      <w:tr>
        <w:trPr>
          <w:trHeight w:val="240"/>
        </w:trPr>
        <w:tc>
          <w:tcPr>
            <w:tcW w:w="7060" w:type="dxa"/>
            <w:vAlign w:val="bottom"/>
            <w:gridSpan w:val="2"/>
          </w:tcPr>
          <w:p>
            <w:pPr>
              <w:ind w:left="140"/>
              <w:spacing w:after="0"/>
              <w:rPr>
                <w:sz w:val="20"/>
                <w:szCs w:val="20"/>
                <w:color w:val="auto"/>
              </w:rPr>
            </w:pPr>
            <w:r>
              <w:rPr>
                <w:rFonts w:ascii="Arial" w:cs="Arial" w:eastAsia="Arial" w:hAnsi="Arial"/>
                <w:sz w:val="14"/>
                <w:szCs w:val="14"/>
                <w:color w:val="auto"/>
              </w:rPr>
              <w:t>Pre-tax profits in the U.S.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1,207.6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1,126.9</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1,161.4</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420.2</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392.0</w:t>
            </w:r>
          </w:p>
        </w:tc>
        <w:tc>
          <w:tcPr>
            <w:tcW w:w="12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409.4</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2025 compared to 2024, the increase in our share of pre-tax profits in the U.S. for RITUXAN, GAZYVA and LUNSUMIO was primarily due to an increase in sales volumes of GAZYVA of approximately 14.4%, partially offset by a decrease in sales volumes of RITUXAN of approximately 4.1%, resulting from competition from multiple biosimilar products.</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For 2025 compared to 2024, the increase in collaboration cost and expense was primarily due to higher selling and marketing expense related to GAZYVA.</w:t>
      </w:r>
    </w:p>
    <w:p>
      <w:pPr>
        <w:spacing w:after="0" w:line="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Prior to regulatory approval, we record our share of the expense incurred by the collaboration for the development of anti-CD20 products in research and development expense and pre-commercialization costs within selling, general and administrative expense in our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68"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We are aware of several other anti-CD20 molecules, including biosimilar products, that have been approved and are competing with RITUXAN and GAZYVA in the oncology and other markets. Biosimilar products referencing RITUXAN are available in the U.S and are being offered at lower prices. This competition has had a significant adverse impact on the pre-tax profits of our collaboration arrangements with Genentech, as the sales of RITUXAN have decreased substantially compared to prior periods and we expect sales to continue to decrease.</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color w:val="auto"/>
        </w:rPr>
        <w:t>OTHER REVENUE FROM ANTI-CD20 THERAPEUTIC PROGRAMS</w:t>
      </w:r>
    </w:p>
    <w:p>
      <w:pPr>
        <w:spacing w:after="0" w:line="10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Other revenue from anti-CD20 therapeutic programs consists of our share of pre-tax co-promotion profits from RITUXAN in Canada, royalty revenue on sales of LUNSUMIO outside the U.S. and royalty revenue on net sales of COLUMVI in the U.S.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For additional information on our collaboration arrangements with Genentech, including information regarding the pre-tax profit-sharing formula and its impact on future revenue from anti-CD20 therapeutic programs,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0070C0"/>
        </w:rPr>
        <w:t>ALZHEIMER'S COLLABORATION REVENUE</w:t>
      </w:r>
    </w:p>
    <w:p>
      <w:pPr>
        <w:spacing w:after="0" w:line="1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For the years ended December 31, 2025 and 2024, we recognized Alzheimer's collaboration revenue of approximately $177.7 million and $59.9 million, respectively. The increase was primarily due to higher sales volumes driven by the continued launch of LEQEMBI in the U.S. and international markets and the favorable impact from the timing of shipments to China during the second quarter of 2025 as we optimized our global inventory positions.</w:t>
      </w:r>
    </w:p>
    <w:p>
      <w:pPr>
        <w:spacing w:after="0" w:line="6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0070C0"/>
        </w:rPr>
        <w:t>CONTRACT MANUFACTURING, ROYALTY AND OTHER 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8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679.4</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592.1</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848.2</w:t>
            </w:r>
          </w:p>
        </w:tc>
      </w:tr>
      <w:tr>
        <w:trPr>
          <w:trHeight w:val="207"/>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53.5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r>
      <w:tr>
        <w:trPr>
          <w:trHeight w:val="220"/>
        </w:trPr>
        <w:tc>
          <w:tcPr>
            <w:tcW w:w="7060" w:type="dxa"/>
            <w:vAlign w:val="bottom"/>
            <w:gridSpan w:val="2"/>
          </w:tcPr>
          <w:p>
            <w:pPr>
              <w:ind w:left="140"/>
              <w:spacing w:after="0"/>
              <w:rPr>
                <w:sz w:val="20"/>
                <w:szCs w:val="20"/>
                <w:color w:val="auto"/>
              </w:rPr>
            </w:pPr>
            <w:r>
              <w:rPr>
                <w:rFonts w:ascii="Arial" w:cs="Arial" w:eastAsia="Arial" w:hAnsi="Arial"/>
                <w:sz w:val="14"/>
                <w:szCs w:val="14"/>
                <w:color w:val="auto"/>
              </w:rPr>
              <w:t>Total contract manufacturing, royalty and other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732.9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652.6</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899.3</w:t>
            </w: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CONTRACT MANUFACTURING REVENUE</w:t>
      </w:r>
    </w:p>
    <w:p>
      <w:pPr>
        <w:spacing w:after="0" w:line="11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Contract manufacturing revenue primarily reflects amounts earned under contract manufacturing agreements with our strategic customers and batches of LEQEMBI related to our collaboration with Eisai.</w:t>
      </w:r>
    </w:p>
    <w:p>
      <w:pPr>
        <w:spacing w:after="0" w:line="4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For 2025 compared to 2024, the increase in contract manufacturing revenue was primarily driven by higher volumes due to the timing of batch production.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ROYALTY AND OTHER REVENUE</w:t>
      </w:r>
    </w:p>
    <w:p>
      <w:pPr>
        <w:spacing w:after="0" w:line="1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Royalty and other revenue primarily reflects royalty revenue on biosimilar products from our license arrangements with Samsung Bioepis and royalties we receive from net sales on products related to patents that we have out-licensed.</w:t>
      </w:r>
    </w:p>
    <w:p>
      <w:pPr>
        <w:spacing w:after="0" w:line="4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additional information on our license arrangements with Samsung Bioepis and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RESERVES FOR DISCOUNTS AND ALLOWANCES</w:t>
      </w:r>
    </w:p>
    <w:p>
      <w:pPr>
        <w:spacing w:after="0" w:line="10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Revenue from product sales is recorded net of reserves established for applicable discounts and allowances, including those associated with the implementation of pricing actions in certain international markets where we operate.</w:t>
      </w:r>
    </w:p>
    <w:p>
      <w:pPr>
        <w:spacing w:after="0" w:line="4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These estimates reflect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IRA's drug pricing controls and Medicare Part D redesign had an adverse impact on our sales, particularly for our products that are more substantially reliant on Medicare reimbursement. The IRA Medicare Part D redesign had a</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modest net unfavorable impact to our 2025 revenue of approximately $90.0 million, concentrated in our SKYCLARYS and MS portfolio product revenue, approximately a quarter of which was associated with SKYCLARYS.</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degree of impact from this legislation on our business depends on a number of forthcoming implementation actions by regulatory authorities, which may be further impacted by other legislative acts that may modify or replace the IRA, such as the OBBBA. The full extent of the IRA's impacts on our sales and, in turn, our business, remains uncertain.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Reserves for discounts, contractual adjustments and returns that reduced gross product revenue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428"/>
              <w:spacing w:after="0"/>
              <w:rPr>
                <w:sz w:val="20"/>
                <w:szCs w:val="20"/>
                <w:color w:val="auto"/>
              </w:rPr>
            </w:pPr>
            <w:r>
              <w:rPr>
                <w:rFonts w:ascii="Arial" w:cs="Arial" w:eastAsia="Arial" w:hAnsi="Arial"/>
                <w:sz w:val="14"/>
                <w:szCs w:val="14"/>
                <w:b w:val="1"/>
                <w:bCs w:val="1"/>
                <w:color w:val="0070C0"/>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89"/>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Contractual adjustments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2,689.7</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2,648.8</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2,681.7</w:t>
            </w:r>
          </w:p>
        </w:tc>
      </w:tr>
      <w:tr>
        <w:trPr>
          <w:trHeight w:val="203"/>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Discounts</w:t>
            </w:r>
          </w:p>
        </w:tc>
        <w:tc>
          <w:tcPr>
            <w:tcW w:w="3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834.6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832.2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735.2</w:t>
            </w:r>
          </w:p>
        </w:tc>
      </w:tr>
      <w:tr>
        <w:trPr>
          <w:trHeight w:val="207"/>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Returns</w:t>
            </w: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32.6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r>
      <w:tr>
        <w:trPr>
          <w:trHeight w:val="220"/>
        </w:trPr>
        <w:tc>
          <w:tcPr>
            <w:tcW w:w="7080" w:type="dxa"/>
            <w:vAlign w:val="bottom"/>
            <w:gridSpan w:val="2"/>
          </w:tcPr>
          <w:p>
            <w:pPr>
              <w:ind w:left="240"/>
              <w:spacing w:after="0"/>
              <w:rPr>
                <w:sz w:val="20"/>
                <w:szCs w:val="20"/>
                <w:color w:val="auto"/>
              </w:rPr>
            </w:pPr>
            <w:r>
              <w:rPr>
                <w:rFonts w:ascii="Arial" w:cs="Arial" w:eastAsia="Arial" w:hAnsi="Arial"/>
                <w:sz w:val="14"/>
                <w:szCs w:val="14"/>
                <w:color w:val="auto"/>
              </w:rPr>
              <w:t>Total discounts and allowances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3,556.9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3,518.8</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3,455.1</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For the years ended December 31, 2025, 2024 and 2023, reserves for discounts and allowances as a percentage of gross product revenue were 33.0%, 32.6% and 32.0%,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CONTRACTUAL ADJUSTMENTS</w:t>
      </w:r>
    </w:p>
    <w:p>
      <w:pPr>
        <w:spacing w:after="0" w:line="106"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Contractual adjustments primarily relate to Medicaid and managed care rebates in the U.S., pharmacy rebates, co-payment (copay) assistance, VA, 340B discounts, specialty pharmacy program fees and other government rebates or applicable allowances.</w:t>
      </w:r>
    </w:p>
    <w:p>
      <w:pPr>
        <w:spacing w:after="0" w:line="4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For 2025 compared to 2024, the increase in contractual adjustments was primarily due to higher Medicare manufacturer reserves in the U.S. driven by the IRA Medicare Part D redesign and higher government rebates in rest of world, offset in part by favorable changes in estimates of approximately $64.7 million primarily due to lower managed care rebates, as well as lower co-pay assistance and Medicaid rebates in the U.S.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DISCOUNTS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Discounts include trade term discounts, wholesaler incentives and volume related discounts.</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For 2025 compared to 2024, the increase in discounts was primarily driven by higher volume discounts in the U.S. for TYSABRI, offset by lower purchase discounts in rest of world and lower volume discounts for U.S. biosimilars.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RETURNS</w:t>
      </w:r>
    </w:p>
    <w:p>
      <w:pPr>
        <w:spacing w:after="0" w:line="106"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estimated product returns are recognized in the period the related revenue is recognized, resulting in a reduction to product sales.</w:t>
      </w:r>
    </w:p>
    <w:p>
      <w:pPr>
        <w:spacing w:after="0" w:line="63"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For 2025 compared to 2024, the decrease in returns was primarily driven by lower returns in the U.S., partially offset by higher returns in rest of world.</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 xml:space="preserve">For additional information on our revenue reserves,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COST AND EXPENSE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cost and expense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4"/>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20" w:type="dxa"/>
            <w:vAlign w:val="bottom"/>
            <w:gridSpan w:val="8"/>
          </w:tcPr>
          <w:p>
            <w:pPr>
              <w:jc w:val="right"/>
              <w:ind w:right="268"/>
              <w:spacing w:after="0" w:line="144" w:lineRule="exact"/>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Pr>
          <w:p>
            <w:pPr>
              <w:spacing w:after="0"/>
              <w:rPr>
                <w:sz w:val="12"/>
                <w:szCs w:val="12"/>
                <w:color w:val="auto"/>
              </w:rPr>
            </w:pPr>
          </w:p>
        </w:tc>
        <w:tc>
          <w:tcPr>
            <w:tcW w:w="600" w:type="dxa"/>
            <w:vAlign w:val="bottom"/>
            <w:tcBorders>
              <w:top w:val="single" w:sz="8" w:color="auto"/>
            </w:tcBorders>
            <w:gridSpan w:val="2"/>
            <w:shd w:val="clear" w:color="auto" w:fill="DBDBDB"/>
          </w:tcPr>
          <w:p>
            <w:pPr>
              <w:jc w:val="center"/>
              <w:ind w:left="208"/>
              <w:spacing w:after="0" w:line="144" w:lineRule="exact"/>
              <w:rPr>
                <w:sz w:val="20"/>
                <w:szCs w:val="20"/>
                <w:color w:val="auto"/>
              </w:rPr>
            </w:pPr>
            <w:r>
              <w:rPr>
                <w:rFonts w:ascii="Arial" w:cs="Arial" w:eastAsia="Arial" w:hAnsi="Arial"/>
                <w:sz w:val="14"/>
                <w:szCs w:val="14"/>
                <w:b w:val="1"/>
                <w:bCs w:val="1"/>
                <w:color w:val="026DCE"/>
              </w:rPr>
              <w:t>2025</w:t>
            </w:r>
          </w:p>
        </w:tc>
        <w:tc>
          <w:tcPr>
            <w:tcW w:w="140" w:type="dxa"/>
            <w:vAlign w:val="bottom"/>
            <w:tcBorders>
              <w:top w:val="single" w:sz="8" w:color="auto"/>
            </w:tcBorders>
            <w:shd w:val="clear" w:color="auto" w:fill="DBDBDB"/>
          </w:tcPr>
          <w:p>
            <w:pPr>
              <w:spacing w:after="0"/>
              <w:rPr>
                <w:sz w:val="12"/>
                <w:szCs w:val="12"/>
                <w:color w:val="auto"/>
              </w:rPr>
            </w:pPr>
          </w:p>
        </w:tc>
        <w:tc>
          <w:tcPr>
            <w:tcW w:w="160" w:type="dxa"/>
            <w:vAlign w:val="bottom"/>
            <w:tcBorders>
              <w:top w:val="single" w:sz="8" w:color="auto"/>
            </w:tcBorders>
            <w:shd w:val="clear" w:color="auto" w:fill="DBDBDB"/>
          </w:tcPr>
          <w:p>
            <w:pPr>
              <w:spacing w:after="0"/>
              <w:rPr>
                <w:sz w:val="12"/>
                <w:szCs w:val="12"/>
                <w:color w:val="auto"/>
              </w:rPr>
            </w:pPr>
          </w:p>
        </w:tc>
        <w:tc>
          <w:tcPr>
            <w:tcW w:w="1020" w:type="dxa"/>
            <w:vAlign w:val="bottom"/>
            <w:tcBorders>
              <w:top w:val="single" w:sz="8" w:color="auto"/>
            </w:tcBorders>
            <w:gridSpan w:val="2"/>
          </w:tcPr>
          <w:p>
            <w:pPr>
              <w:jc w:val="right"/>
              <w:ind w:right="228"/>
              <w:spacing w:after="0" w:line="144"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100" w:type="dxa"/>
            <w:vAlign w:val="bottom"/>
            <w:tcBorders>
              <w:top w:val="single" w:sz="8" w:color="auto"/>
            </w:tcBorders>
            <w:shd w:val="clear" w:color="auto" w:fill="DBDBDB"/>
          </w:tcPr>
          <w:p>
            <w:pPr>
              <w:spacing w:after="0"/>
              <w:rPr>
                <w:sz w:val="12"/>
                <w:szCs w:val="12"/>
                <w:color w:val="auto"/>
              </w:rPr>
            </w:pPr>
          </w:p>
        </w:tc>
        <w:tc>
          <w:tcPr>
            <w:tcW w:w="620" w:type="dxa"/>
            <w:vAlign w:val="bottom"/>
            <w:tcBorders>
              <w:top w:val="single" w:sz="8" w:color="auto"/>
              <w:right w:val="single" w:sz="8" w:color="DBDBDB"/>
            </w:tcBorders>
            <w:shd w:val="clear" w:color="auto" w:fill="DBDBDB"/>
          </w:tcPr>
          <w:p>
            <w:pPr>
              <w:ind w:left="40"/>
              <w:spacing w:after="0" w:line="144" w:lineRule="exact"/>
              <w:rPr>
                <w:sz w:val="20"/>
                <w:szCs w:val="20"/>
                <w:color w:val="auto"/>
              </w:rPr>
            </w:pPr>
            <w:r>
              <w:rPr>
                <w:rFonts w:ascii="Arial" w:cs="Arial" w:eastAsia="Arial" w:hAnsi="Arial"/>
                <w:sz w:val="14"/>
                <w:szCs w:val="14"/>
                <w:b w:val="1"/>
                <w:bCs w:val="1"/>
                <w:color w:val="026DCE"/>
              </w:rPr>
              <w:t>2025</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8"/>
              <w:spacing w:after="0" w:line="144"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Borders>
              <w:bottom w:val="single" w:sz="8" w:color="DBDBDB"/>
            </w:tcBorders>
            <w:gridSpan w:val="4"/>
            <w:vMerge w:val="restart"/>
            <w:shd w:val="clear" w:color="auto" w:fill="DBDBDB"/>
          </w:tcPr>
          <w:p>
            <w:pPr>
              <w:jc w:val="center"/>
              <w:spacing w:after="0" w:line="139" w:lineRule="exact"/>
              <w:rPr>
                <w:sz w:val="20"/>
                <w:szCs w:val="20"/>
                <w:color w:val="auto"/>
              </w:rPr>
            </w:pPr>
            <w:r>
              <w:rPr>
                <w:rFonts w:ascii="Arial" w:cs="Arial" w:eastAsia="Arial" w:hAnsi="Arial"/>
                <w:sz w:val="14"/>
                <w:szCs w:val="14"/>
                <w:b w:val="1"/>
                <w:bCs w:val="1"/>
                <w:color w:val="026DCE"/>
              </w:rPr>
              <w:t>vs.</w:t>
            </w:r>
          </w:p>
        </w:tc>
        <w:tc>
          <w:tcPr>
            <w:tcW w:w="100" w:type="dxa"/>
            <w:vAlign w:val="bottom"/>
          </w:tcPr>
          <w:p>
            <w:pPr>
              <w:spacing w:after="0"/>
              <w:rPr>
                <w:sz w:val="3"/>
                <w:szCs w:val="3"/>
                <w:color w:val="auto"/>
              </w:rPr>
            </w:pPr>
          </w:p>
        </w:tc>
        <w:tc>
          <w:tcPr>
            <w:tcW w:w="1020" w:type="dxa"/>
            <w:vAlign w:val="bottom"/>
            <w:gridSpan w:val="2"/>
            <w:vMerge w:val="restart"/>
          </w:tcPr>
          <w:p>
            <w:pPr>
              <w:ind w:left="360"/>
              <w:spacing w:after="0" w:line="139" w:lineRule="exact"/>
              <w:rPr>
                <w:sz w:val="20"/>
                <w:szCs w:val="20"/>
                <w:color w:val="auto"/>
              </w:rPr>
            </w:pPr>
            <w:r>
              <w:rPr>
                <w:rFonts w:ascii="Arial" w:cs="Arial" w:eastAsia="Arial" w:hAnsi="Arial"/>
                <w:sz w:val="14"/>
                <w:szCs w:val="14"/>
                <w:b w:val="1"/>
                <w:bCs w:val="1"/>
                <w:color w:val="auto"/>
              </w:rPr>
              <w:t>vs.</w:t>
            </w:r>
          </w:p>
        </w:tc>
        <w:tc>
          <w:tcPr>
            <w:tcW w:w="100" w:type="dxa"/>
            <w:vAlign w:val="bottom"/>
            <w:tcBorders>
              <w:bottom w:val="single" w:sz="8" w:color="DBDBDB"/>
            </w:tcBorders>
            <w:shd w:val="clear" w:color="auto" w:fill="DBDBDB"/>
          </w:tcPr>
          <w:p>
            <w:pPr>
              <w:spacing w:after="0"/>
              <w:rPr>
                <w:sz w:val="3"/>
                <w:szCs w:val="3"/>
                <w:color w:val="auto"/>
              </w:rPr>
            </w:pPr>
          </w:p>
        </w:tc>
        <w:tc>
          <w:tcPr>
            <w:tcW w:w="100" w:type="dxa"/>
            <w:vAlign w:val="bottom"/>
            <w:tcBorders>
              <w:bottom w:val="single" w:sz="8" w:color="DBDBDB"/>
            </w:tcBorders>
            <w:shd w:val="clear" w:color="auto" w:fill="DBDBDB"/>
          </w:tcPr>
          <w:p>
            <w:pPr>
              <w:spacing w:after="0"/>
              <w:rPr>
                <w:sz w:val="3"/>
                <w:szCs w:val="3"/>
                <w:color w:val="auto"/>
              </w:rPr>
            </w:pPr>
          </w:p>
        </w:tc>
        <w:tc>
          <w:tcPr>
            <w:tcW w:w="620" w:type="dxa"/>
            <w:vAlign w:val="bottom"/>
            <w:tcBorders>
              <w:bottom w:val="single" w:sz="8" w:color="DBDBDB"/>
              <w:right w:val="single" w:sz="8" w:color="DBDBDB"/>
            </w:tcBorders>
            <w:vMerge w:val="restart"/>
            <w:shd w:val="clear" w:color="auto" w:fill="DBDBDB"/>
          </w:tcPr>
          <w:p>
            <w:pPr>
              <w:jc w:val="right"/>
              <w:ind w:right="228"/>
              <w:spacing w:after="0" w:line="139" w:lineRule="exact"/>
              <w:rPr>
                <w:sz w:val="20"/>
                <w:szCs w:val="20"/>
                <w:color w:val="auto"/>
              </w:rPr>
            </w:pPr>
            <w:r>
              <w:rPr>
                <w:rFonts w:ascii="Arial" w:cs="Arial" w:eastAsia="Arial" w:hAnsi="Arial"/>
                <w:sz w:val="14"/>
                <w:szCs w:val="14"/>
                <w:b w:val="1"/>
                <w:bCs w:val="1"/>
                <w:color w:val="026DCE"/>
              </w:rPr>
              <w:t>vs.</w:t>
            </w: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vMerge w:val="restart"/>
          </w:tcPr>
          <w:p>
            <w:pPr>
              <w:jc w:val="right"/>
              <w:ind w:right="248"/>
              <w:spacing w:after="0" w:line="13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79"/>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Borders>
              <w:right w:val="single" w:sz="8" w:color="DDDDDD"/>
            </w:tcBorders>
            <w:vMerge w:val="restart"/>
          </w:tcPr>
          <w:p>
            <w:pPr>
              <w:spacing w:after="0"/>
              <w:rPr>
                <w:sz w:val="6"/>
                <w:szCs w:val="6"/>
                <w:color w:val="auto"/>
              </w:rPr>
            </w:pPr>
          </w:p>
        </w:tc>
        <w:tc>
          <w:tcPr>
            <w:tcW w:w="200" w:type="dxa"/>
            <w:vAlign w:val="bottom"/>
            <w:shd w:val="clear" w:color="auto" w:fill="DDDDDD"/>
          </w:tcPr>
          <w:p>
            <w:pPr>
              <w:spacing w:after="0"/>
              <w:rPr>
                <w:sz w:val="6"/>
                <w:szCs w:val="6"/>
                <w:color w:val="auto"/>
              </w:rPr>
            </w:pPr>
          </w:p>
        </w:tc>
        <w:tc>
          <w:tcPr>
            <w:tcW w:w="740" w:type="dxa"/>
            <w:vAlign w:val="bottom"/>
            <w:tcBorders>
              <w:right w:val="single" w:sz="8" w:color="DDDDDD"/>
            </w:tcBorders>
            <w:vMerge w:val="restart"/>
            <w:shd w:val="clear" w:color="auto" w:fill="DDDDDD"/>
          </w:tcPr>
          <w:p>
            <w:pPr>
              <w:jc w:val="right"/>
              <w:ind w:right="248"/>
              <w:spacing w:after="0"/>
              <w:rPr>
                <w:sz w:val="20"/>
                <w:szCs w:val="20"/>
                <w:color w:val="auto"/>
              </w:rPr>
            </w:pPr>
            <w:r>
              <w:rPr>
                <w:rFonts w:ascii="Arial" w:cs="Arial" w:eastAsia="Arial" w:hAnsi="Arial"/>
                <w:sz w:val="14"/>
                <w:szCs w:val="14"/>
                <w:b w:val="1"/>
                <w:bCs w:val="1"/>
                <w:color w:val="2573BA"/>
              </w:rPr>
              <w:t>2025</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6"/>
                <w:szCs w:val="6"/>
                <w:color w:val="auto"/>
              </w:rPr>
            </w:pPr>
          </w:p>
        </w:tc>
        <w:tc>
          <w:tcPr>
            <w:tcW w:w="900" w:type="dxa"/>
            <w:vAlign w:val="bottom"/>
            <w:gridSpan w:val="4"/>
            <w:vMerge w:val="continue"/>
            <w:shd w:val="clear" w:color="auto" w:fill="DBDBDB"/>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620" w:type="dxa"/>
            <w:vAlign w:val="bottom"/>
            <w:tcBorders>
              <w:right w:val="single" w:sz="8" w:color="DBDBDB"/>
            </w:tcBorders>
            <w:vMerge w:val="continue"/>
            <w:shd w:val="clear" w:color="auto" w:fill="DBDBDB"/>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DDDDDD"/>
            </w:tcBorders>
            <w:vMerge w:val="continue"/>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740" w:type="dxa"/>
            <w:vAlign w:val="bottom"/>
            <w:tcBorders>
              <w:bottom w:val="single" w:sz="8" w:color="auto"/>
              <w:right w:val="single" w:sz="8" w:color="DDDDDD"/>
            </w:tcBorders>
            <w:vMerge w:val="continue"/>
            <w:shd w:val="clear" w:color="auto" w:fill="DDDDDD"/>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bottom w:val="single" w:sz="8" w:color="auto"/>
            </w:tcBorders>
            <w:gridSpan w:val="3"/>
            <w:shd w:val="clear" w:color="auto" w:fill="DBDBDB"/>
          </w:tcPr>
          <w:p>
            <w:pPr>
              <w:jc w:val="center"/>
              <w:ind w:left="108"/>
              <w:spacing w:after="0"/>
              <w:rPr>
                <w:sz w:val="20"/>
                <w:szCs w:val="20"/>
                <w:color w:val="auto"/>
              </w:rPr>
            </w:pPr>
            <w:r>
              <w:rPr>
                <w:rFonts w:ascii="Arial" w:cs="Arial" w:eastAsia="Arial" w:hAnsi="Arial"/>
                <w:sz w:val="14"/>
                <w:szCs w:val="14"/>
                <w:b w:val="1"/>
                <w:bCs w:val="1"/>
                <w:color w:val="026DCE"/>
              </w:rPr>
              <w:t>2024</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20" w:type="dxa"/>
            <w:vAlign w:val="bottom"/>
            <w:tcBorders>
              <w:bottom w:val="single" w:sz="8" w:color="auto"/>
              <w:right w:val="single" w:sz="8" w:color="DBDBDB"/>
            </w:tcBorders>
            <w:shd w:val="clear" w:color="auto" w:fill="DBDBDB"/>
          </w:tcPr>
          <w:p>
            <w:pPr>
              <w:ind w:left="60"/>
              <w:spacing w:after="0"/>
              <w:rPr>
                <w:sz w:val="20"/>
                <w:szCs w:val="20"/>
                <w:color w:val="auto"/>
              </w:rPr>
            </w:pPr>
            <w:r>
              <w:rPr>
                <w:rFonts w:ascii="Arial" w:cs="Arial" w:eastAsia="Arial" w:hAnsi="Arial"/>
                <w:sz w:val="14"/>
                <w:szCs w:val="14"/>
                <w:b w:val="1"/>
                <w:bCs w:val="1"/>
                <w:color w:val="026DCE"/>
              </w:rPr>
              <w:t>2024</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43"/>
        </w:trPr>
        <w:tc>
          <w:tcPr>
            <w:tcW w:w="4380" w:type="dxa"/>
            <w:vAlign w:val="bottom"/>
            <w:tcBorders>
              <w:right w:val="single" w:sz="8" w:color="DBDBDB"/>
            </w:tcBorders>
            <w:gridSpan w:val="2"/>
          </w:tcPr>
          <w:p>
            <w:pPr>
              <w:ind w:left="20"/>
              <w:spacing w:after="0" w:line="143" w:lineRule="exact"/>
              <w:rPr>
                <w:sz w:val="20"/>
                <w:szCs w:val="20"/>
                <w:color w:val="auto"/>
              </w:rPr>
            </w:pPr>
            <w:r>
              <w:rPr>
                <w:rFonts w:ascii="Arial" w:cs="Arial" w:eastAsia="Arial" w:hAnsi="Arial"/>
                <w:sz w:val="14"/>
                <w:szCs w:val="14"/>
                <w:color w:val="auto"/>
              </w:rPr>
              <w:t>Cost of sales, excluding amortization and impairment of acquired</w:t>
            </w:r>
          </w:p>
        </w:tc>
        <w:tc>
          <w:tcPr>
            <w:tcW w:w="20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2573BA"/>
                <w:w w:val="76"/>
              </w:rPr>
              <w:t>$</w:t>
            </w:r>
          </w:p>
        </w:tc>
        <w:tc>
          <w:tcPr>
            <w:tcW w:w="74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2,404.2</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2,310.4</w:t>
            </w:r>
          </w:p>
        </w:tc>
        <w:tc>
          <w:tcPr>
            <w:tcW w:w="80" w:type="dxa"/>
            <w:vAlign w:val="bottom"/>
          </w:tcPr>
          <w:p>
            <w:pPr>
              <w:spacing w:after="0"/>
              <w:rPr>
                <w:sz w:val="12"/>
                <w:szCs w:val="12"/>
                <w:color w:val="auto"/>
              </w:rPr>
            </w:pPr>
          </w:p>
        </w:tc>
        <w:tc>
          <w:tcPr>
            <w:tcW w:w="22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2,533.4</w:t>
            </w:r>
          </w:p>
        </w:tc>
        <w:tc>
          <w:tcPr>
            <w:tcW w:w="80" w:type="dxa"/>
            <w:vAlign w:val="bottom"/>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24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2573BA"/>
                <w:w w:val="92"/>
              </w:rPr>
              <w:t>4.1</w:t>
            </w: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w w:val="96"/>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2"/>
                <w:szCs w:val="12"/>
                <w:color w:val="auto"/>
              </w:rPr>
            </w:pPr>
          </w:p>
        </w:tc>
        <w:tc>
          <w:tcPr>
            <w:tcW w:w="1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2"/>
                <w:szCs w:val="12"/>
                <w:color w:val="auto"/>
              </w:rPr>
            </w:pPr>
          </w:p>
        </w:tc>
        <w:tc>
          <w:tcPr>
            <w:tcW w:w="62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026DCE"/>
              </w:rPr>
              <w:t>93.8</w:t>
            </w:r>
          </w:p>
        </w:tc>
        <w:tc>
          <w:tcPr>
            <w:tcW w:w="320" w:type="dxa"/>
            <w:vAlign w:val="bottom"/>
            <w:gridSpan w:val="2"/>
            <w:vMerge w:val="restart"/>
          </w:tcPr>
          <w:p>
            <w:pPr>
              <w:jc w:val="center"/>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(223.0)</w:t>
            </w:r>
          </w:p>
        </w:tc>
        <w:tc>
          <w:tcPr>
            <w:tcW w:w="0" w:type="dxa"/>
            <w:vAlign w:val="bottom"/>
          </w:tcPr>
          <w:p>
            <w:pPr>
              <w:spacing w:after="0"/>
              <w:rPr>
                <w:sz w:val="1"/>
                <w:szCs w:val="1"/>
                <w:color w:val="auto"/>
              </w:rPr>
            </w:pPr>
          </w:p>
        </w:tc>
      </w:tr>
      <w:tr>
        <w:trPr>
          <w:trHeight w:val="189"/>
        </w:trPr>
        <w:tc>
          <w:tcPr>
            <w:tcW w:w="4380" w:type="dxa"/>
            <w:vAlign w:val="bottom"/>
            <w:tcBorders>
              <w:right w:val="single" w:sz="8" w:color="DBDBDB"/>
            </w:tcBorders>
            <w:gridSpan w:val="2"/>
          </w:tcPr>
          <w:p>
            <w:pPr>
              <w:ind w:left="20"/>
              <w:spacing w:after="0"/>
              <w:rPr>
                <w:sz w:val="20"/>
                <w:szCs w:val="20"/>
                <w:color w:val="auto"/>
              </w:rPr>
            </w:pPr>
            <w:r>
              <w:rPr>
                <w:rFonts w:ascii="Arial" w:cs="Arial" w:eastAsia="Arial" w:hAnsi="Arial"/>
                <w:sz w:val="14"/>
                <w:szCs w:val="14"/>
                <w:color w:val="auto"/>
              </w:rPr>
              <w:t>intangible assets</w:t>
            </w:r>
          </w:p>
        </w:tc>
        <w:tc>
          <w:tcPr>
            <w:tcW w:w="200" w:type="dxa"/>
            <w:vAlign w:val="bottom"/>
            <w:vMerge w:val="continue"/>
            <w:shd w:val="clear" w:color="auto" w:fill="DBDBDB"/>
          </w:tcPr>
          <w:p>
            <w:pPr>
              <w:spacing w:after="0"/>
              <w:rPr>
                <w:sz w:val="16"/>
                <w:szCs w:val="16"/>
                <w:color w:val="auto"/>
              </w:rPr>
            </w:pPr>
          </w:p>
        </w:tc>
        <w:tc>
          <w:tcPr>
            <w:tcW w:w="740" w:type="dxa"/>
            <w:vAlign w:val="bottom"/>
            <w:tcBorders>
              <w:right w:val="single" w:sz="8" w:color="DBDBDB"/>
            </w:tcBorders>
            <w:vMerge w:val="continue"/>
            <w:shd w:val="clear" w:color="auto" w:fill="DBDBDB"/>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240" w:type="dxa"/>
            <w:vAlign w:val="bottom"/>
            <w:gridSpan w:val="2"/>
            <w:vMerge w:val="continue"/>
            <w:shd w:val="clear" w:color="auto" w:fill="DBDBDB"/>
          </w:tcPr>
          <w:p>
            <w:pPr>
              <w:spacing w:after="0"/>
              <w:rPr>
                <w:sz w:val="16"/>
                <w:szCs w:val="16"/>
                <w:color w:val="auto"/>
              </w:rPr>
            </w:pPr>
          </w:p>
        </w:tc>
        <w:tc>
          <w:tcPr>
            <w:tcW w:w="160" w:type="dxa"/>
            <w:vAlign w:val="bottom"/>
            <w:vMerge w:val="continue"/>
            <w:shd w:val="clear" w:color="auto" w:fill="DBDBDB"/>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20" w:type="dxa"/>
            <w:vAlign w:val="bottom"/>
            <w:tcBorders>
              <w:right w:val="single" w:sz="8" w:color="DBDBDB"/>
            </w:tcBorders>
            <w:vMerge w:val="continue"/>
            <w:shd w:val="clear" w:color="auto" w:fill="DBDBDB"/>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80" w:type="dxa"/>
            <w:vAlign w:val="bottom"/>
            <w:tcBorders>
              <w:right w:val="single" w:sz="8" w:color="DBDBDB"/>
            </w:tcBorders>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shd w:val="clear" w:color="auto" w:fill="DBDBDB"/>
          </w:tcPr>
          <w:p>
            <w:pPr>
              <w:spacing w:after="0"/>
              <w:rPr>
                <w:sz w:val="16"/>
                <w:szCs w:val="16"/>
                <w:color w:val="auto"/>
              </w:rPr>
            </w:pPr>
          </w:p>
        </w:tc>
        <w:tc>
          <w:tcPr>
            <w:tcW w:w="7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1,778.6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1,980.3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2,445.4</w:t>
            </w:r>
          </w:p>
        </w:tc>
        <w:tc>
          <w:tcPr>
            <w:tcW w:w="80" w:type="dxa"/>
            <w:vAlign w:val="bottom"/>
          </w:tcPr>
          <w:p>
            <w:pPr>
              <w:spacing w:after="0"/>
              <w:rPr>
                <w:sz w:val="16"/>
                <w:szCs w:val="16"/>
                <w:color w:val="auto"/>
              </w:rPr>
            </w:pP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(10.2)</w:t>
            </w:r>
          </w:p>
        </w:tc>
        <w:tc>
          <w:tcPr>
            <w:tcW w:w="160" w:type="dxa"/>
            <w:vAlign w:val="bottom"/>
            <w:shd w:val="clear" w:color="auto" w:fill="DBDBDB"/>
          </w:tcPr>
          <w:p>
            <w:pPr>
              <w:spacing w:after="0"/>
              <w:rPr>
                <w:sz w:val="16"/>
                <w:szCs w:val="16"/>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(465.1)</w:t>
            </w:r>
          </w:p>
        </w:tc>
        <w:tc>
          <w:tcPr>
            <w:tcW w:w="0" w:type="dxa"/>
            <w:vAlign w:val="bottom"/>
          </w:tcPr>
          <w:p>
            <w:pPr>
              <w:spacing w:after="0"/>
              <w:rPr>
                <w:sz w:val="1"/>
                <w:szCs w:val="1"/>
                <w:color w:val="auto"/>
              </w:rPr>
            </w:pPr>
          </w:p>
        </w:tc>
      </w:tr>
      <w:tr>
        <w:trPr>
          <w:trHeight w:val="157"/>
        </w:trPr>
        <w:tc>
          <w:tcPr>
            <w:tcW w:w="4380" w:type="dxa"/>
            <w:vAlign w:val="bottom"/>
            <w:tcBorders>
              <w:right w:val="single" w:sz="8" w:color="DBDBDB"/>
            </w:tcBorders>
            <w:gridSpan w:val="2"/>
          </w:tcPr>
          <w:p>
            <w:pPr>
              <w:ind w:left="20"/>
              <w:spacing w:after="0" w:line="157" w:lineRule="exact"/>
              <w:rPr>
                <w:sz w:val="20"/>
                <w:szCs w:val="20"/>
                <w:color w:val="auto"/>
              </w:rPr>
            </w:pPr>
            <w:r>
              <w:rPr>
                <w:rFonts w:ascii="Arial" w:cs="Arial" w:eastAsia="Arial" w:hAnsi="Arial"/>
                <w:sz w:val="14"/>
                <w:szCs w:val="14"/>
                <w:color w:val="auto"/>
              </w:rPr>
              <w:t>Acquired in-process research and development, upfront and</w:t>
            </w:r>
          </w:p>
        </w:tc>
        <w:tc>
          <w:tcPr>
            <w:tcW w:w="200" w:type="dxa"/>
            <w:vAlign w:val="bottom"/>
            <w:shd w:val="clear" w:color="auto" w:fill="DBDBDB"/>
          </w:tcPr>
          <w:p>
            <w:pPr>
              <w:spacing w:after="0"/>
              <w:rPr>
                <w:sz w:val="13"/>
                <w:szCs w:val="13"/>
                <w:color w:val="auto"/>
              </w:rPr>
            </w:pPr>
          </w:p>
        </w:tc>
        <w:tc>
          <w:tcPr>
            <w:tcW w:w="74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471.8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61.5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3"/>
                <w:szCs w:val="13"/>
                <w:color w:val="auto"/>
              </w:rPr>
            </w:pPr>
          </w:p>
        </w:tc>
        <w:tc>
          <w:tcPr>
            <w:tcW w:w="740" w:type="dxa"/>
            <w:vAlign w:val="bottom"/>
            <w:gridSpan w:val="3"/>
            <w:vMerge w:val="restart"/>
            <w:shd w:val="clear" w:color="auto" w:fill="DBDBDB"/>
          </w:tcPr>
          <w:p>
            <w:pPr>
              <w:jc w:val="right"/>
              <w:spacing w:after="0"/>
              <w:rPr>
                <w:sz w:val="20"/>
                <w:szCs w:val="20"/>
                <w:color w:val="auto"/>
              </w:rPr>
            </w:pPr>
            <w:r>
              <w:rPr>
                <w:rFonts w:ascii="Arial" w:cs="Arial" w:eastAsia="Arial" w:hAnsi="Arial"/>
                <w:sz w:val="14"/>
                <w:szCs w:val="14"/>
                <w:color w:val="2573BA"/>
              </w:rPr>
              <w:t>667.2</w:t>
            </w:r>
          </w:p>
        </w:tc>
        <w:tc>
          <w:tcPr>
            <w:tcW w:w="160" w:type="dxa"/>
            <w:vAlign w:val="bottom"/>
            <w:shd w:val="clear" w:color="auto" w:fill="DBDBDB"/>
          </w:tcPr>
          <w:p>
            <w:pPr>
              <w:spacing w:after="0"/>
              <w:rPr>
                <w:sz w:val="13"/>
                <w:szCs w:val="13"/>
                <w:color w:val="auto"/>
              </w:rPr>
            </w:pPr>
          </w:p>
        </w:tc>
        <w:tc>
          <w:tcPr>
            <w:tcW w:w="10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270.5</w:t>
            </w:r>
          </w:p>
        </w:tc>
        <w:tc>
          <w:tcPr>
            <w:tcW w:w="100" w:type="dxa"/>
            <w:vAlign w:val="bottom"/>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2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026DCE"/>
              </w:rPr>
              <w:t>410.3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90"/>
        </w:trPr>
        <w:tc>
          <w:tcPr>
            <w:tcW w:w="4380" w:type="dxa"/>
            <w:vAlign w:val="bottom"/>
            <w:tcBorders>
              <w:right w:val="single" w:sz="8" w:color="DBDBDB"/>
            </w:tcBorders>
            <w:gridSpan w:val="2"/>
          </w:tcPr>
          <w:p>
            <w:pPr>
              <w:ind w:left="20"/>
              <w:spacing w:after="0"/>
              <w:rPr>
                <w:sz w:val="20"/>
                <w:szCs w:val="20"/>
                <w:color w:val="auto"/>
              </w:rPr>
            </w:pPr>
            <w:r>
              <w:rPr>
                <w:rFonts w:ascii="Arial" w:cs="Arial" w:eastAsia="Arial" w:hAnsi="Arial"/>
                <w:sz w:val="14"/>
                <w:szCs w:val="14"/>
                <w:color w:val="auto"/>
              </w:rPr>
              <w:t>milestone expense</w:t>
            </w:r>
          </w:p>
        </w:tc>
        <w:tc>
          <w:tcPr>
            <w:tcW w:w="200" w:type="dxa"/>
            <w:vAlign w:val="bottom"/>
            <w:shd w:val="clear" w:color="auto" w:fill="DBDBDB"/>
          </w:tcPr>
          <w:p>
            <w:pPr>
              <w:spacing w:after="0"/>
              <w:rPr>
                <w:sz w:val="16"/>
                <w:szCs w:val="16"/>
                <w:color w:val="auto"/>
              </w:rPr>
            </w:pPr>
          </w:p>
        </w:tc>
        <w:tc>
          <w:tcPr>
            <w:tcW w:w="740" w:type="dxa"/>
            <w:vAlign w:val="bottom"/>
            <w:tcBorders>
              <w:right w:val="single" w:sz="8" w:color="DBDBDB"/>
            </w:tcBorders>
            <w:vMerge w:val="continue"/>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20" w:type="dxa"/>
            <w:vAlign w:val="bottom"/>
            <w:tcBorders>
              <w:right w:val="single" w:sz="8" w:color="DBDBDB"/>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380" w:type="dxa"/>
            <w:vAlign w:val="bottom"/>
            <w:tcBorders>
              <w:right w:val="single" w:sz="8" w:color="DBDBDB"/>
            </w:tcBorders>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200" w:type="dxa"/>
            <w:vAlign w:val="bottom"/>
            <w:shd w:val="clear" w:color="auto" w:fill="DBDBDB"/>
          </w:tcPr>
          <w:p>
            <w:pPr>
              <w:spacing w:after="0"/>
              <w:rPr>
                <w:sz w:val="16"/>
                <w:szCs w:val="16"/>
                <w:color w:val="auto"/>
              </w:rPr>
            </w:pPr>
          </w:p>
        </w:tc>
        <w:tc>
          <w:tcPr>
            <w:tcW w:w="7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2,433.6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2,403.7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2,549.7</w:t>
            </w:r>
          </w:p>
        </w:tc>
        <w:tc>
          <w:tcPr>
            <w:tcW w:w="80" w:type="dxa"/>
            <w:vAlign w:val="bottom"/>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w w:val="92"/>
              </w:rPr>
              <w:t>1.2</w:t>
            </w:r>
          </w:p>
        </w:tc>
        <w:tc>
          <w:tcPr>
            <w:tcW w:w="160" w:type="dxa"/>
            <w:vAlign w:val="bottom"/>
            <w:shd w:val="clear" w:color="auto" w:fill="DBDBDB"/>
          </w:tcPr>
          <w:p>
            <w:pPr>
              <w:spacing w:after="0"/>
              <w:rPr>
                <w:sz w:val="16"/>
                <w:szCs w:val="16"/>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29.9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202"/>
        </w:trPr>
        <w:tc>
          <w:tcPr>
            <w:tcW w:w="4380" w:type="dxa"/>
            <w:vAlign w:val="bottom"/>
            <w:tcBorders>
              <w:right w:val="single" w:sz="8" w:color="DBDBDB"/>
            </w:tcBorders>
            <w:gridSpan w:val="2"/>
          </w:tcPr>
          <w:p>
            <w:pPr>
              <w:ind w:left="20"/>
              <w:spacing w:after="0"/>
              <w:rPr>
                <w:sz w:val="20"/>
                <w:szCs w:val="20"/>
                <w:color w:val="auto"/>
              </w:rPr>
            </w:pPr>
            <w:r>
              <w:rPr>
                <w:rFonts w:ascii="Arial" w:cs="Arial" w:eastAsia="Arial" w:hAnsi="Arial"/>
                <w:sz w:val="14"/>
                <w:szCs w:val="14"/>
                <w:color w:val="auto"/>
              </w:rPr>
              <w:t>Amortization and impairment of acquired intangible assets</w:t>
            </w:r>
          </w:p>
        </w:tc>
        <w:tc>
          <w:tcPr>
            <w:tcW w:w="200" w:type="dxa"/>
            <w:vAlign w:val="bottom"/>
            <w:shd w:val="clear" w:color="auto" w:fill="DBDBDB"/>
          </w:tcPr>
          <w:p>
            <w:pPr>
              <w:spacing w:after="0"/>
              <w:rPr>
                <w:sz w:val="17"/>
                <w:szCs w:val="17"/>
                <w:color w:val="auto"/>
              </w:rPr>
            </w:pPr>
          </w:p>
        </w:tc>
        <w:tc>
          <w:tcPr>
            <w:tcW w:w="7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515.0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446.7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240.6</w:t>
            </w:r>
          </w:p>
        </w:tc>
        <w:tc>
          <w:tcPr>
            <w:tcW w:w="80" w:type="dxa"/>
            <w:vAlign w:val="bottom"/>
          </w:tcPr>
          <w:p>
            <w:pPr>
              <w:spacing w:after="0"/>
              <w:rPr>
                <w:sz w:val="17"/>
                <w:szCs w:val="17"/>
                <w:color w:val="auto"/>
              </w:rPr>
            </w:pP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15.3</w:t>
            </w:r>
          </w:p>
        </w:tc>
        <w:tc>
          <w:tcPr>
            <w:tcW w:w="160" w:type="dxa"/>
            <w:vAlign w:val="bottom"/>
            <w:shd w:val="clear" w:color="auto" w:fill="DBDBDB"/>
          </w:tcPr>
          <w:p>
            <w:pPr>
              <w:spacing w:after="0"/>
              <w:rPr>
                <w:sz w:val="17"/>
                <w:szCs w:val="17"/>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68.3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203"/>
        </w:trPr>
        <w:tc>
          <w:tcPr>
            <w:tcW w:w="4380" w:type="dxa"/>
            <w:vAlign w:val="bottom"/>
            <w:tcBorders>
              <w:right w:val="single" w:sz="8" w:color="DBDBDB"/>
            </w:tcBorders>
            <w:gridSpan w:val="2"/>
          </w:tcPr>
          <w:p>
            <w:pPr>
              <w:ind w:left="20"/>
              <w:spacing w:after="0"/>
              <w:rPr>
                <w:sz w:val="20"/>
                <w:szCs w:val="20"/>
                <w:color w:val="auto"/>
              </w:rPr>
            </w:pPr>
            <w:r>
              <w:rPr>
                <w:rFonts w:ascii="Arial" w:cs="Arial" w:eastAsia="Arial" w:hAnsi="Arial"/>
                <w:sz w:val="14"/>
                <w:szCs w:val="14"/>
                <w:color w:val="auto"/>
              </w:rPr>
              <w:t>Collaboration profit sharing/(loss reimbursement)</w:t>
            </w:r>
          </w:p>
        </w:tc>
        <w:tc>
          <w:tcPr>
            <w:tcW w:w="200" w:type="dxa"/>
            <w:vAlign w:val="bottom"/>
            <w:shd w:val="clear" w:color="auto" w:fill="DBDBDB"/>
          </w:tcPr>
          <w:p>
            <w:pPr>
              <w:spacing w:after="0"/>
              <w:rPr>
                <w:sz w:val="17"/>
                <w:szCs w:val="17"/>
                <w:color w:val="auto"/>
              </w:rPr>
            </w:pPr>
          </w:p>
        </w:tc>
        <w:tc>
          <w:tcPr>
            <w:tcW w:w="7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290.2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254.4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218.8</w:t>
            </w:r>
          </w:p>
        </w:tc>
        <w:tc>
          <w:tcPr>
            <w:tcW w:w="80" w:type="dxa"/>
            <w:vAlign w:val="bottom"/>
          </w:tcPr>
          <w:p>
            <w:pPr>
              <w:spacing w:after="0"/>
              <w:rPr>
                <w:sz w:val="17"/>
                <w:szCs w:val="17"/>
                <w:color w:val="auto"/>
              </w:rPr>
            </w:pP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14.1</w:t>
            </w:r>
          </w:p>
        </w:tc>
        <w:tc>
          <w:tcPr>
            <w:tcW w:w="160" w:type="dxa"/>
            <w:vAlign w:val="bottom"/>
            <w:shd w:val="clear" w:color="auto" w:fill="DBDBDB"/>
          </w:tcPr>
          <w:p>
            <w:pPr>
              <w:spacing w:after="0"/>
              <w:rPr>
                <w:sz w:val="17"/>
                <w:szCs w:val="17"/>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35.8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57"/>
        </w:trPr>
        <w:tc>
          <w:tcPr>
            <w:tcW w:w="4380" w:type="dxa"/>
            <w:vAlign w:val="bottom"/>
            <w:tcBorders>
              <w:right w:val="single" w:sz="8" w:color="DBDBDB"/>
            </w:tcBorders>
            <w:gridSpan w:val="2"/>
          </w:tcPr>
          <w:p>
            <w:pPr>
              <w:ind w:left="20"/>
              <w:spacing w:after="0" w:line="157" w:lineRule="exact"/>
              <w:rPr>
                <w:sz w:val="20"/>
                <w:szCs w:val="20"/>
                <w:color w:val="auto"/>
              </w:rPr>
            </w:pPr>
            <w:r>
              <w:rPr>
                <w:rFonts w:ascii="Arial" w:cs="Arial" w:eastAsia="Arial" w:hAnsi="Arial"/>
                <w:sz w:val="14"/>
                <w:szCs w:val="14"/>
                <w:color w:val="auto"/>
              </w:rPr>
              <w:t>(Gain) loss on fair value remeasurement of contingent</w:t>
            </w:r>
          </w:p>
        </w:tc>
        <w:tc>
          <w:tcPr>
            <w:tcW w:w="200" w:type="dxa"/>
            <w:vAlign w:val="bottom"/>
            <w:shd w:val="clear" w:color="auto" w:fill="DBDBDB"/>
          </w:tcPr>
          <w:p>
            <w:pPr>
              <w:spacing w:after="0"/>
              <w:rPr>
                <w:sz w:val="13"/>
                <w:szCs w:val="13"/>
                <w:color w:val="auto"/>
              </w:rPr>
            </w:pPr>
          </w:p>
        </w:tc>
        <w:tc>
          <w:tcPr>
            <w:tcW w:w="740" w:type="dxa"/>
            <w:vAlign w:val="bottom"/>
            <w:tcBorders>
              <w:right w:val="single" w:sz="8" w:color="DBDBDB"/>
            </w:tcBorders>
            <w:vMerge w:val="restart"/>
            <w:shd w:val="clear" w:color="auto" w:fill="DBDBDB"/>
          </w:tcPr>
          <w:p>
            <w:pPr>
              <w:jc w:val="right"/>
              <w:ind w:right="8"/>
              <w:spacing w:after="0"/>
              <w:rPr>
                <w:sz w:val="20"/>
                <w:szCs w:val="20"/>
                <w:color w:val="auto"/>
              </w:rPr>
            </w:pPr>
            <w:r>
              <w:rPr>
                <w:rFonts w:ascii="Arial" w:cs="Arial" w:eastAsia="Arial" w:hAnsi="Arial"/>
                <w:sz w:val="14"/>
                <w:szCs w:val="14"/>
                <w:color w:val="2573BA"/>
              </w:rPr>
              <w:t>33.6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3"/>
            <w:vMerge w:val="restart"/>
            <w:shd w:val="clear" w:color="auto" w:fill="DBDBDB"/>
          </w:tcPr>
          <w:p>
            <w:pPr>
              <w:jc w:val="right"/>
              <w:spacing w:after="0"/>
              <w:rPr>
                <w:sz w:val="20"/>
                <w:szCs w:val="20"/>
                <w:color w:val="auto"/>
              </w:rPr>
            </w:pPr>
            <w:r>
              <w:rPr>
                <w:rFonts w:ascii="Arial" w:cs="Arial" w:eastAsia="Arial" w:hAnsi="Arial"/>
                <w:sz w:val="14"/>
                <w:szCs w:val="14"/>
                <w:color w:val="2573BA"/>
              </w:rPr>
              <w:t>21.3</w:t>
            </w:r>
          </w:p>
        </w:tc>
        <w:tc>
          <w:tcPr>
            <w:tcW w:w="16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ind w:left="600"/>
              <w:spacing w:after="0"/>
              <w:rPr>
                <w:sz w:val="20"/>
                <w:szCs w:val="20"/>
                <w:color w:val="auto"/>
              </w:rPr>
            </w:pPr>
            <w:r>
              <w:rPr>
                <w:rFonts w:ascii="Arial" w:cs="Arial" w:eastAsia="Arial" w:hAnsi="Arial"/>
                <w:sz w:val="14"/>
                <w:szCs w:val="14"/>
                <w:color w:val="auto"/>
              </w:rPr>
              <w:t>nm</w:t>
            </w: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20" w:type="dxa"/>
            <w:vAlign w:val="bottom"/>
            <w:tcBorders>
              <w:right w:val="single" w:sz="8" w:color="DBDBDB"/>
            </w:tcBorders>
            <w:vMerge w:val="restart"/>
            <w:shd w:val="clear" w:color="auto" w:fill="DBDBDB"/>
          </w:tcPr>
          <w:p>
            <w:pPr>
              <w:jc w:val="right"/>
              <w:spacing w:after="0"/>
              <w:rPr>
                <w:sz w:val="20"/>
                <w:szCs w:val="20"/>
                <w:color w:val="auto"/>
              </w:rPr>
            </w:pPr>
            <w:r>
              <w:rPr>
                <w:rFonts w:ascii="Arial" w:cs="Arial" w:eastAsia="Arial" w:hAnsi="Arial"/>
                <w:sz w:val="14"/>
                <w:szCs w:val="14"/>
                <w:color w:val="026DCE"/>
              </w:rPr>
              <w:t>5.9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89"/>
        </w:trPr>
        <w:tc>
          <w:tcPr>
            <w:tcW w:w="4380" w:type="dxa"/>
            <w:vAlign w:val="bottom"/>
            <w:tcBorders>
              <w:right w:val="single" w:sz="8" w:color="DBDBDB"/>
            </w:tcBorders>
            <w:gridSpan w:val="2"/>
          </w:tcPr>
          <w:p>
            <w:pPr>
              <w:ind w:left="20"/>
              <w:spacing w:after="0"/>
              <w:rPr>
                <w:sz w:val="20"/>
                <w:szCs w:val="20"/>
                <w:color w:val="auto"/>
              </w:rPr>
            </w:pPr>
            <w:r>
              <w:rPr>
                <w:rFonts w:ascii="Arial" w:cs="Arial" w:eastAsia="Arial" w:hAnsi="Arial"/>
                <w:sz w:val="14"/>
                <w:szCs w:val="14"/>
                <w:color w:val="auto"/>
              </w:rPr>
              <w:t>consideration</w:t>
            </w:r>
          </w:p>
        </w:tc>
        <w:tc>
          <w:tcPr>
            <w:tcW w:w="200" w:type="dxa"/>
            <w:vAlign w:val="bottom"/>
            <w:shd w:val="clear" w:color="auto" w:fill="DBDBDB"/>
          </w:tcPr>
          <w:p>
            <w:pPr>
              <w:spacing w:after="0"/>
              <w:rPr>
                <w:sz w:val="16"/>
                <w:szCs w:val="16"/>
                <w:color w:val="auto"/>
              </w:rPr>
            </w:pPr>
          </w:p>
        </w:tc>
        <w:tc>
          <w:tcPr>
            <w:tcW w:w="740" w:type="dxa"/>
            <w:vAlign w:val="bottom"/>
            <w:tcBorders>
              <w:right w:val="single" w:sz="8" w:color="DBDBDB"/>
            </w:tcBorders>
            <w:vMerge w:val="continue"/>
            <w:shd w:val="clear" w:color="auto" w:fill="DBDBDB"/>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20" w:type="dxa"/>
            <w:vAlign w:val="bottom"/>
            <w:tcBorders>
              <w:right w:val="single" w:sz="8" w:color="DBDBDB"/>
            </w:tcBorders>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80" w:type="dxa"/>
            <w:vAlign w:val="bottom"/>
            <w:tcBorders>
              <w:right w:val="single" w:sz="8" w:color="DBDBDB"/>
            </w:tcBorders>
            <w:gridSpan w:val="2"/>
          </w:tcPr>
          <w:p>
            <w:pPr>
              <w:ind w:left="20"/>
              <w:spacing w:after="0"/>
              <w:rPr>
                <w:sz w:val="20"/>
                <w:szCs w:val="20"/>
                <w:color w:val="auto"/>
              </w:rPr>
            </w:pPr>
            <w:r>
              <w:rPr>
                <w:rFonts w:ascii="Arial" w:cs="Arial" w:eastAsia="Arial" w:hAnsi="Arial"/>
                <w:sz w:val="14"/>
                <w:szCs w:val="14"/>
                <w:color w:val="auto"/>
              </w:rPr>
              <w:t>Impairment of ROU asset</w:t>
            </w:r>
          </w:p>
        </w:tc>
        <w:tc>
          <w:tcPr>
            <w:tcW w:w="200" w:type="dxa"/>
            <w:vAlign w:val="bottom"/>
            <w:shd w:val="clear" w:color="auto" w:fill="DBDBDB"/>
          </w:tcPr>
          <w:p>
            <w:pPr>
              <w:spacing w:after="0"/>
              <w:rPr>
                <w:sz w:val="16"/>
                <w:szCs w:val="16"/>
                <w:color w:val="auto"/>
              </w:rPr>
            </w:pPr>
          </w:p>
        </w:tc>
        <w:tc>
          <w:tcPr>
            <w:tcW w:w="7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52.9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40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3BA"/>
              </w:rPr>
              <w:t>nm</w:t>
            </w:r>
          </w:p>
        </w:tc>
        <w:tc>
          <w:tcPr>
            <w:tcW w:w="1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52.9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380" w:type="dxa"/>
            <w:vAlign w:val="bottom"/>
            <w:tcBorders>
              <w:right w:val="single" w:sz="8" w:color="DBDBDB"/>
            </w:tcBorders>
            <w:gridSpan w:val="2"/>
          </w:tcPr>
          <w:p>
            <w:pPr>
              <w:ind w:left="20"/>
              <w:spacing w:after="0"/>
              <w:rPr>
                <w:sz w:val="20"/>
                <w:szCs w:val="20"/>
                <w:color w:val="auto"/>
              </w:rPr>
            </w:pPr>
            <w:r>
              <w:rPr>
                <w:rFonts w:ascii="Arial" w:cs="Arial" w:eastAsia="Arial" w:hAnsi="Arial"/>
                <w:sz w:val="14"/>
                <w:szCs w:val="14"/>
                <w:color w:val="auto"/>
              </w:rPr>
              <w:t>Restructuring charges</w:t>
            </w:r>
          </w:p>
        </w:tc>
        <w:tc>
          <w:tcPr>
            <w:tcW w:w="200" w:type="dxa"/>
            <w:vAlign w:val="bottom"/>
            <w:shd w:val="clear" w:color="auto" w:fill="DBDBDB"/>
          </w:tcPr>
          <w:p>
            <w:pPr>
              <w:spacing w:after="0"/>
              <w:rPr>
                <w:sz w:val="17"/>
                <w:szCs w:val="17"/>
                <w:color w:val="auto"/>
              </w:rPr>
            </w:pPr>
          </w:p>
        </w:tc>
        <w:tc>
          <w:tcPr>
            <w:tcW w:w="7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48.6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30.2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218.8</w:t>
            </w:r>
          </w:p>
        </w:tc>
        <w:tc>
          <w:tcPr>
            <w:tcW w:w="80" w:type="dxa"/>
            <w:vAlign w:val="bottom"/>
          </w:tcPr>
          <w:p>
            <w:pPr>
              <w:spacing w:after="0"/>
              <w:rPr>
                <w:sz w:val="17"/>
                <w:szCs w:val="17"/>
                <w:color w:val="auto"/>
              </w:rPr>
            </w:pP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60.9</w:t>
            </w:r>
          </w:p>
        </w:tc>
        <w:tc>
          <w:tcPr>
            <w:tcW w:w="160" w:type="dxa"/>
            <w:vAlign w:val="bottom"/>
            <w:shd w:val="clear" w:color="auto" w:fill="DBDBDB"/>
          </w:tcPr>
          <w:p>
            <w:pPr>
              <w:spacing w:after="0"/>
              <w:rPr>
                <w:sz w:val="17"/>
                <w:szCs w:val="17"/>
                <w:color w:val="auto"/>
              </w:rPr>
            </w:pPr>
          </w:p>
        </w:tc>
        <w:tc>
          <w:tcPr>
            <w:tcW w:w="1020" w:type="dxa"/>
            <w:vAlign w:val="bottom"/>
            <w:gridSpan w:val="2"/>
          </w:tcPr>
          <w:p>
            <w:pPr>
              <w:jc w:val="right"/>
              <w:ind w:right="68"/>
              <w:spacing w:after="0"/>
              <w:rPr>
                <w:sz w:val="20"/>
                <w:szCs w:val="20"/>
                <w:color w:val="auto"/>
              </w:rPr>
            </w:pPr>
            <w:r>
              <w:rPr>
                <w:rFonts w:ascii="Arial" w:cs="Arial" w:eastAsia="Arial" w:hAnsi="Arial"/>
                <w:sz w:val="14"/>
                <w:szCs w:val="14"/>
                <w:color w:val="auto"/>
              </w:rPr>
              <w:t>(86.2)</w:t>
            </w:r>
          </w:p>
        </w:tc>
        <w:tc>
          <w:tcPr>
            <w:tcW w:w="1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18.4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203"/>
        </w:trPr>
        <w:tc>
          <w:tcPr>
            <w:tcW w:w="4380" w:type="dxa"/>
            <w:vAlign w:val="bottom"/>
            <w:tcBorders>
              <w:right w:val="single" w:sz="8" w:color="DBDBDB"/>
            </w:tcBorders>
            <w:gridSpan w:val="2"/>
          </w:tcPr>
          <w:p>
            <w:pPr>
              <w:ind w:left="20"/>
              <w:spacing w:after="0"/>
              <w:rPr>
                <w:sz w:val="20"/>
                <w:szCs w:val="20"/>
                <w:color w:val="auto"/>
              </w:rPr>
            </w:pPr>
            <w:r>
              <w:rPr>
                <w:rFonts w:ascii="Arial" w:cs="Arial" w:eastAsia="Arial" w:hAnsi="Arial"/>
                <w:sz w:val="14"/>
                <w:szCs w:val="14"/>
                <w:color w:val="auto"/>
              </w:rPr>
              <w:t>Gain on sale of priority review voucher, net</w:t>
            </w:r>
          </w:p>
        </w:tc>
        <w:tc>
          <w:tcPr>
            <w:tcW w:w="200" w:type="dxa"/>
            <w:vAlign w:val="bottom"/>
            <w:shd w:val="clear" w:color="auto" w:fill="DBDBDB"/>
          </w:tcPr>
          <w:p>
            <w:pPr>
              <w:spacing w:after="0"/>
              <w:rPr>
                <w:sz w:val="17"/>
                <w:szCs w:val="17"/>
                <w:color w:val="auto"/>
              </w:rPr>
            </w:pPr>
          </w:p>
        </w:tc>
        <w:tc>
          <w:tcPr>
            <w:tcW w:w="7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0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3BA"/>
              </w:rPr>
              <w:t>nm</w:t>
            </w:r>
          </w:p>
        </w:tc>
        <w:tc>
          <w:tcPr>
            <w:tcW w:w="100" w:type="dxa"/>
            <w:vAlign w:val="bottom"/>
          </w:tcPr>
          <w:p>
            <w:pPr>
              <w:spacing w:after="0"/>
              <w:rPr>
                <w:sz w:val="17"/>
                <w:szCs w:val="17"/>
                <w:color w:val="auto"/>
              </w:rPr>
            </w:pPr>
          </w:p>
        </w:tc>
        <w:tc>
          <w:tcPr>
            <w:tcW w:w="1020" w:type="dxa"/>
            <w:vAlign w:val="bottom"/>
            <w:gridSpan w:val="2"/>
          </w:tcPr>
          <w:p>
            <w:pPr>
              <w:ind w:left="600"/>
              <w:spacing w:after="0"/>
              <w:rPr>
                <w:sz w:val="20"/>
                <w:szCs w:val="20"/>
                <w:color w:val="auto"/>
              </w:rPr>
            </w:pPr>
            <w:r>
              <w:rPr>
                <w:rFonts w:ascii="Arial" w:cs="Arial" w:eastAsia="Arial" w:hAnsi="Arial"/>
                <w:sz w:val="14"/>
                <w:szCs w:val="14"/>
                <w:color w:val="auto"/>
              </w:rPr>
              <w:t>nm</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6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88.6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207"/>
        </w:trPr>
        <w:tc>
          <w:tcPr>
            <w:tcW w:w="4380" w:type="dxa"/>
            <w:vAlign w:val="bottom"/>
            <w:tcBorders>
              <w:right w:val="single" w:sz="8" w:color="DBDBDB"/>
            </w:tcBorders>
            <w:gridSpan w:val="2"/>
          </w:tcPr>
          <w:p>
            <w:pPr>
              <w:ind w:left="20"/>
              <w:spacing w:after="0"/>
              <w:rPr>
                <w:sz w:val="20"/>
                <w:szCs w:val="20"/>
                <w:color w:val="auto"/>
              </w:rPr>
            </w:pPr>
            <w:r>
              <w:rPr>
                <w:rFonts w:ascii="Arial" w:cs="Arial" w:eastAsia="Arial" w:hAnsi="Arial"/>
                <w:sz w:val="14"/>
                <w:szCs w:val="14"/>
                <w:color w:val="auto"/>
              </w:rPr>
              <w:t>Other (income) expense, net</w:t>
            </w:r>
          </w:p>
        </w:tc>
        <w:tc>
          <w:tcPr>
            <w:tcW w:w="20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305.6</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343.6</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315.5</w:t>
            </w:r>
          </w:p>
        </w:tc>
        <w:tc>
          <w:tcPr>
            <w:tcW w:w="80" w:type="dxa"/>
            <w:vAlign w:val="bottom"/>
          </w:tcPr>
          <w:p>
            <w:pPr>
              <w:spacing w:after="0"/>
              <w:rPr>
                <w:sz w:val="17"/>
                <w:szCs w:val="17"/>
                <w:color w:val="auto"/>
              </w:rPr>
            </w:pPr>
          </w:p>
        </w:tc>
        <w:tc>
          <w:tcPr>
            <w:tcW w:w="740" w:type="dxa"/>
            <w:vAlign w:val="bottom"/>
            <w:tcBorders>
              <w:bottom w:val="single" w:sz="8" w:color="auto"/>
            </w:tcBorders>
            <w:gridSpan w:val="3"/>
            <w:shd w:val="clear" w:color="auto" w:fill="DBDBDB"/>
          </w:tcPr>
          <w:p>
            <w:pPr>
              <w:jc w:val="right"/>
              <w:spacing w:after="0"/>
              <w:rPr>
                <w:sz w:val="20"/>
                <w:szCs w:val="20"/>
                <w:color w:val="auto"/>
              </w:rPr>
            </w:pPr>
            <w:r>
              <w:rPr>
                <w:rFonts w:ascii="Arial" w:cs="Arial" w:eastAsia="Arial" w:hAnsi="Arial"/>
                <w:sz w:val="14"/>
                <w:szCs w:val="14"/>
                <w:color w:val="2573BA"/>
              </w:rPr>
              <w:t>(11.1)</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62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(38.0)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20"/>
        </w:trPr>
        <w:tc>
          <w:tcPr>
            <w:tcW w:w="4380" w:type="dxa"/>
            <w:vAlign w:val="bottom"/>
            <w:tcBorders>
              <w:right w:val="single" w:sz="8" w:color="DBDBDB"/>
            </w:tcBorders>
            <w:gridSpan w:val="2"/>
          </w:tcPr>
          <w:p>
            <w:pPr>
              <w:ind w:left="360"/>
              <w:spacing w:after="0"/>
              <w:rPr>
                <w:sz w:val="20"/>
                <w:szCs w:val="20"/>
                <w:color w:val="auto"/>
              </w:rPr>
            </w:pPr>
            <w:r>
              <w:rPr>
                <w:rFonts w:ascii="Arial" w:cs="Arial" w:eastAsia="Arial" w:hAnsi="Arial"/>
                <w:sz w:val="14"/>
                <w:szCs w:val="14"/>
                <w:color w:val="auto"/>
              </w:rPr>
              <w:t>Total cost and expense</w:t>
            </w:r>
          </w:p>
        </w:tc>
        <w:tc>
          <w:tcPr>
            <w:tcW w:w="20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w w:val="76"/>
              </w:rPr>
              <w:t>$</w:t>
            </w:r>
          </w:p>
        </w:tc>
        <w:tc>
          <w:tcPr>
            <w:tcW w:w="74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3BA"/>
              </w:rPr>
              <w:t>8,334.1</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7,769.9</w:t>
            </w:r>
          </w:p>
        </w:tc>
        <w:tc>
          <w:tcPr>
            <w:tcW w:w="80" w:type="dxa"/>
            <w:vAlign w:val="bottom"/>
          </w:tcPr>
          <w:p>
            <w:pPr>
              <w:spacing w:after="0"/>
              <w:rPr>
                <w:sz w:val="19"/>
                <w:szCs w:val="19"/>
                <w:color w:val="auto"/>
              </w:rPr>
            </w:pPr>
          </w:p>
        </w:tc>
        <w:tc>
          <w:tcPr>
            <w:tcW w:w="2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8,538.8</w:t>
            </w:r>
          </w:p>
        </w:tc>
        <w:tc>
          <w:tcPr>
            <w:tcW w:w="80" w:type="dxa"/>
            <w:vAlign w:val="bottom"/>
          </w:tcPr>
          <w:p>
            <w:pPr>
              <w:spacing w:after="0"/>
              <w:rPr>
                <w:sz w:val="19"/>
                <w:szCs w:val="19"/>
                <w:color w:val="auto"/>
              </w:rPr>
            </w:pPr>
          </w:p>
        </w:tc>
        <w:tc>
          <w:tcPr>
            <w:tcW w:w="500" w:type="dxa"/>
            <w:vAlign w:val="bottom"/>
            <w:shd w:val="clear" w:color="auto" w:fill="DBDBDB"/>
          </w:tcPr>
          <w:p>
            <w:pPr>
              <w:spacing w:after="0"/>
              <w:rPr>
                <w:sz w:val="19"/>
                <w:szCs w:val="19"/>
                <w:color w:val="auto"/>
              </w:rPr>
            </w:pP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w w:val="92"/>
              </w:rPr>
              <w:t>7.3</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highlight w:val="lightGray"/>
                <w:w w:val="96"/>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9"/>
                <w:szCs w:val="19"/>
                <w:color w:val="auto"/>
              </w:rPr>
            </w:pPr>
          </w:p>
        </w:tc>
        <w:tc>
          <w:tcPr>
            <w:tcW w:w="6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026DCE"/>
              </w:rPr>
              <w:t>564.2</w:t>
            </w:r>
          </w:p>
        </w:tc>
        <w:tc>
          <w:tcPr>
            <w:tcW w:w="32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(768.9)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380" w:type="dxa"/>
            <w:vAlign w:val="bottom"/>
            <w:tcBorders>
              <w:bottom w:val="single" w:sz="8" w:color="auto"/>
            </w:tcBorders>
            <w:gridSpan w:val="2"/>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4380" w:type="dxa"/>
            <w:vAlign w:val="bottom"/>
            <w:gridSpan w:val="2"/>
          </w:tcPr>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10640" w:type="dxa"/>
            <w:vAlign w:val="bottom"/>
            <w:gridSpan w:val="24"/>
          </w:tcPr>
          <w:p>
            <w:pPr>
              <w:spacing w:after="0"/>
              <w:rPr>
                <w:sz w:val="20"/>
                <w:szCs w:val="20"/>
                <w:color w:val="auto"/>
              </w:rPr>
            </w:pPr>
            <w:r>
              <w:rPr>
                <w:rFonts w:ascii="Arial" w:cs="Arial" w:eastAsia="Arial" w:hAnsi="Arial"/>
                <w:sz w:val="22"/>
                <w:szCs w:val="22"/>
                <w:color w:val="0070C0"/>
                <w:w w:val="98"/>
              </w:rPr>
              <w:t>COST OF SALES, EXCLUDING AMORTIZATION AND IMPAIRMENT OF ACQUIRED INTANGIBLE ASSETS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10"/>
          </w:tcPr>
          <w:p>
            <w:pPr>
              <w:jc w:val="right"/>
              <w:ind w:right="208"/>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0070C0"/>
              </w:rPr>
              <w:t>2025</w:t>
            </w:r>
          </w:p>
        </w:tc>
        <w:tc>
          <w:tcPr>
            <w:tcW w:w="8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Product</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740" w:type="dxa"/>
            <w:vAlign w:val="bottom"/>
            <w:shd w:val="clear" w:color="auto" w:fill="DBDBDB"/>
          </w:tcPr>
          <w:p>
            <w:pPr>
              <w:spacing w:after="0"/>
              <w:rPr>
                <w:sz w:val="16"/>
                <w:szCs w:val="16"/>
                <w:color w:val="auto"/>
              </w:rPr>
            </w:pPr>
          </w:p>
        </w:tc>
        <w:tc>
          <w:tcPr>
            <w:tcW w:w="5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1,587.2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1,604.2</w:t>
            </w:r>
          </w:p>
        </w:tc>
        <w:tc>
          <w:tcPr>
            <w:tcW w:w="10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1,787.2</w:t>
            </w:r>
          </w:p>
        </w:tc>
        <w:tc>
          <w:tcPr>
            <w:tcW w:w="0" w:type="dxa"/>
            <w:vAlign w:val="bottom"/>
          </w:tcPr>
          <w:p>
            <w:pPr>
              <w:spacing w:after="0"/>
              <w:rPr>
                <w:sz w:val="1"/>
                <w:szCs w:val="1"/>
                <w:color w:val="auto"/>
              </w:rPr>
            </w:pPr>
          </w:p>
        </w:tc>
      </w:tr>
      <w:tr>
        <w:trPr>
          <w:trHeight w:val="207"/>
        </w:trPr>
        <w:tc>
          <w:tcPr>
            <w:tcW w:w="4380" w:type="dxa"/>
            <w:vAlign w:val="bottom"/>
            <w:gridSpan w:val="2"/>
          </w:tcPr>
          <w:p>
            <w:pPr>
              <w:ind w:left="20"/>
              <w:spacing w:after="0"/>
              <w:rPr>
                <w:sz w:val="20"/>
                <w:szCs w:val="20"/>
                <w:color w:val="auto"/>
              </w:rPr>
            </w:pPr>
            <w:r>
              <w:rPr>
                <w:rFonts w:ascii="Arial" w:cs="Arial" w:eastAsia="Arial" w:hAnsi="Arial"/>
                <w:sz w:val="14"/>
                <w:szCs w:val="14"/>
                <w:color w:val="auto"/>
              </w:rPr>
              <w:t>Royalty</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4"/>
                <w:szCs w:val="14"/>
                <w:color w:val="0070C0"/>
              </w:rPr>
              <w:t>817.0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706.2</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746.2</w:t>
            </w:r>
          </w:p>
        </w:tc>
        <w:tc>
          <w:tcPr>
            <w:tcW w:w="0" w:type="dxa"/>
            <w:vAlign w:val="bottom"/>
          </w:tcPr>
          <w:p>
            <w:pPr>
              <w:spacing w:after="0"/>
              <w:rPr>
                <w:sz w:val="1"/>
                <w:szCs w:val="1"/>
                <w:color w:val="auto"/>
              </w:rPr>
            </w:pPr>
          </w:p>
        </w:tc>
      </w:tr>
      <w:tr>
        <w:trPr>
          <w:trHeight w:val="220"/>
        </w:trPr>
        <w:tc>
          <w:tcPr>
            <w:tcW w:w="438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spacing w:after="0"/>
              <w:rPr>
                <w:sz w:val="19"/>
                <w:szCs w:val="19"/>
                <w:color w:val="auto"/>
              </w:rPr>
            </w:pPr>
          </w:p>
        </w:tc>
        <w:tc>
          <w:tcPr>
            <w:tcW w:w="5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2,404.2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color w:val="auto"/>
              </w:rPr>
              <w:t>2,310.4</w:t>
            </w:r>
          </w:p>
        </w:tc>
        <w:tc>
          <w:tcPr>
            <w:tcW w:w="1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2,533.4</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Cost of sales, as a percentage of total revenue, were 24.3%, 23.9% and 25.8% for the years ended December 31, 2025, 2024 and 2023,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PRODUCT COST OF SALES</w:t>
      </w:r>
    </w:p>
    <w:p>
      <w:pPr>
        <w:spacing w:after="0" w:line="9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2025 compared to 2024, the decrease in product cost of sales was primarily due to lower inventory write-offs, partially offset by product mix, including higher contract manufacturing revenue driven by the timing of batch releases and higher SKYCLARYS inventory step-up amortization costs.</w:t>
      </w:r>
    </w:p>
    <w:p>
      <w:pPr>
        <w:spacing w:after="0" w:line="3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Contract manufacturing revenue includes LEQEMBI inventory produced for Eisai. Cost of sales as a percentage of revenue was adversely affected by LEQEMBI batches due to lower margins associated with this business.</w:t>
      </w:r>
    </w:p>
    <w:p>
      <w:pPr>
        <w:spacing w:after="0" w:line="3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a result of our acquisition of Reata in September 2023 we recorded a fair value step-up adjustment related to the acquired inventory of SKYCLARYS of approximately $1.3 billion. This fair value step-up adjustment is being amortized to cost of sales as the inventory is sold. We expect this amount to be fully amortized by the end of 2028. For the years ended December 31, 2025 and 2024, amortization from the fair value step-up adjustment was approximately $216.9 million and $181.5 million, respectively.</w:t>
      </w:r>
    </w:p>
    <w:p>
      <w:pPr>
        <w:spacing w:after="0" w:line="4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 For additional information on our acquisition of Reata, please read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to our consolidated financial statements included in this report.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Write Downs and Other Charges</w:t>
      </w:r>
    </w:p>
    <w:p>
      <w:pPr>
        <w:spacing w:after="0" w:line="11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Inventory amounts written down as a result of excess, obsolescence or unmarketability totaled $29.2 million, $101.9 million and $124.4 million for the years ended December 31, 2025, 2024 and 2023,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ROYALTY COST OF SALES</w:t>
      </w:r>
    </w:p>
    <w:p>
      <w:pPr>
        <w:spacing w:after="0" w:line="9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For 2025 compared to 2024, the increase in royalty cost of sales was primarily due to a charge recorded during 2025 of approximately $104.9 million related to a litigation matter. For additional information on our litigation matters,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30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238" w:right="9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2717165" cy="64122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717165" cy="641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Research and development expense, as a percentage of total revenue, was 18.0%, 20.5% and 24.9% for the years ended December 31, 2025, 2024 and 2023,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spacing w:after="0" w:line="254" w:lineRule="auto"/>
        <w:rPr>
          <w:sz w:val="20"/>
          <w:szCs w:val="20"/>
          <w:color w:val="auto"/>
        </w:rPr>
      </w:pPr>
      <w:r>
        <w:rPr>
          <w:rFonts w:ascii="Arial" w:cs="Arial" w:eastAsia="Arial" w:hAnsi="Arial"/>
          <w:sz w:val="17"/>
          <w:szCs w:val="17"/>
          <w:color w:val="auto"/>
        </w:rPr>
        <w:t>For 2025 compared to 2024, the decrease in research and development was primarily driven by continued cost-reduction measures realized in connection with our portfolio prioritization initiatives and our Fit for Growth program, approximately $23.9 million of step-up amortization related to SKYCLARYS inventory recorded in 2025, compared to $48.5 million in 2024, and approximately $42.5 million of equity-based compensation expense recognized in 2024 related to our acquisition of HI-Bio. The decrease was offset in part by higher spend on clinical trials, including litifilimab and felzartamab. Higher clinical trial spend related to litifilimab was offset by $200.0 million in research and development funding received from Royalty Pharma.</w:t>
      </w:r>
    </w:p>
    <w:p>
      <w:pPr>
        <w:spacing w:after="0" w:line="2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EARLY STAGE PROGRAMS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2025 vs. 2024</w:t>
      </w:r>
    </w:p>
    <w:p>
      <w:pPr>
        <w:spacing w:after="0" w:line="59" w:lineRule="exact"/>
        <w:rPr>
          <w:sz w:val="20"/>
          <w:szCs w:val="20"/>
          <w:color w:val="auto"/>
        </w:rPr>
      </w:pPr>
    </w:p>
    <w:p>
      <w:pPr>
        <w:ind w:left="380" w:right="180"/>
        <w:spacing w:after="0" w:line="262" w:lineRule="auto"/>
        <w:rPr>
          <w:sz w:val="20"/>
          <w:szCs w:val="20"/>
          <w:color w:val="auto"/>
        </w:rPr>
      </w:pPr>
      <w:r>
        <w:rPr>
          <w:rFonts w:ascii="Arial" w:cs="Arial" w:eastAsia="Arial" w:hAnsi="Arial"/>
          <w:sz w:val="17"/>
          <w:szCs w:val="17"/>
          <w:color w:val="auto"/>
        </w:rPr>
        <w:t>The decrease in early stage programs was driven by a decrease in costs associated with:</w:t>
      </w:r>
    </w:p>
    <w:p>
      <w:pPr>
        <w:ind w:left="380" w:right="200" w:hanging="157"/>
        <w:spacing w:after="0" w:line="265" w:lineRule="auto"/>
        <w:tabs>
          <w:tab w:leader="none" w:pos="332" w:val="left"/>
        </w:tabs>
        <w:numPr>
          <w:ilvl w:val="0"/>
          <w:numId w:val="82"/>
        </w:numPr>
        <w:rPr>
          <w:rFonts w:ascii="Arial" w:cs="Arial" w:eastAsia="Arial" w:hAnsi="Arial"/>
          <w:sz w:val="17"/>
          <w:szCs w:val="17"/>
          <w:color w:val="0070C0"/>
        </w:rPr>
      </w:pPr>
      <w:r>
        <w:rPr>
          <w:rFonts w:ascii="Arial" w:cs="Arial" w:eastAsia="Arial" w:hAnsi="Arial"/>
          <w:sz w:val="17"/>
          <w:szCs w:val="17"/>
          <w:color w:val="auto"/>
        </w:rPr>
        <w:t>discontinuation of BIIB143 for the treatment of diabetic neuropathic pain;</w:t>
      </w:r>
    </w:p>
    <w:p>
      <w:pPr>
        <w:ind w:left="340" w:hanging="117"/>
        <w:spacing w:after="0"/>
        <w:tabs>
          <w:tab w:leader="none" w:pos="340" w:val="left"/>
        </w:tabs>
        <w:numPr>
          <w:ilvl w:val="0"/>
          <w:numId w:val="82"/>
        </w:numPr>
        <w:rPr>
          <w:rFonts w:ascii="Arial" w:cs="Arial" w:eastAsia="Arial" w:hAnsi="Arial"/>
          <w:sz w:val="17"/>
          <w:szCs w:val="17"/>
          <w:color w:val="0070C0"/>
        </w:rPr>
      </w:pPr>
      <w:r>
        <w:rPr>
          <w:rFonts w:ascii="Arial" w:cs="Arial" w:eastAsia="Arial" w:hAnsi="Arial"/>
          <w:sz w:val="17"/>
          <w:szCs w:val="17"/>
          <w:color w:val="auto"/>
        </w:rPr>
        <w:t>discontinuation of BIIB121 for the treatment of Angelman syndrome;</w:t>
      </w:r>
    </w:p>
    <w:p>
      <w:pPr>
        <w:spacing w:after="0" w:line="25" w:lineRule="exact"/>
        <w:rPr>
          <w:rFonts w:ascii="Arial" w:cs="Arial" w:eastAsia="Arial" w:hAnsi="Arial"/>
          <w:sz w:val="17"/>
          <w:szCs w:val="17"/>
          <w:color w:val="0070C0"/>
        </w:rPr>
      </w:pPr>
    </w:p>
    <w:p>
      <w:pPr>
        <w:ind w:left="380" w:right="320" w:hanging="157"/>
        <w:spacing w:after="0" w:line="262" w:lineRule="auto"/>
        <w:tabs>
          <w:tab w:leader="none" w:pos="332" w:val="left"/>
        </w:tabs>
        <w:numPr>
          <w:ilvl w:val="0"/>
          <w:numId w:val="82"/>
        </w:numPr>
        <w:rPr>
          <w:rFonts w:ascii="Arial" w:cs="Arial" w:eastAsia="Arial" w:hAnsi="Arial"/>
          <w:sz w:val="17"/>
          <w:szCs w:val="17"/>
          <w:color w:val="0070C0"/>
        </w:rPr>
      </w:pPr>
      <w:r>
        <w:rPr>
          <w:rFonts w:ascii="Arial" w:cs="Arial" w:eastAsia="Arial" w:hAnsi="Arial"/>
          <w:sz w:val="17"/>
          <w:szCs w:val="17"/>
          <w:color w:val="auto"/>
        </w:rPr>
        <w:t>advancement of litifilimab for the treatment of CLE into late stage; and</w:t>
      </w:r>
    </w:p>
    <w:p>
      <w:pPr>
        <w:ind w:left="340" w:hanging="117"/>
        <w:spacing w:after="0"/>
        <w:tabs>
          <w:tab w:leader="none" w:pos="340" w:val="left"/>
        </w:tabs>
        <w:numPr>
          <w:ilvl w:val="0"/>
          <w:numId w:val="82"/>
        </w:numPr>
        <w:rPr>
          <w:rFonts w:ascii="Arial" w:cs="Arial" w:eastAsia="Arial" w:hAnsi="Arial"/>
          <w:sz w:val="17"/>
          <w:szCs w:val="17"/>
          <w:color w:val="0070C0"/>
        </w:rPr>
      </w:pPr>
      <w:r>
        <w:rPr>
          <w:rFonts w:ascii="Arial" w:cs="Arial" w:eastAsia="Arial" w:hAnsi="Arial"/>
          <w:sz w:val="17"/>
          <w:szCs w:val="17"/>
          <w:color w:val="auto"/>
        </w:rPr>
        <w:t>discontinuation of BIIB105 for the treatment of ALS.</w:t>
      </w:r>
    </w:p>
    <w:p>
      <w:pPr>
        <w:spacing w:after="0" w:line="52" w:lineRule="exact"/>
        <w:rPr>
          <w:sz w:val="20"/>
          <w:szCs w:val="20"/>
          <w:color w:val="auto"/>
        </w:rPr>
      </w:pPr>
    </w:p>
    <w:p>
      <w:pPr>
        <w:ind w:left="380" w:right="80"/>
        <w:spacing w:after="0" w:line="270" w:lineRule="auto"/>
        <w:rPr>
          <w:sz w:val="20"/>
          <w:szCs w:val="20"/>
          <w:color w:val="auto"/>
        </w:rPr>
      </w:pPr>
      <w:r>
        <w:rPr>
          <w:rFonts w:ascii="Arial" w:cs="Arial" w:eastAsia="Arial" w:hAnsi="Arial"/>
          <w:sz w:val="17"/>
          <w:szCs w:val="17"/>
          <w:color w:val="auto"/>
        </w:rPr>
        <w:t>The decrease was partially offset by an increase in costs associated with:</w:t>
      </w:r>
    </w:p>
    <w:p>
      <w:pPr>
        <w:spacing w:after="0" w:line="1" w:lineRule="exact"/>
        <w:rPr>
          <w:sz w:val="20"/>
          <w:szCs w:val="20"/>
          <w:color w:val="auto"/>
        </w:rPr>
      </w:pPr>
    </w:p>
    <w:p>
      <w:pPr>
        <w:ind w:left="340" w:hanging="117"/>
        <w:spacing w:after="0"/>
        <w:tabs>
          <w:tab w:leader="none" w:pos="340" w:val="left"/>
        </w:tabs>
        <w:numPr>
          <w:ilvl w:val="0"/>
          <w:numId w:val="83"/>
        </w:numPr>
        <w:rPr>
          <w:rFonts w:ascii="Arial" w:cs="Arial" w:eastAsia="Arial" w:hAnsi="Arial"/>
          <w:sz w:val="17"/>
          <w:szCs w:val="17"/>
          <w:color w:val="0070C0"/>
        </w:rPr>
      </w:pPr>
      <w:r>
        <w:rPr>
          <w:rFonts w:ascii="Arial" w:cs="Arial" w:eastAsia="Arial" w:hAnsi="Arial"/>
          <w:sz w:val="17"/>
          <w:szCs w:val="17"/>
          <w:color w:val="auto"/>
        </w:rPr>
        <w:t>development of salanersen for the treatment of SMA; and</w:t>
      </w:r>
    </w:p>
    <w:p>
      <w:pPr>
        <w:spacing w:after="0" w:line="25" w:lineRule="exact"/>
        <w:rPr>
          <w:rFonts w:ascii="Arial" w:cs="Arial" w:eastAsia="Arial" w:hAnsi="Arial"/>
          <w:sz w:val="17"/>
          <w:szCs w:val="17"/>
          <w:color w:val="0070C0"/>
        </w:rPr>
      </w:pPr>
    </w:p>
    <w:p>
      <w:pPr>
        <w:ind w:left="340" w:hanging="117"/>
        <w:spacing w:after="0"/>
        <w:tabs>
          <w:tab w:leader="none" w:pos="340" w:val="left"/>
        </w:tabs>
        <w:numPr>
          <w:ilvl w:val="0"/>
          <w:numId w:val="83"/>
        </w:numPr>
        <w:rPr>
          <w:rFonts w:ascii="Arial" w:cs="Arial" w:eastAsia="Arial" w:hAnsi="Arial"/>
          <w:sz w:val="17"/>
          <w:szCs w:val="17"/>
          <w:color w:val="0070C0"/>
        </w:rPr>
      </w:pPr>
      <w:r>
        <w:rPr>
          <w:rFonts w:ascii="Arial" w:cs="Arial" w:eastAsia="Arial" w:hAnsi="Arial"/>
          <w:sz w:val="17"/>
          <w:szCs w:val="17"/>
          <w:color w:val="auto"/>
        </w:rPr>
        <w:t>development of BIIB080 for the treatment of Alzheimer's disease.</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LATE STAGE PROGRAMS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2025 vs. 2024</w:t>
      </w:r>
    </w:p>
    <w:p>
      <w:pPr>
        <w:spacing w:after="0" w:line="45" w:lineRule="exact"/>
        <w:rPr>
          <w:sz w:val="20"/>
          <w:szCs w:val="20"/>
          <w:color w:val="auto"/>
        </w:rPr>
      </w:pPr>
    </w:p>
    <w:p>
      <w:pPr>
        <w:ind w:left="380" w:right="280"/>
        <w:spacing w:after="0" w:line="265" w:lineRule="auto"/>
        <w:rPr>
          <w:sz w:val="20"/>
          <w:szCs w:val="20"/>
          <w:color w:val="auto"/>
        </w:rPr>
      </w:pPr>
      <w:r>
        <w:rPr>
          <w:rFonts w:ascii="Arial" w:cs="Arial" w:eastAsia="Arial" w:hAnsi="Arial"/>
          <w:sz w:val="17"/>
          <w:szCs w:val="17"/>
          <w:color w:val="auto"/>
        </w:rPr>
        <w:t>The increase in late stage programs was driven by an increase in costs associated with:</w:t>
      </w:r>
    </w:p>
    <w:p>
      <w:pPr>
        <w:ind w:left="340" w:hanging="117"/>
        <w:spacing w:after="0"/>
        <w:tabs>
          <w:tab w:leader="none" w:pos="340" w:val="left"/>
        </w:tabs>
        <w:numPr>
          <w:ilvl w:val="0"/>
          <w:numId w:val="84"/>
        </w:numPr>
        <w:rPr>
          <w:rFonts w:ascii="Arial" w:cs="Arial" w:eastAsia="Arial" w:hAnsi="Arial"/>
          <w:sz w:val="17"/>
          <w:szCs w:val="17"/>
          <w:color w:val="0070C0"/>
        </w:rPr>
      </w:pPr>
      <w:r>
        <w:rPr>
          <w:rFonts w:ascii="Arial" w:cs="Arial" w:eastAsia="Arial" w:hAnsi="Arial"/>
          <w:sz w:val="17"/>
          <w:szCs w:val="17"/>
          <w:color w:val="auto"/>
        </w:rPr>
        <w:t>development of felzartamab for AMR, IgAN and PMN;</w:t>
      </w:r>
    </w:p>
    <w:p>
      <w:pPr>
        <w:spacing w:after="0" w:line="29" w:lineRule="exact"/>
        <w:rPr>
          <w:rFonts w:ascii="Arial" w:cs="Arial" w:eastAsia="Arial" w:hAnsi="Arial"/>
          <w:sz w:val="17"/>
          <w:szCs w:val="17"/>
          <w:color w:val="0070C0"/>
        </w:rPr>
      </w:pPr>
    </w:p>
    <w:p>
      <w:pPr>
        <w:ind w:left="380" w:right="640" w:hanging="157"/>
        <w:spacing w:after="0" w:line="265" w:lineRule="auto"/>
        <w:tabs>
          <w:tab w:leader="none" w:pos="332" w:val="left"/>
        </w:tabs>
        <w:numPr>
          <w:ilvl w:val="0"/>
          <w:numId w:val="84"/>
        </w:numPr>
        <w:rPr>
          <w:rFonts w:ascii="Arial" w:cs="Arial" w:eastAsia="Arial" w:hAnsi="Arial"/>
          <w:sz w:val="17"/>
          <w:szCs w:val="17"/>
          <w:color w:val="0070C0"/>
        </w:rPr>
      </w:pPr>
      <w:r>
        <w:rPr>
          <w:rFonts w:ascii="Arial" w:cs="Arial" w:eastAsia="Arial" w:hAnsi="Arial"/>
          <w:sz w:val="17"/>
          <w:szCs w:val="17"/>
          <w:color w:val="auto"/>
        </w:rPr>
        <w:t>increased spend on zorevunersen for the treatment of Dravet syndrome; and</w:t>
      </w:r>
    </w:p>
    <w:p>
      <w:pPr>
        <w:ind w:left="380" w:right="80" w:hanging="157"/>
        <w:spacing w:after="0" w:line="273" w:lineRule="auto"/>
        <w:tabs>
          <w:tab w:leader="none" w:pos="332" w:val="left"/>
        </w:tabs>
        <w:numPr>
          <w:ilvl w:val="0"/>
          <w:numId w:val="84"/>
        </w:numPr>
        <w:rPr>
          <w:rFonts w:ascii="Arial" w:cs="Arial" w:eastAsia="Arial" w:hAnsi="Arial"/>
          <w:sz w:val="17"/>
          <w:szCs w:val="17"/>
          <w:color w:val="0070C0"/>
        </w:rPr>
      </w:pPr>
      <w:r>
        <w:rPr>
          <w:rFonts w:ascii="Arial" w:cs="Arial" w:eastAsia="Arial" w:hAnsi="Arial"/>
          <w:sz w:val="17"/>
          <w:szCs w:val="17"/>
          <w:color w:val="auto"/>
        </w:rPr>
        <w:t>development of litifilimab for the treatment of CLE and SLE, offset by Royalty Pharma funding of $200.0 million.</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MARKETED PROGRAMS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2025 vs. 2024</w:t>
      </w:r>
    </w:p>
    <w:p>
      <w:pPr>
        <w:spacing w:after="0" w:line="45" w:lineRule="exact"/>
        <w:rPr>
          <w:sz w:val="20"/>
          <w:szCs w:val="20"/>
          <w:color w:val="auto"/>
        </w:rPr>
      </w:pPr>
    </w:p>
    <w:p>
      <w:pPr>
        <w:ind w:left="380" w:right="300"/>
        <w:spacing w:after="0" w:line="265" w:lineRule="auto"/>
        <w:rPr>
          <w:sz w:val="20"/>
          <w:szCs w:val="20"/>
          <w:color w:val="auto"/>
        </w:rPr>
      </w:pPr>
      <w:r>
        <w:rPr>
          <w:rFonts w:ascii="Arial" w:cs="Arial" w:eastAsia="Arial" w:hAnsi="Arial"/>
          <w:sz w:val="17"/>
          <w:szCs w:val="17"/>
          <w:color w:val="auto"/>
        </w:rPr>
        <w:t>The decrease in marketed programs was driven by a decrease in costs associated with:</w:t>
      </w:r>
    </w:p>
    <w:p>
      <w:pPr>
        <w:ind w:left="380" w:right="500" w:hanging="157"/>
        <w:spacing w:after="0" w:line="262" w:lineRule="auto"/>
        <w:tabs>
          <w:tab w:leader="none" w:pos="332" w:val="left"/>
        </w:tabs>
        <w:numPr>
          <w:ilvl w:val="0"/>
          <w:numId w:val="85"/>
        </w:numPr>
        <w:rPr>
          <w:rFonts w:ascii="Arial" w:cs="Arial" w:eastAsia="Arial" w:hAnsi="Arial"/>
          <w:sz w:val="17"/>
          <w:szCs w:val="17"/>
          <w:color w:val="0070C0"/>
        </w:rPr>
      </w:pPr>
      <w:r>
        <w:rPr>
          <w:rFonts w:ascii="Arial" w:cs="Arial" w:eastAsia="Arial" w:hAnsi="Arial"/>
          <w:sz w:val="17"/>
          <w:szCs w:val="17"/>
          <w:color w:val="auto"/>
        </w:rPr>
        <w:t>decreased spend on LEQEMBI for the treatment of Alzheimer's disease; and</w:t>
      </w:r>
    </w:p>
    <w:p>
      <w:pPr>
        <w:ind w:left="380" w:right="480" w:hanging="157"/>
        <w:spacing w:after="0" w:line="273" w:lineRule="auto"/>
        <w:tabs>
          <w:tab w:leader="none" w:pos="332" w:val="left"/>
        </w:tabs>
        <w:numPr>
          <w:ilvl w:val="0"/>
          <w:numId w:val="85"/>
        </w:numPr>
        <w:rPr>
          <w:rFonts w:ascii="Arial" w:cs="Arial" w:eastAsia="Arial" w:hAnsi="Arial"/>
          <w:sz w:val="17"/>
          <w:szCs w:val="17"/>
          <w:b w:val="1"/>
          <w:bCs w:val="1"/>
          <w:color w:val="0070C0"/>
        </w:rPr>
      </w:pPr>
      <w:r>
        <w:rPr>
          <w:rFonts w:ascii="Arial" w:cs="Arial" w:eastAsia="Arial" w:hAnsi="Arial"/>
          <w:sz w:val="17"/>
          <w:szCs w:val="17"/>
          <w:color w:val="auto"/>
        </w:rPr>
        <w:t>$23.9 million of step-up amortization related to SKYCLARYS inventory recorded in 2025, compared to $48.5 million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0" w:space="720"/>
            <w:col w:w="5600"/>
          </w:cols>
          <w:pgMar w:left="320" w:top="238" w:right="45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Research and development expense is reported above based on the following classifications. The development stage reported is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spacing w:after="0" w:line="68" w:lineRule="exact"/>
        <w:rPr>
          <w:sz w:val="20"/>
          <w:szCs w:val="20"/>
          <w:color w:val="auto"/>
        </w:rPr>
      </w:pPr>
    </w:p>
    <w:p>
      <w:pPr>
        <w:ind w:left="440" w:hanging="270"/>
        <w:spacing w:after="0"/>
        <w:tabs>
          <w:tab w:leader="none" w:pos="440" w:val="left"/>
        </w:tabs>
        <w:numPr>
          <w:ilvl w:val="0"/>
          <w:numId w:val="86"/>
        </w:numPr>
        <w:rPr>
          <w:rFonts w:ascii="Arial" w:cs="Arial" w:eastAsia="Arial" w:hAnsi="Arial"/>
          <w:sz w:val="18"/>
          <w:szCs w:val="18"/>
          <w:color w:val="0070C0"/>
        </w:rPr>
      </w:pPr>
      <w:r>
        <w:rPr>
          <w:rFonts w:ascii="Arial" w:cs="Arial" w:eastAsia="Arial" w:hAnsi="Arial"/>
          <w:sz w:val="18"/>
          <w:szCs w:val="18"/>
          <w:b w:val="1"/>
          <w:bCs w:val="1"/>
          <w:color w:val="0070C0"/>
        </w:rPr>
        <w:t xml:space="preserve">Research and discovery: </w:t>
      </w:r>
      <w:r>
        <w:rPr>
          <w:rFonts w:ascii="Arial" w:cs="Arial" w:eastAsia="Arial" w:hAnsi="Arial"/>
          <w:sz w:val="18"/>
          <w:szCs w:val="18"/>
          <w:color w:val="000000"/>
        </w:rPr>
        <w:t>represents costs incurred to support our discovery research and translational science efforts.</w:t>
      </w:r>
    </w:p>
    <w:p>
      <w:pPr>
        <w:spacing w:after="0" w:line="117" w:lineRule="exact"/>
        <w:rPr>
          <w:rFonts w:ascii="Arial" w:cs="Arial" w:eastAsia="Arial" w:hAnsi="Arial"/>
          <w:sz w:val="18"/>
          <w:szCs w:val="18"/>
          <w:color w:val="0070C0"/>
        </w:rPr>
      </w:pPr>
    </w:p>
    <w:p>
      <w:pPr>
        <w:ind w:left="440" w:hanging="270"/>
        <w:spacing w:after="0"/>
        <w:tabs>
          <w:tab w:leader="none" w:pos="440" w:val="left"/>
        </w:tabs>
        <w:numPr>
          <w:ilvl w:val="0"/>
          <w:numId w:val="86"/>
        </w:numPr>
        <w:rPr>
          <w:rFonts w:ascii="Arial" w:cs="Arial" w:eastAsia="Arial" w:hAnsi="Arial"/>
          <w:sz w:val="18"/>
          <w:szCs w:val="18"/>
          <w:color w:val="0070C0"/>
        </w:rPr>
      </w:pPr>
      <w:r>
        <w:rPr>
          <w:rFonts w:ascii="Arial" w:cs="Arial" w:eastAsia="Arial" w:hAnsi="Arial"/>
          <w:sz w:val="18"/>
          <w:szCs w:val="18"/>
          <w:b w:val="1"/>
          <w:bCs w:val="1"/>
          <w:color w:val="0070C0"/>
        </w:rPr>
        <w:t xml:space="preserve">Early stage programs: </w:t>
      </w:r>
      <w:r>
        <w:rPr>
          <w:rFonts w:ascii="Arial" w:cs="Arial" w:eastAsia="Arial" w:hAnsi="Arial"/>
          <w:sz w:val="18"/>
          <w:szCs w:val="18"/>
          <w:color w:val="000000"/>
        </w:rPr>
        <w:t>are programs in Phase 1 or Phase 2 development.</w:t>
      </w:r>
    </w:p>
    <w:p>
      <w:pPr>
        <w:spacing w:after="0" w:line="117" w:lineRule="exact"/>
        <w:rPr>
          <w:rFonts w:ascii="Arial" w:cs="Arial" w:eastAsia="Arial" w:hAnsi="Arial"/>
          <w:sz w:val="18"/>
          <w:szCs w:val="18"/>
          <w:color w:val="0070C0"/>
        </w:rPr>
      </w:pPr>
    </w:p>
    <w:p>
      <w:pPr>
        <w:ind w:left="440" w:hanging="270"/>
        <w:spacing w:after="0"/>
        <w:tabs>
          <w:tab w:leader="none" w:pos="440" w:val="left"/>
        </w:tabs>
        <w:numPr>
          <w:ilvl w:val="0"/>
          <w:numId w:val="86"/>
        </w:numPr>
        <w:rPr>
          <w:rFonts w:ascii="Arial" w:cs="Arial" w:eastAsia="Arial" w:hAnsi="Arial"/>
          <w:sz w:val="18"/>
          <w:szCs w:val="18"/>
          <w:color w:val="0070C0"/>
        </w:rPr>
      </w:pPr>
      <w:r>
        <w:rPr>
          <w:rFonts w:ascii="Arial" w:cs="Arial" w:eastAsia="Arial" w:hAnsi="Arial"/>
          <w:sz w:val="18"/>
          <w:szCs w:val="18"/>
          <w:b w:val="1"/>
          <w:bCs w:val="1"/>
          <w:color w:val="0070C0"/>
        </w:rPr>
        <w:t xml:space="preserve">Late stage programs: </w:t>
      </w:r>
      <w:r>
        <w:rPr>
          <w:rFonts w:ascii="Arial" w:cs="Arial" w:eastAsia="Arial" w:hAnsi="Arial"/>
          <w:sz w:val="18"/>
          <w:szCs w:val="18"/>
          <w:color w:val="000000"/>
        </w:rPr>
        <w:t>are programs in Phase 3 development or in registration stage.</w:t>
      </w:r>
    </w:p>
    <w:p>
      <w:pPr>
        <w:spacing w:after="0" w:line="117" w:lineRule="exact"/>
        <w:rPr>
          <w:rFonts w:ascii="Arial" w:cs="Arial" w:eastAsia="Arial" w:hAnsi="Arial"/>
          <w:sz w:val="18"/>
          <w:szCs w:val="18"/>
          <w:color w:val="0070C0"/>
        </w:rPr>
      </w:pPr>
    </w:p>
    <w:p>
      <w:pPr>
        <w:ind w:left="500" w:right="180" w:hanging="330"/>
        <w:spacing w:after="0" w:line="287" w:lineRule="auto"/>
        <w:tabs>
          <w:tab w:leader="none" w:pos="455" w:val="left"/>
        </w:tabs>
        <w:numPr>
          <w:ilvl w:val="0"/>
          <w:numId w:val="86"/>
        </w:numPr>
        <w:rPr>
          <w:rFonts w:ascii="Arial" w:cs="Arial" w:eastAsia="Arial" w:hAnsi="Arial"/>
          <w:sz w:val="18"/>
          <w:szCs w:val="18"/>
          <w:b w:val="1"/>
          <w:bCs w:val="1"/>
          <w:color w:val="0070C0"/>
        </w:rPr>
      </w:pPr>
      <w:r>
        <w:rPr>
          <w:rFonts w:ascii="Arial" w:cs="Arial" w:eastAsia="Arial" w:hAnsi="Arial"/>
          <w:sz w:val="18"/>
          <w:szCs w:val="18"/>
          <w:b w:val="1"/>
          <w:bCs w:val="1"/>
          <w:color w:val="0070C0"/>
        </w:rPr>
        <w:t xml:space="preserve">Marketed products: </w:t>
      </w:r>
      <w:r>
        <w:rPr>
          <w:rFonts w:ascii="Arial" w:cs="Arial" w:eastAsia="Arial" w:hAnsi="Arial"/>
          <w:sz w:val="18"/>
          <w:szCs w:val="18"/>
          <w:color w:val="000000"/>
        </w:rPr>
        <w:t>includes costs associated with product lifecycle management activities including, if applicable, costs associated</w:t>
      </w:r>
      <w:r>
        <w:rPr>
          <w:rFonts w:ascii="Arial" w:cs="Arial" w:eastAsia="Arial" w:hAnsi="Arial"/>
          <w:sz w:val="18"/>
          <w:szCs w:val="18"/>
          <w:b w:val="1"/>
          <w:bCs w:val="1"/>
          <w:color w:val="0070C0"/>
        </w:rPr>
        <w:t xml:space="preserve"> </w:t>
      </w:r>
      <w:r>
        <w:rPr>
          <w:rFonts w:ascii="Arial" w:cs="Arial" w:eastAsia="Arial" w:hAnsi="Arial"/>
          <w:sz w:val="18"/>
          <w:szCs w:val="18"/>
          <w:color w:val="000000"/>
        </w:rPr>
        <w:t>with the development of new indications for existing products.</w:t>
      </w:r>
    </w:p>
    <w:p>
      <w:pPr>
        <w:spacing w:after="0" w:line="44" w:lineRule="exact"/>
        <w:rPr>
          <w:rFonts w:ascii="Arial" w:cs="Arial" w:eastAsia="Arial" w:hAnsi="Arial"/>
          <w:sz w:val="18"/>
          <w:szCs w:val="18"/>
          <w:b w:val="1"/>
          <w:bCs w:val="1"/>
          <w:color w:val="0070C0"/>
        </w:rPr>
      </w:pPr>
    </w:p>
    <w:p>
      <w:pPr>
        <w:ind w:left="500" w:right="160" w:hanging="330"/>
        <w:spacing w:after="0" w:line="262" w:lineRule="auto"/>
        <w:tabs>
          <w:tab w:leader="none" w:pos="450" w:val="left"/>
        </w:tabs>
        <w:numPr>
          <w:ilvl w:val="0"/>
          <w:numId w:val="86"/>
        </w:numPr>
        <w:rPr>
          <w:rFonts w:ascii="Arial" w:cs="Arial" w:eastAsia="Arial" w:hAnsi="Arial"/>
          <w:sz w:val="17"/>
          <w:szCs w:val="17"/>
          <w:b w:val="1"/>
          <w:bCs w:val="1"/>
          <w:color w:val="0070C0"/>
        </w:rPr>
      </w:pPr>
      <w:r>
        <w:rPr>
          <w:rFonts w:ascii="Arial" w:cs="Arial" w:eastAsia="Arial" w:hAnsi="Arial"/>
          <w:sz w:val="18"/>
          <w:szCs w:val="18"/>
          <w:b w:val="1"/>
          <w:bCs w:val="1"/>
          <w:color w:val="0070C0"/>
        </w:rPr>
        <w:t xml:space="preserve">Other research and development costs: </w:t>
      </w:r>
      <w:r>
        <w:rPr>
          <w:rFonts w:ascii="Arial" w:cs="Arial" w:eastAsia="Arial" w:hAnsi="Arial"/>
          <w:sz w:val="18"/>
          <w:szCs w:val="18"/>
          <w:color w:val="000000"/>
        </w:rPr>
        <w:t>A significant amount of our research and development costs consist of indirect costs</w:t>
      </w:r>
      <w:r>
        <w:rPr>
          <w:rFonts w:ascii="Arial" w:cs="Arial" w:eastAsia="Arial" w:hAnsi="Arial"/>
          <w:sz w:val="18"/>
          <w:szCs w:val="18"/>
          <w:b w:val="1"/>
          <w:bCs w:val="1"/>
          <w:color w:val="0070C0"/>
        </w:rPr>
        <w:t xml:space="preserve"> </w:t>
      </w:r>
      <w:r>
        <w:rPr>
          <w:rFonts w:ascii="Arial" w:cs="Arial" w:eastAsia="Arial" w:hAnsi="Arial"/>
          <w:sz w:val="18"/>
          <w:szCs w:val="18"/>
          <w:color w:val="000000"/>
        </w:rPr>
        <w:t>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 development costs in the table above and are not allocated to a specific program or stage.</w:t>
      </w:r>
    </w:p>
    <w:p>
      <w:pPr>
        <w:spacing w:after="0" w:line="6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expect our core research and development expense to increase slightly in 2026 with most investments in our late-stage programs. We intend to continue committing significant resources to targeted research and development opportunities while continuing to invest in our pipeline, where there is a significant unmet need and where a drug candidate has the potential to be highly differentiated.</w:t>
      </w:r>
    </w:p>
    <w:p>
      <w:pPr>
        <w:spacing w:after="0" w:line="4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acquisitions of Reata and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ACQUIRED IN-PROCESS RESEARCH AND DEVELOPMENT, UPFRONT AND MILESTONE EXPENSE</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first quarter of 2025 we began presenting acquired in-process research and development, upfront and milestone expense as a separate line item in our consolidated statements of income. Acquired in-process research and development, upfront and milestone expense includes costs incurred in connection with collaboration and license agreements such as upfront and milestone payments and, when applicable, premiums on equity securities and asset acquisitions of acquired in-process research and development, which were previously included in research and development expense.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2025 acquired in-process research and development, upfront and milestone expense primarily consists of the following activity:</w:t>
      </w:r>
    </w:p>
    <w:p>
      <w:pPr>
        <w:spacing w:after="0" w:line="117" w:lineRule="exact"/>
        <w:rPr>
          <w:sz w:val="20"/>
          <w:szCs w:val="20"/>
          <w:color w:val="auto"/>
        </w:rPr>
      </w:pPr>
    </w:p>
    <w:p>
      <w:pPr>
        <w:ind w:left="440" w:hanging="270"/>
        <w:spacing w:after="0"/>
        <w:tabs>
          <w:tab w:leader="none" w:pos="440" w:val="left"/>
        </w:tabs>
        <w:numPr>
          <w:ilvl w:val="0"/>
          <w:numId w:val="87"/>
        </w:numPr>
        <w:rPr>
          <w:rFonts w:ascii="Arial" w:cs="Arial" w:eastAsia="Arial" w:hAnsi="Arial"/>
          <w:sz w:val="18"/>
          <w:szCs w:val="18"/>
          <w:color w:val="0070C0"/>
        </w:rPr>
      </w:pPr>
      <w:r>
        <w:rPr>
          <w:rFonts w:ascii="Arial" w:cs="Arial" w:eastAsia="Arial" w:hAnsi="Arial"/>
          <w:sz w:val="18"/>
          <w:szCs w:val="18"/>
          <w:color w:val="auto"/>
        </w:rPr>
        <w:t>Upfront payment of $165.0 million made to Stoke in connection with the closing of our collaboration and license agreement;</w:t>
      </w:r>
    </w:p>
    <w:p>
      <w:pPr>
        <w:spacing w:after="0" w:line="117" w:lineRule="exact"/>
        <w:rPr>
          <w:rFonts w:ascii="Arial" w:cs="Arial" w:eastAsia="Arial" w:hAnsi="Arial"/>
          <w:sz w:val="18"/>
          <w:szCs w:val="18"/>
          <w:color w:val="0070C0"/>
        </w:rPr>
      </w:pPr>
    </w:p>
    <w:p>
      <w:pPr>
        <w:ind w:left="500" w:right="580" w:hanging="330"/>
        <w:spacing w:after="0" w:line="287" w:lineRule="auto"/>
        <w:tabs>
          <w:tab w:leader="none" w:pos="455" w:val="left"/>
        </w:tabs>
        <w:numPr>
          <w:ilvl w:val="0"/>
          <w:numId w:val="87"/>
        </w:numPr>
        <w:rPr>
          <w:rFonts w:ascii="Arial" w:cs="Arial" w:eastAsia="Arial" w:hAnsi="Arial"/>
          <w:sz w:val="18"/>
          <w:szCs w:val="18"/>
          <w:color w:val="0070C0"/>
        </w:rPr>
      </w:pPr>
      <w:r>
        <w:rPr>
          <w:rFonts w:ascii="Arial" w:cs="Arial" w:eastAsia="Arial" w:hAnsi="Arial"/>
          <w:sz w:val="18"/>
          <w:szCs w:val="18"/>
          <w:color w:val="auto"/>
        </w:rPr>
        <w:t>Total consideration, including upfront payment, of approximately $85.0 million in connection with the closing of our acquisition of Alcyone;</w:t>
      </w:r>
    </w:p>
    <w:p>
      <w:pPr>
        <w:spacing w:after="0" w:line="44" w:lineRule="exact"/>
        <w:rPr>
          <w:rFonts w:ascii="Arial" w:cs="Arial" w:eastAsia="Arial" w:hAnsi="Arial"/>
          <w:sz w:val="18"/>
          <w:szCs w:val="18"/>
          <w:color w:val="0070C0"/>
        </w:rPr>
      </w:pPr>
    </w:p>
    <w:p>
      <w:pPr>
        <w:ind w:left="440" w:hanging="270"/>
        <w:spacing w:after="0"/>
        <w:tabs>
          <w:tab w:leader="none" w:pos="440" w:val="left"/>
        </w:tabs>
        <w:numPr>
          <w:ilvl w:val="0"/>
          <w:numId w:val="87"/>
        </w:numPr>
        <w:rPr>
          <w:rFonts w:ascii="Arial" w:cs="Arial" w:eastAsia="Arial" w:hAnsi="Arial"/>
          <w:sz w:val="18"/>
          <w:szCs w:val="18"/>
          <w:color w:val="0070C0"/>
        </w:rPr>
      </w:pPr>
      <w:r>
        <w:rPr>
          <w:rFonts w:ascii="Arial" w:cs="Arial" w:eastAsia="Arial" w:hAnsi="Arial"/>
          <w:sz w:val="18"/>
          <w:szCs w:val="18"/>
          <w:color w:val="auto"/>
        </w:rPr>
        <w:t>Upfront payment of $70.0 million made to Vanqua in connection with the closing of our license agreement;</w:t>
      </w:r>
    </w:p>
    <w:p>
      <w:pPr>
        <w:spacing w:after="0" w:line="117" w:lineRule="exact"/>
        <w:rPr>
          <w:rFonts w:ascii="Arial" w:cs="Arial" w:eastAsia="Arial" w:hAnsi="Arial"/>
          <w:sz w:val="18"/>
          <w:szCs w:val="18"/>
          <w:color w:val="0070C0"/>
        </w:rPr>
      </w:pPr>
    </w:p>
    <w:p>
      <w:pPr>
        <w:ind w:left="440" w:hanging="270"/>
        <w:spacing w:after="0"/>
        <w:tabs>
          <w:tab w:leader="none" w:pos="440" w:val="left"/>
        </w:tabs>
        <w:numPr>
          <w:ilvl w:val="0"/>
          <w:numId w:val="87"/>
        </w:numPr>
        <w:rPr>
          <w:rFonts w:ascii="Arial" w:cs="Arial" w:eastAsia="Arial" w:hAnsi="Arial"/>
          <w:sz w:val="18"/>
          <w:szCs w:val="18"/>
          <w:color w:val="0070C0"/>
        </w:rPr>
      </w:pPr>
      <w:r>
        <w:rPr>
          <w:rFonts w:ascii="Arial" w:cs="Arial" w:eastAsia="Arial" w:hAnsi="Arial"/>
          <w:sz w:val="18"/>
          <w:szCs w:val="18"/>
          <w:color w:val="auto"/>
        </w:rPr>
        <w:t>Upfront payment of $50.0 million made to Dayra in connection with the closing of our research collaboration;</w:t>
      </w:r>
    </w:p>
    <w:p>
      <w:pPr>
        <w:spacing w:after="0" w:line="117" w:lineRule="exact"/>
        <w:rPr>
          <w:rFonts w:ascii="Arial" w:cs="Arial" w:eastAsia="Arial" w:hAnsi="Arial"/>
          <w:sz w:val="18"/>
          <w:szCs w:val="18"/>
          <w:color w:val="0070C0"/>
        </w:rPr>
      </w:pPr>
    </w:p>
    <w:p>
      <w:pPr>
        <w:ind w:left="500" w:right="60" w:hanging="330"/>
        <w:spacing w:after="0" w:line="287" w:lineRule="auto"/>
        <w:tabs>
          <w:tab w:leader="none" w:pos="455" w:val="left"/>
        </w:tabs>
        <w:numPr>
          <w:ilvl w:val="0"/>
          <w:numId w:val="87"/>
        </w:numPr>
        <w:rPr>
          <w:rFonts w:ascii="Arial" w:cs="Arial" w:eastAsia="Arial" w:hAnsi="Arial"/>
          <w:sz w:val="18"/>
          <w:szCs w:val="18"/>
          <w:color w:val="0070C0"/>
        </w:rPr>
      </w:pPr>
      <w:r>
        <w:rPr>
          <w:rFonts w:ascii="Arial" w:cs="Arial" w:eastAsia="Arial" w:hAnsi="Arial"/>
          <w:sz w:val="18"/>
          <w:szCs w:val="18"/>
          <w:color w:val="auto"/>
        </w:rPr>
        <w:t>Milestone payments of $35.0 million and $30.0 million to MorphoSys in connection with the first patient dosed in a Phase 3 clinical trial of felzartamab for the treatment of AMR and IgAN, respectively; and</w:t>
      </w:r>
    </w:p>
    <w:p>
      <w:pPr>
        <w:spacing w:after="0" w:line="44" w:lineRule="exact"/>
        <w:rPr>
          <w:rFonts w:ascii="Arial" w:cs="Arial" w:eastAsia="Arial" w:hAnsi="Arial"/>
          <w:sz w:val="18"/>
          <w:szCs w:val="18"/>
          <w:color w:val="0070C0"/>
        </w:rPr>
      </w:pPr>
    </w:p>
    <w:p>
      <w:pPr>
        <w:ind w:left="440" w:hanging="270"/>
        <w:spacing w:after="0"/>
        <w:tabs>
          <w:tab w:leader="none" w:pos="440" w:val="left"/>
        </w:tabs>
        <w:numPr>
          <w:ilvl w:val="0"/>
          <w:numId w:val="87"/>
        </w:numPr>
        <w:rPr>
          <w:rFonts w:ascii="Arial" w:cs="Arial" w:eastAsia="Arial" w:hAnsi="Arial"/>
          <w:sz w:val="18"/>
          <w:szCs w:val="18"/>
          <w:color w:val="0070C0"/>
        </w:rPr>
      </w:pPr>
      <w:r>
        <w:rPr>
          <w:rFonts w:ascii="Arial" w:cs="Arial" w:eastAsia="Arial" w:hAnsi="Arial"/>
          <w:sz w:val="18"/>
          <w:szCs w:val="18"/>
          <w:color w:val="auto"/>
        </w:rPr>
        <w:t>Upfront payment of $16.0 million made to City Therapeutics in connection with the closing of our strategic research arrangement.</w:t>
      </w:r>
    </w:p>
    <w:p>
      <w:pPr>
        <w:spacing w:after="0" w:line="11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 For additional information on our acquisition of Alcyone, please read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to our consolidated financial statements included in this report.</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SELLING, GENERAL AND ADMINISTRATIVE</w:t>
      </w:r>
    </w:p>
    <w:p>
      <w:pPr>
        <w:spacing w:after="0" w:line="10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2025 compared to 2024, selling, general and administrative expense increased by approximately 1.2% primarily due to an increase in operational spending on sales and marketing activities in support of LEQEMBI and SKYCLARYS as we continue to expand our U.S. and international product launches. The increase was partially offset by the realization of our cost-reduction measures in connection with our Fit for Growth program.</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2026 we expect selling, general and administrative expense to be relatively flat as compared to 2025. We anticipate increases in spend related to product launches and pre-launch activities will be offset by reduced spending within our mature products.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AMORTIZATION AND IMPAIRMENT OF ACQUIRED INTANGIBLE ASSETS</w:t>
      </w:r>
    </w:p>
    <w:p>
      <w:pPr>
        <w:spacing w:after="0" w:line="10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Our amortization expense is based on the economic consumption and impairment of intangible assets. Our most significant amortizable intangible assets are related to TYSABRI, AVONEX, SPINRAZA, VUMERITY and SKYCLARYS.</w:t>
      </w:r>
    </w:p>
    <w:p>
      <w:pPr>
        <w:spacing w:after="0" w:line="4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Amortization of acquired intangible assets, excluding impairment charges, totaled $507.1 million, $386.5 million and $240.6 million for the years ended December 31, 2025, 2024 and 2023, respectively. The increase in amortization of acquired intangible assets, excluding impairment charges, was primarily due to amortization for the acquired intangible assets associated with SKYCLARYS and TYSABRI.</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For the year ended December 31, 2025, amortization and impairment of acquired intangible assets reflects the impact of $7.9 million in impairment charges related to compounds acquired from HI-Bio.</w:t>
      </w:r>
    </w:p>
    <w:p>
      <w:pPr>
        <w:spacing w:after="0" w:line="4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For the year ended December 31, 2024, amortization and impairment of acquired intangible assets reflects the impact of a $ 40.0 million impairment charge related to intangible assets from other clinical programs we acquired from Reata, reducing the remaining book value of these IPR&amp;D intangible assets to zero, and a $20.2 million impairment charge related to intangible assets associated with the termination of Samsung Bioepis' commercialization rights during the third quarter of 2024.</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 xml:space="preserve">For additional information on the amortization and impairment of our acquired intangible assets, please read </w:t>
      </w:r>
      <w:r>
        <w:rPr>
          <w:rFonts w:ascii="Arial" w:cs="Arial" w:eastAsia="Arial" w:hAnsi="Arial"/>
          <w:sz w:val="18"/>
          <w:szCs w:val="18"/>
          <w:i w:val="1"/>
          <w:iCs w:val="1"/>
          <w:color w:val="auto"/>
        </w:rPr>
        <w:t>Note 7, Intangible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COLLABORATION PROFIT SHARING/(LOSS REIMBURSEMENT)</w:t>
      </w:r>
    </w:p>
    <w:p>
      <w:pPr>
        <w:spacing w:after="0" w:line="11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Collaboration profit sharing/(loss reimbursement) includes Samsung Bioepis' 50.0% share of the profit or loss related to our biosimilars 2013 commercial agreement with Samsung Bioepis and collaboration profit sharing/(loss reimbursement) related to Supernus' 50.0% share of the profit or loss in the U.S. related to ZURZUVAE for PPD.</w:t>
      </w:r>
    </w:p>
    <w:p>
      <w:pPr>
        <w:spacing w:after="0" w:line="6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the years ended December 31, 2025, 2024 and 2023, we recognized net profit-sharing expense of approximately $219.2 million, $227.4 million and $223.5 million, respectively, to reflect Samsung Bioepis' 50.0% sharing of the net collaboration profits.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2025, 2024 and 2023, we recognized net profit-sharing expense of approximately $71.0 million and</w:t>
      </w:r>
    </w:p>
    <w:p>
      <w:pPr>
        <w:spacing w:after="0" w:line="14"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$27.0 million, and net loss reimbursement of approximately $4.7 million, respectively, to reflect Supernus' 50.0% share of net collaboration results in the U.S.</w:t>
      </w:r>
    </w:p>
    <w:p>
      <w:pPr>
        <w:spacing w:after="0" w:line="77"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 xml:space="preserve">For additional information on our collaboration and license arrangements with Samsung Bioepis and Supernus,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(GAIN) LOSS ON FAIR VALUE REMEASUREMENT OF CONTINGENT CONSIDERATION</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Consideration payable for certain of our business combinations include future payments that are contingent upon the occurrence of a particular event or events. We record an obligation for such contingent consideration payments at fair value on the acquisition date. We then revalue our contingent consideration obligations each reporting period. Changes in the fair values of our contingent consideration obligations, other than changes due to payments, are recognized as a (gain) loss on fair value remeasurement of contingent consideration within our consolidated statements of income. In connection with our acquisition of HI-Bio in July 2024 we recorded contingent consideration obligations related to potential milestone payments.</w:t>
      </w:r>
    </w:p>
    <w:p>
      <w:pPr>
        <w:spacing w:after="0" w:line="7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For the year ended December 31, 2025, changes in the fair value of our contingent consideration obligations were primarily due to changes in interest rates used to revalue our contingent consideration liabilities and the passage of time.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second quarter of 2025 the first milestone related to the fourth patient dosed in a Phase 3 clinical trial of felzartamab for AMR was achieved, resulting in a $ 150.0 million milestone payment made to the former shareholders of HI-Bio, which was paid during the third quarter of 2025. In October 2025 the second milestone related to the fourth patient dosed in a Phase 3 clinical trial of felzartamab for IgAN was achieved, resulting in a $150.0 million milestone payment made to the former shareholders of HI-Bio, which was paid during the fourth quarter of 2025.</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IMPAIRMENT OF RIGHT-OF-USE ASSET</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part of our acquisition of Reata, we assumed responsibility for a single-tenant, build-to-suit building of approximately 327,400 square feet of office and laboratory space located in Plano, Texas, with an initial lease term of 16 years. We recorded a lease liability of approximately $151.8 million, with a corresponding right-of-use asset of approximately $121.2 million. We are continuing to evaluate opportunities to sublease the property.</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During the fourth quarter of 2025 we performed an impairment assessment for this right-of use asset. This assessment involved estimating undiscounted future cash flows, including potential sublease income and remaining lease obligations. As a result of this impairment assessment, we recorded an impairment charge of approximately $52.9 million related to this Reata lease, which is included in impairment of ROU asset within our consolidated statements of income for the year ended December 31,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leases, please read </w:t>
      </w:r>
      <w:r>
        <w:rPr>
          <w:rFonts w:ascii="Arial" w:cs="Arial" w:eastAsia="Arial" w:hAnsi="Arial"/>
          <w:sz w:val="18"/>
          <w:szCs w:val="18"/>
          <w:i w:val="1"/>
          <w:iCs w:val="1"/>
          <w:color w:val="auto"/>
        </w:rPr>
        <w:t>Note 12, Leases</w:t>
      </w:r>
      <w:r>
        <w:rPr>
          <w:rFonts w:ascii="Arial" w:cs="Arial" w:eastAsia="Arial" w:hAnsi="Arial"/>
          <w:sz w:val="18"/>
          <w:szCs w:val="18"/>
          <w:color w:val="auto"/>
        </w:rPr>
        <w:t>, to our consolidated financial statements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RESTRUCTURING CHARGES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2023 FIT FOR GROWTH RESTRUCTURING PROGRAM</w:t>
      </w:r>
    </w:p>
    <w:p>
      <w:pPr>
        <w:spacing w:after="0" w:line="11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2023 we initiated cost saving measures as part of our Fit for Growth program to reduce operating costs, while improving operating efficiency and effectiveness. The Fit for Growth program generated approximately $1.0 billion in gross operating expense savings by the end of 2025, some of which has been reinvested in various initiatives. The Fit for Growth program included net headcount reductions of approximately 1,400 employees and we incurred total restructuring charges of approximately $320.0 million by the end of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2023 Fit for Growth program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8"/>
          </w:tcPr>
          <w:p>
            <w:pPr>
              <w:ind w:left="180"/>
              <w:spacing w:after="0"/>
              <w:rPr>
                <w:sz w:val="20"/>
                <w:szCs w:val="20"/>
                <w:color w:val="auto"/>
              </w:rPr>
            </w:pPr>
            <w:r>
              <w:rPr>
                <w:rFonts w:ascii="Arial" w:cs="Arial" w:eastAsia="Arial" w:hAnsi="Arial"/>
                <w:sz w:val="14"/>
                <w:szCs w:val="14"/>
                <w:b w:val="1"/>
                <w:bCs w:val="1"/>
                <w:color w:val="auto"/>
              </w:rPr>
              <w:t>For the Years Ended December 31,</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408"/>
              <w:spacing w:after="0"/>
              <w:rPr>
                <w:sz w:val="20"/>
                <w:szCs w:val="20"/>
                <w:color w:val="auto"/>
              </w:rPr>
            </w:pPr>
            <w:r>
              <w:rPr>
                <w:rFonts w:ascii="Arial" w:cs="Arial" w:eastAsia="Arial" w:hAnsi="Arial"/>
                <w:sz w:val="14"/>
                <w:szCs w:val="14"/>
                <w:b w:val="1"/>
                <w:bCs w:val="1"/>
                <w:color w:val="0070C0"/>
              </w:rPr>
              <w:t>2025</w:t>
            </w:r>
          </w:p>
        </w:tc>
        <w:tc>
          <w:tcPr>
            <w:tcW w:w="8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Severance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Accelerated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1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Accelerated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Accelerated</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Depreciation</w:t>
            </w:r>
          </w:p>
        </w:tc>
        <w:tc>
          <w:tcPr>
            <w:tcW w:w="140" w:type="dxa"/>
            <w:vAlign w:val="bottom"/>
          </w:tcPr>
          <w:p>
            <w:pPr>
              <w:spacing w:after="0"/>
              <w:rPr>
                <w:sz w:val="12"/>
                <w:szCs w:val="12"/>
                <w:color w:val="auto"/>
              </w:rPr>
            </w:pPr>
          </w:p>
        </w:tc>
        <w:tc>
          <w:tcPr>
            <w:tcW w:w="5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Depreciation</w:t>
            </w:r>
          </w:p>
        </w:tc>
        <w:tc>
          <w:tcPr>
            <w:tcW w:w="140" w:type="dxa"/>
            <w:vAlign w:val="bottom"/>
          </w:tcPr>
          <w:p>
            <w:pPr>
              <w:spacing w:after="0"/>
              <w:rPr>
                <w:sz w:val="12"/>
                <w:szCs w:val="12"/>
                <w:color w:val="auto"/>
              </w:rPr>
            </w:pPr>
          </w:p>
        </w:tc>
        <w:tc>
          <w:tcPr>
            <w:tcW w:w="5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Costs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and Other</w:t>
            </w:r>
          </w:p>
        </w:tc>
        <w:tc>
          <w:tcPr>
            <w:tcW w:w="8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and Other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30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Selling, general and</w:t>
            </w:r>
          </w:p>
        </w:tc>
        <w:tc>
          <w:tcPr>
            <w:tcW w:w="1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40" w:type="dxa"/>
            <w:vAlign w:val="bottom"/>
            <w:gridSpan w:val="3"/>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(1.4)</w:t>
            </w:r>
          </w:p>
        </w:tc>
        <w:tc>
          <w:tcPr>
            <w:tcW w:w="80" w:type="dxa"/>
            <w:vAlign w:val="bottom"/>
            <w:shd w:val="clear" w:color="auto" w:fill="DBDBDB"/>
          </w:tcPr>
          <w:p>
            <w:pPr>
              <w:spacing w:after="0"/>
              <w:rPr>
                <w:sz w:val="12"/>
                <w:szCs w:val="12"/>
                <w:color w:val="auto"/>
              </w:rPr>
            </w:pP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(1.4)</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89"/>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administrative</w:t>
            </w:r>
          </w:p>
        </w:tc>
        <w:tc>
          <w:tcPr>
            <w:tcW w:w="180" w:type="dxa"/>
            <w:vAlign w:val="bottom"/>
            <w:vMerge w:val="continue"/>
            <w:shd w:val="clear" w:color="auto" w:fill="DBDBDB"/>
          </w:tcPr>
          <w:p>
            <w:pPr>
              <w:spacing w:after="0"/>
              <w:rPr>
                <w:sz w:val="16"/>
                <w:szCs w:val="16"/>
                <w:color w:val="auto"/>
              </w:rPr>
            </w:pPr>
          </w:p>
        </w:tc>
        <w:tc>
          <w:tcPr>
            <w:tcW w:w="680" w:type="dxa"/>
            <w:vAlign w:val="bottom"/>
            <w:vMerge w:val="continue"/>
            <w:shd w:val="clear" w:color="auto" w:fill="DBDBDB"/>
          </w:tcPr>
          <w:p>
            <w:pPr>
              <w:spacing w:after="0"/>
              <w:rPr>
                <w:sz w:val="16"/>
                <w:szCs w:val="16"/>
                <w:color w:val="auto"/>
              </w:rPr>
            </w:pPr>
          </w:p>
        </w:tc>
        <w:tc>
          <w:tcPr>
            <w:tcW w:w="240" w:type="dxa"/>
            <w:vAlign w:val="bottom"/>
            <w:gridSpan w:val="3"/>
            <w:vMerge w:val="continue"/>
            <w:shd w:val="clear" w:color="auto" w:fill="DBDBDB"/>
          </w:tcPr>
          <w:p>
            <w:pPr>
              <w:spacing w:after="0"/>
              <w:rPr>
                <w:sz w:val="16"/>
                <w:szCs w:val="16"/>
                <w:color w:val="auto"/>
              </w:rPr>
            </w:pPr>
          </w:p>
        </w:tc>
        <w:tc>
          <w:tcPr>
            <w:tcW w:w="100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vMerge w:val="continue"/>
            <w:shd w:val="clear" w:color="auto" w:fill="DBDBDB"/>
          </w:tcPr>
          <w:p>
            <w:pPr>
              <w:spacing w:after="0"/>
              <w:rPr>
                <w:sz w:val="16"/>
                <w:szCs w:val="16"/>
                <w:color w:val="auto"/>
              </w:rPr>
            </w:pPr>
          </w:p>
        </w:tc>
        <w:tc>
          <w:tcPr>
            <w:tcW w:w="560" w:type="dxa"/>
            <w:vAlign w:val="bottom"/>
            <w:vMerge w:val="continue"/>
            <w:shd w:val="clear" w:color="auto" w:fill="DBDBDB"/>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10.1</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8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48.7</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8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48.7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153.4</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48.7</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8.7</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57.4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153.4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i w:val="1"/>
          <w:iCs w:val="1"/>
          <w:color w:val="0070C0"/>
        </w:rPr>
        <w:t xml:space="preserve">Other Costs: </w:t>
      </w:r>
      <w:r>
        <w:rPr>
          <w:rFonts w:ascii="Arial" w:cs="Arial" w:eastAsia="Arial" w:hAnsi="Arial"/>
          <w:sz w:val="18"/>
          <w:szCs w:val="18"/>
          <w:color w:val="000000"/>
        </w:rPr>
        <w:t>Includes costs associated with items such as asset abandonment and write-offs, facility closure costs, pre-tax gains and losses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resulting from the termination of certain leases, employee non-severance expense, consulting fees and other costs.</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cost saving initiatives, please read </w:t>
      </w:r>
      <w:r>
        <w:rPr>
          <w:rFonts w:ascii="Arial" w:cs="Arial" w:eastAsia="Arial" w:hAnsi="Arial"/>
          <w:sz w:val="18"/>
          <w:szCs w:val="18"/>
          <w:i w:val="1"/>
          <w:iCs w:val="1"/>
          <w:color w:val="auto"/>
        </w:rPr>
        <w:t>Note 4, Restructuring,</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OTHER (INCOME) EXPENSE, NET</w:t>
      </w:r>
    </w:p>
    <w:p>
      <w:pPr>
        <w:spacing w:after="0" w:line="10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2025 compared to 2024, the change in other (income) expense, net primarily reflects higher interest income in 2025 driven by higher cash balances as well as higher litigation related expense in 2025 compared to 2024. In 2025 we recorded $139.5 million related to various litigation matters, including our agreement in principle to resolve all claims relating to Biogen's acquisition of Convergence, partially offset by higher net losses on our holdings in equity securities in 2024.</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 xml:space="preserve">For additional information on our legal matters,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to our consolidated financial statements included in this report.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INTEREST INCOME AND EXPENSE</w:t>
      </w:r>
    </w:p>
    <w:p>
      <w:pPr>
        <w:spacing w:after="0" w:line="106"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For the year ended December 31, 2025, net interest expense was approximately $142.5 million, compared to net interest expense of $182.7 million in 2024. The change was primarily due to higher interest income driven by higher cash balances in 2025.</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For 2026 compared to 2025, we anticipate lower net interest expense as a result of higher interest income driven by higher cash balances, partially offset by higher interest expense as a result of the issuance of our 2025 Senior Notes.</w:t>
      </w:r>
    </w:p>
    <w:p>
      <w:pPr>
        <w:spacing w:after="0" w:line="4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Senior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this report.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NET (GAINS) LOSSES IN EQUITY SECURITIES</w:t>
      </w:r>
    </w:p>
    <w:p>
      <w:pPr>
        <w:spacing w:after="0" w:line="1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year ended December 31, 2025, net unrealized and realized losses on our holdings in equity securities were approximately $18.2 million and $ 1.5 million, respectively, compared to net unrealized losses and realized gains of approximately $102.4 million and $2.0 million, respectively, in 2024.</w:t>
      </w:r>
    </w:p>
    <w:p>
      <w:pPr>
        <w:spacing w:after="0" w:line="63" w:lineRule="exact"/>
        <w:rPr>
          <w:sz w:val="20"/>
          <w:szCs w:val="20"/>
          <w:color w:val="auto"/>
        </w:rPr>
      </w:pPr>
    </w:p>
    <w:p>
      <w:pPr>
        <w:ind w:left="340" w:right="40" w:hanging="332"/>
        <w:spacing w:after="0" w:line="268" w:lineRule="auto"/>
        <w:tabs>
          <w:tab w:leader="none" w:pos="289" w:val="left"/>
        </w:tabs>
        <w:numPr>
          <w:ilvl w:val="0"/>
          <w:numId w:val="88"/>
        </w:numPr>
        <w:rPr>
          <w:rFonts w:ascii="Arial" w:cs="Arial" w:eastAsia="Arial" w:hAnsi="Arial"/>
          <w:sz w:val="16"/>
          <w:szCs w:val="16"/>
          <w:b w:val="1"/>
          <w:bCs w:val="1"/>
          <w:i w:val="1"/>
          <w:iCs w:val="1"/>
          <w:color w:val="2573BA"/>
        </w:rPr>
      </w:pPr>
      <w:r>
        <w:rPr>
          <w:rFonts w:ascii="Arial" w:cs="Arial" w:eastAsia="Arial" w:hAnsi="Arial"/>
          <w:sz w:val="18"/>
          <w:szCs w:val="18"/>
          <w:color w:val="auto"/>
        </w:rPr>
        <w:t>The net unrealized losses recognized during the year ended December 31, 2025, primarily reflect a decrease in the aggregate fair value of our investment in Denali common stock of approximately $27.7 million, partially offset by an increase in the fair value of Sage common stock of approximately $23.0 million.</w:t>
      </w:r>
    </w:p>
    <w:p>
      <w:pPr>
        <w:spacing w:after="0" w:line="62" w:lineRule="exact"/>
        <w:rPr>
          <w:rFonts w:ascii="Arial" w:cs="Arial" w:eastAsia="Arial" w:hAnsi="Arial"/>
          <w:sz w:val="16"/>
          <w:szCs w:val="16"/>
          <w:b w:val="1"/>
          <w:bCs w:val="1"/>
          <w:i w:val="1"/>
          <w:iCs w:val="1"/>
          <w:color w:val="2573BA"/>
        </w:rPr>
      </w:pPr>
    </w:p>
    <w:p>
      <w:pPr>
        <w:ind w:left="340" w:right="160" w:hanging="332"/>
        <w:spacing w:after="0" w:line="268" w:lineRule="auto"/>
        <w:tabs>
          <w:tab w:leader="none" w:pos="289" w:val="left"/>
        </w:tabs>
        <w:numPr>
          <w:ilvl w:val="0"/>
          <w:numId w:val="88"/>
        </w:numPr>
        <w:rPr>
          <w:rFonts w:ascii="Arial" w:cs="Arial" w:eastAsia="Arial" w:hAnsi="Arial"/>
          <w:sz w:val="16"/>
          <w:szCs w:val="16"/>
          <w:b w:val="1"/>
          <w:bCs w:val="1"/>
          <w:i w:val="1"/>
          <w:iCs w:val="1"/>
          <w:color w:val="2573BA"/>
        </w:rPr>
      </w:pPr>
      <w:r>
        <w:rPr>
          <w:rFonts w:ascii="Arial" w:cs="Arial" w:eastAsia="Arial" w:hAnsi="Arial"/>
          <w:sz w:val="18"/>
          <w:szCs w:val="18"/>
          <w:color w:val="auto"/>
        </w:rPr>
        <w:t>The net unrealized losses recognized during the year ended December 31, 2024, primarily reflect a decrease in the aggregate fair value of our investment in Sage common stock of approximately $101.4 million, partially offset by an increase in the fair value of Denali and Sangamo common stock of approximately $7.5 million.</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0070C0"/>
        </w:rPr>
        <w:t>INCOME TAX PROVISION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7"/>
          </w:tcPr>
          <w:p>
            <w:pPr>
              <w:jc w:val="right"/>
              <w:ind w:right="28"/>
              <w:spacing w:after="0"/>
              <w:rPr>
                <w:sz w:val="20"/>
                <w:szCs w:val="20"/>
                <w:color w:val="auto"/>
              </w:rPr>
            </w:pPr>
            <w:r>
              <w:rPr>
                <w:rFonts w:ascii="Arial" w:cs="Arial" w:eastAsia="Arial" w:hAnsi="Arial"/>
                <w:sz w:val="14"/>
                <w:szCs w:val="14"/>
                <w:b w:val="1"/>
                <w:bCs w:val="1"/>
                <w:color w:val="auto"/>
              </w:rPr>
              <w:t>For the Years Ended December 31,</w:t>
            </w:r>
          </w:p>
        </w:tc>
        <w:tc>
          <w:tcPr>
            <w:tcW w:w="940" w:type="dxa"/>
            <w:vAlign w:val="bottom"/>
            <w:tcBorders>
              <w:bottom w:val="single" w:sz="8" w:color="auto"/>
            </w:tcBorders>
          </w:tcPr>
          <w:p>
            <w:pPr>
              <w:spacing w:after="0"/>
              <w:rPr>
                <w:sz w:val="17"/>
                <w:szCs w:val="17"/>
                <w:color w:val="auto"/>
              </w:rPr>
            </w:pPr>
          </w:p>
        </w:tc>
      </w:tr>
      <w:tr>
        <w:trPr>
          <w:trHeight w:val="197"/>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percentages)</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b w:val="1"/>
                <w:bCs w:val="1"/>
                <w:color w:val="0070C0"/>
              </w:rPr>
              <w:t>2025</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89"/>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Income before income tax (benefit) expense</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70C0"/>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1,556.5</w:t>
            </w:r>
          </w:p>
        </w:tc>
        <w:tc>
          <w:tcPr>
            <w:tcW w:w="160" w:type="dxa"/>
            <w:vAlign w:val="bottom"/>
            <w:shd w:val="clear" w:color="auto" w:fill="DBDBDB"/>
          </w:tcPr>
          <w:p>
            <w:pPr>
              <w:spacing w:after="0"/>
              <w:rPr>
                <w:sz w:val="16"/>
                <w:szCs w:val="16"/>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1,906.0</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1,296.8</w:t>
            </w:r>
          </w:p>
        </w:tc>
      </w:tr>
      <w:tr>
        <w:trPr>
          <w:trHeight w:val="203"/>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3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263.6</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273.8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135.3</w:t>
            </w:r>
          </w:p>
        </w:tc>
      </w:tr>
      <w:tr>
        <w:trPr>
          <w:trHeight w:val="211"/>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3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16.9</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14.4 %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10.4 %</w:t>
            </w:r>
          </w:p>
        </w:tc>
      </w:tr>
    </w:tbl>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spacing w:after="0" w:line="6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2025 compared to 2024, the increase in our effective tax rate was partially driven by changes in the territorial mix of our profitability and the impact of certain share-based compensation awards that vested during the first quarter of 2025, partially offset by the impact of the elimination of Italian withholding tax.</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PILLAR TWO</w:t>
      </w:r>
    </w:p>
    <w:p>
      <w:pPr>
        <w:spacing w:after="0" w:line="1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OECD has issued model rules, which generally provide for a jurisdictional minimum effective tax rate of 15.0% as defined in those rules. Various countries have or are in the process of enacting legislation intended to implement the principles. Our income tax provision for the years ended December 31, 2025 and 2024, reflects currently enacted legislation and guidance related to the OECD model rules including the Pillar Two side-by-side package announced by the OECD in January 2026. This enacted legislation and guidance related to the OECD model rules did not result in any material adjustments to our income tax provision or income tax balances as of December 31, 2025 and 2024. At this stage, we do not believe the side-by-side package impacts our financial results as of December 31, 2025.</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2025 OBBBA TAX PROVISIONS</w:t>
      </w:r>
    </w:p>
    <w:p>
      <w:pPr>
        <w:spacing w:after="0" w:line="9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July 4, 2025, the U.S. signed into law the OBBBA. The OBBBA contains tax provisions, such as the permanent extension or revision of certain expiring provisions of the Tax Cuts and Jobs Act enacted in 2017, modifications to the international tax framework and the restoration of favorable tax treatment for certain business provisions. The provisions of the OBBBA have multiple effective dates, with certain provisions effective in 2025 and others implemented through 2027.</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OBBBA did not result in any material adjustments to our total income tax provision for the year ended December 31, 2025, and we have adjusted our deferred tax balances to reflect the impacts of the OBBBA enactment. However, given the complexity of tax laws, related regulations and interpretations, our current estimates may require revision as additional information becomes available regarding the application of the OBBBA provisions.</w:t>
      </w:r>
    </w:p>
    <w:p>
      <w:pPr>
        <w:spacing w:after="0" w:line="5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 xml:space="preserve">For additional information on our income taxes, uncertain tax positions and income tax rate reconciliation, please read </w:t>
      </w:r>
      <w:r>
        <w:rPr>
          <w:rFonts w:ascii="Arial" w:cs="Arial" w:eastAsia="Arial" w:hAnsi="Arial"/>
          <w:sz w:val="18"/>
          <w:szCs w:val="18"/>
          <w:i w:val="1"/>
          <w:iCs w:val="1"/>
          <w:color w:val="auto"/>
        </w:rPr>
        <w:t>Note 17,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to our consolidated financial statements included in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color w:val="00587F"/>
        </w:rPr>
        <w:t>FINANCIAL CONDITION, LIQUIDITY AND CAPITAL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tcPr>
          <w:p>
            <w:pPr>
              <w:spacing w:after="0"/>
              <w:rPr>
                <w:sz w:val="17"/>
                <w:szCs w:val="17"/>
                <w:color w:val="auto"/>
              </w:rPr>
            </w:pPr>
          </w:p>
        </w:tc>
      </w:tr>
      <w:tr>
        <w:trPr>
          <w:trHeight w:val="196"/>
        </w:trPr>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20" w:type="dxa"/>
            <w:vAlign w:val="bottom"/>
            <w:tcBorders>
              <w:bottom w:val="single" w:sz="8" w:color="auto"/>
            </w:tcBorders>
            <w:shd w:val="clear" w:color="auto" w:fill="DDDDDD"/>
          </w:tcPr>
          <w:p>
            <w:pPr>
              <w:jc w:val="right"/>
              <w:ind w:right="54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96"/>
              </w:rPr>
              <w:t>2024</w:t>
            </w:r>
          </w:p>
        </w:tc>
        <w:tc>
          <w:tcPr>
            <w:tcW w:w="120" w:type="dxa"/>
            <w:vAlign w:val="bottom"/>
          </w:tcPr>
          <w:p>
            <w:pPr>
              <w:spacing w:after="0"/>
              <w:rPr>
                <w:sz w:val="17"/>
                <w:szCs w:val="17"/>
                <w:color w:val="auto"/>
              </w:rPr>
            </w:pPr>
          </w:p>
        </w:tc>
        <w:tc>
          <w:tcPr>
            <w:tcW w:w="1360" w:type="dxa"/>
            <w:vAlign w:val="bottom"/>
            <w:tcBorders>
              <w:bottom w:val="single" w:sz="8" w:color="auto"/>
            </w:tcBorders>
            <w:gridSpan w:val="2"/>
            <w:shd w:val="clear" w:color="auto" w:fill="DBDBDB"/>
          </w:tcPr>
          <w:p>
            <w:pPr>
              <w:jc w:val="right"/>
              <w:ind w:right="268"/>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b w:val="1"/>
                <w:bCs w:val="1"/>
                <w:color w:val="0070C0"/>
              </w:rPr>
              <w:t>$ Change</w:t>
            </w:r>
          </w:p>
        </w:tc>
      </w:tr>
      <w:tr>
        <w:trPr>
          <w:trHeight w:val="189"/>
        </w:trPr>
        <w:tc>
          <w:tcPr>
            <w:tcW w:w="4860" w:type="dxa"/>
            <w:vAlign w:val="bottom"/>
            <w:gridSpan w:val="3"/>
          </w:tcPr>
          <w:p>
            <w:pPr>
              <w:ind w:left="20"/>
              <w:spacing w:after="0"/>
              <w:rPr>
                <w:sz w:val="20"/>
                <w:szCs w:val="20"/>
                <w:color w:val="auto"/>
              </w:rPr>
            </w:pPr>
            <w:r>
              <w:rPr>
                <w:rFonts w:ascii="Arial" w:cs="Arial" w:eastAsia="Arial" w:hAnsi="Arial"/>
                <w:sz w:val="14"/>
                <w:szCs w:val="14"/>
                <w:color w:val="auto"/>
              </w:rPr>
              <w:t>Financial assets:</w:t>
            </w:r>
          </w:p>
        </w:tc>
        <w:tc>
          <w:tcPr>
            <w:tcW w:w="36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r>
      <w:tr>
        <w:trPr>
          <w:trHeight w:val="203"/>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3,008.5</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2,375.0</w:t>
            </w:r>
          </w:p>
        </w:tc>
        <w:tc>
          <w:tcPr>
            <w:tcW w:w="120" w:type="dxa"/>
            <w:vAlign w:val="bottom"/>
          </w:tcPr>
          <w:p>
            <w:pPr>
              <w:spacing w:after="0"/>
              <w:rPr>
                <w:sz w:val="17"/>
                <w:szCs w:val="17"/>
                <w:color w:val="auto"/>
              </w:rPr>
            </w:pP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26.7 %</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633.5</w:t>
            </w:r>
          </w:p>
        </w:tc>
      </w:tr>
      <w:tr>
        <w:trPr>
          <w:trHeight w:val="203"/>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Marketable securities — current</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807.2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807.2</w:t>
            </w:r>
          </w:p>
        </w:tc>
      </w:tr>
      <w:tr>
        <w:trPr>
          <w:trHeight w:val="207"/>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Marketable securities — non-current</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431.9</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60" w:type="dxa"/>
            <w:vAlign w:val="bottom"/>
            <w:tcBorders>
              <w:bottom w:val="single" w:sz="8" w:color="auto"/>
            </w:tcBorders>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431.9</w:t>
            </w:r>
          </w:p>
        </w:tc>
      </w:tr>
      <w:tr>
        <w:trPr>
          <w:trHeight w:val="240"/>
        </w:trPr>
        <w:tc>
          <w:tcPr>
            <w:tcW w:w="4860" w:type="dxa"/>
            <w:vAlign w:val="bottom"/>
            <w:gridSpan w:val="3"/>
          </w:tcPr>
          <w:p>
            <w:pPr>
              <w:ind w:left="360"/>
              <w:spacing w:after="0"/>
              <w:rPr>
                <w:sz w:val="20"/>
                <w:szCs w:val="20"/>
                <w:color w:val="auto"/>
              </w:rPr>
            </w:pPr>
            <w:r>
              <w:rPr>
                <w:rFonts w:ascii="Arial" w:cs="Arial" w:eastAsia="Arial" w:hAnsi="Arial"/>
                <w:sz w:val="14"/>
                <w:szCs w:val="14"/>
                <w:color w:val="auto"/>
              </w:rPr>
              <w:t>Total cash, cash equivalents and marketable securities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4,247.6</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2,375.0</w:t>
            </w:r>
          </w:p>
        </w:tc>
        <w:tc>
          <w:tcPr>
            <w:tcW w:w="120" w:type="dxa"/>
            <w:vAlign w:val="bottom"/>
          </w:tcPr>
          <w:p>
            <w:pPr>
              <w:spacing w:after="0"/>
              <w:rPr>
                <w:sz w:val="20"/>
                <w:szCs w:val="20"/>
                <w:color w:val="auto"/>
              </w:rPr>
            </w:pP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78.8 %</w:t>
            </w:r>
          </w:p>
        </w:tc>
        <w:tc>
          <w:tcPr>
            <w:tcW w:w="100" w:type="dxa"/>
            <w:vAlign w:val="bottom"/>
          </w:tcPr>
          <w:p>
            <w:pPr>
              <w:spacing w:after="0"/>
              <w:rPr>
                <w:sz w:val="20"/>
                <w:szCs w:val="20"/>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1,872.6</w:t>
            </w:r>
          </w:p>
        </w:tc>
      </w:tr>
      <w:tr>
        <w:trPr>
          <w:trHeight w:val="161"/>
        </w:trPr>
        <w:tc>
          <w:tcPr>
            <w:tcW w:w="4860" w:type="dxa"/>
            <w:vAlign w:val="bottom"/>
            <w:gridSpan w:val="3"/>
          </w:tcPr>
          <w:p>
            <w:pPr>
              <w:ind w:left="20"/>
              <w:spacing w:after="0"/>
              <w:rPr>
                <w:sz w:val="20"/>
                <w:szCs w:val="20"/>
                <w:color w:val="auto"/>
              </w:rPr>
            </w:pPr>
            <w:r>
              <w:rPr>
                <w:rFonts w:ascii="Arial" w:cs="Arial" w:eastAsia="Arial" w:hAnsi="Arial"/>
                <w:sz w:val="14"/>
                <w:szCs w:val="14"/>
                <w:color w:val="auto"/>
              </w:rPr>
              <w:t>Borrowings:</w:t>
            </w:r>
          </w:p>
        </w:tc>
        <w:tc>
          <w:tcPr>
            <w:tcW w:w="360" w:type="dxa"/>
            <w:vAlign w:val="bottom"/>
            <w:tcBorders>
              <w:top w:val="single" w:sz="8" w:color="auto"/>
            </w:tcBorders>
            <w:shd w:val="clear" w:color="auto" w:fill="DBDBDB"/>
          </w:tcPr>
          <w:p>
            <w:pPr>
              <w:spacing w:after="0"/>
              <w:rPr>
                <w:sz w:val="14"/>
                <w:szCs w:val="14"/>
                <w:color w:val="auto"/>
              </w:rPr>
            </w:pPr>
          </w:p>
        </w:tc>
        <w:tc>
          <w:tcPr>
            <w:tcW w:w="122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shd w:val="clear" w:color="auto" w:fill="DBDBDB"/>
          </w:tcPr>
          <w:p>
            <w:pPr>
              <w:spacing w:after="0"/>
              <w:rPr>
                <w:sz w:val="14"/>
                <w:szCs w:val="14"/>
                <w:color w:val="auto"/>
              </w:rPr>
            </w:pPr>
          </w:p>
        </w:tc>
        <w:tc>
          <w:tcPr>
            <w:tcW w:w="1040" w:type="dxa"/>
            <w:vAlign w:val="bottom"/>
            <w:tcBorders>
              <w:top w:val="single" w:sz="8" w:color="auto"/>
            </w:tcBorders>
            <w:shd w:val="clear" w:color="auto" w:fill="DBDBDB"/>
          </w:tcPr>
          <w:p>
            <w:pPr>
              <w:spacing w:after="0"/>
              <w:rPr>
                <w:sz w:val="14"/>
                <w:szCs w:val="14"/>
                <w:color w:val="auto"/>
              </w:rPr>
            </w:pPr>
          </w:p>
        </w:tc>
      </w:tr>
      <w:tr>
        <w:trPr>
          <w:trHeight w:val="203"/>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Current portion of notes payable</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1,748.6</w:t>
            </w:r>
          </w:p>
        </w:tc>
        <w:tc>
          <w:tcPr>
            <w:tcW w:w="120" w:type="dxa"/>
            <w:vAlign w:val="bottom"/>
          </w:tcPr>
          <w:p>
            <w:pPr>
              <w:spacing w:after="0"/>
              <w:rPr>
                <w:sz w:val="17"/>
                <w:szCs w:val="17"/>
                <w:color w:val="auto"/>
              </w:rPr>
            </w:pPr>
          </w:p>
        </w:tc>
        <w:tc>
          <w:tcPr>
            <w:tcW w:w="136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(1,748.6)</w:t>
            </w:r>
          </w:p>
        </w:tc>
      </w:tr>
      <w:tr>
        <w:trPr>
          <w:trHeight w:val="207"/>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Notes payable</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6,286.8</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4,547.2</w:t>
            </w:r>
          </w:p>
        </w:tc>
        <w:tc>
          <w:tcPr>
            <w:tcW w:w="120" w:type="dxa"/>
            <w:vAlign w:val="bottom"/>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38.3</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1,739.6</w:t>
            </w:r>
          </w:p>
        </w:tc>
      </w:tr>
      <w:tr>
        <w:trPr>
          <w:trHeight w:val="241"/>
        </w:trPr>
        <w:tc>
          <w:tcPr>
            <w:tcW w:w="4860" w:type="dxa"/>
            <w:vAlign w:val="bottom"/>
            <w:gridSpan w:val="3"/>
          </w:tcPr>
          <w:p>
            <w:pPr>
              <w:ind w:left="360"/>
              <w:spacing w:after="0"/>
              <w:rPr>
                <w:sz w:val="20"/>
                <w:szCs w:val="20"/>
                <w:color w:val="auto"/>
              </w:rPr>
            </w:pPr>
            <w:r>
              <w:rPr>
                <w:rFonts w:ascii="Arial" w:cs="Arial" w:eastAsia="Arial" w:hAnsi="Arial"/>
                <w:sz w:val="14"/>
                <w:szCs w:val="14"/>
                <w:color w:val="auto"/>
              </w:rPr>
              <w:t>Total borrowings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6,286.8</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6,295.8</w:t>
            </w:r>
          </w:p>
        </w:tc>
        <w:tc>
          <w:tcPr>
            <w:tcW w:w="120" w:type="dxa"/>
            <w:vAlign w:val="bottom"/>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(0.1)</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highlight w:val="lightGray"/>
                <w:w w:val="79"/>
              </w:rPr>
              <w:t>%</w:t>
            </w:r>
          </w:p>
        </w:tc>
        <w:tc>
          <w:tcPr>
            <w:tcW w:w="100" w:type="dxa"/>
            <w:vAlign w:val="bottom"/>
          </w:tcPr>
          <w:p>
            <w:pPr>
              <w:spacing w:after="0"/>
              <w:rPr>
                <w:sz w:val="20"/>
                <w:szCs w:val="20"/>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(9.0)</w:t>
            </w:r>
          </w:p>
        </w:tc>
      </w:tr>
      <w:tr>
        <w:trPr>
          <w:trHeight w:val="161"/>
        </w:trPr>
        <w:tc>
          <w:tcPr>
            <w:tcW w:w="4860" w:type="dxa"/>
            <w:vAlign w:val="bottom"/>
            <w:gridSpan w:val="3"/>
          </w:tcPr>
          <w:p>
            <w:pPr>
              <w:ind w:left="20"/>
              <w:spacing w:after="0"/>
              <w:rPr>
                <w:sz w:val="20"/>
                <w:szCs w:val="20"/>
                <w:color w:val="auto"/>
              </w:rPr>
            </w:pPr>
            <w:r>
              <w:rPr>
                <w:rFonts w:ascii="Arial" w:cs="Arial" w:eastAsia="Arial" w:hAnsi="Arial"/>
                <w:sz w:val="14"/>
                <w:szCs w:val="14"/>
                <w:color w:val="auto"/>
              </w:rPr>
              <w:t>Working Capital:</w:t>
            </w:r>
          </w:p>
        </w:tc>
        <w:tc>
          <w:tcPr>
            <w:tcW w:w="360" w:type="dxa"/>
            <w:vAlign w:val="bottom"/>
            <w:tcBorders>
              <w:top w:val="single" w:sz="8" w:color="auto"/>
            </w:tcBorders>
            <w:shd w:val="clear" w:color="auto" w:fill="DBDBDB"/>
          </w:tcPr>
          <w:p>
            <w:pPr>
              <w:spacing w:after="0"/>
              <w:rPr>
                <w:sz w:val="14"/>
                <w:szCs w:val="14"/>
                <w:color w:val="auto"/>
              </w:rPr>
            </w:pPr>
          </w:p>
        </w:tc>
        <w:tc>
          <w:tcPr>
            <w:tcW w:w="122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shd w:val="clear" w:color="auto" w:fill="DBDBDB"/>
          </w:tcPr>
          <w:p>
            <w:pPr>
              <w:spacing w:after="0"/>
              <w:rPr>
                <w:sz w:val="14"/>
                <w:szCs w:val="14"/>
                <w:color w:val="auto"/>
              </w:rPr>
            </w:pPr>
          </w:p>
        </w:tc>
        <w:tc>
          <w:tcPr>
            <w:tcW w:w="1040" w:type="dxa"/>
            <w:vAlign w:val="bottom"/>
            <w:tcBorders>
              <w:top w:val="single" w:sz="8" w:color="auto"/>
            </w:tcBorders>
            <w:shd w:val="clear" w:color="auto" w:fill="DBDBDB"/>
          </w:tcPr>
          <w:p>
            <w:pPr>
              <w:spacing w:after="0"/>
              <w:rPr>
                <w:sz w:val="14"/>
                <w:szCs w:val="14"/>
                <w:color w:val="auto"/>
              </w:rPr>
            </w:pPr>
          </w:p>
        </w:tc>
      </w:tr>
      <w:tr>
        <w:trPr>
          <w:trHeight w:val="203"/>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Current assets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8,974.1</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7,456.8</w:t>
            </w:r>
          </w:p>
        </w:tc>
        <w:tc>
          <w:tcPr>
            <w:tcW w:w="120" w:type="dxa"/>
            <w:vAlign w:val="bottom"/>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20.3</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1,517.3</w:t>
            </w:r>
          </w:p>
        </w:tc>
      </w:tr>
      <w:tr>
        <w:trPr>
          <w:trHeight w:val="207"/>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Current liabilities</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(3,349.4)</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(5,528.8)</w:t>
            </w:r>
          </w:p>
        </w:tc>
        <w:tc>
          <w:tcPr>
            <w:tcW w:w="120" w:type="dxa"/>
            <w:vAlign w:val="bottom"/>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(39.4)</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2,179.4</w:t>
            </w:r>
          </w:p>
        </w:tc>
      </w:tr>
      <w:tr>
        <w:trPr>
          <w:trHeight w:val="220"/>
        </w:trPr>
        <w:tc>
          <w:tcPr>
            <w:tcW w:w="4860" w:type="dxa"/>
            <w:vAlign w:val="bottom"/>
            <w:gridSpan w:val="3"/>
          </w:tcPr>
          <w:p>
            <w:pPr>
              <w:ind w:left="360"/>
              <w:spacing w:after="0"/>
              <w:rPr>
                <w:sz w:val="20"/>
                <w:szCs w:val="20"/>
                <w:color w:val="auto"/>
              </w:rPr>
            </w:pPr>
            <w:r>
              <w:rPr>
                <w:rFonts w:ascii="Arial" w:cs="Arial" w:eastAsia="Arial" w:hAnsi="Arial"/>
                <w:sz w:val="14"/>
                <w:szCs w:val="14"/>
                <w:color w:val="auto"/>
              </w:rPr>
              <w:t>Total working capital</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5,624.7</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1,928.0</w:t>
            </w:r>
          </w:p>
        </w:tc>
        <w:tc>
          <w:tcPr>
            <w:tcW w:w="120" w:type="dxa"/>
            <w:vAlign w:val="bottom"/>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191.7</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3,696.7</w:t>
            </w:r>
          </w:p>
        </w:tc>
      </w:tr>
      <w:tr>
        <w:trPr>
          <w:trHeight w:val="20"/>
        </w:trPr>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nm </w:t>
      </w:r>
      <w:r>
        <w:rPr>
          <w:rFonts w:ascii="Arial" w:cs="Arial" w:eastAsia="Arial" w:hAnsi="Arial"/>
          <w:sz w:val="14"/>
          <w:szCs w:val="14"/>
          <w:color w:val="auto"/>
        </w:rPr>
        <w:t>Not meaningful</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0070C0"/>
        </w:rPr>
        <w:t>OVERVIEW</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historically financed and expect to continue to fund our operating and capital expenditures primarily through cash flow earned through our operations and borrowings, as well as our existing cash resources. We believe that generic and biosimilar competition for many of our key products, the continued overall decline of our MS business and our investments in the launch of key new products and the development of our pipeline will have a significant adverse impact on our future cash flow from operations.</w:t>
      </w:r>
    </w:p>
    <w:p>
      <w:pPr>
        <w:spacing w:after="0" w:line="6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also seek additional funding through a combination of new collaborative agreements, strategic alliances and additional equity and debt financings or from other sources should we identify a significant new opportunity.</w:t>
      </w:r>
    </w:p>
    <w:p>
      <w:pPr>
        <w:spacing w:after="0" w:line="6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During the second quarter of 2025 the first milestone related to the fourth patient dosed in a Phase 3 clinical trial of felzartamab for AMR was achieved, resulting in a $ 150.0 million milestone payment made to the former shareholders of HI-Bio, which was paid during the third quarter of 2025. In October 2025 the second milestone related to the fourth patient dosed in a Phase 3 clinical trial of felzartamab for IgAN was achieved, resulting in a $150.0 million milestone payment made to the former shareholders of HI-Bio, which was paid during the fourth quarter of 2025.</w:t>
      </w:r>
    </w:p>
    <w:p>
      <w:pPr>
        <w:spacing w:after="0" w:line="8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 xml:space="preserve">For additional information on certain risks that could negatively impact our financial position or future results of operations, please read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1A. Risk Factors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7A. Quantitative and Qualitative Disclosures About Market Risk </w:t>
      </w:r>
      <w:r>
        <w:rPr>
          <w:rFonts w:ascii="Arial" w:cs="Arial" w:eastAsia="Arial" w:hAnsi="Arial"/>
          <w:sz w:val="18"/>
          <w:szCs w:val="18"/>
          <w:color w:val="auto"/>
        </w:rPr>
        <w:t>included in this report.</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LIQUIDITY</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0070C0"/>
        </w:rPr>
        <w:t>WORKING CAPITAL</w:t>
      </w:r>
    </w:p>
    <w:p>
      <w:pPr>
        <w:spacing w:after="0" w:line="11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Working capital is defined as current assets less current liabilities. Our working capital was $5.6 billion as of December 31, 2025, compared to $1.9 billion as of December 31, 2024. The change in working capital reflects an increase in total current assets of approximately $1.5 billion and a decrease in total current liabilities of approximately $2.2 billion. The changes in total current assets and total current liabilities were primarily driven by the following:</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CURRENT ASSETS</w:t>
      </w:r>
    </w:p>
    <w:p>
      <w:pPr>
        <w:spacing w:after="0" w:line="91"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22"/>
          <w:szCs w:val="22"/>
          <w:b w:val="1"/>
          <w:bCs w:val="1"/>
          <w:i w:val="1"/>
          <w:iCs w:val="1"/>
          <w:color w:val="0070C0"/>
        </w:rPr>
      </w:pPr>
      <w:r>
        <w:rPr>
          <w:rFonts w:ascii="Arial" w:cs="Arial" w:eastAsia="Arial" w:hAnsi="Arial"/>
          <w:sz w:val="18"/>
          <w:szCs w:val="18"/>
          <w:color w:val="auto"/>
        </w:rPr>
        <w:t>$1.4 billion increase in cash, cash equivalents and current marketable securities</w:t>
      </w:r>
      <w:r>
        <w:rPr>
          <w:rFonts w:ascii="Arial" w:cs="Arial" w:eastAsia="Arial" w:hAnsi="Arial"/>
          <w:sz w:val="18"/>
          <w:szCs w:val="18"/>
          <w:b w:val="1"/>
          <w:bCs w:val="1"/>
          <w:color w:val="auto"/>
        </w:rPr>
        <w:t>;</w:t>
      </w:r>
    </w:p>
    <w:p>
      <w:pPr>
        <w:spacing w:after="0" w:line="63" w:lineRule="exact"/>
        <w:rPr>
          <w:rFonts w:ascii="Arial" w:cs="Arial" w:eastAsia="Arial" w:hAnsi="Arial"/>
          <w:sz w:val="22"/>
          <w:szCs w:val="22"/>
          <w:b w:val="1"/>
          <w:bCs w:val="1"/>
          <w:i w:val="1"/>
          <w:iCs w:val="1"/>
          <w:color w:val="0070C0"/>
        </w:rPr>
      </w:pPr>
    </w:p>
    <w:p>
      <w:pPr>
        <w:ind w:left="260" w:hanging="252"/>
        <w:spacing w:after="0"/>
        <w:tabs>
          <w:tab w:leader="none" w:pos="260" w:val="left"/>
        </w:tabs>
        <w:numPr>
          <w:ilvl w:val="0"/>
          <w:numId w:val="89"/>
        </w:numPr>
        <w:rPr>
          <w:rFonts w:ascii="Arial" w:cs="Arial" w:eastAsia="Arial" w:hAnsi="Arial"/>
          <w:sz w:val="22"/>
          <w:szCs w:val="22"/>
          <w:b w:val="1"/>
          <w:bCs w:val="1"/>
          <w:i w:val="1"/>
          <w:iCs w:val="1"/>
          <w:color w:val="2573BA"/>
        </w:rPr>
      </w:pPr>
      <w:r>
        <w:rPr>
          <w:rFonts w:ascii="Arial" w:cs="Arial" w:eastAsia="Arial" w:hAnsi="Arial"/>
          <w:sz w:val="18"/>
          <w:szCs w:val="18"/>
          <w:color w:val="auto"/>
        </w:rPr>
        <w:t>$62.4 million decrease in accounts receivable, net related to our ongoing operations; and</w:t>
      </w:r>
    </w:p>
    <w:p>
      <w:pPr>
        <w:spacing w:after="0" w:line="57" w:lineRule="exact"/>
        <w:rPr>
          <w:rFonts w:ascii="Arial" w:cs="Arial" w:eastAsia="Arial" w:hAnsi="Arial"/>
          <w:sz w:val="22"/>
          <w:szCs w:val="22"/>
          <w:b w:val="1"/>
          <w:bCs w:val="1"/>
          <w:i w:val="1"/>
          <w:iCs w:val="1"/>
          <w:color w:val="2573BA"/>
        </w:rPr>
      </w:pPr>
    </w:p>
    <w:p>
      <w:pPr>
        <w:ind w:left="260" w:hanging="252"/>
        <w:spacing w:after="0"/>
        <w:tabs>
          <w:tab w:leader="none" w:pos="260" w:val="left"/>
        </w:tabs>
        <w:numPr>
          <w:ilvl w:val="0"/>
          <w:numId w:val="89"/>
        </w:numPr>
        <w:rPr>
          <w:rFonts w:ascii="Arial" w:cs="Arial" w:eastAsia="Arial" w:hAnsi="Arial"/>
          <w:sz w:val="22"/>
          <w:szCs w:val="22"/>
          <w:b w:val="1"/>
          <w:bCs w:val="1"/>
          <w:i w:val="1"/>
          <w:iCs w:val="1"/>
          <w:color w:val="2573BA"/>
        </w:rPr>
      </w:pPr>
      <w:r>
        <w:rPr>
          <w:rFonts w:ascii="Arial" w:cs="Arial" w:eastAsia="Arial" w:hAnsi="Arial"/>
          <w:sz w:val="18"/>
          <w:szCs w:val="18"/>
          <w:color w:val="auto"/>
        </w:rPr>
        <w:t>$292.4 million decrease in inventory primarily due to timing of production.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CURRENT LIABILITIES</w:t>
      </w:r>
    </w:p>
    <w:p>
      <w:pPr>
        <w:spacing w:after="0" w:line="110" w:lineRule="exact"/>
        <w:rPr>
          <w:sz w:val="20"/>
          <w:szCs w:val="20"/>
          <w:color w:val="auto"/>
        </w:rPr>
      </w:pPr>
    </w:p>
    <w:p>
      <w:pPr>
        <w:ind w:left="340" w:right="80" w:hanging="332"/>
        <w:spacing w:after="0" w:line="237" w:lineRule="auto"/>
        <w:tabs>
          <w:tab w:leader="none" w:pos="281" w:val="left"/>
        </w:tabs>
        <w:numPr>
          <w:ilvl w:val="0"/>
          <w:numId w:val="90"/>
        </w:numPr>
        <w:rPr>
          <w:rFonts w:ascii="Arial" w:cs="Arial" w:eastAsia="Arial" w:hAnsi="Arial"/>
          <w:sz w:val="22"/>
          <w:szCs w:val="22"/>
          <w:color w:val="0070C0"/>
        </w:rPr>
      </w:pPr>
      <w:r>
        <w:rPr>
          <w:rFonts w:ascii="Arial" w:cs="Arial" w:eastAsia="Arial" w:hAnsi="Arial"/>
          <w:sz w:val="18"/>
          <w:szCs w:val="18"/>
          <w:color w:val="auto"/>
        </w:rPr>
        <w:t>$1.7 billion decrease in the current portion of notes payable due to the redemption of our 4.050% Senior Notes due September 15, 2025, during the second quarter of 2025; and</w:t>
      </w:r>
    </w:p>
    <w:p>
      <w:pPr>
        <w:spacing w:after="0" w:line="58" w:lineRule="exact"/>
        <w:rPr>
          <w:rFonts w:ascii="Arial" w:cs="Arial" w:eastAsia="Arial" w:hAnsi="Arial"/>
          <w:sz w:val="22"/>
          <w:szCs w:val="22"/>
          <w:color w:val="0070C0"/>
        </w:rPr>
      </w:pPr>
    </w:p>
    <w:p>
      <w:pPr>
        <w:ind w:left="280" w:hanging="272"/>
        <w:spacing w:after="0"/>
        <w:tabs>
          <w:tab w:leader="none" w:pos="280" w:val="left"/>
        </w:tabs>
        <w:numPr>
          <w:ilvl w:val="0"/>
          <w:numId w:val="90"/>
        </w:numPr>
        <w:rPr>
          <w:rFonts w:ascii="Arial" w:cs="Arial" w:eastAsia="Arial" w:hAnsi="Arial"/>
          <w:sz w:val="22"/>
          <w:szCs w:val="22"/>
          <w:color w:val="0070C0"/>
        </w:rPr>
      </w:pPr>
      <w:r>
        <w:rPr>
          <w:rFonts w:ascii="Arial" w:cs="Arial" w:eastAsia="Arial" w:hAnsi="Arial"/>
          <w:sz w:val="18"/>
          <w:szCs w:val="18"/>
          <w:color w:val="auto"/>
        </w:rPr>
        <w:t>$433.5 million decrease in taxes payable primarily due to the timing of tax payments.</w:t>
      </w:r>
    </w:p>
    <w:p>
      <w:pPr>
        <w:spacing w:after="0" w:line="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For additional information on our Senior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CASH, CASH EQUIVALENTS AND MARKETABLE SECURITIES</w:t>
      </w:r>
    </w:p>
    <w:p>
      <w:pPr>
        <w:spacing w:after="0" w:line="10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of December 31, 2025, we had cash, cash equivalents and marketable securities totaling approximately $4.2 billion compared to approximately $2.4 billion as of December 31, 2024. The increase in the balance was primarily due to cash generated by our operations, which includes $200.0 million of research and development funding received from Royalty Pharma, partially offset by worldwide tax payments of approximately $864.0 million, an upfront payment made to Stoke of $165.0 million in connection with the closing of our collaboration and license agreement, milestone payments made to the former shareholders of HI-Bio totaling $300.0 million, a payment of $50.0 million in connection with our acquisition of Alcyone and total payments of $ 166.0 million in connection with our agreements with City Therapeutics, Dayra and Vanqua. During the second quarter of 2025 we received $ 1.75 billion in net proceeds from the issuance of our 2025 Senior Notes, which was offset by a $1.75 billion payment made for the redemption of our 4.050% Senior Notes due September 15, 2025.</w:t>
      </w:r>
    </w:p>
    <w:p>
      <w:pPr>
        <w:spacing w:after="0" w:line="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We have experienced no significant limitations in our liquidity resulting from uncertainties in the banking sector.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significant common stock investments in our strategic investment portfolio:</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tcBorders>
              <w:bottom w:val="single" w:sz="8" w:color="auto"/>
            </w:tcBorders>
          </w:tcPr>
          <w:p>
            <w:pPr>
              <w:spacing w:after="0"/>
              <w:rPr>
                <w:sz w:val="17"/>
                <w:szCs w:val="17"/>
                <w:color w:val="auto"/>
              </w:rPr>
            </w:pPr>
          </w:p>
        </w:tc>
      </w:tr>
      <w:tr>
        <w:trPr>
          <w:trHeight w:val="197"/>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ind w:right="768"/>
              <w:spacing w:after="0"/>
              <w:rPr>
                <w:sz w:val="20"/>
                <w:szCs w:val="20"/>
                <w:color w:val="auto"/>
              </w:rPr>
            </w:pPr>
            <w:r>
              <w:rPr>
                <w:rFonts w:ascii="Arial" w:cs="Arial" w:eastAsia="Arial" w:hAnsi="Arial"/>
                <w:sz w:val="14"/>
                <w:szCs w:val="14"/>
                <w:b w:val="1"/>
                <w:bCs w:val="1"/>
                <w:color w:val="026DCE"/>
              </w:rPr>
              <w:t>2025</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2024</w:t>
            </w:r>
          </w:p>
        </w:tc>
      </w:tr>
      <w:tr>
        <w:trPr>
          <w:trHeight w:val="189"/>
        </w:trPr>
        <w:tc>
          <w:tcPr>
            <w:tcW w:w="7100" w:type="dxa"/>
            <w:vAlign w:val="bottom"/>
            <w:gridSpan w:val="3"/>
          </w:tcPr>
          <w:p>
            <w:pPr>
              <w:ind w:left="20"/>
              <w:spacing w:after="0"/>
              <w:rPr>
                <w:sz w:val="20"/>
                <w:szCs w:val="20"/>
                <w:color w:val="auto"/>
              </w:rPr>
            </w:pPr>
            <w:r>
              <w:rPr>
                <w:rFonts w:ascii="Arial" w:cs="Arial" w:eastAsia="Arial" w:hAnsi="Arial"/>
                <w:sz w:val="14"/>
                <w:szCs w:val="14"/>
                <w:color w:val="auto"/>
              </w:rPr>
              <w:t>Denali</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026DCE"/>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118.1</w:t>
            </w:r>
          </w:p>
        </w:tc>
        <w:tc>
          <w:tcPr>
            <w:tcW w:w="84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145.8</w:t>
            </w:r>
          </w:p>
        </w:tc>
      </w:tr>
      <w:tr>
        <w:trPr>
          <w:trHeight w:val="211"/>
        </w:trPr>
        <w:tc>
          <w:tcPr>
            <w:tcW w:w="7100" w:type="dxa"/>
            <w:vAlign w:val="bottom"/>
            <w:gridSpan w:val="3"/>
          </w:tcPr>
          <w:p>
            <w:pPr>
              <w:ind w:left="20"/>
              <w:spacing w:after="0"/>
              <w:rPr>
                <w:sz w:val="20"/>
                <w:szCs w:val="20"/>
                <w:color w:val="auto"/>
              </w:rPr>
            </w:pPr>
            <w:r>
              <w:rPr>
                <w:rFonts w:ascii="Arial" w:cs="Arial" w:eastAsia="Arial" w:hAnsi="Arial"/>
                <w:sz w:val="14"/>
                <w:szCs w:val="14"/>
                <w:color w:val="auto"/>
              </w:rPr>
              <w:t>Sage</w:t>
            </w:r>
            <w:r>
              <w:rPr>
                <w:rFonts w:ascii="Arial" w:cs="Arial" w:eastAsia="Arial" w:hAnsi="Arial"/>
                <w:sz w:val="18"/>
                <w:szCs w:val="18"/>
                <w:color w:val="auto"/>
                <w:vertAlign w:val="superscript"/>
              </w:rPr>
              <w:t>(1)</w:t>
            </w:r>
          </w:p>
        </w:tc>
        <w:tc>
          <w:tcPr>
            <w:tcW w:w="480" w:type="dxa"/>
            <w:vAlign w:val="bottom"/>
            <w:tcBorders>
              <w:bottom w:val="single" w:sz="8" w:color="auto"/>
            </w:tcBorders>
            <w:shd w:val="clear" w:color="auto" w:fill="DBDBDB"/>
          </w:tcPr>
          <w:p>
            <w:pPr>
              <w:spacing w:after="0"/>
              <w:rPr>
                <w:sz w:val="18"/>
                <w:szCs w:val="18"/>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33.9</w:t>
            </w:r>
          </w:p>
        </w:tc>
      </w:tr>
      <w:tr>
        <w:trPr>
          <w:trHeight w:val="216"/>
        </w:trPr>
        <w:tc>
          <w:tcPr>
            <w:tcW w:w="7100" w:type="dxa"/>
            <w:vAlign w:val="bottom"/>
            <w:gridSpan w:val="3"/>
          </w:tcPr>
          <w:p>
            <w:pPr>
              <w:ind w:left="240"/>
              <w:spacing w:after="0"/>
              <w:rPr>
                <w:sz w:val="20"/>
                <w:szCs w:val="20"/>
                <w:color w:val="auto"/>
              </w:rPr>
            </w:pPr>
            <w:r>
              <w:rPr>
                <w:rFonts w:ascii="Arial" w:cs="Arial" w:eastAsia="Arial" w:hAnsi="Arial"/>
                <w:sz w:val="14"/>
                <w:szCs w:val="14"/>
                <w:color w:val="auto"/>
              </w:rPr>
              <w:t>Total</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026DCE"/>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118.1</w:t>
            </w:r>
          </w:p>
        </w:tc>
        <w:tc>
          <w:tcPr>
            <w:tcW w:w="84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179.7</w:t>
            </w:r>
          </w:p>
        </w:tc>
      </w:tr>
      <w:tr>
        <w:trPr>
          <w:trHeight w:val="20"/>
        </w:trPr>
        <w:tc>
          <w:tcPr>
            <w:tcW w:w="38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3800" w:type="dxa"/>
            <w:vAlign w:val="bottom"/>
            <w:tcBorders>
              <w:bottom w:val="single" w:sz="8" w:color="auto"/>
            </w:tcBorders>
          </w:tcPr>
          <w:p>
            <w:pPr>
              <w:spacing w:after="0"/>
              <w:rPr>
                <w:sz w:val="13"/>
                <w:szCs w:val="13"/>
                <w:color w:val="auto"/>
              </w:rPr>
            </w:pP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r>
    </w:tbl>
    <w:p>
      <w:pPr>
        <w:spacing w:after="0" w:line="99" w:lineRule="exact"/>
        <w:rPr>
          <w:sz w:val="20"/>
          <w:szCs w:val="20"/>
          <w:color w:val="auto"/>
        </w:rPr>
      </w:pPr>
    </w:p>
    <w:p>
      <w:pPr>
        <w:ind w:left="140" w:hanging="132"/>
        <w:spacing w:after="0"/>
        <w:tabs>
          <w:tab w:leader="none" w:pos="140" w:val="left"/>
        </w:tabs>
        <w:numPr>
          <w:ilvl w:val="0"/>
          <w:numId w:val="91"/>
        </w:numPr>
        <w:rPr>
          <w:rFonts w:ascii="Arial" w:cs="Arial" w:eastAsia="Arial" w:hAnsi="Arial"/>
          <w:sz w:val="16"/>
          <w:szCs w:val="16"/>
          <w:color w:val="auto"/>
          <w:vertAlign w:val="superscript"/>
        </w:rPr>
      </w:pPr>
      <w:r>
        <w:rPr>
          <w:rFonts w:ascii="Arial" w:cs="Arial" w:eastAsia="Arial" w:hAnsi="Arial"/>
          <w:sz w:val="12"/>
          <w:szCs w:val="12"/>
          <w:color w:val="auto"/>
        </w:rPr>
        <w:t>In July 2025 Sage was acquired by Supernus. Prior to this acquisition, we disposed of all of our shares of Sage common stock in a block trade.</w:t>
      </w:r>
    </w:p>
    <w:p>
      <w:pPr>
        <w:spacing w:after="0" w:line="90"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r>
        <w:rPr>
          <w:rFonts w:ascii="Arial" w:cs="Arial" w:eastAsia="Arial" w:hAnsi="Arial"/>
          <w:sz w:val="18"/>
          <w:szCs w:val="18"/>
          <w:i w:val="1"/>
          <w:iCs w:val="1"/>
          <w:color w:val="auto"/>
        </w:rPr>
        <w:t>.</w:t>
      </w:r>
      <w:r>
        <w:rPr>
          <w:rFonts w:ascii="Arial" w:cs="Arial" w:eastAsia="Arial" w:hAnsi="Arial"/>
          <w:sz w:val="18"/>
          <w:szCs w:val="18"/>
          <w:color w:val="auto"/>
        </w:rPr>
        <w:t xml:space="preserve"> For additional information on our 2025 Senior Notes, please read </w:t>
      </w:r>
      <w:r>
        <w:rPr>
          <w:rFonts w:ascii="Arial" w:cs="Arial" w:eastAsia="Arial" w:hAnsi="Arial"/>
          <w:sz w:val="18"/>
          <w:szCs w:val="18"/>
          <w:i w:val="1"/>
          <w:iCs w:val="1"/>
          <w:color w:val="auto"/>
        </w:rPr>
        <w:t>Note 13,</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CASH FLOW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 Change</w:t>
            </w:r>
          </w:p>
        </w:tc>
        <w:tc>
          <w:tcPr>
            <w:tcW w:w="900" w:type="dxa"/>
            <w:vAlign w:val="bottom"/>
            <w:tcBorders>
              <w:bottom w:val="single" w:sz="8" w:color="auto"/>
            </w:tcBorders>
          </w:tcPr>
          <w:p>
            <w:pPr>
              <w:spacing w:after="0"/>
              <w:rPr>
                <w:sz w:val="17"/>
                <w:szCs w:val="17"/>
                <w:color w:val="auto"/>
              </w:rPr>
            </w:pPr>
          </w:p>
        </w:tc>
      </w:tr>
      <w:tr>
        <w:trPr>
          <w:trHeight w:val="184"/>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shd w:val="clear" w:color="auto" w:fill="DBDBDB"/>
          </w:tcPr>
          <w:p>
            <w:pPr>
              <w:jc w:val="center"/>
              <w:ind w:left="30"/>
              <w:spacing w:after="0"/>
              <w:rPr>
                <w:sz w:val="20"/>
                <w:szCs w:val="20"/>
                <w:color w:val="auto"/>
              </w:rPr>
            </w:pPr>
            <w:r>
              <w:rPr>
                <w:rFonts w:ascii="Arial" w:cs="Arial" w:eastAsia="Arial" w:hAnsi="Arial"/>
                <w:sz w:val="14"/>
                <w:szCs w:val="14"/>
                <w:b w:val="1"/>
                <w:bCs w:val="1"/>
                <w:color w:val="0070C0"/>
              </w:rPr>
              <w:t>2025</w:t>
            </w:r>
          </w:p>
        </w:tc>
        <w:tc>
          <w:tcPr>
            <w:tcW w:w="14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ind w:right="410"/>
              <w:spacing w:after="0"/>
              <w:rPr>
                <w:sz w:val="20"/>
                <w:szCs w:val="20"/>
                <w:color w:val="auto"/>
              </w:rPr>
            </w:pPr>
            <w:r>
              <w:rPr>
                <w:rFonts w:ascii="Arial" w:cs="Arial" w:eastAsia="Arial" w:hAnsi="Arial"/>
                <w:sz w:val="14"/>
                <w:szCs w:val="14"/>
                <w:b w:val="1"/>
                <w:bCs w:val="1"/>
                <w:color w:val="auto"/>
              </w:rPr>
              <w:t>2024</w:t>
            </w:r>
          </w:p>
        </w:tc>
      </w:tr>
      <w:tr>
        <w:trPr>
          <w:trHeight w:val="106"/>
        </w:trPr>
        <w:tc>
          <w:tcPr>
            <w:tcW w:w="4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Borders>
              <w:bottom w:val="single" w:sz="8" w:color="DBDBDB"/>
            </w:tcBorders>
            <w:gridSpan w:val="2"/>
            <w:shd w:val="clear" w:color="auto" w:fill="DBDBDB"/>
          </w:tcPr>
          <w:p>
            <w:pPr>
              <w:jc w:val="center"/>
              <w:spacing w:after="0" w:line="106" w:lineRule="exact"/>
              <w:rPr>
                <w:sz w:val="20"/>
                <w:szCs w:val="20"/>
                <w:color w:val="auto"/>
              </w:rPr>
            </w:pPr>
            <w:r>
              <w:rPr>
                <w:rFonts w:ascii="Arial" w:cs="Arial" w:eastAsia="Arial" w:hAnsi="Arial"/>
                <w:sz w:val="12"/>
                <w:szCs w:val="12"/>
                <w:b w:val="1"/>
                <w:bCs w:val="1"/>
                <w:color w:val="0070C0"/>
              </w:rPr>
              <w:t>vs.</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jc w:val="right"/>
              <w:ind w:right="470"/>
              <w:spacing w:after="0" w:line="106" w:lineRule="exact"/>
              <w:rPr>
                <w:sz w:val="20"/>
                <w:szCs w:val="20"/>
                <w:color w:val="auto"/>
              </w:rPr>
            </w:pPr>
            <w:r>
              <w:rPr>
                <w:rFonts w:ascii="Arial" w:cs="Arial" w:eastAsia="Arial" w:hAnsi="Arial"/>
                <w:sz w:val="12"/>
                <w:szCs w:val="12"/>
                <w:b w:val="1"/>
                <w:bCs w:val="1"/>
                <w:color w:val="auto"/>
              </w:rPr>
              <w:t>vs.</w:t>
            </w:r>
          </w:p>
        </w:tc>
      </w:tr>
      <w:tr>
        <w:trPr>
          <w:trHeight w:val="185"/>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300" w:type="dxa"/>
            <w:vAlign w:val="bottom"/>
            <w:tcBorders>
              <w:top w:val="single" w:sz="8" w:color="DBDBDB"/>
              <w:bottom w:val="single" w:sz="8" w:color="auto"/>
            </w:tcBorders>
            <w:shd w:val="clear" w:color="auto" w:fill="DBDBDB"/>
          </w:tcPr>
          <w:p>
            <w:pPr>
              <w:spacing w:after="0"/>
              <w:rPr>
                <w:sz w:val="16"/>
                <w:szCs w:val="16"/>
                <w:color w:val="auto"/>
              </w:rPr>
            </w:pPr>
          </w:p>
        </w:tc>
        <w:tc>
          <w:tcPr>
            <w:tcW w:w="1000" w:type="dxa"/>
            <w:vAlign w:val="bottom"/>
            <w:tcBorders>
              <w:top w:val="single" w:sz="8" w:color="DBDBDB"/>
              <w:bottom w:val="single" w:sz="8" w:color="auto"/>
              <w:right w:val="single" w:sz="8" w:color="DBDBDB"/>
            </w:tcBorders>
            <w:shd w:val="clear" w:color="auto" w:fill="DBDBDB"/>
          </w:tcPr>
          <w:p>
            <w:pPr>
              <w:jc w:val="right"/>
              <w:ind w:right="408"/>
              <w:spacing w:after="0"/>
              <w:rPr>
                <w:sz w:val="20"/>
                <w:szCs w:val="20"/>
                <w:color w:val="auto"/>
              </w:rPr>
            </w:pPr>
            <w:r>
              <w:rPr>
                <w:rFonts w:ascii="Arial" w:cs="Arial" w:eastAsia="Arial" w:hAnsi="Arial"/>
                <w:sz w:val="14"/>
                <w:szCs w:val="14"/>
                <w:b w:val="1"/>
                <w:bCs w:val="1"/>
                <w:color w:val="257ACB"/>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140" w:type="dxa"/>
            <w:vAlign w:val="bottom"/>
            <w:tcBorders>
              <w:top w:val="single" w:sz="8" w:color="DBDBDB"/>
              <w:bottom w:val="single" w:sz="8" w:color="auto"/>
            </w:tcBorders>
            <w:shd w:val="clear" w:color="auto" w:fill="DBDBDB"/>
          </w:tcPr>
          <w:p>
            <w:pPr>
              <w:jc w:val="center"/>
              <w:ind w:left="70"/>
              <w:spacing w:after="0"/>
              <w:rPr>
                <w:sz w:val="20"/>
                <w:szCs w:val="20"/>
                <w:color w:val="auto"/>
              </w:rPr>
            </w:pPr>
            <w:r>
              <w:rPr>
                <w:rFonts w:ascii="Arial" w:cs="Arial" w:eastAsia="Arial" w:hAnsi="Arial"/>
                <w:sz w:val="14"/>
                <w:szCs w:val="14"/>
                <w:b w:val="1"/>
                <w:bCs w:val="1"/>
                <w:color w:val="0070C0"/>
              </w:rPr>
              <w:t>2024</w:t>
            </w:r>
          </w:p>
        </w:tc>
        <w:tc>
          <w:tcPr>
            <w:tcW w:w="140" w:type="dxa"/>
            <w:vAlign w:val="bottom"/>
            <w:tcBorders>
              <w:top w:val="single" w:sz="8" w:color="DBDBDB"/>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2023</w:t>
            </w:r>
          </w:p>
        </w:tc>
      </w:tr>
      <w:tr>
        <w:trPr>
          <w:trHeight w:val="196"/>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operating activities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00" w:type="dxa"/>
            <w:vAlign w:val="bottom"/>
            <w:tcBorders>
              <w:right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2,204.6</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2,875.5</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1,547.2</w:t>
            </w:r>
          </w:p>
        </w:tc>
        <w:tc>
          <w:tcPr>
            <w:tcW w:w="80" w:type="dxa"/>
            <w:vAlign w:val="bottom"/>
          </w:tcPr>
          <w:p>
            <w:pPr>
              <w:spacing w:after="0"/>
              <w:rPr>
                <w:sz w:val="17"/>
                <w:szCs w:val="17"/>
                <w:color w:val="auto"/>
              </w:rPr>
            </w:pPr>
          </w:p>
        </w:tc>
        <w:tc>
          <w:tcPr>
            <w:tcW w:w="1280" w:type="dxa"/>
            <w:vAlign w:val="bottom"/>
            <w:gridSpan w:val="2"/>
            <w:shd w:val="clear" w:color="auto" w:fill="DBDBDB"/>
          </w:tcPr>
          <w:p>
            <w:pPr>
              <w:ind w:left="760"/>
              <w:spacing w:after="0"/>
              <w:rPr>
                <w:sz w:val="20"/>
                <w:szCs w:val="20"/>
                <w:color w:val="auto"/>
              </w:rPr>
            </w:pPr>
            <w:r>
              <w:rPr>
                <w:rFonts w:ascii="Arial" w:cs="Arial" w:eastAsia="Arial" w:hAnsi="Arial"/>
                <w:sz w:val="14"/>
                <w:szCs w:val="14"/>
                <w:color w:val="0070C0"/>
              </w:rPr>
              <w:t>(23.3)%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85.9 %</w:t>
            </w:r>
          </w:p>
        </w:tc>
      </w:tr>
      <w:tr>
        <w:trPr>
          <w:trHeight w:val="194"/>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investing activities</w:t>
            </w:r>
          </w:p>
        </w:tc>
        <w:tc>
          <w:tcPr>
            <w:tcW w:w="300" w:type="dxa"/>
            <w:vAlign w:val="bottom"/>
            <w:shd w:val="clear" w:color="auto" w:fill="DBDBDB"/>
          </w:tcPr>
          <w:p>
            <w:pPr>
              <w:spacing w:after="0"/>
              <w:rPr>
                <w:sz w:val="16"/>
                <w:szCs w:val="16"/>
                <w:color w:val="auto"/>
              </w:rPr>
            </w:pPr>
          </w:p>
        </w:tc>
        <w:tc>
          <w:tcPr>
            <w:tcW w:w="10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(1,371.1)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(799.2)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(4,101.0)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0070C0"/>
              </w:rPr>
              <w:t>71.6</w:t>
            </w: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(80.5)</w:t>
            </w:r>
          </w:p>
        </w:tc>
      </w:tr>
      <w:tr>
        <w:trPr>
          <w:trHeight w:val="211"/>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financing activities</w:t>
            </w:r>
          </w:p>
        </w:tc>
        <w:tc>
          <w:tcPr>
            <w:tcW w:w="300" w:type="dxa"/>
            <w:vAlign w:val="bottom"/>
            <w:shd w:val="clear" w:color="auto" w:fill="DBDBDB"/>
          </w:tcPr>
          <w:p>
            <w:pPr>
              <w:spacing w:after="0"/>
              <w:rPr>
                <w:sz w:val="18"/>
                <w:szCs w:val="18"/>
                <w:color w:val="auto"/>
              </w:rPr>
            </w:pPr>
          </w:p>
        </w:tc>
        <w:tc>
          <w:tcPr>
            <w:tcW w:w="10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(301.9)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149.3</w:t>
            </w:r>
          </w:p>
        </w:tc>
        <w:tc>
          <w:tcPr>
            <w:tcW w:w="80" w:type="dxa"/>
            <w:vAlign w:val="bottom"/>
          </w:tcPr>
          <w:p>
            <w:pPr>
              <w:spacing w:after="0"/>
              <w:rPr>
                <w:sz w:val="18"/>
                <w:szCs w:val="18"/>
                <w:color w:val="auto"/>
              </w:rPr>
            </w:pPr>
          </w:p>
        </w:tc>
        <w:tc>
          <w:tcPr>
            <w:tcW w:w="1140" w:type="dxa"/>
            <w:vAlign w:val="bottom"/>
          </w:tcPr>
          <w:p>
            <w:pPr>
              <w:ind w:left="760"/>
              <w:spacing w:after="0"/>
              <w:rPr>
                <w:sz w:val="20"/>
                <w:szCs w:val="20"/>
                <w:color w:val="auto"/>
              </w:rPr>
            </w:pPr>
            <w:r>
              <w:rPr>
                <w:rFonts w:ascii="Arial" w:cs="Arial" w:eastAsia="Arial" w:hAnsi="Arial"/>
                <w:sz w:val="14"/>
                <w:szCs w:val="14"/>
                <w:color w:val="0070C0"/>
                <w:w w:val="98"/>
              </w:rPr>
              <w:t>(55.8)</w:t>
            </w:r>
          </w:p>
        </w:tc>
        <w:tc>
          <w:tcPr>
            <w:tcW w:w="14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(557.8)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-393700</wp:posOffset>
            </wp:positionV>
            <wp:extent cx="720090" cy="394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0090" cy="39433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 is derived by adjusting our net income for:</w:t>
      </w:r>
    </w:p>
    <w:p>
      <w:pPr>
        <w:spacing w:after="0" w:line="77" w:lineRule="exact"/>
        <w:rPr>
          <w:sz w:val="20"/>
          <w:szCs w:val="20"/>
          <w:color w:val="auto"/>
        </w:rPr>
      </w:pPr>
    </w:p>
    <w:p>
      <w:pPr>
        <w:ind w:left="420" w:right="300" w:hanging="331"/>
        <w:spacing w:after="0" w:line="272" w:lineRule="auto"/>
        <w:tabs>
          <w:tab w:leader="none" w:pos="368" w:val="left"/>
        </w:tabs>
        <w:numPr>
          <w:ilvl w:val="0"/>
          <w:numId w:val="92"/>
        </w:numPr>
        <w:rPr>
          <w:rFonts w:ascii="Arial" w:cs="Arial" w:eastAsia="Arial" w:hAnsi="Arial"/>
          <w:sz w:val="20"/>
          <w:szCs w:val="20"/>
          <w:color w:val="0070C0"/>
        </w:rPr>
      </w:pPr>
      <w:r>
        <w:rPr>
          <w:rFonts w:ascii="Arial" w:cs="Arial" w:eastAsia="Arial" w:hAnsi="Arial"/>
          <w:sz w:val="18"/>
          <w:szCs w:val="18"/>
          <w:color w:val="auto"/>
        </w:rPr>
        <w:t>non-cash operating items such as depreciation and amortization, impairment charges, unrealized (gain) loss on strategic investments and share-based compensation;</w:t>
      </w:r>
    </w:p>
    <w:p>
      <w:pPr>
        <w:spacing w:after="0" w:line="17" w:lineRule="exact"/>
        <w:rPr>
          <w:rFonts w:ascii="Arial" w:cs="Arial" w:eastAsia="Arial" w:hAnsi="Arial"/>
          <w:sz w:val="20"/>
          <w:szCs w:val="20"/>
          <w:color w:val="0070C0"/>
        </w:rPr>
      </w:pPr>
    </w:p>
    <w:p>
      <w:pPr>
        <w:ind w:left="420" w:right="380" w:hanging="331"/>
        <w:spacing w:after="0" w:line="272" w:lineRule="auto"/>
        <w:tabs>
          <w:tab w:leader="none" w:pos="368" w:val="left"/>
        </w:tabs>
        <w:numPr>
          <w:ilvl w:val="0"/>
          <w:numId w:val="92"/>
        </w:numPr>
        <w:rPr>
          <w:rFonts w:ascii="Arial" w:cs="Arial" w:eastAsia="Arial" w:hAnsi="Arial"/>
          <w:sz w:val="20"/>
          <w:szCs w:val="20"/>
          <w:color w:val="0070C0"/>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17" w:lineRule="exact"/>
        <w:rPr>
          <w:rFonts w:ascii="Arial" w:cs="Arial" w:eastAsia="Arial" w:hAnsi="Arial"/>
          <w:sz w:val="20"/>
          <w:szCs w:val="20"/>
          <w:color w:val="0070C0"/>
        </w:rPr>
      </w:pPr>
    </w:p>
    <w:p>
      <w:pPr>
        <w:ind w:left="420" w:right="300" w:hanging="331"/>
        <w:spacing w:after="0" w:line="260" w:lineRule="auto"/>
        <w:tabs>
          <w:tab w:leader="none" w:pos="368" w:val="left"/>
        </w:tabs>
        <w:numPr>
          <w:ilvl w:val="0"/>
          <w:numId w:val="92"/>
        </w:numPr>
        <w:rPr>
          <w:rFonts w:ascii="Arial" w:cs="Arial" w:eastAsia="Arial" w:hAnsi="Arial"/>
          <w:sz w:val="20"/>
          <w:szCs w:val="20"/>
          <w:color w:val="0070C0"/>
        </w:rPr>
      </w:pPr>
      <w:r>
        <w:rPr>
          <w:rFonts w:ascii="Arial" w:cs="Arial" w:eastAsia="Arial" w:hAnsi="Arial"/>
          <w:sz w:val="18"/>
          <w:szCs w:val="18"/>
          <w:color w:val="auto"/>
        </w:rPr>
        <w:t>(gains) losses on the disposal of assets, deferred income taxes, changes in the fair value of contingent payments associated with our acquisitions of businesses and acquired IPR&amp;D.</w:t>
      </w:r>
    </w:p>
    <w:p>
      <w:pPr>
        <w:spacing w:after="0" w:line="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For 2025 compared to 2024, the decrease in net cash flow provided by operating activities was primarily due to lower net income in 2025, which included higher acquired in-process research and development, upfront and milestone payments in 2025, higher worldwide tax payments in 2025, compared to 2024, of approximately $864.0 million and $355.1 million, respectively, driven by the timing of estimated tax payments, the timing of customer payments and higher employee-benefit payments made during the first quarter of 2025, compared to the same period in 2024. The decrease was offset in part by lower inventory levels and $200.0 million of research and development funding received from Royalty Pharma in 2025.</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2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For 2025 compared to 2024, the change in net cash flow in investing activities was primarily due to purchases of marketable securities in 2025 of $ 1.3 billion. In 2024, net cash flow in investing activities included the acquisition of HI-Bio for $1.15 billion, partially offset by the receipt of $437.5 million from Samsung BioLogics related to the sale of our 49.9% equity interest in Samsung Bioepis and the net cash receipt of $88.6 million from the sale of one of our two PRVs.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For 2025 compared to 2024, the change in net cash flow in financing activities was primarily due to $1.75 billion in net proceeds received from the issuance of our 2025 Senior Notes, which was offset by a $1.75 billion payment made for the redemption of our 4.050% Senior Notes due September 15, 2025, as well as $300.0 million of milestone payments made to the former shareholders of HI-Bio, of which approximately $280.0 million was reflected within financing activities. Additionally, net cash flow used in financing activities during 2024 included the repayment of our 2023 Term Loan for $650.0 million.</w:t>
      </w:r>
    </w:p>
    <w:p>
      <w:pPr>
        <w:spacing w:after="0" w:line="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to our consolidated financial statements included in this report. For additional information on our Senior Notes and 2023 Term Loan,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DEBT AND CREDIT FACILITIES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color w:val="auto"/>
        </w:rPr>
        <w:t>LONG-TERM DEBT AND TERM LOAN CREDIT AGREEMENTS</w:t>
      </w:r>
    </w:p>
    <w:p>
      <w:pPr>
        <w:spacing w:after="0" w:line="110"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Our long-term obligations primarily consist of long-term debt related to our Senior Notes with final maturity dates ranging between 2030 and 2055. As of December 31, 2025, our outstanding balance related to long-term debt was $6.3 billion, net of discounts and debt offering costs.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0070C0"/>
        </w:rPr>
        <w:t>2025 SENIOR NOTES</w:t>
      </w:r>
    </w:p>
    <w:p>
      <w:pPr>
        <w:spacing w:after="0" w:line="117"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On May 12, 2025, we issued our 2025 Senior Notes for an aggregate principal amount of $1.75 billion. In June 2025 we used the net proceeds from the sale of our 2025 Senior Notes to redeem our 4.050% Senior Notes due September 15, 2025, prior to maturity.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0070C0"/>
        </w:rPr>
        <w:t>2023 TERM LOAN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our acquisition of Reata in September 2023 we entered into a $ 1.5 billion term loan credit agreement. On the closing date of the Reata acquisition we drew $1.0 billion from the 2023 Term Loan, comprised of a $500.0 million floating rate 364-day tranche and a $500.0 million floating rate three-year tranche. The remaining unused commitment of $500.0 million was terminated. As of December 31, 2023, we repaid $350.0 million of the 364-day tranche. The remaining $150.0 million portion of the 364-day tranche was repaid during the first quarter of 2024.</w:t>
      </w:r>
    </w:p>
    <w:p>
      <w:pPr>
        <w:spacing w:after="0" w:line="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Additionally, during the first quarter of 2024 we repaid $250.0 million of the three-year tranche, with the remaining $250.0 million portion being subsequently repaid in full during the second quarter of 2024.</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2024 REVOLVING CREDIT FACILITY</w:t>
      </w:r>
    </w:p>
    <w:p>
      <w:pPr>
        <w:spacing w:after="0" w:line="124"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In August 2024 we entered into a $1.5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This revolving credit facility replaced the revolving credit facility that we entered into in January 2020. As of December 31, 2025, we had no outstanding borrowings and were in compliance with all covenants under this facility.</w:t>
      </w:r>
    </w:p>
    <w:p>
      <w:pPr>
        <w:spacing w:after="0" w:line="53"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 xml:space="preserve">For a summary of the fair values of our outstanding borrowings as of December 31, 2025 and 2024, please read </w:t>
      </w:r>
      <w:r>
        <w:rPr>
          <w:rFonts w:ascii="Arial" w:cs="Arial" w:eastAsia="Arial" w:hAnsi="Arial"/>
          <w:sz w:val="18"/>
          <w:szCs w:val="18"/>
          <w:i w:val="1"/>
          <w:iCs w:val="1"/>
          <w:color w:val="auto"/>
        </w:rPr>
        <w:t>Note 8,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to our consolidated financial statements included in this report.</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For additional information on our Senior Notes, 2023 Term Loan and credit facility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SHARE REPURCHASE PROGRAMS</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 repurchases of our common stock during the years ended December 31, 2025 and 2024. Approximately $2.1 billion remained available under our 2020 Share Repurchase Program as of December 31, 2025.</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CONTRACTUAL OBLIGATIONS AND OFF-BALANCE SHEET ARRANGEMENTS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CONTRACTUAL OBLIGATIONS</w:t>
      </w:r>
    </w:p>
    <w:p>
      <w:pPr>
        <w:spacing w:after="0" w:line="10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table summarizes our contractual obligations as of December 31, 2025, excluding amounts related to uncertain tax positions, funding commitments, contingent development, regulatory and commercial milestone payments, contingent payments and contingent consideration related to our business combinations, as described below.</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right="128"/>
              <w:spacing w:after="0"/>
              <w:rPr>
                <w:sz w:val="20"/>
                <w:szCs w:val="20"/>
                <w:color w:val="auto"/>
              </w:rPr>
            </w:pPr>
            <w:r>
              <w:rPr>
                <w:rFonts w:ascii="Arial" w:cs="Arial" w:eastAsia="Arial" w:hAnsi="Arial"/>
                <w:sz w:val="14"/>
                <w:szCs w:val="14"/>
                <w:b w:val="1"/>
                <w:bCs w:val="1"/>
                <w:color w:val="auto"/>
              </w:rPr>
              <w:t>Payments Due by Period</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1 to 3</w:t>
            </w:r>
          </w:p>
        </w:tc>
        <w:tc>
          <w:tcPr>
            <w:tcW w:w="280" w:type="dxa"/>
            <w:vAlign w:val="bottom"/>
          </w:tcPr>
          <w:p>
            <w:pPr>
              <w:spacing w:after="0"/>
              <w:rPr>
                <w:sz w:val="12"/>
                <w:szCs w:val="12"/>
                <w:color w:val="auto"/>
              </w:rPr>
            </w:pPr>
          </w:p>
        </w:tc>
        <w:tc>
          <w:tcPr>
            <w:tcW w:w="114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3 to 5</w:t>
            </w:r>
          </w:p>
        </w:tc>
        <w:tc>
          <w:tcPr>
            <w:tcW w:w="280" w:type="dxa"/>
            <w:vAlign w:val="bottom"/>
          </w:tcPr>
          <w:p>
            <w:pPr>
              <w:spacing w:after="0"/>
              <w:rPr>
                <w:sz w:val="12"/>
                <w:szCs w:val="12"/>
                <w:color w:val="auto"/>
              </w:rPr>
            </w:pPr>
          </w:p>
        </w:tc>
        <w:tc>
          <w:tcPr>
            <w:tcW w:w="1080" w:type="dxa"/>
            <w:vAlign w:val="bottom"/>
          </w:tcPr>
          <w:p>
            <w:pPr>
              <w:jc w:val="right"/>
              <w:ind w:right="428"/>
              <w:spacing w:after="0" w:line="147"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8"/>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Non-cancelable operating leases</w:t>
            </w:r>
            <w:r>
              <w:rPr>
                <w:rFonts w:ascii="Arial" w:cs="Arial" w:eastAsia="Arial" w:hAnsi="Arial"/>
                <w:sz w:val="9"/>
                <w:szCs w:val="9"/>
                <w:color w:val="auto"/>
              </w:rPr>
              <w:t>(1)(2)(3)</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414.8</w:t>
            </w:r>
          </w:p>
        </w:tc>
        <w:tc>
          <w:tcPr>
            <w:tcW w:w="34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81.9</w:t>
            </w:r>
          </w:p>
        </w:tc>
        <w:tc>
          <w:tcPr>
            <w:tcW w:w="480" w:type="dxa"/>
            <w:vAlign w:val="bottom"/>
            <w:gridSpan w:val="3"/>
            <w:shd w:val="clear" w:color="auto" w:fill="DBDBDB"/>
          </w:tcPr>
          <w:p>
            <w:pPr>
              <w:jc w:val="right"/>
              <w:ind w:right="20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135.5</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49.1</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148.3</w:t>
            </w:r>
          </w:p>
        </w:tc>
        <w:tc>
          <w:tcPr>
            <w:tcW w:w="0" w:type="dxa"/>
            <w:vAlign w:val="bottom"/>
          </w:tcPr>
          <w:p>
            <w:pPr>
              <w:spacing w:after="0"/>
              <w:rPr>
                <w:sz w:val="1"/>
                <w:szCs w:val="1"/>
                <w:color w:val="auto"/>
              </w:rPr>
            </w:pPr>
          </w:p>
        </w:tc>
      </w:tr>
      <w:tr>
        <w:trPr>
          <w:trHeight w:val="202"/>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Long-term debt obligations</w:t>
            </w:r>
            <w:r>
              <w:rPr>
                <w:rFonts w:ascii="Arial" w:cs="Arial" w:eastAsia="Arial" w:hAnsi="Arial"/>
                <w:sz w:val="9"/>
                <w:szCs w:val="9"/>
                <w:color w:val="auto"/>
              </w:rPr>
              <w:t>(4)</w:t>
            </w:r>
          </w:p>
        </w:tc>
        <w:tc>
          <w:tcPr>
            <w:tcW w:w="2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11,359.7</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264.6</w:t>
            </w: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529.1</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2,006.5</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8,559.5</w:t>
            </w: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Purchase and other obligations</w:t>
            </w:r>
            <w:r>
              <w:rPr>
                <w:rFonts w:ascii="Arial" w:cs="Arial" w:eastAsia="Arial" w:hAnsi="Arial"/>
                <w:sz w:val="9"/>
                <w:szCs w:val="9"/>
                <w:color w:val="auto"/>
              </w:rPr>
              <w:t>(5)</w:t>
            </w:r>
          </w:p>
        </w:tc>
        <w:tc>
          <w:tcPr>
            <w:tcW w:w="2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352.0</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243.1</w:t>
            </w: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96.7</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7.7</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w:t>
            </w:r>
          </w:p>
        </w:tc>
        <w:tc>
          <w:tcPr>
            <w:tcW w:w="0" w:type="dxa"/>
            <w:vAlign w:val="bottom"/>
          </w:tcPr>
          <w:p>
            <w:pPr>
              <w:spacing w:after="0"/>
              <w:rPr>
                <w:sz w:val="1"/>
                <w:szCs w:val="1"/>
                <w:color w:val="auto"/>
              </w:rPr>
            </w:pPr>
          </w:p>
        </w:tc>
      </w:tr>
      <w:tr>
        <w:trPr>
          <w:trHeight w:val="207"/>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Defined benefit obligation</w:t>
            </w:r>
          </w:p>
        </w:tc>
        <w:tc>
          <w:tcPr>
            <w:tcW w:w="2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118.7</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118.7</w:t>
            </w:r>
          </w:p>
        </w:tc>
        <w:tc>
          <w:tcPr>
            <w:tcW w:w="0" w:type="dxa"/>
            <w:vAlign w:val="bottom"/>
          </w:tcPr>
          <w:p>
            <w:pPr>
              <w:spacing w:after="0"/>
              <w:rPr>
                <w:sz w:val="1"/>
                <w:szCs w:val="1"/>
                <w:color w:val="auto"/>
              </w:rPr>
            </w:pPr>
          </w:p>
        </w:tc>
      </w:tr>
      <w:tr>
        <w:trPr>
          <w:trHeight w:val="220"/>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Total contractual obligations</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12,245.2</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589.6</w:t>
            </w:r>
          </w:p>
        </w:tc>
        <w:tc>
          <w:tcPr>
            <w:tcW w:w="480" w:type="dxa"/>
            <w:vAlign w:val="bottom"/>
            <w:gridSpan w:val="3"/>
            <w:shd w:val="clear" w:color="auto" w:fill="DBDBDB"/>
          </w:tcPr>
          <w:p>
            <w:pPr>
              <w:jc w:val="right"/>
              <w:ind w:right="20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761.3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2,063.3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8,831.0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80" w:right="420" w:hanging="172"/>
        <w:spacing w:after="0" w:line="234" w:lineRule="auto"/>
        <w:tabs>
          <w:tab w:leader="none" w:pos="172"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We lease properties and equipment for use in our operations. Amounts reflected within the table above detail future minimum rental commitments under non-cancelable operating leases as of December 31 for each of the periods presented. In addition to the minimum rental commitments, these leases may require us to pay additional amounts for taxes, insurance, maintenance and other operating expense.</w:t>
      </w:r>
    </w:p>
    <w:p>
      <w:pPr>
        <w:ind w:left="160" w:hanging="152"/>
        <w:spacing w:after="0" w:line="234" w:lineRule="auto"/>
        <w:tabs>
          <w:tab w:leader="none" w:pos="160" w:val="left"/>
        </w:tabs>
        <w:numPr>
          <w:ilvl w:val="0"/>
          <w:numId w:val="93"/>
        </w:numPr>
        <w:rPr>
          <w:rFonts w:ascii="Arial" w:cs="Arial" w:eastAsia="Arial" w:hAnsi="Arial"/>
          <w:sz w:val="18"/>
          <w:szCs w:val="18"/>
          <w:color w:val="auto"/>
          <w:vertAlign w:val="superscript"/>
        </w:rPr>
      </w:pPr>
      <w:r>
        <w:rPr>
          <w:rFonts w:ascii="Arial" w:cs="Arial" w:eastAsia="Arial" w:hAnsi="Arial"/>
          <w:sz w:val="14"/>
          <w:szCs w:val="14"/>
          <w:color w:val="auto"/>
        </w:rPr>
        <w:t>Obligations are presented net of sublease income expected to be received for our vacated portions of various facilities throughout the world.</w:t>
      </w:r>
    </w:p>
    <w:p>
      <w:pPr>
        <w:spacing w:after="0" w:line="13" w:lineRule="exact"/>
        <w:rPr>
          <w:rFonts w:ascii="Arial" w:cs="Arial" w:eastAsia="Arial" w:hAnsi="Arial"/>
          <w:sz w:val="18"/>
          <w:szCs w:val="18"/>
          <w:color w:val="auto"/>
          <w:vertAlign w:val="superscript"/>
        </w:rPr>
      </w:pPr>
    </w:p>
    <w:p>
      <w:pPr>
        <w:ind w:left="180" w:right="40" w:hanging="172"/>
        <w:spacing w:after="0" w:line="222" w:lineRule="auto"/>
        <w:tabs>
          <w:tab w:leader="none" w:pos="172"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 xml:space="preserve">In connection with our acquisition of Reata in September 2023 we assumed operating lease commitments, including the responsibility for a single-tenant, built-to-suit building. For additional information on our acquisition of Reata, please read </w:t>
      </w:r>
      <w:r>
        <w:rPr>
          <w:rFonts w:ascii="Arial" w:cs="Arial" w:eastAsia="Arial" w:hAnsi="Arial"/>
          <w:sz w:val="14"/>
          <w:szCs w:val="14"/>
          <w:i w:val="1"/>
          <w:iCs w:val="1"/>
          <w:color w:val="auto"/>
        </w:rPr>
        <w:t>Note 2, Acquisitions</w:t>
      </w:r>
      <w:r>
        <w:rPr>
          <w:rFonts w:ascii="Arial" w:cs="Arial" w:eastAsia="Arial" w:hAnsi="Arial"/>
          <w:sz w:val="14"/>
          <w:szCs w:val="14"/>
          <w:color w:val="auto"/>
        </w:rPr>
        <w:t>, to our consolidated financial statements included in this report.</w:t>
      </w:r>
    </w:p>
    <w:p>
      <w:pPr>
        <w:ind w:left="180" w:right="300" w:hanging="172"/>
        <w:spacing w:after="0" w:line="233" w:lineRule="auto"/>
        <w:tabs>
          <w:tab w:leader="none" w:pos="172"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 xml:space="preserve">Long-term debt obligations are related to our 2025 Senior Notes, our 2021 Exchange Offer Senior Notes, our 2020 Senior Notes and our 2015 Senior Notes, including principal and interest payments. For additional information on our long-term debt obligations, please read </w:t>
      </w:r>
      <w:r>
        <w:rPr>
          <w:rFonts w:ascii="Arial" w:cs="Arial" w:eastAsia="Arial" w:hAnsi="Arial"/>
          <w:sz w:val="14"/>
          <w:szCs w:val="14"/>
          <w:i w:val="1"/>
          <w:iCs w:val="1"/>
          <w:color w:val="auto"/>
        </w:rPr>
        <w:t>Note 13, Indebtedness</w:t>
      </w:r>
      <w:r>
        <w:rPr>
          <w:rFonts w:ascii="Arial" w:cs="Arial" w:eastAsia="Arial" w:hAnsi="Arial"/>
          <w:sz w:val="14"/>
          <w:szCs w:val="14"/>
          <w:color w:val="auto"/>
        </w:rPr>
        <w:t>, to our consolidated financial statements included in this report.</w:t>
      </w:r>
    </w:p>
    <w:p>
      <w:pPr>
        <w:spacing w:after="0" w:line="1"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93"/>
        </w:numPr>
        <w:rPr>
          <w:rFonts w:ascii="Arial" w:cs="Arial" w:eastAsia="Arial" w:hAnsi="Arial"/>
          <w:sz w:val="9"/>
          <w:szCs w:val="9"/>
          <w:color w:val="auto"/>
        </w:rPr>
      </w:pPr>
      <w:r>
        <w:rPr>
          <w:rFonts w:ascii="Arial" w:cs="Arial" w:eastAsia="Arial" w:hAnsi="Arial"/>
          <w:sz w:val="14"/>
          <w:szCs w:val="14"/>
          <w:color w:val="auto"/>
        </w:rPr>
        <w:t>Purchase and other obligations includes approximately $58.9 million related to the fair value of net liabilities on derivative contracts.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0070C0"/>
        </w:rPr>
        <w:t>ROYALTY PAYMENTS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TYSABRI</w:t>
      </w:r>
    </w:p>
    <w:p>
      <w:pPr>
        <w:spacing w:after="0" w:line="1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obligated to make contingent payments of 18.0% on annual worldwide net sales of TYSABRI up to $2.0 billion and 25.0% on annual worldwide net sales of TYSABRI that exceed $2.0 billion. Royalty payments are recognized as cost of sales in our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SPINRAZA</w:t>
      </w:r>
    </w:p>
    <w:p>
      <w:pPr>
        <w:spacing w:after="0" w:line="10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make royalty payments to Ionis on annual worldwide net sales of SPINRAZA using a tiered royalty rate between 11.0% and 15.0%, which are recognized in cost of sales within our consolidated statements of income.</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QALSODY</w:t>
      </w:r>
    </w:p>
    <w:p>
      <w:pPr>
        <w:spacing w:after="0" w:line="10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make royalty payments to Ionis on annual worldwide net sales of QALSODY using a tiered royalty rate between 11.0% and 15.0%, which are recognized in cost of sales within our consolidated statements of income.</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VUMERITY</w:t>
      </w:r>
    </w:p>
    <w:p>
      <w:pPr>
        <w:spacing w:after="0" w:line="1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make royalty payments to Alkermes on worldwide net sales of VUMERITY using a royalty rate of 15.0% on product that Alkermes has manufactured and 16.0% on product manufactured by us or a third-party designee, which are recognized as cost of sales in our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SKYCLARYS</w:t>
      </w:r>
    </w:p>
    <w:p>
      <w:pPr>
        <w:spacing w:after="0" w:line="1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connection with our acquisition of Reata in September 2023 we assumed additional contractual obligations related to royalty payments. Reata entered into agreements to pay royalties on annual worldwide net sales of</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SKYCLARYS, which will cumulatively range in the low to mid-single digit percentages. Royalty payments are recognized as cost of sales in our consolidated statements of income.</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0070C0"/>
        </w:rPr>
        <w:t>LEASE COMMITMENTS</w:t>
      </w:r>
    </w:p>
    <w:p>
      <w:pPr>
        <w:spacing w:after="0" w:line="1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2025 we entered into a lease agreement with MIT Investment Management Company and BioMed Realty for the lease of approximately 580,000 square feet of office and research and development space located at 75 Broadway, Cambridge, Massachusetts, which will be used as our new global corporate headquarters, as well as integrating our research and development and technical operations teams alongside our North American commercial organization. As part of a multi-year real estate consolidation plan that is expected to result in a reduction of approximately 40% of our real estate footprint in Massachusetts, this new lease is intended to replace two existing leases, both in Cambridge, Massachusetts, including our current corporate headquarters. We expect the initial lease term of approximately 15.5 years to commence on May 31, 2028. The estimated minimum lease payments as a result of the new lease total approximately $1.5 billion over the initial lease term.</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leases, please read </w:t>
      </w:r>
      <w:r>
        <w:rPr>
          <w:rFonts w:ascii="Arial" w:cs="Arial" w:eastAsia="Arial" w:hAnsi="Arial"/>
          <w:sz w:val="18"/>
          <w:szCs w:val="18"/>
          <w:i w:val="1"/>
          <w:iCs w:val="1"/>
          <w:color w:val="auto"/>
        </w:rPr>
        <w:t>Note 12, Leases</w:t>
      </w:r>
      <w:r>
        <w:rPr>
          <w:rFonts w:ascii="Arial" w:cs="Arial" w:eastAsia="Arial" w:hAnsi="Arial"/>
          <w:sz w:val="18"/>
          <w:szCs w:val="18"/>
          <w:color w:val="auto"/>
        </w:rPr>
        <w:t>, to our consolidated financial statements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CONTINGENT CONSIDERATION RELATED TO BUSINESS COMBINATIONS</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connection with our acquisition of HI-Bio in July 2024 we may make additional payments based upon the achievement of certain milestone events. We recognized the contingent consideration obligations associated with this acquisition at its fair value on the acquisition date and we revalue this obligation each reporting period. We may pay up to a total of $650.0 million in contingent development and regulatory milestone payments. The acquisition-date fair value of these milestones was approximately $485.1 million.</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second quarter of 2025 the first milestone related to the fourth patient dosed in a Phase 3 clinical trial of felzartamab for AMR was achieved, resulting in a $ 150.0 million milestone payment made to the former shareholders of HI-Bio, which was paid during the third quarter of 2025. In October 2025 the second milestone related to the fourth patient dosed in a Phase 3 clinical trial of felzartamab for IgAN was achieved, resulting in a $150.0 million milestone payment made to the former shareholders of HI-Bio, which was paid during the fourth quarter of 2025.</w:t>
      </w:r>
    </w:p>
    <w:p>
      <w:pPr>
        <w:spacing w:after="0" w:line="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CONTINGENT DEVELOPMENT, REGULATORY AND COMMERCIAL MILESTONE PAYMENTS</w:t>
      </w:r>
    </w:p>
    <w:p>
      <w:pPr>
        <w:spacing w:after="0" w:line="11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Based on our development plans as of December 31, 2025, we could make potential future milestone payments to third parties of up to approximately $5.3 billion, including approximately $0.7 billion in development milestones, approximately $0.8 billion in regulatory milestones and approximately $3.8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December 31, 2025,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58"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color w:val="auto"/>
        </w:rPr>
        <w:t xml:space="preserve">If certain research milestones are met, we may pay up to approximately $67.5 million in additional milestones in 2026 under our current agreements, excluding opt-in payments. This amount includes a </w:t>
      </w:r>
      <w:r>
        <w:rPr>
          <w:rFonts w:ascii="Arial" w:cs="Arial" w:eastAsia="Arial" w:hAnsi="Arial"/>
          <w:sz w:val="18"/>
          <w:szCs w:val="18"/>
          <w:b w:val="1"/>
          <w:bCs w:val="1"/>
          <w:color w:val="auto"/>
        </w:rPr>
        <w:t>$45.0 million milestone payment due upon the initiation of a Phase 3</w:t>
      </w:r>
      <w:r>
        <w:rPr>
          <w:rFonts w:ascii="Arial" w:cs="Arial" w:eastAsia="Arial" w:hAnsi="Arial"/>
          <w:sz w:val="18"/>
          <w:szCs w:val="18"/>
          <w:color w:val="auto"/>
        </w:rPr>
        <w:t xml:space="preserve"> </w:t>
      </w:r>
      <w:r>
        <w:rPr>
          <w:rFonts w:ascii="Arial" w:cs="Arial" w:eastAsia="Arial" w:hAnsi="Arial"/>
          <w:sz w:val="18"/>
          <w:szCs w:val="18"/>
          <w:b w:val="1"/>
          <w:bCs w:val="1"/>
          <w:color w:val="auto"/>
        </w:rPr>
        <w:t>trial of salanersen.</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0070C0"/>
        </w:rPr>
        <w:t>OTHER FUNDING COMMITMENTS</w:t>
      </w:r>
    </w:p>
    <w:p>
      <w:pPr>
        <w:spacing w:after="0" w:line="10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 of December 31, 2025, we have several ongoing clinical studies in various clinical trial stages. Our most significant clinical trial expenditures are to CROs. The contracts with CROs are generally cancellable, with notice, at our option. We recorded accrued expense of approximately $39.3 million in our consolidated balance sheets for expenditures incurred by CROs as of December 31, 2025. We have approximately $524.9 million in cancellable future commitments based on existing CRO contracts as of December 31, 2025.</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TAX RELATED OBLIGATIONS</w:t>
      </w:r>
    </w:p>
    <w:p>
      <w:pPr>
        <w:spacing w:after="0" w:line="1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2025, we have approximately $166.8 million of liabilities associated with uncertain tax positions.</w:t>
      </w:r>
    </w:p>
    <w:p>
      <w:pPr>
        <w:spacing w:after="0" w:line="63"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As of December 31, 2024, we accrued income tax liabilities of approximately $234.0 million under the Transition Toll Tax, which was subsequently paid in full in April 2025.</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OTHER OFF-BALANCE SHEET ARRANGEMENTS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0070C0"/>
        </w:rPr>
        <w:t>NEW ACCOUNTING STANDARDS</w:t>
      </w:r>
    </w:p>
    <w:p>
      <w:pPr>
        <w:spacing w:after="0" w:line="10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our consolidated financial statements included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color w:val="0070C0"/>
        </w:rPr>
        <w:t>LEGAL MATTERS</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 discussion of legal matters as of December 31, 2025,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consolidated financial statements included in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0070C0"/>
        </w:rPr>
        <w:t>CRITICAL ACCOUNTING POLICIES AND ESTIMATES</w:t>
      </w:r>
    </w:p>
    <w:p>
      <w:pPr>
        <w:spacing w:after="0" w:line="10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The preparation of our consolidated financial statements, which have been prepared in accordance with U.S. GAAP,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 Other significant accounting policies are outlined 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to our consolidated financial statements included in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REVENUE RECOGNITION</w:t>
      </w:r>
    </w:p>
    <w:p>
      <w:pPr>
        <w:spacing w:after="0" w:line="1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recognize revenue when our customer obtains control of promised goods or services, in an amount that reflects the consideration which we expect to receive in exchange for those goods or services. We recognize revenue following the five-step model prescribed under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 identify contract(s) with a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PRODUCT REVENUE</w:t>
      </w:r>
    </w:p>
    <w:p>
      <w:pPr>
        <w:spacing w:after="0" w:line="11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U.S., we sell our products primarily to wholesale and specialty distributors and specialty pharmacies. In other countries, we sell our products primarily to wholesale distributors, hospitals, pharmacies and other third-party distribution partners. These customers subsequently resell our products to health care providers and patients. In addition, we enter into arrangements with health care providers and payors that provide for government-mandated or privately-negotiated discounts and allowances related to our products.</w:t>
      </w:r>
    </w:p>
    <w:p>
      <w:pPr>
        <w:spacing w:after="0" w:line="6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Product revenue is recognized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 or the amount is immaterial.</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RESERVES FOR DISCOUNTS AND ALLOWANCES</w:t>
      </w:r>
    </w:p>
    <w:p>
      <w:pPr>
        <w:spacing w:after="0" w:line="106"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Product revenue is recorded net of reserves established for applicable discounts and allowances that are offered within contracts with our customers, health care providers or payors, including those associated with the implementation of pricing actions in certain of the international markets in which we operate. Our process for estimating reserves established for these variable consideration components do not differ materially from our historical practices.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reserves, which are classified as a reduction in product revenue, are generally characterized in the following categories: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discounts, contractual adjustments and returns.</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 recognized will not occur in a future period. Actual amounts may ultimately differ from our estimates. If actual results vary, we adjust these estimates, which could have an effect on earnings in the period of adjustment.</w:t>
      </w:r>
    </w:p>
    <w:p>
      <w:pPr>
        <w:spacing w:after="0" w:line="7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As of December 31, 2025 and 2024, a 10.0% change in our discounts, contractual adjustments and reserves would have resulted in a decrease of our pre-tax earnings by approximately $355.7 million and $351.9 million, respectively.</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to discounts, rebates and product returns,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 separable benefit and fair value for these services we classify these payments in selling, general and administrative expense in our consolidated statements of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revenue,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consolidated financial statements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ACQUIRED INTANGIBLE ASSETS, INCLUDING IPR&amp;D</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we purchase a business, the acquired IPR&amp;D is measured at fair value, capitalized as an intangible asset and tested for impairment at least annually, as of October 31, until commercialization, after which time the IPR&amp;D is amortized over its estimated useful life. If we acquire an asset or group of assets with no alternative future use that do not meet the definition of a business under applicable accounting standards, then the acquired IPR&amp;D is expensed on its acquisition date. Future costs to develop these assets are recorded to research and development expense within our consolidated statements of income as they are incurred.</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acquired, and expect to continue to acquire, intangible assets through the acquisition of biotechnology companies or through the consolidation of variable interest entities. These intangible assets primarily consist of technology associated with human therapeutic products, IPR&amp;D product candidates and priority review vouchers. When significant identifiable intangible assets are acquired, we generally engage an independent third-party valuation firm to assist in determining the fair values of these assets as of the acquisition date. Management will determine the fair value of less significant identifiable intangible assets acquired. Discounted cash flow models are typically used in these valuations, and these models require the use of significant estimates and assumptions including but not limited to:</w:t>
      </w:r>
    </w:p>
    <w:p>
      <w:pPr>
        <w:spacing w:after="0" w:line="74" w:lineRule="exact"/>
        <w:rPr>
          <w:sz w:val="20"/>
          <w:szCs w:val="20"/>
          <w:color w:val="auto"/>
        </w:rPr>
      </w:pPr>
    </w:p>
    <w:p>
      <w:pPr>
        <w:ind w:left="360" w:hanging="271"/>
        <w:spacing w:after="0"/>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projecting the timing and likelihood of regulatory approvals;</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estimating future cash flow from product sales resulting from completed products and in process projects; and</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believe the fair values assigned to the intangible assets acquired are based upon reasonable estimates and assumptions given available facts and circumstances as of the acquisition dates.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If these projects are not successfully developed, the sales and profitability of the company may be adversely affected in future periods. Additionally, the value of the acquired intangible assets may become impaired. No assurance can be given that the underlying assumptions used to estimate expected project sales, development costs or profitability, or the events associated with such projects, will transpire as estimated.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INVENTORY</w:t>
      </w:r>
    </w:p>
    <w:p>
      <w:pPr>
        <w:spacing w:after="0" w:line="1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At each reporting period we review our inventories for excess or obsolescence and write-down obsolete or otherwise unmarketable inventory to its estimated net realizable value. The determination of obsolete or excess inventory requires management to make estimates based on assumptions about the future demand of our products, product expiration dates, estimated future sales and our general future plans. If customer demand subsequently differs from our forecasts, we may be required to record additional charges for excess inventory.</w:t>
      </w:r>
    </w:p>
    <w:p>
      <w:pPr>
        <w:spacing w:after="0" w:line="6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Although we believe that the assumptions we use in estimating inventory write-downs are reasonable, no assurance can be given that significant future changes in these assumptions or changes in future events and market conditions could result in different estimates.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IMPAIRMENT AND AMORTIZATION OF LONG-LIVED ASSETS</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Long-lived assets to be held and used include property, plant and equipment as well as intangible assets, including IPR&amp;D and trademarks. Property, plant and equipment are reviewed for impairment whenever events or changes in circumstances indicate that the carrying amount of the assets may not be recoverable based on an estimate of undiscounted future cash flow resulting from the use of the assets and eventual disposition.</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review our intangible assets with indefinite lives for impairment annually, as of October 31, and whenever events or changes in circumstances indicate that the carrying value of an asset may not be recoverable. When performing our impairment assessment, we assess qualitative, and, if necessary, quantitative factors, and calculate the fair value using the same methodology as described above under </w:t>
      </w:r>
      <w:r>
        <w:rPr>
          <w:rFonts w:ascii="Arial" w:cs="Arial" w:eastAsia="Arial" w:hAnsi="Arial"/>
          <w:sz w:val="18"/>
          <w:szCs w:val="18"/>
          <w:i w:val="1"/>
          <w:iCs w:val="1"/>
          <w:color w:val="auto"/>
        </w:rPr>
        <w:t>Acquired Intangible Assets, including IPR&amp;D</w:t>
      </w:r>
      <w:r>
        <w:rPr>
          <w:rFonts w:ascii="Arial" w:cs="Arial" w:eastAsia="Arial" w:hAnsi="Arial"/>
          <w:sz w:val="18"/>
          <w:szCs w:val="18"/>
          <w:color w:val="auto"/>
        </w:rPr>
        <w:t>. If the carrying value of our acquired IPR&amp;D exceeds its fair value, then the intangible asset is</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down to its fair value. Changes in estimates and assumptions used in determining the fair value of our acquired IPR&amp;D could result in an impairment. Acquired IPR&amp;D impairments are recorded within amortization and impairment of acquired intangible assets in our consolidated statements of income.</w:t>
      </w:r>
    </w:p>
    <w:p>
      <w:pPr>
        <w:spacing w:after="0" w:line="7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Based on our most recent impairment assessment we incurred impairment charges of approximately $7.9 million for the year ended December 31, 2025, related to the impairment of compounds acquired from HI-Bio. For the year ended December 31, 2024, we incurred impairment charges of approximately $60.2 million related to the impairment of other clinical programs we acquired from Reata and the termination of Samsung Bioepis' commercialization rights. For additional information on our impairments, please read </w:t>
      </w:r>
      <w:r>
        <w:rPr>
          <w:rFonts w:ascii="Arial" w:cs="Arial" w:eastAsia="Arial" w:hAnsi="Arial"/>
          <w:sz w:val="18"/>
          <w:szCs w:val="18"/>
          <w:i w:val="1"/>
          <w:iCs w:val="1"/>
          <w:color w:val="auto"/>
        </w:rPr>
        <w:t>Note 7,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Assets and Goodwill</w:t>
      </w:r>
      <w:r>
        <w:rPr>
          <w:rFonts w:ascii="Arial" w:cs="Arial" w:eastAsia="Arial" w:hAnsi="Arial"/>
          <w:sz w:val="18"/>
          <w:szCs w:val="18"/>
          <w:color w:val="auto"/>
        </w:rPr>
        <w:t>, to our consolidated financial statements included in this report.</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most significant intangible assets relate to SKYCLARYS and TYSABRI. We amortize the intangible assets related to our marketed products using the economic consumption method, which is based on revenue generated from the products underlying the related intangible assets. An analysis of the anticipated lifetime revenue of our marketed products is performed annually during our long-range planning cycle and whenever events or changes in circumstances would significantly affect anticipated lifetime revenue of the relevant products.</w:t>
      </w:r>
    </w:p>
    <w:p>
      <w:pPr>
        <w:spacing w:after="0" w:line="6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 xml:space="preserve">For additional information on the impairment charges related to our long-lived assets during 2025, 2024 and 2023, please read </w:t>
      </w:r>
      <w:r>
        <w:rPr>
          <w:rFonts w:ascii="Arial" w:cs="Arial" w:eastAsia="Arial" w:hAnsi="Arial"/>
          <w:sz w:val="18"/>
          <w:szCs w:val="18"/>
          <w:i w:val="1"/>
          <w:iCs w:val="1"/>
          <w:color w:val="auto"/>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and Goodwill, </w:t>
      </w:r>
      <w:r>
        <w:rPr>
          <w:rFonts w:ascii="Arial" w:cs="Arial" w:eastAsia="Arial" w:hAnsi="Arial"/>
          <w:sz w:val="18"/>
          <w:szCs w:val="18"/>
          <w:color w:val="auto"/>
        </w:rPr>
        <w:t>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CONTINGENT CONSIDERATION</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 contingent consideration resulting from a business combination at its fair value on the acquisition date. Each reporting period thereafter, we revalue the remaining obligations and record changes in the fair value as an adjustment to (gain) loss on fair value remeasurement of contingent consideration in our consolidated statements of income.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 and reserves associated with products upon commercialization, changes in the assumed achievement or timing of any cumulative sales-based and development milestones, changes in the probability of certain clinical events and changes in the assumed probability associated with regulatory approval. These fair value measurements represent Level 3 measurements as they are based on significant inputs that are not observable in the market.</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Significant judgment is employed in determining the appropriateness of these assumptions as of the acquisition date and for each subsequent period. Accordingly, changes in assumptions described above, could have a material impact on the amount of contingent consideration expense we record in any given period.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INCOME TAXES</w:t>
      </w:r>
    </w:p>
    <w:p>
      <w:pPr>
        <w:spacing w:after="0" w:line="10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Upon our election in the fourth quarter of 2018 to record deferred taxes for GILTI, we have included amounts related to GILTI taxes within temporary difference.</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In the event that actual results differ from our estimates, we adjust our estimates in future periods and we may need to establish a valuation allowance, which could materially impact our consolidated financial position and results of operations.</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account for uncertain tax positions using a “more likely than 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 likely than 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(benefit) expense in our consolidated statements of income.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0070C0"/>
        </w:rPr>
        <w:t>BUSINESS COMBINATIONS</w:t>
      </w:r>
    </w:p>
    <w:p>
      <w:pPr>
        <w:spacing w:after="0" w:line="1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Business combinations are recorded using the acquisition method of accounting. The results of operations of the acquired company are included in our results of operations beginning on the acquisition date, and assets acquired and liabilities assumed are recognized on the acquisition date at their respective fair values. Any excess of consideration transferred over the net carrying value of the assets acquired and liabilities assumed as of the acquisition date is recognized as goodwill.</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use the multi-period excess earnings method, which is a form of the income approach, utilizing post-tax cash flow and discount rates in estimating the fair value of identifiable intangible assets acquired when allocating the purchase consideration paid for the acquisition. The estimates of the fair value of identifiable intangible assets involve significant judgment by management and include assumptions with measurement uncertainty, such as the amount and timing of projected cash flow, long-term sales forecasts, discount rates and additionally for IPR&amp;D intangible assets, the timing and probability of regulatory and commercial success.</w:t>
      </w:r>
    </w:p>
    <w:p>
      <w:pPr>
        <w:spacing w:after="0" w:line="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use the net realizable value method in estimating the fair value of acquired finished goods and work-in-process inventory. Raw materials acquired are valued using the replacement cost method.</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Transaction and restructuring costs related to business combinations are expensed as incurred. The fair value of assets acquired and liabilities assumed in certain cases may be subject to revision based on the final determination of fair value during a period of time not to exceed 12 months from the acquisition date. If we determine the assets acquired do not meet the definition of a business, the transaction will be accounted for as an asset acquisition rather than a business combination.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 xml:space="preserve">For additional information on our acquisitions,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to our consolidated financial statements included in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28"/>
          <w:szCs w:val="28"/>
          <w:color w:val="auto"/>
        </w:rPr>
        <w:t>ITEM 7A. QUANTITATIVE AND QUALITATIVE DISCLOSURES ABOUT MARKET RISK</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subject to certain risks that may affect our results of operations, cash flow and fair values of assets and liabilities, including volatility in foreign currency exchange rates, interest rate movements and equity price exposure as well as changes in economic conditions in the markets in which we operate as a result of the conflict between Russia and Ukraine and the military conflict in the Middle East. We manage the impact of foreign currency exchange rates and interest rates through various financial instruments, including derivative instruments such as foreign currency forward contracts, foreign currency options,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FOREIGN CURRENCY EXCHANGE RISK</w:t>
      </w:r>
    </w:p>
    <w:p>
      <w:pPr>
        <w:spacing w:after="0" w:line="106"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Swiss franc and the Polish złoty.</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 will increase when reported in U.S. dollars.</w:t>
      </w:r>
    </w:p>
    <w:p>
      <w:pPr>
        <w:spacing w:after="0" w:line="7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have established revenue and operating expense hedging and balance sheet risk management programs to protect against volatility of future foreign currency cash flow and changes in fair value caused by volatility in foreign currency exchange rates.</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December 31, 2025, and is not expected to have a material impact on our results of operations or financial position in the future.</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REVENUE AND OPERATING EXPENSE HEDGING PROGRAM</w:t>
      </w:r>
    </w:p>
    <w:p>
      <w:pPr>
        <w:spacing w:after="0" w:line="119"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 xml:space="preserve">Our foreign currency hedging program is designed to mitigate, over time, a portion of the impact resulting from volatility in exchange rate changes on revenue and operating expense. We use foreign currency forward contracts and foreign currency options to manage foreign currency risk, with the majority of our forward contracts and options used to hedge certain forecasted revenue and operating expense transactions denominated in foreign currencies in the next 21 months. We do not engage in currency speculation. For a more detailed disclosure of our revenue and operating expense hedging program, please read </w:t>
      </w:r>
      <w:r>
        <w:rPr>
          <w:rFonts w:ascii="Arial" w:cs="Arial" w:eastAsia="Arial" w:hAnsi="Arial"/>
          <w:sz w:val="18"/>
          <w:szCs w:val="18"/>
          <w:i w:val="1"/>
          <w:iCs w:val="1"/>
          <w:color w:val="auto"/>
        </w:rPr>
        <w:t>Note 10, Derivative Instruments,</w:t>
      </w:r>
      <w:r>
        <w:rPr>
          <w:rFonts w:ascii="Arial" w:cs="Arial" w:eastAsia="Arial" w:hAnsi="Arial"/>
          <w:sz w:val="18"/>
          <w:szCs w:val="18"/>
          <w:color w:val="auto"/>
        </w:rPr>
        <w:t xml:space="preserve"> to our consolidated financial statements included in this report.</w:t>
      </w:r>
    </w:p>
    <w:p>
      <w:pPr>
        <w:spacing w:after="0" w:line="74"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consolidated statements of cash flow.</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BALANCE SHEET RISK MANAGEMENT HEDGING PROGRAM</w:t>
      </w:r>
    </w:p>
    <w:p>
      <w:pPr>
        <w:spacing w:after="0" w:line="1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currency forward contracts. We have not elected hedge accounting for the balance sheet related items. The cash flow from these contracts are reported as operating activities in our consolidated statements of cash flow.</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our revenue, operating expense and balance sheet hedging programs. As of December 31, 2025 and 2024, a hypothetical adverse 10.0% movement in foreign currency exchange rates compared to the U.S. dollar across all maturities would result in a hypothetical decrease in the fair value of forward contracts of approximately $278.0 million and $191.7 million, respectively. The estimated fair value change was determined by measuring the impact of the hypothetical exchange rate movement on outstanding forward contracts. Our use of this methodology to quantify the market risk of such instruments is subject to assumptions and the actual impact could be significantly different. The quantitative information about market risk is limited because it does not take into account all foreign currency operating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CREDIT RISK</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7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We operate in certain countries where weakness in economic conditions, including the effects of the conflict between Russia and Ukraine and the military conflict in the Middle East,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allowance for doubtful accounts was adequate as of December 31, 2025 and 2024.</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auto"/>
        </w:rPr>
        <w:t>ITEM 8.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8 is contained on pages F-1 through F-79 of this report and is incorporated herein by reference.</w:t>
      </w:r>
    </w:p>
    <w:p>
      <w:pPr>
        <w:spacing w:after="0" w:line="252" w:lineRule="exact"/>
        <w:rPr>
          <w:sz w:val="20"/>
          <w:szCs w:val="20"/>
          <w:color w:val="auto"/>
        </w:rPr>
      </w:pPr>
    </w:p>
    <w:p>
      <w:pPr>
        <w:ind w:right="1500"/>
        <w:spacing w:after="0" w:line="286" w:lineRule="auto"/>
        <w:rPr>
          <w:sz w:val="20"/>
          <w:szCs w:val="20"/>
          <w:color w:val="auto"/>
        </w:rPr>
      </w:pPr>
      <w:r>
        <w:rPr>
          <w:rFonts w:ascii="Arial" w:cs="Arial" w:eastAsia="Arial" w:hAnsi="Arial"/>
          <w:sz w:val="29"/>
          <w:szCs w:val="29"/>
          <w:color w:val="auto"/>
        </w:rPr>
        <w:t>ITEM 9. CHANGES IN AND DISAGREEMENTS WITH ACCOUNTANTS ON ACCOUNTING AND FINANCIAL DISCLOSURE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29"/>
          <w:szCs w:val="29"/>
          <w:color w:val="auto"/>
        </w:rPr>
        <w:t>ITEM 9A.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0070C0"/>
        </w:rPr>
        <w:t>DISCLOSURE CONTROLS AND PROCEDURES AND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CONTROLS AND PROCEDURES</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or 15d-15(e) under the Securities Exchange Act of 1934, as amended), as of December 31, 2025. Based upon that evaluation, our principal executive officer and principal financial officer concluded that, as of the end of the period covered by this report, our disclosure controls and procedures are effective in ensuring that:</w:t>
      </w:r>
    </w:p>
    <w:p>
      <w:pPr>
        <w:spacing w:after="0" w:line="58" w:lineRule="exact"/>
        <w:rPr>
          <w:sz w:val="20"/>
          <w:szCs w:val="20"/>
          <w:color w:val="auto"/>
        </w:rPr>
      </w:pPr>
    </w:p>
    <w:p>
      <w:pPr>
        <w:ind w:left="660" w:right="100" w:hanging="247"/>
        <w:spacing w:after="0" w:line="268" w:lineRule="auto"/>
        <w:tabs>
          <w:tab w:leader="none" w:pos="68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required to be disclosed by us in the reports that we file or submit under the Securities Exchange Act is recorded, processed, summarized and reported within the time periods specified in the U.S. Securities and Exchange Commission's rules and forms; and</w:t>
      </w:r>
    </w:p>
    <w:p>
      <w:pPr>
        <w:spacing w:after="0" w:line="35" w:lineRule="exact"/>
        <w:rPr>
          <w:rFonts w:ascii="Arial" w:cs="Arial" w:eastAsia="Arial" w:hAnsi="Arial"/>
          <w:sz w:val="18"/>
          <w:szCs w:val="18"/>
          <w:color w:val="auto"/>
        </w:rPr>
      </w:pPr>
    </w:p>
    <w:p>
      <w:pPr>
        <w:ind w:left="660" w:right="520" w:hanging="247"/>
        <w:spacing w:after="0" w:line="287" w:lineRule="auto"/>
        <w:tabs>
          <w:tab w:leader="none" w:pos="687"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CHANGES IN INTERNAL CONTROL OVER FINANCIAL REPORTING</w:t>
      </w:r>
    </w:p>
    <w:p>
      <w:pPr>
        <w:spacing w:after="0" w:line="10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MANAGEMENT'S ANNUAL REPORT ON INTERNAL CONTROL OVER FINANCIAL REPORTING</w:t>
      </w:r>
    </w:p>
    <w:p>
      <w:pPr>
        <w:spacing w:after="0" w:line="1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74" w:lineRule="exact"/>
        <w:rPr>
          <w:sz w:val="20"/>
          <w:szCs w:val="20"/>
          <w:color w:val="auto"/>
        </w:rPr>
      </w:pPr>
    </w:p>
    <w:p>
      <w:pPr>
        <w:ind w:left="420" w:right="420" w:hanging="331"/>
        <w:spacing w:after="0" w:line="287" w:lineRule="auto"/>
        <w:tabs>
          <w:tab w:leader="none" w:pos="3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44" w:lineRule="exact"/>
        <w:rPr>
          <w:rFonts w:ascii="Arial" w:cs="Arial" w:eastAsia="Arial" w:hAnsi="Arial"/>
          <w:sz w:val="18"/>
          <w:szCs w:val="18"/>
          <w:color w:val="auto"/>
        </w:rPr>
      </w:pPr>
    </w:p>
    <w:p>
      <w:pPr>
        <w:ind w:left="420" w:right="20" w:hanging="331"/>
        <w:spacing w:after="0" w:line="268" w:lineRule="auto"/>
        <w:tabs>
          <w:tab w:leader="none" w:pos="3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62" w:lineRule="exact"/>
        <w:rPr>
          <w:rFonts w:ascii="Arial" w:cs="Arial" w:eastAsia="Arial" w:hAnsi="Arial"/>
          <w:sz w:val="18"/>
          <w:szCs w:val="18"/>
          <w:color w:val="auto"/>
        </w:rPr>
      </w:pPr>
    </w:p>
    <w:p>
      <w:pPr>
        <w:ind w:left="420" w:right="80" w:hanging="331"/>
        <w:spacing w:after="0" w:line="287" w:lineRule="auto"/>
        <w:tabs>
          <w:tab w:leader="none" w:pos="3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2025. In making this assessment, management used the criteria set forth by the Committee of Sponsoring Organizations of the Treadway Commission (COSO) in its 2013 Internal Control — Integrated Framework.</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Based on our assessment, our management has concluded that, as of December 31, 2025, our internal control over financial reporting is effective based on those criteria.</w:t>
      </w:r>
    </w:p>
    <w:p>
      <w:pPr>
        <w:spacing w:after="0" w:line="45" w:lineRule="exact"/>
        <w:rPr>
          <w:sz w:val="20"/>
          <w:szCs w:val="20"/>
          <w:color w:val="auto"/>
        </w:rPr>
      </w:pPr>
    </w:p>
    <w:p>
      <w:pPr>
        <w:ind w:right="320"/>
        <w:spacing w:after="0" w:line="318" w:lineRule="auto"/>
        <w:rPr>
          <w:sz w:val="20"/>
          <w:szCs w:val="20"/>
          <w:color w:val="auto"/>
        </w:rPr>
      </w:pPr>
      <w:r>
        <w:rPr>
          <w:rFonts w:ascii="Arial" w:cs="Arial" w:eastAsia="Arial" w:hAnsi="Arial"/>
          <w:sz w:val="17"/>
          <w:szCs w:val="17"/>
          <w:color w:val="auto"/>
        </w:rPr>
        <w:t>The effectiveness of our internal control over financial reporting as of December 31, 2025, has been audited by PricewaterhouseCoopers LLP, an independent registered public accounting firm, as stated in their attestation report, which is included herein.</w:t>
      </w:r>
    </w:p>
    <w:p>
      <w:pPr>
        <w:spacing w:after="0" w:line="157" w:lineRule="exact"/>
        <w:rPr>
          <w:sz w:val="20"/>
          <w:szCs w:val="20"/>
          <w:color w:val="auto"/>
        </w:rPr>
      </w:pPr>
    </w:p>
    <w:p>
      <w:pPr>
        <w:spacing w:after="0"/>
        <w:rPr>
          <w:sz w:val="20"/>
          <w:szCs w:val="20"/>
          <w:color w:val="auto"/>
        </w:rPr>
      </w:pPr>
      <w:r>
        <w:rPr>
          <w:rFonts w:ascii="Arial" w:cs="Arial" w:eastAsia="Arial" w:hAnsi="Arial"/>
          <w:sz w:val="29"/>
          <w:szCs w:val="29"/>
          <w:color w:val="auto"/>
        </w:rPr>
        <w:t>ITEM 9B. OTHER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0070C0"/>
        </w:rPr>
        <w:t>TRADING ARRANGEMENTS</w:t>
      </w:r>
    </w:p>
    <w:p>
      <w:pPr>
        <w:spacing w:after="0" w:line="1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From time to time, our officers (as defined in Rule 16a-1(f)) and directors may enter into, amend or terminate Rule 10b5-1 or non-Rule 10b5-1 trading arrangements (as each such term is defined in Item 408 of Regulation S-K). During the fourth quarter of 2025 there were no trading arrangements for the purchase or sale of our securities entered into, amended or terminated by our officers and directors.</w:t>
      </w:r>
    </w:p>
    <w:p>
      <w:pPr>
        <w:spacing w:after="0" w:line="184" w:lineRule="exact"/>
        <w:rPr>
          <w:sz w:val="20"/>
          <w:szCs w:val="20"/>
          <w:color w:val="auto"/>
        </w:rPr>
      </w:pPr>
    </w:p>
    <w:p>
      <w:pPr>
        <w:ind w:right="280"/>
        <w:spacing w:after="0" w:line="286" w:lineRule="auto"/>
        <w:rPr>
          <w:sz w:val="20"/>
          <w:szCs w:val="20"/>
          <w:color w:val="auto"/>
        </w:rPr>
      </w:pPr>
      <w:r>
        <w:rPr>
          <w:rFonts w:ascii="Arial" w:cs="Arial" w:eastAsia="Arial" w:hAnsi="Arial"/>
          <w:sz w:val="29"/>
          <w:szCs w:val="29"/>
          <w:color w:val="auto"/>
        </w:rPr>
        <w:t>ITEM 9C. DISCLOSURE REGARDING FOREIGN JURISDICTIONS THAT PREVENT INSPECTIONS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9"/>
          <w:szCs w:val="29"/>
          <w:color w:val="00587F"/>
        </w:rPr>
        <w:t>PART III</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color w:val="auto"/>
        </w:rPr>
        <w:t>ITEM 10. DIRECTORS, EXECUTIVE OFFICERS AND CORPORATE GOVERNANCE</w:t>
      </w:r>
    </w:p>
    <w:p>
      <w:pPr>
        <w:spacing w:after="0" w:line="12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 xml:space="preserve">The information concerning our executive officers is set forth under the heading </w:t>
      </w:r>
      <w:r>
        <w:rPr>
          <w:rFonts w:ascii="Arial" w:cs="Arial" w:eastAsia="Arial" w:hAnsi="Arial"/>
          <w:sz w:val="18"/>
          <w:szCs w:val="18"/>
          <w:i w:val="1"/>
          <w:iCs w:val="1"/>
          <w:color w:val="auto"/>
        </w:rPr>
        <w:t>Information about our Executive Officers</w:t>
      </w:r>
      <w:r>
        <w:rPr>
          <w:rFonts w:ascii="Arial" w:cs="Arial" w:eastAsia="Arial" w:hAnsi="Arial"/>
          <w:sz w:val="18"/>
          <w:szCs w:val="18"/>
          <w:color w:val="auto"/>
        </w:rPr>
        <w:t xml:space="preserve"> in Item 1 of this report.</w:t>
      </w:r>
    </w:p>
    <w:p>
      <w:pPr>
        <w:spacing w:after="0" w:line="4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0070C0"/>
        </w:rPr>
        <w:t xml:space="preserve">Code of Business Conduct and Ethics: </w:t>
      </w:r>
      <w:r>
        <w:rPr>
          <w:rFonts w:ascii="Arial" w:cs="Arial" w:eastAsia="Arial" w:hAnsi="Arial"/>
          <w:sz w:val="18"/>
          <w:szCs w:val="18"/>
          <w:color w:val="000000"/>
        </w:rPr>
        <w:t>The text of our code of business conduct, which includes the code of ethics that applies to our</w:t>
      </w:r>
      <w:r>
        <w:rPr>
          <w:rFonts w:ascii="Arial" w:cs="Arial" w:eastAsia="Arial" w:hAnsi="Arial"/>
          <w:sz w:val="18"/>
          <w:szCs w:val="18"/>
          <w:color w:val="0070C0"/>
        </w:rPr>
        <w:t xml:space="preserve"> </w:t>
      </w:r>
      <w:r>
        <w:rPr>
          <w:rFonts w:ascii="Arial" w:cs="Arial" w:eastAsia="Arial" w:hAnsi="Arial"/>
          <w:sz w:val="18"/>
          <w:szCs w:val="18"/>
          <w:color w:val="000000"/>
        </w:rPr>
        <w:t>principal executive officer, principal financial officer, principal accounting officer or controller, and persons performing similar functions, is posted on our website, www.biogen.com, under the “</w:t>
      </w:r>
      <w:r>
        <w:rPr>
          <w:rFonts w:ascii="Arial" w:cs="Arial" w:eastAsia="Arial" w:hAnsi="Arial"/>
          <w:sz w:val="18"/>
          <w:szCs w:val="18"/>
          <w:i w:val="1"/>
          <w:iCs w:val="1"/>
          <w:color w:val="000000"/>
        </w:rPr>
        <w:t>Corporate Governance</w:t>
      </w:r>
      <w:r>
        <w:rPr>
          <w:rFonts w:ascii="Arial" w:cs="Arial" w:eastAsia="Arial" w:hAnsi="Arial"/>
          <w:sz w:val="18"/>
          <w:szCs w:val="18"/>
          <w:color w:val="000000"/>
        </w:rPr>
        <w:t>” subsection of the “</w:t>
      </w:r>
      <w:r>
        <w:rPr>
          <w:rFonts w:ascii="Arial" w:cs="Arial" w:eastAsia="Arial" w:hAnsi="Arial"/>
          <w:sz w:val="18"/>
          <w:szCs w:val="18"/>
          <w:i w:val="1"/>
          <w:iCs w:val="1"/>
          <w:color w:val="000000"/>
        </w:rPr>
        <w:t>Investors</w:t>
      </w:r>
      <w:r>
        <w:rPr>
          <w:rFonts w:ascii="Arial" w:cs="Arial" w:eastAsia="Arial" w:hAnsi="Arial"/>
          <w:sz w:val="18"/>
          <w:szCs w:val="18"/>
          <w:color w:val="000000"/>
        </w:rPr>
        <w:t>” section of the site. We intend to make all required disclosures regarding any amendments to, or waivers from, provisions of our code of business conduct at the same location of our website.</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0070C0"/>
        </w:rPr>
        <w:t xml:space="preserve">Insider Trading Policy: </w:t>
      </w:r>
      <w:r>
        <w:rPr>
          <w:rFonts w:ascii="Arial" w:cs="Arial" w:eastAsia="Arial" w:hAnsi="Arial"/>
          <w:sz w:val="18"/>
          <w:szCs w:val="18"/>
          <w:color w:val="000000"/>
        </w:rPr>
        <w:t>We have adopted an insider trading policy governing the purchase, sale and/or other dispositions of our securities and</w:t>
      </w:r>
      <w:r>
        <w:rPr>
          <w:rFonts w:ascii="Arial" w:cs="Arial" w:eastAsia="Arial" w:hAnsi="Arial"/>
          <w:sz w:val="18"/>
          <w:szCs w:val="18"/>
          <w:color w:val="0070C0"/>
        </w:rPr>
        <w:t xml:space="preserve"> </w:t>
      </w:r>
      <w:r>
        <w:rPr>
          <w:rFonts w:ascii="Arial" w:cs="Arial" w:eastAsia="Arial" w:hAnsi="Arial"/>
          <w:sz w:val="18"/>
          <w:szCs w:val="18"/>
          <w:color w:val="000000"/>
        </w:rPr>
        <w:t>those of public companies in which we do business with by our directors, executive officers, employees and temporary staff, that we believe is reasonably designed to promote compliance with insider trading laws, rules and regulations and applicable NASDAQ listing standards. A copy of our insider trading policy is filed as Exhibit 19.1 to this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the remainder of this item is incorporated by reference from the discussion responsive thereto in the sections entitled</w:t>
      </w:r>
    </w:p>
    <w:p>
      <w:pPr>
        <w:spacing w:after="0" w:line="2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Proposal 1 - Election of Directors,” “Corporate Governance”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Miscellaneous - Stockholder Proposals</w:t>
      </w:r>
      <w:r>
        <w:rPr>
          <w:rFonts w:ascii="Arial" w:cs="Arial" w:eastAsia="Arial" w:hAnsi="Arial"/>
          <w:sz w:val="18"/>
          <w:szCs w:val="18"/>
          <w:color w:val="auto"/>
        </w:rPr>
        <w:t>” contained in the proxy statement for our 2026 annual meeting of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color w:val="auto"/>
        </w:rPr>
        <w:t>ITEM 11. EXECUTIVE COMPENSATION</w:t>
      </w:r>
    </w:p>
    <w:p>
      <w:pPr>
        <w:spacing w:after="0" w:line="1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sections entitled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Tables,</w:t>
      </w:r>
      <w:r>
        <w:rPr>
          <w:rFonts w:ascii="Arial" w:cs="Arial" w:eastAsia="Arial" w:hAnsi="Arial"/>
          <w:sz w:val="18"/>
          <w:szCs w:val="18"/>
          <w:color w:val="auto"/>
        </w:rPr>
        <w:t>”</w:t>
      </w:r>
      <w:r>
        <w:rPr>
          <w:rFonts w:ascii="Arial" w:cs="Arial" w:eastAsia="Arial" w:hAnsi="Arial"/>
          <w:sz w:val="18"/>
          <w:szCs w:val="18"/>
          <w:i w:val="1"/>
          <w:iCs w:val="1"/>
          <w:color w:val="auto"/>
        </w:rPr>
        <w:t xml:space="preserve"> "Compensation Discussion and Analysis" </w:t>
      </w:r>
      <w:r>
        <w:rPr>
          <w:rFonts w:ascii="Arial" w:cs="Arial" w:eastAsia="Arial" w:hAnsi="Arial"/>
          <w:sz w:val="18"/>
          <w:szCs w:val="18"/>
          <w:color w:val="auto"/>
        </w:rPr>
        <w:t>and</w:t>
      </w:r>
      <w:r>
        <w:rPr>
          <w:rFonts w:ascii="Arial" w:cs="Arial" w:eastAsia="Arial" w:hAnsi="Arial"/>
          <w:sz w:val="18"/>
          <w:szCs w:val="18"/>
          <w:i w:val="1"/>
          <w:iCs w:val="1"/>
          <w:color w:val="auto"/>
        </w:rPr>
        <w:t xml:space="preserve"> “Corporate Governance” </w:t>
      </w:r>
      <w:r>
        <w:rPr>
          <w:rFonts w:ascii="Arial" w:cs="Arial" w:eastAsia="Arial" w:hAnsi="Arial"/>
          <w:sz w:val="18"/>
          <w:szCs w:val="18"/>
          <w:color w:val="auto"/>
        </w:rPr>
        <w:t>contained in the proxy statement for our 2026</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w:t>
      </w:r>
    </w:p>
    <w:p>
      <w:pPr>
        <w:spacing w:after="0" w:line="198" w:lineRule="exact"/>
        <w:rPr>
          <w:sz w:val="20"/>
          <w:szCs w:val="20"/>
          <w:color w:val="auto"/>
        </w:rPr>
      </w:pPr>
    </w:p>
    <w:p>
      <w:pPr>
        <w:ind w:right="1040"/>
        <w:spacing w:after="0" w:line="286" w:lineRule="auto"/>
        <w:rPr>
          <w:sz w:val="20"/>
          <w:szCs w:val="20"/>
          <w:color w:val="auto"/>
        </w:rPr>
      </w:pPr>
      <w:r>
        <w:rPr>
          <w:rFonts w:ascii="Arial" w:cs="Arial" w:eastAsia="Arial" w:hAnsi="Arial"/>
          <w:sz w:val="29"/>
          <w:szCs w:val="29"/>
          <w:color w:val="auto"/>
        </w:rPr>
        <w:t>ITEM 12. SECURITY OWNERSHIP OF CERTAIN BENEFICIAL OWNERS AND MANAGEMENT AND RELATED STOCKHOLDER MATTERS</w:t>
      </w:r>
    </w:p>
    <w:p>
      <w:pPr>
        <w:spacing w:after="0" w:line="1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The response to this item is incorporated by reference from the discussion responsive thereto in the sections entitled </w:t>
      </w:r>
      <w:r>
        <w:rPr>
          <w:rFonts w:ascii="Arial" w:cs="Arial" w:eastAsia="Arial" w:hAnsi="Arial"/>
          <w:sz w:val="18"/>
          <w:szCs w:val="18"/>
          <w:i w:val="1"/>
          <w:iCs w:val="1"/>
          <w:color w:val="auto"/>
        </w:rPr>
        <w:t>“Stock Ownership”</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“Equity Compensation Plan Information” </w:t>
      </w:r>
      <w:r>
        <w:rPr>
          <w:rFonts w:ascii="Arial" w:cs="Arial" w:eastAsia="Arial" w:hAnsi="Arial"/>
          <w:sz w:val="18"/>
          <w:szCs w:val="18"/>
          <w:color w:val="auto"/>
        </w:rPr>
        <w:t>contained in the proxy statement for our 2026 annual meeting of stockholders.</w:t>
      </w:r>
    </w:p>
    <w:p>
      <w:pPr>
        <w:spacing w:after="0" w:line="180" w:lineRule="exact"/>
        <w:rPr>
          <w:sz w:val="20"/>
          <w:szCs w:val="20"/>
          <w:color w:val="auto"/>
        </w:rPr>
      </w:pPr>
    </w:p>
    <w:p>
      <w:pPr>
        <w:ind w:right="1180"/>
        <w:spacing w:after="0" w:line="286" w:lineRule="auto"/>
        <w:rPr>
          <w:sz w:val="20"/>
          <w:szCs w:val="20"/>
          <w:color w:val="auto"/>
        </w:rPr>
      </w:pPr>
      <w:r>
        <w:rPr>
          <w:rFonts w:ascii="Arial" w:cs="Arial" w:eastAsia="Arial" w:hAnsi="Arial"/>
          <w:sz w:val="29"/>
          <w:szCs w:val="29"/>
          <w:color w:val="auto"/>
        </w:rPr>
        <w:t>ITEM 13. CERTAIN RELATIONSHIPS AND RELATED TRANSACTIONS, AND DIRECTOR INDEPENDENCE</w:t>
      </w:r>
    </w:p>
    <w:p>
      <w:pPr>
        <w:spacing w:after="0" w:line="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sections entitled “</w:t>
      </w:r>
      <w:r>
        <w:rPr>
          <w:rFonts w:ascii="Arial" w:cs="Arial" w:eastAsia="Arial" w:hAnsi="Arial"/>
          <w:sz w:val="18"/>
          <w:szCs w:val="18"/>
          <w:i w:val="1"/>
          <w:iCs w:val="1"/>
          <w:color w:val="auto"/>
        </w:rPr>
        <w:t>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Person Transactions</w:t>
      </w:r>
      <w:r>
        <w:rPr>
          <w:rFonts w:ascii="Arial" w:cs="Arial" w:eastAsia="Arial" w:hAnsi="Arial"/>
          <w:sz w:val="18"/>
          <w:szCs w:val="18"/>
          <w:color w:val="auto"/>
        </w:rPr>
        <w:t>” and</w:t>
      </w:r>
      <w:r>
        <w:rPr>
          <w:rFonts w:ascii="Arial" w:cs="Arial" w:eastAsia="Arial" w:hAnsi="Arial"/>
          <w:sz w:val="18"/>
          <w:szCs w:val="18"/>
          <w:i w:val="1"/>
          <w:iCs w:val="1"/>
          <w:color w:val="auto"/>
        </w:rPr>
        <w:t xml:space="preserve"> “Corporate Governance</w:t>
      </w:r>
      <w:r>
        <w:rPr>
          <w:rFonts w:ascii="Arial" w:cs="Arial" w:eastAsia="Arial" w:hAnsi="Arial"/>
          <w:sz w:val="18"/>
          <w:szCs w:val="18"/>
          <w:color w:val="auto"/>
        </w:rPr>
        <w:t>” contained in the proxy statement for our 2026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color w:val="auto"/>
        </w:rPr>
        <w:t>ITEM 14. PRINCIPAL ACCOUNTANT FEES AND SERVICES</w:t>
      </w:r>
    </w:p>
    <w:p>
      <w:pPr>
        <w:spacing w:after="0" w:line="1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 entitled “</w:t>
      </w:r>
      <w:r>
        <w:rPr>
          <w:rFonts w:ascii="Arial" w:cs="Arial" w:eastAsia="Arial" w:hAnsi="Arial"/>
          <w:sz w:val="18"/>
          <w:szCs w:val="18"/>
          <w:i w:val="1"/>
          <w:iCs w:val="1"/>
          <w:color w:val="auto"/>
        </w:rPr>
        <w:t>Proposal 2 - Ratification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the Selection of our Independent Registered Public Accounting Firm</w:t>
      </w:r>
      <w:r>
        <w:rPr>
          <w:rFonts w:ascii="Arial" w:cs="Arial" w:eastAsia="Arial" w:hAnsi="Arial"/>
          <w:sz w:val="18"/>
          <w:szCs w:val="18"/>
          <w:color w:val="auto"/>
        </w:rPr>
        <w:t>” contained in the proxy statement for our 2026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81"/>
        </w:trPr>
        <w:tc>
          <w:tcPr>
            <w:tcW w:w="9800" w:type="dxa"/>
            <w:vAlign w:val="bottom"/>
            <w:gridSpan w:val="2"/>
          </w:tcPr>
          <w:p>
            <w:pPr>
              <w:ind w:left="5080"/>
              <w:spacing w:after="0"/>
              <w:rPr>
                <w:sz w:val="20"/>
                <w:szCs w:val="20"/>
                <w:color w:val="auto"/>
              </w:rPr>
            </w:pPr>
            <w:r>
              <w:rPr>
                <w:rFonts w:ascii="Arial" w:cs="Arial" w:eastAsia="Arial" w:hAnsi="Arial"/>
                <w:sz w:val="29"/>
                <w:szCs w:val="29"/>
                <w:color w:val="00587F"/>
              </w:rPr>
              <w:t>PART IV</w:t>
            </w:r>
          </w:p>
        </w:tc>
        <w:tc>
          <w:tcPr>
            <w:tcW w:w="1400" w:type="dxa"/>
            <w:vAlign w:val="bottom"/>
          </w:tcPr>
          <w:p>
            <w:pPr>
              <w:spacing w:after="0"/>
              <w:rPr>
                <w:sz w:val="24"/>
                <w:szCs w:val="24"/>
                <w:color w:val="auto"/>
              </w:rPr>
            </w:pPr>
          </w:p>
        </w:tc>
      </w:tr>
      <w:tr>
        <w:trPr>
          <w:trHeight w:val="594"/>
        </w:trPr>
        <w:tc>
          <w:tcPr>
            <w:tcW w:w="9800" w:type="dxa"/>
            <w:vAlign w:val="bottom"/>
            <w:gridSpan w:val="2"/>
          </w:tcPr>
          <w:p>
            <w:pPr>
              <w:spacing w:after="0"/>
              <w:rPr>
                <w:sz w:val="20"/>
                <w:szCs w:val="20"/>
                <w:color w:val="auto"/>
              </w:rPr>
            </w:pPr>
            <w:r>
              <w:rPr>
                <w:rFonts w:ascii="Arial" w:cs="Arial" w:eastAsia="Arial" w:hAnsi="Arial"/>
                <w:sz w:val="29"/>
                <w:szCs w:val="29"/>
                <w:color w:val="auto"/>
              </w:rPr>
              <w:t>ITEM 15. EXHIBITS AND FINANCIAL STATEMENT SCHEDULES</w:t>
            </w:r>
          </w:p>
        </w:tc>
        <w:tc>
          <w:tcPr>
            <w:tcW w:w="1400" w:type="dxa"/>
            <w:vAlign w:val="bottom"/>
          </w:tcPr>
          <w:p>
            <w:pPr>
              <w:spacing w:after="0"/>
              <w:rPr>
                <w:sz w:val="24"/>
                <w:szCs w:val="24"/>
                <w:color w:val="auto"/>
              </w:rPr>
            </w:pPr>
          </w:p>
        </w:tc>
      </w:tr>
      <w:tr>
        <w:trPr>
          <w:trHeight w:val="393"/>
        </w:trPr>
        <w:tc>
          <w:tcPr>
            <w:tcW w:w="9800" w:type="dxa"/>
            <w:vAlign w:val="bottom"/>
            <w:gridSpan w:val="2"/>
          </w:tcPr>
          <w:p>
            <w:pPr>
              <w:spacing w:after="0"/>
              <w:rPr>
                <w:sz w:val="20"/>
                <w:szCs w:val="20"/>
                <w:color w:val="auto"/>
              </w:rPr>
            </w:pPr>
            <w:r>
              <w:rPr>
                <w:rFonts w:ascii="Arial" w:cs="Arial" w:eastAsia="Arial" w:hAnsi="Arial"/>
                <w:sz w:val="18"/>
                <w:szCs w:val="18"/>
                <w:b w:val="1"/>
                <w:bCs w:val="1"/>
                <w:i w:val="1"/>
                <w:iCs w:val="1"/>
                <w:color w:val="2573BA"/>
              </w:rPr>
              <w:t>a. (1) Consolidated Financial Statements:</w:t>
            </w:r>
          </w:p>
        </w:tc>
        <w:tc>
          <w:tcPr>
            <w:tcW w:w="1400" w:type="dxa"/>
            <w:vAlign w:val="bottom"/>
          </w:tcPr>
          <w:p>
            <w:pPr>
              <w:spacing w:after="0"/>
              <w:rPr>
                <w:sz w:val="24"/>
                <w:szCs w:val="24"/>
                <w:color w:val="auto"/>
              </w:rPr>
            </w:pPr>
          </w:p>
        </w:tc>
      </w:tr>
      <w:tr>
        <w:trPr>
          <w:trHeight w:val="303"/>
        </w:trPr>
        <w:tc>
          <w:tcPr>
            <w:tcW w:w="9800" w:type="dxa"/>
            <w:vAlign w:val="bottom"/>
            <w:gridSpan w:val="2"/>
          </w:tcPr>
          <w:p>
            <w:pPr>
              <w:spacing w:after="0"/>
              <w:rPr>
                <w:sz w:val="20"/>
                <w:szCs w:val="20"/>
                <w:color w:val="auto"/>
              </w:rPr>
            </w:pPr>
            <w:r>
              <w:rPr>
                <w:rFonts w:ascii="Arial" w:cs="Arial" w:eastAsia="Arial" w:hAnsi="Arial"/>
                <w:sz w:val="18"/>
                <w:szCs w:val="18"/>
                <w:color w:val="auto"/>
              </w:rPr>
              <w:t>The following financial statements are filed as part of this report:</w:t>
            </w:r>
          </w:p>
        </w:tc>
        <w:tc>
          <w:tcPr>
            <w:tcW w:w="1400" w:type="dxa"/>
            <w:vAlign w:val="bottom"/>
          </w:tcPr>
          <w:p>
            <w:pPr>
              <w:spacing w:after="0"/>
              <w:rPr>
                <w:sz w:val="24"/>
                <w:szCs w:val="24"/>
                <w:color w:val="auto"/>
              </w:rPr>
            </w:pPr>
          </w:p>
        </w:tc>
      </w:tr>
      <w:tr>
        <w:trPr>
          <w:trHeight w:val="468"/>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Statements</w:t>
            </w:r>
          </w:p>
        </w:tc>
        <w:tc>
          <w:tcPr>
            <w:tcW w:w="4160" w:type="dxa"/>
            <w:vAlign w:val="bottom"/>
          </w:tcPr>
          <w:p>
            <w:pPr>
              <w:spacing w:after="0"/>
              <w:rPr>
                <w:sz w:val="24"/>
                <w:szCs w:val="24"/>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Page Number</w:t>
            </w:r>
          </w:p>
        </w:tc>
      </w:tr>
      <w:tr>
        <w:trPr>
          <w:trHeight w:val="189"/>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Income</w:t>
            </w:r>
          </w:p>
        </w:tc>
        <w:tc>
          <w:tcPr>
            <w:tcW w:w="140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Comprehensive Income</w:t>
            </w:r>
          </w:p>
        </w:tc>
        <w:tc>
          <w:tcPr>
            <w:tcW w:w="1400" w:type="dxa"/>
            <w:vAlign w:val="bottom"/>
          </w:tcPr>
          <w:p>
            <w:pPr>
              <w:jc w:val="right"/>
              <w:spacing w:after="0"/>
              <w:rPr>
                <w:sz w:val="20"/>
                <w:szCs w:val="20"/>
                <w:color w:val="auto"/>
              </w:rPr>
            </w:pPr>
            <w:r>
              <w:rPr>
                <w:rFonts w:ascii="Arial" w:cs="Arial" w:eastAsia="Arial" w:hAnsi="Arial"/>
                <w:sz w:val="14"/>
                <w:szCs w:val="14"/>
                <w:color w:val="auto"/>
              </w:rPr>
              <w:t>F-3</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Consolidated Balance Sheets</w:t>
            </w:r>
          </w:p>
        </w:tc>
        <w:tc>
          <w:tcPr>
            <w:tcW w:w="140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Cash Flow</w:t>
            </w:r>
          </w:p>
        </w:tc>
        <w:tc>
          <w:tcPr>
            <w:tcW w:w="140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Equity</w:t>
            </w:r>
          </w:p>
        </w:tc>
        <w:tc>
          <w:tcPr>
            <w:tcW w:w="140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Notes to Consolidated Financial Statements</w:t>
            </w:r>
          </w:p>
        </w:tc>
        <w:tc>
          <w:tcPr>
            <w:tcW w:w="1400" w:type="dxa"/>
            <w:vAlign w:val="bottom"/>
          </w:tcPr>
          <w:p>
            <w:pPr>
              <w:jc w:val="right"/>
              <w:spacing w:after="0"/>
              <w:rPr>
                <w:sz w:val="20"/>
                <w:szCs w:val="20"/>
                <w:color w:val="auto"/>
              </w:rPr>
            </w:pPr>
            <w:r>
              <w:rPr>
                <w:rFonts w:ascii="Arial" w:cs="Arial" w:eastAsia="Arial" w:hAnsi="Arial"/>
                <w:sz w:val="14"/>
                <w:szCs w:val="14"/>
                <w:color w:val="auto"/>
              </w:rPr>
              <w:t>F-8</w:t>
            </w:r>
          </w:p>
        </w:tc>
      </w:tr>
      <w:tr>
        <w:trPr>
          <w:trHeight w:val="203"/>
        </w:trPr>
        <w:tc>
          <w:tcPr>
            <w:tcW w:w="9800" w:type="dxa"/>
            <w:vAlign w:val="bottom"/>
            <w:gridSpan w:val="2"/>
          </w:tcPr>
          <w:p>
            <w:pPr>
              <w:ind w:left="20"/>
              <w:spacing w:after="0"/>
              <w:rPr>
                <w:sz w:val="20"/>
                <w:szCs w:val="20"/>
                <w:color w:val="auto"/>
              </w:rPr>
            </w:pPr>
            <w:r>
              <w:rPr>
                <w:rFonts w:ascii="Arial" w:cs="Arial" w:eastAsia="Arial" w:hAnsi="Arial"/>
                <w:sz w:val="14"/>
                <w:szCs w:val="14"/>
                <w:color w:val="auto"/>
              </w:rPr>
              <w:t>Report of Independent Registered Public Accounting Firm (PCAOB ID 238)</w:t>
            </w:r>
          </w:p>
        </w:tc>
        <w:tc>
          <w:tcPr>
            <w:tcW w:w="1400" w:type="dxa"/>
            <w:vAlign w:val="bottom"/>
          </w:tcPr>
          <w:p>
            <w:pPr>
              <w:jc w:val="right"/>
              <w:spacing w:after="0"/>
              <w:rPr>
                <w:sz w:val="20"/>
                <w:szCs w:val="20"/>
                <w:color w:val="auto"/>
              </w:rPr>
            </w:pPr>
            <w:r>
              <w:rPr>
                <w:rFonts w:ascii="Arial" w:cs="Arial" w:eastAsia="Arial" w:hAnsi="Arial"/>
                <w:sz w:val="14"/>
                <w:szCs w:val="14"/>
                <w:color w:val="auto"/>
              </w:rPr>
              <w:t>F-80</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Certain totals may not sum due to rounding.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 Exhibits</w:t>
      </w:r>
    </w:p>
    <w:p>
      <w:pPr>
        <w:spacing w:after="0" w:line="10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exhibits listed on the Exhibit Index beginning on page 98, which is incorporated herein by reference, are filed or furnished as part of this report or are incorporated into this report by reference.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(3) Financial Statement Schedules</w:t>
      </w:r>
    </w:p>
    <w:p>
      <w:pPr>
        <w:spacing w:after="0" w:line="8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Schedules are omitted because they are not applicable, or are not required, or because the information is included in the consolidated financial statements and notes thereto.</w:t>
      </w:r>
    </w:p>
    <w:p>
      <w:pPr>
        <w:spacing w:after="0" w:line="180" w:lineRule="exact"/>
        <w:rPr>
          <w:sz w:val="20"/>
          <w:szCs w:val="20"/>
          <w:color w:val="auto"/>
        </w:rPr>
      </w:pPr>
    </w:p>
    <w:p>
      <w:pPr>
        <w:spacing w:after="0"/>
        <w:rPr>
          <w:sz w:val="20"/>
          <w:szCs w:val="20"/>
          <w:color w:val="auto"/>
        </w:rPr>
      </w:pPr>
      <w:r>
        <w:rPr>
          <w:rFonts w:ascii="Arial" w:cs="Arial" w:eastAsia="Arial" w:hAnsi="Arial"/>
          <w:sz w:val="29"/>
          <w:szCs w:val="29"/>
          <w:color w:val="auto"/>
        </w:rPr>
        <w:t>ITEM 16. FORM 10-K SUMMARY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40" w:type="dxa"/>
            <w:vAlign w:val="bottom"/>
            <w:gridSpan w:val="36"/>
          </w:tcPr>
          <w:p>
            <w:pPr>
              <w:ind w:left="380"/>
              <w:spacing w:after="0"/>
              <w:rPr>
                <w:sz w:val="20"/>
                <w:szCs w:val="20"/>
                <w:color w:val="auto"/>
              </w:rPr>
            </w:pPr>
            <w:r>
              <w:rPr>
                <w:rFonts w:ascii="Arial" w:cs="Arial" w:eastAsia="Arial" w:hAnsi="Arial"/>
                <w:sz w:val="25"/>
                <w:szCs w:val="25"/>
                <w:color w:val="00587F"/>
              </w:rPr>
              <w:t>EXHIBIT INDEX</w:t>
            </w:r>
          </w:p>
        </w:tc>
      </w:tr>
      <w:tr>
        <w:trPr>
          <w:trHeight w:val="298"/>
        </w:trPr>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20" w:type="dxa"/>
            <w:vAlign w:val="bottom"/>
            <w:gridSpan w:val="30"/>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2.1</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21">
              <w:r>
                <w:rPr>
                  <w:rFonts w:ascii="Arial" w:cs="Arial" w:eastAsia="Arial" w:hAnsi="Arial"/>
                  <w:sz w:val="16"/>
                  <w:szCs w:val="16"/>
                  <w:color w:val="0000FF"/>
                </w:rPr>
                <w:t>Agreement and Plan of Merger by and among Reata Pharmaceuticals, Inc., Biogen Inc. and River Acquisition, Inc. dated as of July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20" w:type="dxa"/>
            <w:vAlign w:val="bottom"/>
            <w:tcBorders>
              <w:top w:val="single" w:sz="8" w:color="0000FF"/>
            </w:tcBorders>
            <w:gridSpan w:val="40"/>
          </w:tcPr>
          <w:p>
            <w:pPr>
              <w:spacing w:after="0" w:line="142" w:lineRule="exact"/>
              <w:rPr>
                <w:rFonts w:ascii="Arial" w:cs="Arial" w:eastAsia="Arial" w:hAnsi="Arial"/>
                <w:sz w:val="16"/>
                <w:szCs w:val="16"/>
                <w:color w:val="0000FF"/>
              </w:rPr>
            </w:pPr>
            <w:hyperlink r:id="rId221">
              <w:r>
                <w:rPr>
                  <w:rFonts w:ascii="Arial" w:cs="Arial" w:eastAsia="Arial" w:hAnsi="Arial"/>
                  <w:sz w:val="16"/>
                  <w:szCs w:val="16"/>
                  <w:color w:val="0000FF"/>
                </w:rPr>
                <w:t>28, 2023. Filed as Exhibit 2.1 to our current report on Form 8-K filed July 31,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3.1</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22">
              <w:r>
                <w:rPr>
                  <w:rFonts w:ascii="Arial" w:cs="Arial" w:eastAsia="Arial" w:hAnsi="Arial"/>
                  <w:sz w:val="16"/>
                  <w:szCs w:val="16"/>
                  <w:color w:val="0000FF"/>
                </w:rPr>
                <w:t>Amended and Restated Certificate of Incorporation, as amended. Filed as Exhibit 3.1 to our Quarterly Report on Form 10-Q for the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8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quarter ended June 30, 2012.</w:t>
              </w:r>
            </w:hyperlink>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3.2</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23">
              <w:r>
                <w:rPr>
                  <w:rFonts w:ascii="Arial" w:cs="Arial" w:eastAsia="Arial" w:hAnsi="Arial"/>
                  <w:sz w:val="16"/>
                  <w:szCs w:val="16"/>
                  <w:color w:val="0000FF"/>
                </w:rPr>
                <w:t>Certificate of Amendment to the Certificate of Incorporation. Filed as Exhibit 3.1 to our Current Report on Form 8-K filed on March</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223">
              <w:r>
                <w:rPr>
                  <w:rFonts w:ascii="Arial" w:cs="Arial" w:eastAsia="Arial" w:hAnsi="Arial"/>
                  <w:sz w:val="16"/>
                  <w:szCs w:val="16"/>
                  <w:color w:val="0000FF"/>
                </w:rPr>
                <w:t>27, 2015.</w:t>
              </w:r>
            </w:hyperlink>
          </w:p>
        </w:tc>
        <w:tc>
          <w:tcPr>
            <w:tcW w:w="5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3.3</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24">
              <w:r>
                <w:rPr>
                  <w:rFonts w:ascii="Arial" w:cs="Arial" w:eastAsia="Arial" w:hAnsi="Arial"/>
                  <w:sz w:val="16"/>
                  <w:szCs w:val="16"/>
                  <w:color w:val="0000FF"/>
                </w:rPr>
                <w:t>Certificate of Amendment of Biogen Inc.'s Amended and Restated Certificate of Incorporation, as amended. Filed as Exhibit 3.1 to</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90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224">
              <w:r>
                <w:rPr>
                  <w:rFonts w:ascii="Arial" w:cs="Arial" w:eastAsia="Arial" w:hAnsi="Arial"/>
                  <w:sz w:val="16"/>
                  <w:szCs w:val="16"/>
                  <w:color w:val="0000FF"/>
                </w:rPr>
                <w:t>our Current Report on Form 8-K filed on June 8, 2021.</w:t>
              </w:r>
            </w:hyperlink>
          </w:p>
        </w:tc>
        <w:tc>
          <w:tcPr>
            <w:tcW w:w="5380" w:type="dxa"/>
            <w:vAlign w:val="bottom"/>
            <w:tcBorders>
              <w:top w:val="single" w:sz="8" w:color="0000FF"/>
            </w:tcBorders>
            <w:gridSpan w:val="18"/>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3.4</w:t>
            </w:r>
          </w:p>
        </w:tc>
        <w:tc>
          <w:tcPr>
            <w:tcW w:w="900" w:type="dxa"/>
            <w:vAlign w:val="bottom"/>
          </w:tcPr>
          <w:p>
            <w:pPr>
              <w:spacing w:after="0"/>
              <w:rPr>
                <w:sz w:val="18"/>
                <w:szCs w:val="18"/>
                <w:color w:val="auto"/>
              </w:rPr>
            </w:pPr>
          </w:p>
        </w:tc>
        <w:tc>
          <w:tcPr>
            <w:tcW w:w="9700" w:type="dxa"/>
            <w:vAlign w:val="bottom"/>
            <w:gridSpan w:val="44"/>
          </w:tcPr>
          <w:p>
            <w:pPr>
              <w:spacing w:after="0"/>
              <w:rPr>
                <w:rFonts w:ascii="Arial" w:cs="Arial" w:eastAsia="Arial" w:hAnsi="Arial"/>
                <w:sz w:val="16"/>
                <w:szCs w:val="16"/>
                <w:color w:val="0000FF"/>
              </w:rPr>
            </w:pPr>
            <w:hyperlink r:id="rId225">
              <w:r>
                <w:rPr>
                  <w:rFonts w:ascii="Arial" w:cs="Arial" w:eastAsia="Arial" w:hAnsi="Arial"/>
                  <w:sz w:val="16"/>
                  <w:szCs w:val="16"/>
                  <w:color w:val="0000FF"/>
                </w:rPr>
                <w:t>Certificate of Amendment of Biogen Inc.'s Amended and Restated Certificate of Incorporation, as amended. Filed as Exhibit 3.1 to</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58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25">
              <w:r>
                <w:rPr>
                  <w:rFonts w:ascii="Arial" w:cs="Arial" w:eastAsia="Arial" w:hAnsi="Arial"/>
                  <w:sz w:val="16"/>
                  <w:szCs w:val="16"/>
                  <w:color w:val="0000FF"/>
                </w:rPr>
                <w:t>our Current Report on Form 8-K filed on June 25, 2024.</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3.5</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26">
              <w:r>
                <w:rPr>
                  <w:rFonts w:ascii="Arial" w:cs="Arial" w:eastAsia="Arial" w:hAnsi="Arial"/>
                  <w:sz w:val="16"/>
                  <w:szCs w:val="16"/>
                  <w:color w:val="0000FF"/>
                </w:rPr>
                <w:t>Fifth Amended and Restated Bylaws of Biogen Inc. Filed as Exhibit 3.1 to our Current Report on Form 8-K filed on December 12,</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9"/>
              </w:rPr>
            </w:pPr>
            <w:hyperlink r:id="rId226">
              <w:r>
                <w:rPr>
                  <w:rFonts w:ascii="Arial" w:cs="Arial" w:eastAsia="Arial" w:hAnsi="Arial"/>
                  <w:sz w:val="16"/>
                  <w:szCs w:val="16"/>
                  <w:color w:val="0000FF"/>
                  <w:w w:val="99"/>
                </w:rPr>
                <w:t>2023.</w:t>
              </w:r>
            </w:hyperlink>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4.1</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27">
              <w:r>
                <w:rPr>
                  <w:rFonts w:ascii="Arial" w:cs="Arial" w:eastAsia="Arial" w:hAnsi="Arial"/>
                  <w:sz w:val="16"/>
                  <w:szCs w:val="16"/>
                  <w:color w:val="0000FF"/>
                </w:rPr>
                <w:t>Second Supplemental Indenture, dated April 30, 2020, between Biogen Inc. and U.S. Bank National Association, including the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540" w:type="dxa"/>
            <w:vAlign w:val="bottom"/>
            <w:tcBorders>
              <w:top w:val="single" w:sz="8" w:color="0000FF"/>
              <w:bottom w:val="single" w:sz="8" w:color="0000FF"/>
            </w:tcBorders>
            <w:gridSpan w:val="36"/>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forms of Global Notes attached as Exhibit A and Exhibit B, respectively, thereto. Filed as Exhibit 4.2 to our Current Report on Form</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20" w:type="dxa"/>
            <w:vAlign w:val="bottom"/>
            <w:tcBorders>
              <w:bottom w:val="single" w:sz="8" w:color="0000FF"/>
            </w:tcBorders>
            <w:gridSpan w:val="6"/>
          </w:tcPr>
          <w:p>
            <w:pPr>
              <w:spacing w:after="0" w:line="142" w:lineRule="exact"/>
              <w:rPr>
                <w:rFonts w:ascii="Arial" w:cs="Arial" w:eastAsia="Arial" w:hAnsi="Arial"/>
                <w:sz w:val="16"/>
                <w:szCs w:val="16"/>
                <w:color w:val="0000FF"/>
              </w:rPr>
            </w:pPr>
            <w:hyperlink r:id="rId227">
              <w:r>
                <w:rPr>
                  <w:rFonts w:ascii="Arial" w:cs="Arial" w:eastAsia="Arial" w:hAnsi="Arial"/>
                  <w:sz w:val="16"/>
                  <w:szCs w:val="16"/>
                  <w:color w:val="0000FF"/>
                </w:rPr>
                <w:t>8-K filed on April 30, 2020.</w:t>
              </w:r>
            </w:hyperlink>
          </w:p>
        </w:tc>
        <w:tc>
          <w:tcPr>
            <w:tcW w:w="7720" w:type="dxa"/>
            <w:vAlign w:val="bottom"/>
            <w:gridSpan w:val="3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4.2</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22">
              <w:r>
                <w:rPr>
                  <w:rFonts w:ascii="Arial" w:cs="Arial" w:eastAsia="Arial" w:hAnsi="Arial"/>
                  <w:sz w:val="16"/>
                  <w:szCs w:val="16"/>
                  <w:color w:val="0000FF"/>
                </w:rPr>
                <w:t>Reference is made to Exhibit 3.1 for a description of the rights, preferences and privileges of our Series A Preferred Stock and</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6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22">
              <w:r>
                <w:rPr>
                  <w:rFonts w:ascii="Arial" w:cs="Arial" w:eastAsia="Arial" w:hAnsi="Arial"/>
                  <w:sz w:val="16"/>
                  <w:szCs w:val="16"/>
                  <w:color w:val="0000FF"/>
                </w:rPr>
                <w:t>Series X Junior Participating Preferred Stock.</w:t>
              </w:r>
            </w:hyperlink>
          </w:p>
        </w:tc>
        <w:tc>
          <w:tcPr>
            <w:tcW w:w="6420" w:type="dxa"/>
            <w:vAlign w:val="bottom"/>
            <w:tcBorders>
              <w:top w:val="single" w:sz="8" w:color="0000FF"/>
            </w:tcBorders>
            <w:gridSpan w:val="34"/>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4.3</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28">
              <w:r>
                <w:rPr>
                  <w:rFonts w:ascii="Arial" w:cs="Arial" w:eastAsia="Arial" w:hAnsi="Arial"/>
                  <w:sz w:val="16"/>
                  <w:szCs w:val="16"/>
                  <w:color w:val="0000FF"/>
                </w:rPr>
                <w:t>Indenture between Biogen Inc. and U.S. Bank National Association, dated as of September 15, 2015. Filed as Exhibit 4.1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520" w:type="dxa"/>
            <w:vAlign w:val="bottom"/>
            <w:tcBorders>
              <w:top w:val="single" w:sz="8" w:color="0000FF"/>
            </w:tcBorders>
            <w:gridSpan w:val="35"/>
          </w:tcPr>
          <w:p>
            <w:pPr>
              <w:spacing w:after="0" w:line="142" w:lineRule="exact"/>
              <w:rPr>
                <w:rFonts w:ascii="Arial" w:cs="Arial" w:eastAsia="Arial" w:hAnsi="Arial"/>
                <w:sz w:val="16"/>
                <w:szCs w:val="16"/>
                <w:color w:val="0000FF"/>
              </w:rPr>
            </w:pPr>
            <w:hyperlink r:id="rId228">
              <w:r>
                <w:rPr>
                  <w:rFonts w:ascii="Arial" w:cs="Arial" w:eastAsia="Arial" w:hAnsi="Arial"/>
                  <w:sz w:val="16"/>
                  <w:szCs w:val="16"/>
                  <w:color w:val="0000FF"/>
                </w:rPr>
                <w:t>Current Report on Form 8-K filed on September 16, 2015.</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4.4</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29">
              <w:r>
                <w:rPr>
                  <w:rFonts w:ascii="Arial" w:cs="Arial" w:eastAsia="Arial" w:hAnsi="Arial"/>
                  <w:sz w:val="16"/>
                  <w:szCs w:val="16"/>
                  <w:color w:val="0000FF"/>
                </w:rPr>
                <w:t>First Supplemental Indenture between Biogen Inc. and U.S. Bank National Association, dated September 15, 2015. Filed as Exhibit</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rPr>
            </w:pPr>
            <w:hyperlink r:id="rId229">
              <w:r>
                <w:rPr>
                  <w:rFonts w:ascii="Arial" w:cs="Arial" w:eastAsia="Arial" w:hAnsi="Arial"/>
                  <w:sz w:val="16"/>
                  <w:szCs w:val="16"/>
                  <w:color w:val="0000FF"/>
                </w:rPr>
                <w:t>4.</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our Current Report on Form 8-K filed on September 16, 2015.</w:t>
              </w:r>
            </w:hyperlink>
          </w:p>
        </w:tc>
        <w:tc>
          <w:tcPr>
            <w:tcW w:w="4620" w:type="dxa"/>
            <w:vAlign w:val="bottom"/>
            <w:tcBorders>
              <w:top w:val="single" w:sz="8" w:color="0000FF"/>
            </w:tcBorders>
            <w:gridSpan w:val="18"/>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4.5</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30">
              <w:r>
                <w:rPr>
                  <w:rFonts w:ascii="Arial" w:cs="Arial" w:eastAsia="Arial" w:hAnsi="Arial"/>
                  <w:sz w:val="16"/>
                  <w:szCs w:val="16"/>
                  <w:color w:val="0000FF"/>
                </w:rPr>
                <w:t>Third Supplemental Indenture, dated February 16, 2021, between Biogen Inc. and U.S. Bank National Association. Filed as Exhibit</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34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230">
              <w:r>
                <w:rPr>
                  <w:rFonts w:ascii="Arial" w:cs="Arial" w:eastAsia="Arial" w:hAnsi="Arial"/>
                  <w:sz w:val="16"/>
                  <w:szCs w:val="16"/>
                  <w:color w:val="0000FF"/>
                </w:rPr>
                <w:t>4.</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our Current Report on Form 8-K filed on February 16, 2021.</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4.6</w:t>
            </w:r>
          </w:p>
        </w:tc>
        <w:tc>
          <w:tcPr>
            <w:tcW w:w="900" w:type="dxa"/>
            <w:vAlign w:val="bottom"/>
          </w:tcPr>
          <w:p>
            <w:pPr>
              <w:spacing w:after="0"/>
              <w:rPr>
                <w:sz w:val="18"/>
                <w:szCs w:val="18"/>
                <w:color w:val="auto"/>
              </w:rPr>
            </w:pPr>
          </w:p>
        </w:tc>
        <w:tc>
          <w:tcPr>
            <w:tcW w:w="9700" w:type="dxa"/>
            <w:vAlign w:val="bottom"/>
            <w:gridSpan w:val="44"/>
          </w:tcPr>
          <w:p>
            <w:pPr>
              <w:spacing w:after="0"/>
              <w:rPr>
                <w:rFonts w:ascii="Arial" w:cs="Arial" w:eastAsia="Arial" w:hAnsi="Arial"/>
                <w:sz w:val="16"/>
                <w:szCs w:val="16"/>
                <w:color w:val="0000FF"/>
              </w:rPr>
            </w:pPr>
            <w:hyperlink r:id="rId231">
              <w:r>
                <w:rPr>
                  <w:rFonts w:ascii="Arial" w:cs="Arial" w:eastAsia="Arial" w:hAnsi="Arial"/>
                  <w:sz w:val="16"/>
                  <w:szCs w:val="16"/>
                  <w:color w:val="0000FF"/>
                </w:rPr>
                <w:t>Fourth Supplemental Indenture, dated as of May 12, 2025, between the Company and U.S. Bank Trust Company, National</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32"/>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Association (as successor to U.S. Bank, National Association), including the forms of Global Notes attached as Exhibit A, Exhibit B</w:t>
              </w:r>
            </w:hyperlink>
          </w:p>
        </w:tc>
        <w:tc>
          <w:tcPr>
            <w:tcW w:w="20" w:type="dxa"/>
            <w:vAlign w:val="bottom"/>
            <w:tcBorders>
              <w:bottom w:val="single" w:sz="8" w:color="0000FF"/>
            </w:tcBorders>
          </w:tcPr>
          <w:p>
            <w:pPr>
              <w:spacing w:after="0"/>
              <w:rPr>
                <w:sz w:val="12"/>
                <w:szCs w:val="12"/>
                <w:color w:val="auto"/>
              </w:rPr>
            </w:pPr>
          </w:p>
        </w:tc>
        <w:tc>
          <w:tcPr>
            <w:tcW w:w="80" w:type="dxa"/>
            <w:vAlign w:val="bottom"/>
            <w:tcBorders>
              <w:bottom w:val="single" w:sz="8" w:color="0000FF"/>
            </w:tcBorders>
            <w:gridSpan w:val="4"/>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120" w:type="dxa"/>
            <w:vAlign w:val="bottom"/>
            <w:tcBorders>
              <w:bottom w:val="single" w:sz="8" w:color="0000FF"/>
            </w:tcBorders>
            <w:gridSpan w:val="26"/>
          </w:tcPr>
          <w:p>
            <w:pPr>
              <w:spacing w:after="0" w:line="142" w:lineRule="exact"/>
              <w:rPr>
                <w:rFonts w:ascii="Arial" w:cs="Arial" w:eastAsia="Arial" w:hAnsi="Arial"/>
                <w:sz w:val="16"/>
                <w:szCs w:val="16"/>
                <w:color w:val="0000FF"/>
              </w:rPr>
            </w:pPr>
            <w:hyperlink r:id="rId231">
              <w:r>
                <w:rPr>
                  <w:rFonts w:ascii="Arial" w:cs="Arial" w:eastAsia="Arial" w:hAnsi="Arial"/>
                  <w:sz w:val="16"/>
                  <w:szCs w:val="16"/>
                  <w:color w:val="0000FF"/>
                </w:rPr>
                <w:t>and Exhibit C, respectively, thereto. Filed as Exhibit 4.2 to our Current Report on Form 8-K filed on May 12, 2025.</w:t>
              </w:r>
            </w:hyperlink>
          </w:p>
        </w:tc>
        <w:tc>
          <w:tcPr>
            <w:tcW w:w="1540" w:type="dxa"/>
            <w:vAlign w:val="bottom"/>
            <w:gridSpan w:val="16"/>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4.7</w:t>
            </w:r>
          </w:p>
        </w:tc>
        <w:tc>
          <w:tcPr>
            <w:tcW w:w="900" w:type="dxa"/>
            <w:vAlign w:val="bottom"/>
          </w:tcPr>
          <w:p>
            <w:pPr>
              <w:spacing w:after="0"/>
              <w:rPr>
                <w:sz w:val="17"/>
                <w:szCs w:val="17"/>
                <w:color w:val="auto"/>
              </w:rPr>
            </w:pPr>
          </w:p>
        </w:tc>
        <w:tc>
          <w:tcPr>
            <w:tcW w:w="8660" w:type="dxa"/>
            <w:vAlign w:val="bottom"/>
            <w:tcBorders>
              <w:bottom w:val="single" w:sz="8" w:color="0000FF"/>
            </w:tcBorders>
            <w:gridSpan w:val="27"/>
          </w:tcPr>
          <w:p>
            <w:pPr>
              <w:spacing w:after="0"/>
              <w:rPr>
                <w:rFonts w:ascii="Arial" w:cs="Arial" w:eastAsia="Arial" w:hAnsi="Arial"/>
                <w:sz w:val="16"/>
                <w:szCs w:val="16"/>
                <w:color w:val="0000FF"/>
              </w:rPr>
            </w:pPr>
            <w:hyperlink r:id="rId232">
              <w:r>
                <w:rPr>
                  <w:rFonts w:ascii="Arial" w:cs="Arial" w:eastAsia="Arial" w:hAnsi="Arial"/>
                  <w:sz w:val="16"/>
                  <w:szCs w:val="16"/>
                  <w:color w:val="0000FF"/>
                </w:rPr>
                <w:t>Description of Securities. Filed as Exhibit 4.6 to our Annual Report on Form 10-K for the year ended December 31, 2023.</w:t>
              </w:r>
            </w:hyperlink>
          </w:p>
        </w:tc>
        <w:tc>
          <w:tcPr>
            <w:tcW w:w="1040" w:type="dxa"/>
            <w:vAlign w:val="bottom"/>
            <w:gridSpan w:val="17"/>
          </w:tcPr>
          <w:p>
            <w:pPr>
              <w:spacing w:after="0"/>
              <w:rPr>
                <w:sz w:val="17"/>
                <w:szCs w:val="17"/>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33">
              <w:r>
                <w:rPr>
                  <w:rFonts w:ascii="Arial" w:cs="Arial" w:eastAsia="Arial" w:hAnsi="Arial"/>
                  <w:sz w:val="16"/>
                  <w:szCs w:val="16"/>
                  <w:color w:val="0000FF"/>
                </w:rPr>
                <w:t>Credit Agreement, dated as of August 12, 2024, among Biogen Inc., Bank of America, N.A., as administrative agent, swing line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40" w:type="dxa"/>
            <w:vAlign w:val="bottom"/>
            <w:tcBorders>
              <w:top w:val="single" w:sz="8" w:color="0000FF"/>
              <w:bottom w:val="single" w:sz="8" w:color="0000FF"/>
            </w:tcBorders>
            <w:gridSpan w:val="31"/>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lender and the L/C issuer, and the other lenders party thereto. Filed as Exhibit 10.1 to our Current Report on Form 8-K filed on</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40" w:type="dxa"/>
            <w:vAlign w:val="bottom"/>
            <w:gridSpan w:val="31"/>
          </w:tcPr>
          <w:p>
            <w:pPr>
              <w:spacing w:after="0" w:line="142" w:lineRule="exact"/>
              <w:rPr>
                <w:rFonts w:ascii="Arial" w:cs="Arial" w:eastAsia="Arial" w:hAnsi="Arial"/>
                <w:sz w:val="16"/>
                <w:szCs w:val="16"/>
                <w:color w:val="0000FF"/>
              </w:rPr>
            </w:pPr>
            <w:hyperlink r:id="rId233">
              <w:r>
                <w:rPr>
                  <w:rFonts w:ascii="Arial" w:cs="Arial" w:eastAsia="Arial" w:hAnsi="Arial"/>
                  <w:sz w:val="16"/>
                  <w:szCs w:val="16"/>
                  <w:color w:val="0000FF"/>
                </w:rPr>
                <w:t>August 14, 2024.</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10.2</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34">
              <w:r>
                <w:rPr>
                  <w:rFonts w:ascii="Arial" w:cs="Arial" w:eastAsia="Arial" w:hAnsi="Arial"/>
                  <w:sz w:val="16"/>
                  <w:szCs w:val="16"/>
                  <w:color w:val="0000FF"/>
                </w:rPr>
                <w:t>Credit Agreement, dated as of August 28, 2023, among Biogen Inc., JPMorgan Chase Bank N.S., as administrative agent and the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50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234">
              <w:r>
                <w:rPr>
                  <w:rFonts w:ascii="Arial" w:cs="Arial" w:eastAsia="Arial" w:hAnsi="Arial"/>
                  <w:sz w:val="16"/>
                  <w:szCs w:val="16"/>
                  <w:color w:val="0000FF"/>
                </w:rPr>
                <w:t>other lenders party thereto. Filed as Exhibit 10.1 to our Current Report on Form 8-K filed on September 1, 2023.</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Arial" w:cs="Arial" w:eastAsia="Arial" w:hAnsi="Arial"/>
                <w:sz w:val="16"/>
                <w:szCs w:val="16"/>
                <w:color w:val="auto"/>
              </w:rPr>
              <w:t>10.3†</w:t>
            </w:r>
          </w:p>
        </w:tc>
        <w:tc>
          <w:tcPr>
            <w:tcW w:w="9700" w:type="dxa"/>
            <w:vAlign w:val="bottom"/>
            <w:gridSpan w:val="44"/>
          </w:tcPr>
          <w:p>
            <w:pPr>
              <w:spacing w:after="0"/>
              <w:rPr>
                <w:rFonts w:ascii="Arial" w:cs="Arial" w:eastAsia="Arial" w:hAnsi="Arial"/>
                <w:sz w:val="16"/>
                <w:szCs w:val="16"/>
                <w:color w:val="0000FF"/>
              </w:rPr>
            </w:pPr>
            <w:hyperlink r:id="rId235">
              <w:r>
                <w:rPr>
                  <w:rFonts w:ascii="Arial" w:cs="Arial" w:eastAsia="Arial" w:hAnsi="Arial"/>
                  <w:sz w:val="16"/>
                  <w:szCs w:val="16"/>
                  <w:color w:val="0000FF"/>
                </w:rPr>
                <w:t>Second Amended and Restated Collaboration Agreement between Biogen Idec Inc. and Genentech, Inc., dated as of October 18,</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360" w:type="dxa"/>
            <w:vAlign w:val="bottom"/>
            <w:tcBorders>
              <w:top w:val="single" w:sz="8" w:color="0000FF"/>
              <w:bottom w:val="single" w:sz="8" w:color="0000FF"/>
            </w:tcBorders>
            <w:gridSpan w:val="23"/>
          </w:tcPr>
          <w:p>
            <w:pPr>
              <w:spacing w:after="0" w:line="142" w:lineRule="exact"/>
              <w:rPr>
                <w:rFonts w:ascii="Arial" w:cs="Arial" w:eastAsia="Arial" w:hAnsi="Arial"/>
                <w:sz w:val="16"/>
                <w:szCs w:val="16"/>
                <w:color w:val="0000FF"/>
              </w:rPr>
            </w:pPr>
            <w:hyperlink r:id="rId235">
              <w:r>
                <w:rPr>
                  <w:rFonts w:ascii="Arial" w:cs="Arial" w:eastAsia="Arial" w:hAnsi="Arial"/>
                  <w:sz w:val="16"/>
                  <w:szCs w:val="16"/>
                  <w:color w:val="0000FF"/>
                </w:rPr>
                <w:t>2010. Filed as Exhibit 10.5 to our Annual Report on Form 10-K for the year ended December 31, 2010.</w:t>
              </w:r>
            </w:hyperlink>
          </w:p>
        </w:tc>
        <w:tc>
          <w:tcPr>
            <w:tcW w:w="2200" w:type="dxa"/>
            <w:vAlign w:val="bottom"/>
            <w:tcBorders>
              <w:top w:val="single" w:sz="8" w:color="0000FF"/>
            </w:tcBorders>
            <w:gridSpan w:val="14"/>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Arial" w:cs="Arial" w:eastAsia="Arial" w:hAnsi="Arial"/>
                <w:sz w:val="16"/>
                <w:szCs w:val="16"/>
                <w:color w:val="auto"/>
              </w:rPr>
              <w:t>10.4†</w:t>
            </w:r>
          </w:p>
        </w:tc>
        <w:tc>
          <w:tcPr>
            <w:tcW w:w="9700" w:type="dxa"/>
            <w:vAlign w:val="bottom"/>
            <w:gridSpan w:val="44"/>
          </w:tcPr>
          <w:p>
            <w:pPr>
              <w:spacing w:after="0"/>
              <w:rPr>
                <w:rFonts w:ascii="Arial" w:cs="Arial" w:eastAsia="Arial" w:hAnsi="Arial"/>
                <w:sz w:val="16"/>
                <w:szCs w:val="16"/>
                <w:color w:val="0000FF"/>
              </w:rPr>
            </w:pPr>
            <w:hyperlink r:id="rId236">
              <w:r>
                <w:rPr>
                  <w:rFonts w:ascii="Arial" w:cs="Arial" w:eastAsia="Arial" w:hAnsi="Arial"/>
                  <w:sz w:val="16"/>
                  <w:szCs w:val="16"/>
                  <w:color w:val="0000FF"/>
                </w:rPr>
                <w:t>Letter Agreement regarding GA101 financial terms between Biogen Idec Inc. and Genentech, Inc., dated October 18, 2010. Filed as</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0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236">
              <w:r>
                <w:rPr>
                  <w:rFonts w:ascii="Arial" w:cs="Arial" w:eastAsia="Arial" w:hAnsi="Arial"/>
                  <w:sz w:val="16"/>
                  <w:szCs w:val="16"/>
                  <w:color w:val="0000FF"/>
                </w:rPr>
                <w:t>Exhibit 10.6 to our Annual Report on Form 10-K for the year ended December 31, 2010.</w:t>
              </w:r>
            </w:hyperlink>
          </w:p>
        </w:tc>
        <w:tc>
          <w:tcPr>
            <w:tcW w:w="3340" w:type="dxa"/>
            <w:vAlign w:val="bottom"/>
            <w:tcBorders>
              <w:top w:val="single" w:sz="8" w:color="0000FF"/>
            </w:tcBorders>
            <w:gridSpan w:val="19"/>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10.5</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37">
              <w:r>
                <w:rPr>
                  <w:rFonts w:ascii="Arial" w:cs="Arial" w:eastAsia="Arial" w:hAnsi="Arial"/>
                  <w:sz w:val="16"/>
                  <w:szCs w:val="16"/>
                  <w:color w:val="0000FF"/>
                </w:rPr>
                <w:t>Form of performance share award agreement under the Biogen Inc. 2024 Omnibus Equity Plan. Filed as Exhibit 10.3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4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37">
              <w:r>
                <w:rPr>
                  <w:rFonts w:ascii="Arial" w:cs="Arial" w:eastAsia="Arial" w:hAnsi="Arial"/>
                  <w:sz w:val="16"/>
                  <w:szCs w:val="16"/>
                  <w:color w:val="0000FF"/>
                </w:rPr>
                <w:t>Quarterly Report on Form 10-Q for the quarter ended June 30, 2024.</w:t>
              </w:r>
            </w:hyperlink>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10.6</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38">
              <w:r>
                <w:rPr>
                  <w:rFonts w:ascii="Arial" w:cs="Arial" w:eastAsia="Arial" w:hAnsi="Arial"/>
                  <w:sz w:val="16"/>
                  <w:szCs w:val="16"/>
                  <w:color w:val="0000FF"/>
                </w:rPr>
                <w:t>Form of restricted stock award agreement under the Biogen Inc. 2024 Omnibus Equity Plan. Filed as Exhibit 10.4 to our Quarterly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38">
              <w:r>
                <w:rPr>
                  <w:rFonts w:ascii="Arial" w:cs="Arial" w:eastAsia="Arial" w:hAnsi="Arial"/>
                  <w:sz w:val="16"/>
                  <w:szCs w:val="16"/>
                  <w:color w:val="0000FF"/>
                </w:rPr>
                <w:t>Report on Form 10-Q for the quarter ended June 30, 2024.</w:t>
              </w:r>
            </w:hyperlink>
          </w:p>
        </w:tc>
        <w:tc>
          <w:tcPr>
            <w:tcW w:w="5460" w:type="dxa"/>
            <w:vAlign w:val="bottom"/>
            <w:tcBorders>
              <w:top w:val="single" w:sz="8" w:color="0000FF"/>
            </w:tcBorders>
            <w:gridSpan w:val="30"/>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10.7</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39">
              <w:r>
                <w:rPr>
                  <w:rFonts w:ascii="Arial" w:cs="Arial" w:eastAsia="Arial" w:hAnsi="Arial"/>
                  <w:sz w:val="16"/>
                  <w:szCs w:val="16"/>
                  <w:color w:val="0000FF"/>
                </w:rPr>
                <w:t>Form of non-employee director restricted stock unit award agreement under the Biogen Inc. 2024 Omnibus Equity Plan. Filed as</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8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39">
              <w:r>
                <w:rPr>
                  <w:rFonts w:ascii="Arial" w:cs="Arial" w:eastAsia="Arial" w:hAnsi="Arial"/>
                  <w:sz w:val="16"/>
                  <w:szCs w:val="16"/>
                  <w:color w:val="0000FF"/>
                </w:rPr>
                <w:t>Exhibit 10.5 to our Quarterly Report on Form 10-Q for the quarter ended June 30, 2024.</w:t>
              </w:r>
            </w:hyperlink>
          </w:p>
        </w:tc>
        <w:tc>
          <w:tcPr>
            <w:tcW w:w="330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10.8*</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40">
              <w:r>
                <w:rPr>
                  <w:rFonts w:ascii="Arial" w:cs="Arial" w:eastAsia="Arial" w:hAnsi="Arial"/>
                  <w:sz w:val="16"/>
                  <w:szCs w:val="16"/>
                  <w:color w:val="0000FF"/>
                </w:rPr>
                <w:t>Biogen Inc. 2017 Omnibus Equity Plan. Filed as Appendix B to our Definitive Proxy Statement on Schedule 14A filed on April 26,</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r:id="rId240">
              <w:r>
                <w:rPr>
                  <w:rFonts w:ascii="Arial" w:cs="Arial" w:eastAsia="Arial" w:hAnsi="Arial"/>
                  <w:sz w:val="16"/>
                  <w:szCs w:val="16"/>
                  <w:color w:val="0000FF"/>
                  <w:w w:val="94"/>
                </w:rPr>
                <w:t>2017.</w:t>
              </w:r>
            </w:hyperlink>
          </w:p>
        </w:tc>
        <w:tc>
          <w:tcPr>
            <w:tcW w:w="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10.9*</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41">
              <w:r>
                <w:rPr>
                  <w:rFonts w:ascii="Arial" w:cs="Arial" w:eastAsia="Arial" w:hAnsi="Arial"/>
                  <w:sz w:val="16"/>
                  <w:szCs w:val="16"/>
                  <w:color w:val="0000FF"/>
                </w:rPr>
                <w:t>Form of restricted stock unit award agreement under the Biogen Inc. 2017 Omnibus Equity Plan. Filed as Exhibit 10.2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8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41">
              <w:r>
                <w:rPr>
                  <w:rFonts w:ascii="Arial" w:cs="Arial" w:eastAsia="Arial" w:hAnsi="Arial"/>
                  <w:sz w:val="16"/>
                  <w:szCs w:val="16"/>
                  <w:color w:val="0000FF"/>
                </w:rPr>
                <w:t>Quarterly Report on Form 10-Q for the quarter ended June 30, 2017.</w:t>
              </w:r>
            </w:hyperlink>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360" w:type="dxa"/>
            <w:vAlign w:val="bottom"/>
            <w:gridSpan w:val="9"/>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10.10*</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42">
              <w:r>
                <w:rPr>
                  <w:rFonts w:ascii="Arial" w:cs="Arial" w:eastAsia="Arial" w:hAnsi="Arial"/>
                  <w:sz w:val="16"/>
                  <w:szCs w:val="16"/>
                  <w:color w:val="0000FF"/>
                </w:rPr>
                <w:t>Form of performance stock units award agreement under the Biogen Inc. 2017 Omnibus Equity Plan (for grants commencing in July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40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42">
              <w:r>
                <w:rPr>
                  <w:rFonts w:ascii="Arial" w:cs="Arial" w:eastAsia="Arial" w:hAnsi="Arial"/>
                  <w:sz w:val="16"/>
                  <w:szCs w:val="16"/>
                  <w:color w:val="0000FF"/>
                </w:rPr>
                <w:t>2019). Filed as Exhibit 10.2 to our Quarterly Report on Form 10-Q for the quarter ended June 30, 2019.</w:t>
              </w:r>
            </w:hyperlink>
          </w:p>
        </w:tc>
        <w:tc>
          <w:tcPr>
            <w:tcW w:w="2020" w:type="dxa"/>
            <w:vAlign w:val="bottom"/>
            <w:tcBorders>
              <w:top w:val="single" w:sz="8" w:color="0000FF"/>
            </w:tcBorders>
            <w:gridSpan w:val="6"/>
          </w:tcPr>
          <w:p>
            <w:pPr>
              <w:spacing w:after="0"/>
              <w:rPr>
                <w:sz w:val="12"/>
                <w:szCs w:val="12"/>
                <w:color w:val="auto"/>
              </w:rPr>
            </w:pPr>
          </w:p>
        </w:tc>
        <w:tc>
          <w:tcPr>
            <w:tcW w:w="180" w:type="dxa"/>
            <w:vAlign w:val="bottom"/>
            <w:gridSpan w:val="9"/>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10.11*</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43">
              <w:r>
                <w:rPr>
                  <w:rFonts w:ascii="Arial" w:cs="Arial" w:eastAsia="Arial" w:hAnsi="Arial"/>
                  <w:sz w:val="16"/>
                  <w:szCs w:val="16"/>
                  <w:color w:val="0000FF"/>
                </w:rPr>
                <w:t>Form of nonqualified stock option award agreement under Biogen Inc. 2017 Omnibus Equity Plan. Filed as Exhibit 10.20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8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43">
              <w:r>
                <w:rPr>
                  <w:rFonts w:ascii="Arial" w:cs="Arial" w:eastAsia="Arial" w:hAnsi="Arial"/>
                  <w:sz w:val="16"/>
                  <w:szCs w:val="16"/>
                  <w:color w:val="0000FF"/>
                </w:rPr>
                <w:t>Annual Report on Form 10-K for the year ended December 31, 2022.</w:t>
              </w:r>
            </w:hyperlink>
          </w:p>
        </w:tc>
        <w:tc>
          <w:tcPr>
            <w:tcW w:w="120" w:type="dxa"/>
            <w:vAlign w:val="bottom"/>
            <w:gridSpan w:val="6"/>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380" w:type="dxa"/>
            <w:vAlign w:val="bottom"/>
            <w:gridSpan w:val="10"/>
            <w:shd w:val="clear" w:color="auto" w:fill="0000FF"/>
          </w:tcPr>
          <w:p>
            <w:pPr>
              <w:spacing w:after="0" w:line="20" w:lineRule="exact"/>
              <w:rPr>
                <w:sz w:val="1"/>
                <w:szCs w:val="1"/>
                <w:color w:val="auto"/>
              </w:rPr>
            </w:pPr>
          </w:p>
        </w:tc>
        <w:tc>
          <w:tcPr>
            <w:tcW w:w="4660" w:type="dxa"/>
            <w:vAlign w:val="bottom"/>
            <w:gridSpan w:val="2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10.12*</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44">
              <w:r>
                <w:rPr>
                  <w:rFonts w:ascii="Arial" w:cs="Arial" w:eastAsia="Arial" w:hAnsi="Arial"/>
                  <w:sz w:val="16"/>
                  <w:szCs w:val="16"/>
                  <w:color w:val="0000FF"/>
                </w:rPr>
                <w:t>Biogen Idec Inc. 2008 Performance-Based Management Incentive Plan. Filed as Appendix B to our Definitive Proxy Statement on</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44">
              <w:r>
                <w:rPr>
                  <w:rFonts w:ascii="Arial" w:cs="Arial" w:eastAsia="Arial" w:hAnsi="Arial"/>
                  <w:sz w:val="16"/>
                  <w:szCs w:val="16"/>
                  <w:color w:val="0000FF"/>
                </w:rPr>
                <w:t>Schedule 14A filed on May 8, 2008.</w:t>
              </w:r>
            </w:hyperlink>
          </w:p>
        </w:tc>
        <w:tc>
          <w:tcPr>
            <w:tcW w:w="7060" w:type="dxa"/>
            <w:vAlign w:val="bottom"/>
            <w:tcBorders>
              <w:top w:val="single" w:sz="8" w:color="0000FF"/>
            </w:tcBorders>
            <w:gridSpan w:val="32"/>
          </w:tcPr>
          <w:p>
            <w:pPr>
              <w:spacing w:after="0"/>
              <w:rPr>
                <w:sz w:val="12"/>
                <w:szCs w:val="12"/>
                <w:color w:val="auto"/>
              </w:rPr>
            </w:pPr>
          </w:p>
        </w:tc>
        <w:tc>
          <w:tcPr>
            <w:tcW w:w="80" w:type="dxa"/>
            <w:vAlign w:val="bottom"/>
            <w:gridSpan w:val="4"/>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10.13*</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45">
              <w:r>
                <w:rPr>
                  <w:rFonts w:ascii="Arial" w:cs="Arial" w:eastAsia="Arial" w:hAnsi="Arial"/>
                  <w:sz w:val="16"/>
                  <w:szCs w:val="16"/>
                  <w:color w:val="0000FF"/>
                </w:rPr>
                <w:t>Biogen Inc. 2019 Form of Performance-Based Management Incentive Plan, as amended. Filed as Exhibit 10.1 to our Quarterly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3"/>
          </w:tcPr>
          <w:p>
            <w:pPr>
              <w:spacing w:after="0" w:line="142" w:lineRule="exact"/>
              <w:rPr>
                <w:rFonts w:ascii="Arial" w:cs="Arial" w:eastAsia="Arial" w:hAnsi="Arial"/>
                <w:sz w:val="16"/>
                <w:szCs w:val="16"/>
                <w:color w:val="0000FF"/>
              </w:rPr>
            </w:pPr>
            <w:hyperlink r:id="rId245">
              <w:r>
                <w:rPr>
                  <w:rFonts w:ascii="Arial" w:cs="Arial" w:eastAsia="Arial" w:hAnsi="Arial"/>
                  <w:sz w:val="16"/>
                  <w:szCs w:val="16"/>
                  <w:color w:val="0000FF"/>
                </w:rPr>
                <w:t>Report on Form 10-Q for the quarter ended June 30, 2021.</w:t>
              </w:r>
            </w:hyperlink>
          </w:p>
        </w:tc>
        <w:tc>
          <w:tcPr>
            <w:tcW w:w="5380" w:type="dxa"/>
            <w:vAlign w:val="bottom"/>
            <w:tcBorders>
              <w:top w:val="single" w:sz="8" w:color="0000FF"/>
            </w:tcBorders>
            <w:gridSpan w:val="26"/>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10.14</w:t>
            </w:r>
          </w:p>
        </w:tc>
        <w:tc>
          <w:tcPr>
            <w:tcW w:w="900" w:type="dxa"/>
            <w:vAlign w:val="bottom"/>
          </w:tcPr>
          <w:p>
            <w:pPr>
              <w:spacing w:after="0"/>
              <w:rPr>
                <w:sz w:val="17"/>
                <w:szCs w:val="17"/>
                <w:color w:val="auto"/>
              </w:rPr>
            </w:pPr>
          </w:p>
        </w:tc>
        <w:tc>
          <w:tcPr>
            <w:tcW w:w="9700" w:type="dxa"/>
            <w:vAlign w:val="bottom"/>
            <w:gridSpan w:val="44"/>
          </w:tcPr>
          <w:p>
            <w:pPr>
              <w:spacing w:after="0"/>
              <w:rPr>
                <w:rFonts w:ascii="Arial" w:cs="Arial" w:eastAsia="Arial" w:hAnsi="Arial"/>
                <w:sz w:val="16"/>
                <w:szCs w:val="16"/>
                <w:color w:val="0000FF"/>
              </w:rPr>
            </w:pPr>
            <w:hyperlink r:id="rId246">
              <w:r>
                <w:rPr>
                  <w:rFonts w:ascii="Arial" w:cs="Arial" w:eastAsia="Arial" w:hAnsi="Arial"/>
                  <w:sz w:val="16"/>
                  <w:szCs w:val="16"/>
                  <w:color w:val="0000FF"/>
                </w:rPr>
                <w:t>Voluntary Board of Directors Savings Plan. Filed as Exhibit 10.14 to our Annual Report on Form 10-K for the year ended December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246">
              <w:r>
                <w:rPr>
                  <w:rFonts w:ascii="Arial" w:cs="Arial" w:eastAsia="Arial" w:hAnsi="Arial"/>
                  <w:sz w:val="16"/>
                  <w:szCs w:val="16"/>
                  <w:color w:val="0000FF"/>
                  <w:w w:val="98"/>
                </w:rPr>
                <w:t>31, 2024.</w:t>
              </w:r>
            </w:hyperlink>
          </w:p>
        </w:tc>
        <w:tc>
          <w:tcPr>
            <w:tcW w:w="2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88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gridSpan w:val="11"/>
          </w:tcPr>
          <w:p>
            <w:pPr>
              <w:ind w:left="374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9"/>
              </w:rPr>
              <w:t>Description</w:t>
            </w:r>
          </w:p>
        </w:tc>
        <w:tc>
          <w:tcPr>
            <w:tcW w:w="4460" w:type="dxa"/>
            <w:vAlign w:val="bottom"/>
            <w:gridSpan w:val="18"/>
          </w:tcPr>
          <w:p>
            <w:pPr>
              <w:spacing w:after="0"/>
              <w:rPr>
                <w:sz w:val="16"/>
                <w:szCs w:val="16"/>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10.15</w:t>
            </w:r>
          </w:p>
        </w:tc>
        <w:tc>
          <w:tcPr>
            <w:tcW w:w="920" w:type="dxa"/>
            <w:vAlign w:val="bottom"/>
          </w:tcPr>
          <w:p>
            <w:pPr>
              <w:spacing w:after="0"/>
              <w:rPr>
                <w:sz w:val="17"/>
                <w:szCs w:val="17"/>
                <w:color w:val="auto"/>
              </w:rPr>
            </w:pPr>
          </w:p>
        </w:tc>
        <w:tc>
          <w:tcPr>
            <w:tcW w:w="9620" w:type="dxa"/>
            <w:vAlign w:val="bottom"/>
            <w:gridSpan w:val="34"/>
          </w:tcPr>
          <w:p>
            <w:pPr>
              <w:spacing w:after="0"/>
              <w:rPr>
                <w:rFonts w:ascii="Arial" w:cs="Arial" w:eastAsia="Arial" w:hAnsi="Arial"/>
                <w:sz w:val="16"/>
                <w:szCs w:val="16"/>
                <w:color w:val="0000FF"/>
              </w:rPr>
            </w:pPr>
            <w:hyperlink r:id="rId249">
              <w:r>
                <w:rPr>
                  <w:rFonts w:ascii="Arial" w:cs="Arial" w:eastAsia="Arial" w:hAnsi="Arial"/>
                  <w:sz w:val="16"/>
                  <w:szCs w:val="16"/>
                  <w:color w:val="0000FF"/>
                </w:rPr>
                <w:t>Biogen Inc. Supplemental Savings Plan. Filed as Exhibit 10.15 to our Annual Report on Form 10-K for the year ended December</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r:id="rId249">
              <w:r>
                <w:rPr>
                  <w:rFonts w:ascii="Arial" w:cs="Arial" w:eastAsia="Arial" w:hAnsi="Arial"/>
                  <w:sz w:val="16"/>
                  <w:szCs w:val="16"/>
                  <w:color w:val="0000FF"/>
                  <w:w w:val="98"/>
                </w:rPr>
                <w:t>31, 2024.</w:t>
              </w:r>
            </w:hyperlink>
          </w:p>
        </w:tc>
        <w:tc>
          <w:tcPr>
            <w:tcW w:w="2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66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16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10.16*</w:t>
            </w:r>
          </w:p>
        </w:tc>
        <w:tc>
          <w:tcPr>
            <w:tcW w:w="920" w:type="dxa"/>
            <w:vAlign w:val="bottom"/>
          </w:tcPr>
          <w:p>
            <w:pPr>
              <w:spacing w:after="0"/>
              <w:rPr>
                <w:sz w:val="17"/>
                <w:szCs w:val="17"/>
                <w:color w:val="auto"/>
              </w:rPr>
            </w:pPr>
          </w:p>
        </w:tc>
        <w:tc>
          <w:tcPr>
            <w:tcW w:w="9620" w:type="dxa"/>
            <w:vAlign w:val="bottom"/>
            <w:tcBorders>
              <w:bottom w:val="single" w:sz="8" w:color="0000FF"/>
            </w:tcBorders>
            <w:gridSpan w:val="34"/>
          </w:tcPr>
          <w:p>
            <w:pPr>
              <w:spacing w:after="0"/>
              <w:rPr>
                <w:rFonts w:ascii="Arial" w:cs="Arial" w:eastAsia="Arial" w:hAnsi="Arial"/>
                <w:sz w:val="16"/>
                <w:szCs w:val="16"/>
                <w:color w:val="0000FF"/>
              </w:rPr>
            </w:pPr>
            <w:hyperlink r:id="rId250">
              <w:r>
                <w:rPr>
                  <w:rFonts w:ascii="Arial" w:cs="Arial" w:eastAsia="Arial" w:hAnsi="Arial"/>
                  <w:sz w:val="16"/>
                  <w:szCs w:val="16"/>
                  <w:color w:val="0000FF"/>
                </w:rPr>
                <w:t>Biogen Inc. Executive Severance Policy - U.S. Executive Vice President, as amended effective July 13, 2020. Filed as Exhibit 10.1</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20" w:type="dxa"/>
            <w:vAlign w:val="bottom"/>
            <w:gridSpan w:val="34"/>
          </w:tcPr>
          <w:p>
            <w:pPr>
              <w:spacing w:after="0" w:line="142" w:lineRule="exact"/>
              <w:rPr>
                <w:rFonts w:ascii="Arial" w:cs="Arial" w:eastAsia="Arial" w:hAnsi="Arial"/>
                <w:sz w:val="16"/>
                <w:szCs w:val="16"/>
                <w:color w:val="0000FF"/>
              </w:rPr>
            </w:pPr>
            <w:hyperlink r:id="rId250">
              <w:r>
                <w:rPr>
                  <w:rFonts w:ascii="Arial" w:cs="Arial" w:eastAsia="Arial" w:hAnsi="Arial"/>
                  <w:sz w:val="16"/>
                  <w:szCs w:val="16"/>
                  <w:color w:val="0000FF"/>
                </w:rPr>
                <w:t>to our Quarterly Report on Form 10-Q for the quarter ended September 30, 2020.</w:t>
              </w:r>
            </w:hyperlink>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10.17*</w:t>
            </w:r>
          </w:p>
        </w:tc>
        <w:tc>
          <w:tcPr>
            <w:tcW w:w="920" w:type="dxa"/>
            <w:vAlign w:val="bottom"/>
          </w:tcPr>
          <w:p>
            <w:pPr>
              <w:spacing w:after="0"/>
              <w:rPr>
                <w:sz w:val="17"/>
                <w:szCs w:val="17"/>
                <w:color w:val="auto"/>
              </w:rPr>
            </w:pPr>
          </w:p>
        </w:tc>
        <w:tc>
          <w:tcPr>
            <w:tcW w:w="9620" w:type="dxa"/>
            <w:vAlign w:val="bottom"/>
            <w:gridSpan w:val="34"/>
          </w:tcPr>
          <w:p>
            <w:pPr>
              <w:spacing w:after="0"/>
              <w:rPr>
                <w:rFonts w:ascii="Arial" w:cs="Arial" w:eastAsia="Arial" w:hAnsi="Arial"/>
                <w:sz w:val="16"/>
                <w:szCs w:val="16"/>
                <w:color w:val="0000FF"/>
              </w:rPr>
            </w:pPr>
            <w:hyperlink r:id="rId251">
              <w:r>
                <w:rPr>
                  <w:rFonts w:ascii="Arial" w:cs="Arial" w:eastAsia="Arial" w:hAnsi="Arial"/>
                  <w:sz w:val="16"/>
                  <w:szCs w:val="16"/>
                  <w:color w:val="0000FF"/>
                </w:rPr>
                <w:t>Annual Retainer Summary for Board of Directors (effective January 1, 2020). Filed as Exhibit 10.1 to our Quarterly Report on Form</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rPr>
            </w:pPr>
            <w:hyperlink r:id="rId251">
              <w:r>
                <w:rPr>
                  <w:rFonts w:ascii="Arial" w:cs="Arial" w:eastAsia="Arial" w:hAnsi="Arial"/>
                  <w:sz w:val="16"/>
                  <w:szCs w:val="16"/>
                  <w:color w:val="0000FF"/>
                </w:rPr>
                <w:t>10-Q for the quarter ended September 30, 2019.</w:t>
              </w:r>
            </w:hyperlink>
          </w:p>
        </w:tc>
        <w:tc>
          <w:tcPr>
            <w:tcW w:w="610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10.18*</w:t>
            </w:r>
          </w:p>
        </w:tc>
        <w:tc>
          <w:tcPr>
            <w:tcW w:w="920" w:type="dxa"/>
            <w:vAlign w:val="bottom"/>
          </w:tcPr>
          <w:p>
            <w:pPr>
              <w:spacing w:after="0"/>
              <w:rPr>
                <w:sz w:val="17"/>
                <w:szCs w:val="17"/>
                <w:color w:val="auto"/>
              </w:rPr>
            </w:pPr>
          </w:p>
        </w:tc>
        <w:tc>
          <w:tcPr>
            <w:tcW w:w="9620" w:type="dxa"/>
            <w:vAlign w:val="bottom"/>
            <w:gridSpan w:val="34"/>
          </w:tcPr>
          <w:p>
            <w:pPr>
              <w:spacing w:after="0"/>
              <w:rPr>
                <w:rFonts w:ascii="Arial" w:cs="Arial" w:eastAsia="Arial" w:hAnsi="Arial"/>
                <w:sz w:val="16"/>
                <w:szCs w:val="16"/>
                <w:color w:val="0000FF"/>
              </w:rPr>
            </w:pPr>
            <w:hyperlink r:id="rId252">
              <w:r>
                <w:rPr>
                  <w:rFonts w:ascii="Arial" w:cs="Arial" w:eastAsia="Arial" w:hAnsi="Arial"/>
                  <w:sz w:val="16"/>
                  <w:szCs w:val="16"/>
                  <w:color w:val="0000FF"/>
                </w:rPr>
                <w:t>Form of indemnification agreement for directors and executive officers. Filed as Exhibit 10.1 to our Current Report on Form 8-K filed</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52">
              <w:r>
                <w:rPr>
                  <w:rFonts w:ascii="Arial" w:cs="Arial" w:eastAsia="Arial" w:hAnsi="Arial"/>
                  <w:sz w:val="16"/>
                  <w:szCs w:val="16"/>
                  <w:color w:val="0000FF"/>
                </w:rPr>
                <w:t>on June 7, 2011.</w:t>
              </w:r>
            </w:hyperlink>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10.19*</w:t>
            </w:r>
          </w:p>
        </w:tc>
        <w:tc>
          <w:tcPr>
            <w:tcW w:w="920" w:type="dxa"/>
            <w:vAlign w:val="bottom"/>
          </w:tcPr>
          <w:p>
            <w:pPr>
              <w:spacing w:after="0"/>
              <w:rPr>
                <w:sz w:val="17"/>
                <w:szCs w:val="17"/>
                <w:color w:val="auto"/>
              </w:rPr>
            </w:pPr>
          </w:p>
        </w:tc>
        <w:tc>
          <w:tcPr>
            <w:tcW w:w="9620" w:type="dxa"/>
            <w:vAlign w:val="bottom"/>
            <w:gridSpan w:val="34"/>
          </w:tcPr>
          <w:p>
            <w:pPr>
              <w:spacing w:after="0"/>
              <w:rPr>
                <w:rFonts w:ascii="Arial" w:cs="Arial" w:eastAsia="Arial" w:hAnsi="Arial"/>
                <w:sz w:val="16"/>
                <w:szCs w:val="16"/>
                <w:color w:val="0000FF"/>
              </w:rPr>
            </w:pPr>
            <w:hyperlink r:id="rId253">
              <w:r>
                <w:rPr>
                  <w:rFonts w:ascii="Arial" w:cs="Arial" w:eastAsia="Arial" w:hAnsi="Arial"/>
                  <w:sz w:val="16"/>
                  <w:szCs w:val="16"/>
                  <w:color w:val="0000FF"/>
                </w:rPr>
                <w:t>Employment Agreement, dated November 10, 2022, by and between Biogen Inc. and Christopher A. Viehbacher. Filed as Exhibit</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2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rPr>
            </w:pPr>
            <w:hyperlink r:id="rId253">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our Current Report on Form 8-K filed on November 10, 2022.</w:t>
              </w:r>
            </w:hyperlink>
          </w:p>
        </w:tc>
        <w:tc>
          <w:tcPr>
            <w:tcW w:w="454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10.20*</w:t>
            </w:r>
          </w:p>
        </w:tc>
        <w:tc>
          <w:tcPr>
            <w:tcW w:w="920" w:type="dxa"/>
            <w:vAlign w:val="bottom"/>
          </w:tcPr>
          <w:p>
            <w:pPr>
              <w:spacing w:after="0"/>
              <w:rPr>
                <w:sz w:val="17"/>
                <w:szCs w:val="17"/>
                <w:color w:val="auto"/>
              </w:rPr>
            </w:pPr>
          </w:p>
        </w:tc>
        <w:tc>
          <w:tcPr>
            <w:tcW w:w="9620" w:type="dxa"/>
            <w:vAlign w:val="bottom"/>
            <w:gridSpan w:val="34"/>
          </w:tcPr>
          <w:p>
            <w:pPr>
              <w:spacing w:after="0"/>
              <w:rPr>
                <w:rFonts w:ascii="Arial" w:cs="Arial" w:eastAsia="Arial" w:hAnsi="Arial"/>
                <w:sz w:val="16"/>
                <w:szCs w:val="16"/>
                <w:color w:val="0000FF"/>
              </w:rPr>
            </w:pPr>
            <w:hyperlink r:id="rId254">
              <w:r>
                <w:rPr>
                  <w:rFonts w:ascii="Arial" w:cs="Arial" w:eastAsia="Arial" w:hAnsi="Arial"/>
                  <w:sz w:val="16"/>
                  <w:szCs w:val="16"/>
                  <w:color w:val="0000FF"/>
                </w:rPr>
                <w:t>Letter regarding employment arrangement of Michael McDonnell dated July 16, 2020. Filed as Exhibit 10.2 to our Quarterly Report</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12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54">
              <w:r>
                <w:rPr>
                  <w:rFonts w:ascii="Arial" w:cs="Arial" w:eastAsia="Arial" w:hAnsi="Arial"/>
                  <w:sz w:val="16"/>
                  <w:szCs w:val="16"/>
                  <w:color w:val="0000FF"/>
                </w:rPr>
                <w:t>on Form 10-Q for the quarter ended September 30, 2020.</w:t>
              </w:r>
            </w:hyperlink>
          </w:p>
        </w:tc>
        <w:tc>
          <w:tcPr>
            <w:tcW w:w="536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10.21*</w:t>
            </w:r>
          </w:p>
        </w:tc>
        <w:tc>
          <w:tcPr>
            <w:tcW w:w="920" w:type="dxa"/>
            <w:vAlign w:val="bottom"/>
          </w:tcPr>
          <w:p>
            <w:pPr>
              <w:spacing w:after="0"/>
              <w:rPr>
                <w:sz w:val="17"/>
                <w:szCs w:val="17"/>
                <w:color w:val="auto"/>
              </w:rPr>
            </w:pPr>
          </w:p>
        </w:tc>
        <w:tc>
          <w:tcPr>
            <w:tcW w:w="9620" w:type="dxa"/>
            <w:vAlign w:val="bottom"/>
            <w:gridSpan w:val="34"/>
          </w:tcPr>
          <w:p>
            <w:pPr>
              <w:spacing w:after="0"/>
              <w:rPr>
                <w:rFonts w:ascii="Arial" w:cs="Arial" w:eastAsia="Arial" w:hAnsi="Arial"/>
                <w:sz w:val="16"/>
                <w:szCs w:val="16"/>
                <w:color w:val="0000FF"/>
              </w:rPr>
            </w:pPr>
            <w:hyperlink r:id="rId255">
              <w:r>
                <w:rPr>
                  <w:rFonts w:ascii="Arial" w:cs="Arial" w:eastAsia="Arial" w:hAnsi="Arial"/>
                  <w:sz w:val="16"/>
                  <w:szCs w:val="16"/>
                  <w:color w:val="0000FF"/>
                </w:rPr>
                <w:t>Letter regarding employment arrangement of Susan Alexander dated December 13, 2005. Filed as Exhibit 10.58 to our Annual</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56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55">
              <w:r>
                <w:rPr>
                  <w:rFonts w:ascii="Arial" w:cs="Arial" w:eastAsia="Arial" w:hAnsi="Arial"/>
                  <w:sz w:val="16"/>
                  <w:szCs w:val="16"/>
                  <w:color w:val="0000FF"/>
                </w:rPr>
                <w:t>Report on Form 10-K for the year ended December 31, 2009.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10.22*</w:t>
            </w:r>
          </w:p>
        </w:tc>
        <w:tc>
          <w:tcPr>
            <w:tcW w:w="920" w:type="dxa"/>
            <w:vAlign w:val="bottom"/>
          </w:tcPr>
          <w:p>
            <w:pPr>
              <w:spacing w:after="0"/>
              <w:rPr>
                <w:sz w:val="17"/>
                <w:szCs w:val="17"/>
                <w:color w:val="auto"/>
              </w:rPr>
            </w:pPr>
          </w:p>
        </w:tc>
        <w:tc>
          <w:tcPr>
            <w:tcW w:w="9620" w:type="dxa"/>
            <w:vAlign w:val="bottom"/>
            <w:gridSpan w:val="34"/>
          </w:tcPr>
          <w:p>
            <w:pPr>
              <w:spacing w:after="0"/>
              <w:rPr>
                <w:rFonts w:ascii="Arial" w:cs="Arial" w:eastAsia="Arial" w:hAnsi="Arial"/>
                <w:sz w:val="16"/>
                <w:szCs w:val="16"/>
                <w:color w:val="0000FF"/>
              </w:rPr>
            </w:pPr>
            <w:hyperlink r:id="rId256">
              <w:r>
                <w:rPr>
                  <w:rFonts w:ascii="Arial" w:cs="Arial" w:eastAsia="Arial" w:hAnsi="Arial"/>
                  <w:sz w:val="16"/>
                  <w:szCs w:val="16"/>
                  <w:color w:val="0000FF"/>
                </w:rPr>
                <w:t>Letter amending employment arrangement of Susan Alexander dated February 28, 2020. Filed as Exhibit 10.32 to our Annual</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500" w:type="dxa"/>
            <w:vAlign w:val="bottom"/>
            <w:tcBorders>
              <w:top w:val="single" w:sz="8" w:color="0000FF"/>
            </w:tcBorders>
            <w:gridSpan w:val="28"/>
          </w:tcPr>
          <w:p>
            <w:pPr>
              <w:spacing w:after="0" w:line="169" w:lineRule="exact"/>
              <w:rPr>
                <w:rFonts w:ascii="Arial" w:cs="Arial" w:eastAsia="Arial" w:hAnsi="Arial"/>
                <w:sz w:val="16"/>
                <w:szCs w:val="16"/>
                <w:color w:val="0000FF"/>
              </w:rPr>
            </w:pPr>
            <w:hyperlink r:id="rId256">
              <w:r>
                <w:rPr>
                  <w:rFonts w:ascii="Arial" w:cs="Arial" w:eastAsia="Arial" w:hAnsi="Arial"/>
                  <w:sz w:val="16"/>
                  <w:szCs w:val="16"/>
                  <w:color w:val="0000FF"/>
                </w:rPr>
                <w:t>Report on Form 10-K for the year ended December 31,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10.23*</w:t>
            </w:r>
          </w:p>
        </w:tc>
        <w:tc>
          <w:tcPr>
            <w:tcW w:w="920" w:type="dxa"/>
            <w:vAlign w:val="bottom"/>
          </w:tcPr>
          <w:p>
            <w:pPr>
              <w:spacing w:after="0"/>
              <w:rPr>
                <w:sz w:val="18"/>
                <w:szCs w:val="18"/>
                <w:color w:val="auto"/>
              </w:rPr>
            </w:pPr>
          </w:p>
        </w:tc>
        <w:tc>
          <w:tcPr>
            <w:tcW w:w="9620" w:type="dxa"/>
            <w:vAlign w:val="bottom"/>
            <w:gridSpan w:val="34"/>
          </w:tcPr>
          <w:p>
            <w:pPr>
              <w:spacing w:after="0"/>
              <w:rPr>
                <w:rFonts w:ascii="Arial" w:cs="Arial" w:eastAsia="Arial" w:hAnsi="Arial"/>
                <w:sz w:val="16"/>
                <w:szCs w:val="16"/>
                <w:color w:val="0000FF"/>
              </w:rPr>
            </w:pPr>
            <w:hyperlink r:id="rId257">
              <w:r>
                <w:rPr>
                  <w:rFonts w:ascii="Arial" w:cs="Arial" w:eastAsia="Arial" w:hAnsi="Arial"/>
                  <w:sz w:val="16"/>
                  <w:szCs w:val="16"/>
                  <w:color w:val="0000FF"/>
                </w:rPr>
                <w:t>Letter regarding employment arrangement of Rachid Izzar dated August 1, 2019. Filed as Exhibit 10.33 to our Annual Report on</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10"/>
          </w:tcPr>
          <w:p>
            <w:pPr>
              <w:spacing w:after="0" w:line="169" w:lineRule="exact"/>
              <w:rPr>
                <w:rFonts w:ascii="Arial" w:cs="Arial" w:eastAsia="Arial" w:hAnsi="Arial"/>
                <w:sz w:val="16"/>
                <w:szCs w:val="16"/>
                <w:color w:val="0000FF"/>
              </w:rPr>
            </w:pPr>
            <w:hyperlink r:id="rId257">
              <w:r>
                <w:rPr>
                  <w:rFonts w:ascii="Arial" w:cs="Arial" w:eastAsia="Arial" w:hAnsi="Arial"/>
                  <w:sz w:val="16"/>
                  <w:szCs w:val="16"/>
                  <w:color w:val="0000FF"/>
                </w:rPr>
                <w:t>Form 10-K for the year ended December 31, 2023.</w:t>
              </w:r>
            </w:hyperlink>
          </w:p>
        </w:tc>
        <w:tc>
          <w:tcPr>
            <w:tcW w:w="586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10.24*</w:t>
            </w:r>
          </w:p>
        </w:tc>
        <w:tc>
          <w:tcPr>
            <w:tcW w:w="920" w:type="dxa"/>
            <w:vAlign w:val="bottom"/>
          </w:tcPr>
          <w:p>
            <w:pPr>
              <w:spacing w:after="0"/>
              <w:rPr>
                <w:sz w:val="18"/>
                <w:szCs w:val="18"/>
                <w:color w:val="auto"/>
              </w:rPr>
            </w:pPr>
          </w:p>
        </w:tc>
        <w:tc>
          <w:tcPr>
            <w:tcW w:w="9620" w:type="dxa"/>
            <w:vAlign w:val="bottom"/>
            <w:gridSpan w:val="34"/>
          </w:tcPr>
          <w:p>
            <w:pPr>
              <w:spacing w:after="0"/>
              <w:rPr>
                <w:rFonts w:ascii="Arial" w:cs="Arial" w:eastAsia="Arial" w:hAnsi="Arial"/>
                <w:sz w:val="16"/>
                <w:szCs w:val="16"/>
                <w:color w:val="0000FF"/>
              </w:rPr>
            </w:pPr>
            <w:hyperlink r:id="rId258">
              <w:r>
                <w:rPr>
                  <w:rFonts w:ascii="Arial" w:cs="Arial" w:eastAsia="Arial" w:hAnsi="Arial"/>
                  <w:sz w:val="16"/>
                  <w:szCs w:val="16"/>
                  <w:color w:val="0000FF"/>
                </w:rPr>
                <w:t>Letter regarding employment arrangement of Nicole Murphy dated January 28, 2022. Filed as Exhibit 10.3 to our Quarterly Report</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8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258">
              <w:r>
                <w:rPr>
                  <w:rFonts w:ascii="Arial" w:cs="Arial" w:eastAsia="Arial" w:hAnsi="Arial"/>
                  <w:sz w:val="16"/>
                  <w:szCs w:val="16"/>
                  <w:color w:val="0000FF"/>
                </w:rPr>
                <w:t>on Form 10-Q for the quarter ended March 31, 2023.</w:t>
              </w:r>
            </w:hyperlink>
          </w:p>
        </w:tc>
        <w:tc>
          <w:tcPr>
            <w:tcW w:w="5620" w:type="dxa"/>
            <w:vAlign w:val="bottom"/>
            <w:tcBorders>
              <w:top w:val="single" w:sz="8" w:color="0000FF"/>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10.25*</w:t>
            </w:r>
          </w:p>
        </w:tc>
        <w:tc>
          <w:tcPr>
            <w:tcW w:w="920" w:type="dxa"/>
            <w:vAlign w:val="bottom"/>
          </w:tcPr>
          <w:p>
            <w:pPr>
              <w:spacing w:after="0"/>
              <w:rPr>
                <w:sz w:val="18"/>
                <w:szCs w:val="18"/>
                <w:color w:val="auto"/>
              </w:rPr>
            </w:pPr>
          </w:p>
        </w:tc>
        <w:tc>
          <w:tcPr>
            <w:tcW w:w="9620" w:type="dxa"/>
            <w:vAlign w:val="bottom"/>
            <w:gridSpan w:val="34"/>
          </w:tcPr>
          <w:p>
            <w:pPr>
              <w:spacing w:after="0"/>
              <w:rPr>
                <w:rFonts w:ascii="Arial" w:cs="Arial" w:eastAsia="Arial" w:hAnsi="Arial"/>
                <w:sz w:val="16"/>
                <w:szCs w:val="16"/>
                <w:color w:val="0000FF"/>
              </w:rPr>
            </w:pPr>
            <w:hyperlink r:id="rId259">
              <w:r>
                <w:rPr>
                  <w:rFonts w:ascii="Arial" w:cs="Arial" w:eastAsia="Arial" w:hAnsi="Arial"/>
                  <w:sz w:val="16"/>
                  <w:szCs w:val="16"/>
                  <w:color w:val="0000FF"/>
                </w:rPr>
                <w:t>Letter regarding employment arrangement of Robin Kramer dated October 28, 2024. Filed as Exhibit 10.1 to our Current Report on</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259">
              <w:r>
                <w:rPr>
                  <w:rFonts w:ascii="Arial" w:cs="Arial" w:eastAsia="Arial" w:hAnsi="Arial"/>
                  <w:sz w:val="16"/>
                  <w:szCs w:val="16"/>
                  <w:color w:val="0000FF"/>
                </w:rPr>
                <w:t>Form 8-K filed on October 30, 2024.</w:t>
              </w:r>
            </w:hyperlink>
          </w:p>
        </w:tc>
        <w:tc>
          <w:tcPr>
            <w:tcW w:w="6960" w:type="dxa"/>
            <w:vAlign w:val="bottom"/>
            <w:tcBorders>
              <w:top w:val="single" w:sz="8" w:color="0000FF"/>
            </w:tcBorders>
            <w:gridSpan w:val="2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10.26</w:t>
            </w:r>
          </w:p>
        </w:tc>
        <w:tc>
          <w:tcPr>
            <w:tcW w:w="920" w:type="dxa"/>
            <w:vAlign w:val="bottom"/>
          </w:tcPr>
          <w:p>
            <w:pPr>
              <w:spacing w:after="0"/>
              <w:rPr>
                <w:sz w:val="18"/>
                <w:szCs w:val="18"/>
                <w:color w:val="auto"/>
              </w:rPr>
            </w:pPr>
          </w:p>
        </w:tc>
        <w:tc>
          <w:tcPr>
            <w:tcW w:w="9620" w:type="dxa"/>
            <w:vAlign w:val="bottom"/>
            <w:gridSpan w:val="34"/>
          </w:tcPr>
          <w:p>
            <w:pPr>
              <w:spacing w:after="0"/>
              <w:rPr>
                <w:rFonts w:ascii="Arial" w:cs="Arial" w:eastAsia="Arial" w:hAnsi="Arial"/>
                <w:sz w:val="16"/>
                <w:szCs w:val="16"/>
                <w:color w:val="0000FF"/>
              </w:rPr>
            </w:pPr>
            <w:hyperlink r:id="rId260">
              <w:r>
                <w:rPr>
                  <w:rFonts w:ascii="Arial" w:cs="Arial" w:eastAsia="Arial" w:hAnsi="Arial"/>
                  <w:sz w:val="16"/>
                  <w:szCs w:val="16"/>
                  <w:color w:val="0000FF"/>
                </w:rPr>
                <w:t>Letter regarding employment arrangement of Priya Singhal dated January 3, 2023. Filed as Exhibit 10.1 to our Quarterly Report on</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260">
              <w:r>
                <w:rPr>
                  <w:rFonts w:ascii="Arial" w:cs="Arial" w:eastAsia="Arial" w:hAnsi="Arial"/>
                  <w:sz w:val="16"/>
                  <w:szCs w:val="16"/>
                  <w:color w:val="0000FF"/>
                </w:rPr>
                <w:t>Form 10-Q filed on July 31, 2025.</w:t>
              </w:r>
            </w:hyperlink>
          </w:p>
        </w:tc>
        <w:tc>
          <w:tcPr>
            <w:tcW w:w="702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10.27</w:t>
            </w:r>
          </w:p>
        </w:tc>
        <w:tc>
          <w:tcPr>
            <w:tcW w:w="920" w:type="dxa"/>
            <w:vAlign w:val="bottom"/>
          </w:tcPr>
          <w:p>
            <w:pPr>
              <w:spacing w:after="0"/>
              <w:rPr>
                <w:sz w:val="18"/>
                <w:szCs w:val="18"/>
                <w:color w:val="auto"/>
              </w:rPr>
            </w:pPr>
          </w:p>
        </w:tc>
        <w:tc>
          <w:tcPr>
            <w:tcW w:w="9620" w:type="dxa"/>
            <w:vAlign w:val="bottom"/>
            <w:gridSpan w:val="34"/>
          </w:tcPr>
          <w:p>
            <w:pPr>
              <w:spacing w:after="0"/>
              <w:rPr>
                <w:rFonts w:ascii="Arial" w:cs="Arial" w:eastAsia="Arial" w:hAnsi="Arial"/>
                <w:sz w:val="16"/>
                <w:szCs w:val="16"/>
                <w:color w:val="0000FF"/>
              </w:rPr>
            </w:pPr>
            <w:hyperlink r:id="rId261">
              <w:r>
                <w:rPr>
                  <w:rFonts w:ascii="Arial" w:cs="Arial" w:eastAsia="Arial" w:hAnsi="Arial"/>
                  <w:sz w:val="16"/>
                  <w:szCs w:val="16"/>
                  <w:color w:val="0000FF"/>
                </w:rPr>
                <w:t>Amended and Restated Collaboration Agreement, dated October 22, 2017, between Biogen MA Inc. and Eisai Co., LTD. Filed as</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380" w:type="dxa"/>
            <w:vAlign w:val="bottom"/>
            <w:tcBorders>
              <w:top w:val="single" w:sz="8" w:color="0000FF"/>
              <w:bottom w:val="single" w:sz="8" w:color="0000FF"/>
            </w:tcBorders>
            <w:gridSpan w:val="18"/>
          </w:tcPr>
          <w:p>
            <w:pPr>
              <w:spacing w:after="0" w:line="169" w:lineRule="exact"/>
              <w:rPr>
                <w:rFonts w:ascii="Arial" w:cs="Arial" w:eastAsia="Arial" w:hAnsi="Arial"/>
                <w:sz w:val="16"/>
                <w:szCs w:val="16"/>
                <w:color w:val="0000FF"/>
              </w:rPr>
            </w:pPr>
            <w:hyperlink r:id="rId261">
              <w:r>
                <w:rPr>
                  <w:rFonts w:ascii="Arial" w:cs="Arial" w:eastAsia="Arial" w:hAnsi="Arial"/>
                  <w:sz w:val="16"/>
                  <w:szCs w:val="16"/>
                  <w:color w:val="0000FF"/>
                </w:rPr>
                <w:t>Exhibit 10.45 to our Annual Report on Form 10-K for the year ended December 31, 2022.</w:t>
              </w:r>
            </w:hyperlink>
          </w:p>
        </w:tc>
        <w:tc>
          <w:tcPr>
            <w:tcW w:w="3060" w:type="dxa"/>
            <w:vAlign w:val="bottom"/>
            <w:tcBorders>
              <w:top w:val="single" w:sz="8" w:color="0000FF"/>
            </w:tcBorders>
            <w:gridSpan w:val="7"/>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10.28</w:t>
            </w:r>
          </w:p>
        </w:tc>
        <w:tc>
          <w:tcPr>
            <w:tcW w:w="920" w:type="dxa"/>
            <w:vAlign w:val="bottom"/>
          </w:tcPr>
          <w:p>
            <w:pPr>
              <w:spacing w:after="0"/>
              <w:rPr>
                <w:sz w:val="18"/>
                <w:szCs w:val="18"/>
                <w:color w:val="auto"/>
              </w:rPr>
            </w:pPr>
          </w:p>
        </w:tc>
        <w:tc>
          <w:tcPr>
            <w:tcW w:w="9620" w:type="dxa"/>
            <w:vAlign w:val="bottom"/>
            <w:gridSpan w:val="34"/>
          </w:tcPr>
          <w:p>
            <w:pPr>
              <w:spacing w:after="0"/>
              <w:rPr>
                <w:rFonts w:ascii="Arial" w:cs="Arial" w:eastAsia="Arial" w:hAnsi="Arial"/>
                <w:sz w:val="16"/>
                <w:szCs w:val="16"/>
                <w:color w:val="0000FF"/>
              </w:rPr>
            </w:pPr>
            <w:hyperlink r:id="rId262">
              <w:r>
                <w:rPr>
                  <w:rFonts w:ascii="Arial" w:cs="Arial" w:eastAsia="Arial" w:hAnsi="Arial"/>
                  <w:sz w:val="16"/>
                  <w:szCs w:val="16"/>
                  <w:color w:val="0000FF"/>
                </w:rPr>
                <w:t>First Amendment to Amended and Restated Collaboration Agreement, dated March 13, 2022, between Biogen MA Inc. and Eisai</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720" w:type="dxa"/>
            <w:vAlign w:val="bottom"/>
            <w:tcBorders>
              <w:top w:val="single" w:sz="8" w:color="0000FF"/>
              <w:bottom w:val="single" w:sz="8" w:color="0000FF"/>
            </w:tcBorders>
            <w:gridSpan w:val="22"/>
          </w:tcPr>
          <w:p>
            <w:pPr>
              <w:spacing w:after="0" w:line="169" w:lineRule="exact"/>
              <w:rPr>
                <w:rFonts w:ascii="Arial" w:cs="Arial" w:eastAsia="Arial" w:hAnsi="Arial"/>
                <w:sz w:val="16"/>
                <w:szCs w:val="16"/>
                <w:color w:val="0000FF"/>
              </w:rPr>
            </w:pPr>
            <w:hyperlink r:id="rId262">
              <w:r>
                <w:rPr>
                  <w:rFonts w:ascii="Arial" w:cs="Arial" w:eastAsia="Arial" w:hAnsi="Arial"/>
                  <w:sz w:val="16"/>
                  <w:szCs w:val="16"/>
                  <w:color w:val="0000FF"/>
                </w:rPr>
                <w:t>Co., LTD. Filed as Exhibit 10.46 to our Annual Report on Form 10-K for the year ended December 31, 2022.</w:t>
              </w:r>
            </w:hyperlink>
          </w:p>
        </w:tc>
        <w:tc>
          <w:tcPr>
            <w:tcW w:w="1840" w:type="dxa"/>
            <w:vAlign w:val="bottom"/>
            <w:tcBorders>
              <w:top w:val="single" w:sz="8" w:color="0000FF"/>
            </w:tcBorders>
            <w:gridSpan w:val="9"/>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19.1+</w:t>
            </w:r>
          </w:p>
        </w:tc>
        <w:tc>
          <w:tcPr>
            <w:tcW w:w="920" w:type="dxa"/>
            <w:vAlign w:val="bottom"/>
          </w:tcPr>
          <w:p>
            <w:pPr>
              <w:spacing w:after="0"/>
              <w:rPr>
                <w:sz w:val="18"/>
                <w:szCs w:val="18"/>
                <w:color w:val="auto"/>
              </w:rPr>
            </w:pPr>
          </w:p>
        </w:tc>
        <w:tc>
          <w:tcPr>
            <w:tcW w:w="23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Policy relating to insider trading.</w:t>
            </w:r>
          </w:p>
        </w:tc>
        <w:tc>
          <w:tcPr>
            <w:tcW w:w="7320" w:type="dxa"/>
            <w:vAlign w:val="bottom"/>
            <w:gridSpan w:val="29"/>
          </w:tcPr>
          <w:p>
            <w:pPr>
              <w:spacing w:after="0"/>
              <w:rPr>
                <w:sz w:val="18"/>
                <w:szCs w:val="18"/>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21+</w:t>
            </w:r>
          </w:p>
        </w:tc>
        <w:tc>
          <w:tcPr>
            <w:tcW w:w="920" w:type="dxa"/>
            <w:vAlign w:val="bottom"/>
          </w:tcPr>
          <w:p>
            <w:pPr>
              <w:spacing w:after="0"/>
              <w:rPr>
                <w:sz w:val="17"/>
                <w:szCs w:val="17"/>
                <w:color w:val="auto"/>
              </w:rPr>
            </w:pPr>
          </w:p>
        </w:tc>
        <w:tc>
          <w:tcPr>
            <w:tcW w:w="9620" w:type="dxa"/>
            <w:vAlign w:val="bottom"/>
            <w:gridSpan w:val="34"/>
          </w:tcPr>
          <w:p>
            <w:pPr>
              <w:spacing w:after="0"/>
              <w:rPr>
                <w:sz w:val="20"/>
                <w:szCs w:val="20"/>
                <w:color w:val="auto"/>
              </w:rPr>
            </w:pPr>
            <w:r>
              <w:rPr>
                <w:rFonts w:ascii="Arial" w:cs="Arial" w:eastAsia="Arial" w:hAnsi="Arial"/>
                <w:sz w:val="16"/>
                <w:szCs w:val="16"/>
                <w:color w:val="0000FF"/>
              </w:rPr>
              <w:t>Subsidiaries.</w:t>
            </w: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442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23+</w:t>
            </w:r>
          </w:p>
        </w:tc>
        <w:tc>
          <w:tcPr>
            <w:tcW w:w="920" w:type="dxa"/>
            <w:vAlign w:val="bottom"/>
          </w:tcPr>
          <w:p>
            <w:pPr>
              <w:spacing w:after="0"/>
              <w:rPr>
                <w:sz w:val="17"/>
                <w:szCs w:val="17"/>
                <w:color w:val="auto"/>
              </w:rPr>
            </w:pPr>
          </w:p>
        </w:tc>
        <w:tc>
          <w:tcPr>
            <w:tcW w:w="9620" w:type="dxa"/>
            <w:vAlign w:val="bottom"/>
            <w:gridSpan w:val="34"/>
          </w:tcPr>
          <w:p>
            <w:pPr>
              <w:spacing w:after="0"/>
              <w:rPr>
                <w:sz w:val="20"/>
                <w:szCs w:val="20"/>
                <w:color w:val="auto"/>
              </w:rPr>
            </w:pPr>
            <w:r>
              <w:rPr>
                <w:rFonts w:ascii="Arial" w:cs="Arial" w:eastAsia="Arial" w:hAnsi="Arial"/>
                <w:sz w:val="16"/>
                <w:szCs w:val="16"/>
                <w:color w:val="0000FF"/>
              </w:rPr>
              <w:t>Consent of PricewaterhouseCoopers LLP, an Independent Registered Public Accounting Firm.</w:t>
            </w: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4420" w:type="dxa"/>
            <w:vAlign w:val="bottom"/>
            <w:gridSpan w:val="1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920" w:type="dxa"/>
            <w:vAlign w:val="bottom"/>
          </w:tcPr>
          <w:p>
            <w:pPr>
              <w:spacing w:after="0"/>
              <w:rPr>
                <w:sz w:val="17"/>
                <w:szCs w:val="17"/>
                <w:color w:val="auto"/>
              </w:rPr>
            </w:pPr>
          </w:p>
        </w:tc>
        <w:tc>
          <w:tcPr>
            <w:tcW w:w="7320" w:type="dxa"/>
            <w:vAlign w:val="bottom"/>
            <w:tcBorders>
              <w:bottom w:val="single" w:sz="8" w:color="0000FF"/>
            </w:tcBorders>
            <w:gridSpan w:val="21"/>
          </w:tcPr>
          <w:p>
            <w:pPr>
              <w:spacing w:after="0"/>
              <w:rPr>
                <w:sz w:val="20"/>
                <w:szCs w:val="20"/>
                <w:color w:val="auto"/>
              </w:rPr>
            </w:pPr>
            <w:r>
              <w:rPr>
                <w:rFonts w:ascii="Arial" w:cs="Arial" w:eastAsia="Arial" w:hAnsi="Arial"/>
                <w:sz w:val="16"/>
                <w:szCs w:val="16"/>
                <w:color w:val="0000FF"/>
              </w:rPr>
              <w:t>Certification of the Chief Executive Officer pursuant to Section 302 of the Sarbanes-Oxley Act of 2002.</w:t>
            </w:r>
          </w:p>
        </w:tc>
        <w:tc>
          <w:tcPr>
            <w:tcW w:w="2300" w:type="dxa"/>
            <w:vAlign w:val="bottom"/>
            <w:gridSpan w:val="13"/>
          </w:tcPr>
          <w:p>
            <w:pPr>
              <w:spacing w:after="0"/>
              <w:rPr>
                <w:sz w:val="17"/>
                <w:szCs w:val="17"/>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920" w:type="dxa"/>
            <w:vAlign w:val="bottom"/>
          </w:tcPr>
          <w:p>
            <w:pPr>
              <w:spacing w:after="0"/>
              <w:rPr>
                <w:sz w:val="17"/>
                <w:szCs w:val="17"/>
                <w:color w:val="auto"/>
              </w:rPr>
            </w:pPr>
          </w:p>
        </w:tc>
        <w:tc>
          <w:tcPr>
            <w:tcW w:w="726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Certification of the Chief Financial Officer pursuant to Section 302 of the Sarbanes-Oxley Act of 2002.</w:t>
            </w:r>
          </w:p>
        </w:tc>
        <w:tc>
          <w:tcPr>
            <w:tcW w:w="2360" w:type="dxa"/>
            <w:vAlign w:val="bottom"/>
            <w:gridSpan w:val="14"/>
          </w:tcPr>
          <w:p>
            <w:pPr>
              <w:spacing w:after="0"/>
              <w:rPr>
                <w:sz w:val="17"/>
                <w:szCs w:val="17"/>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920" w:type="dxa"/>
            <w:vAlign w:val="bottom"/>
          </w:tcPr>
          <w:p>
            <w:pPr>
              <w:spacing w:after="0"/>
              <w:rPr>
                <w:sz w:val="17"/>
                <w:szCs w:val="17"/>
                <w:color w:val="auto"/>
              </w:rPr>
            </w:pPr>
          </w:p>
        </w:tc>
        <w:tc>
          <w:tcPr>
            <w:tcW w:w="9620" w:type="dxa"/>
            <w:vAlign w:val="bottom"/>
            <w:tcBorders>
              <w:bottom w:val="single" w:sz="8" w:color="0000FF"/>
            </w:tcBorders>
            <w:gridSpan w:val="34"/>
          </w:tcPr>
          <w:p>
            <w:pPr>
              <w:spacing w:after="0"/>
              <w:rPr>
                <w:sz w:val="20"/>
                <w:szCs w:val="20"/>
                <w:color w:val="auto"/>
              </w:rPr>
            </w:pPr>
            <w:r>
              <w:rPr>
                <w:rFonts w:ascii="Arial" w:cs="Arial" w:eastAsia="Arial" w:hAnsi="Arial"/>
                <w:sz w:val="16"/>
                <w:szCs w:val="16"/>
                <w:color w:val="0000FF"/>
              </w:rPr>
              <w:t>Certification of the Chief Executive Officer and the Chief Financial Officer pursuant to Section 906 of the Sarbanes-Oxley Act of</w:t>
            </w:r>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4"/>
              </w:rPr>
              <w:t>2002.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97.1</w:t>
            </w:r>
          </w:p>
        </w:tc>
        <w:tc>
          <w:tcPr>
            <w:tcW w:w="920" w:type="dxa"/>
            <w:vAlign w:val="bottom"/>
          </w:tcPr>
          <w:p>
            <w:pPr>
              <w:spacing w:after="0"/>
              <w:rPr>
                <w:sz w:val="17"/>
                <w:szCs w:val="17"/>
                <w:color w:val="auto"/>
              </w:rPr>
            </w:pPr>
          </w:p>
        </w:tc>
        <w:tc>
          <w:tcPr>
            <w:tcW w:w="9620" w:type="dxa"/>
            <w:vAlign w:val="bottom"/>
            <w:gridSpan w:val="34"/>
          </w:tcPr>
          <w:p>
            <w:pPr>
              <w:spacing w:after="0"/>
              <w:rPr>
                <w:rFonts w:ascii="Arial" w:cs="Arial" w:eastAsia="Arial" w:hAnsi="Arial"/>
                <w:sz w:val="16"/>
                <w:szCs w:val="16"/>
                <w:color w:val="0000FF"/>
              </w:rPr>
            </w:pPr>
            <w:hyperlink r:id="rId263">
              <w:r>
                <w:rPr>
                  <w:rFonts w:ascii="Arial" w:cs="Arial" w:eastAsia="Arial" w:hAnsi="Arial"/>
                  <w:sz w:val="16"/>
                  <w:szCs w:val="16"/>
                  <w:color w:val="0000FF"/>
                </w:rPr>
                <w:t>Policy relating to recovery of erroneously awarded compensation. Filed as Exhibit 97.1 to our Annual Report on Form 10-K for the</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year ended December 31, 2023.</w:t>
              </w:r>
            </w:hyperlink>
          </w:p>
        </w:tc>
        <w:tc>
          <w:tcPr>
            <w:tcW w:w="7200" w:type="dxa"/>
            <w:vAlign w:val="bottom"/>
            <w:tcBorders>
              <w:top w:val="single" w:sz="8" w:color="0000FF"/>
            </w:tcBorders>
            <w:gridSpan w:val="23"/>
          </w:tcPr>
          <w:p>
            <w:pPr>
              <w:spacing w:after="0"/>
              <w:rPr>
                <w:sz w:val="12"/>
                <w:szCs w:val="12"/>
                <w:color w:val="auto"/>
              </w:rPr>
            </w:pPr>
          </w:p>
        </w:tc>
        <w:tc>
          <w:tcPr>
            <w:tcW w:w="100" w:type="dxa"/>
            <w:vAlign w:val="bottom"/>
            <w:gridSpan w:val="5"/>
          </w:tcPr>
          <w:p>
            <w:pPr>
              <w:spacing w:after="0"/>
              <w:rPr>
                <w:sz w:val="12"/>
                <w:szCs w:val="12"/>
                <w:color w:val="auto"/>
              </w:rPr>
            </w:pPr>
          </w:p>
        </w:tc>
      </w:tr>
      <w:tr>
        <w:trPr>
          <w:trHeight w:val="183"/>
        </w:trPr>
        <w:tc>
          <w:tcPr>
            <w:tcW w:w="860" w:type="dxa"/>
            <w:vAlign w:val="bottom"/>
          </w:tcPr>
          <w:p>
            <w:pPr>
              <w:spacing w:after="0" w:line="183" w:lineRule="exact"/>
              <w:rPr>
                <w:sz w:val="20"/>
                <w:szCs w:val="20"/>
                <w:color w:val="auto"/>
              </w:rPr>
            </w:pPr>
            <w:r>
              <w:rPr>
                <w:rFonts w:ascii="Arial" w:cs="Arial" w:eastAsia="Arial" w:hAnsi="Arial"/>
                <w:sz w:val="16"/>
                <w:szCs w:val="16"/>
                <w:color w:val="auto"/>
              </w:rPr>
              <w:t>101++</w:t>
            </w:r>
          </w:p>
        </w:tc>
        <w:tc>
          <w:tcPr>
            <w:tcW w:w="920" w:type="dxa"/>
            <w:vAlign w:val="bottom"/>
          </w:tcPr>
          <w:p>
            <w:pPr>
              <w:spacing w:after="0"/>
              <w:rPr>
                <w:sz w:val="15"/>
                <w:szCs w:val="15"/>
                <w:color w:val="auto"/>
              </w:rPr>
            </w:pPr>
          </w:p>
        </w:tc>
        <w:tc>
          <w:tcPr>
            <w:tcW w:w="9620" w:type="dxa"/>
            <w:vAlign w:val="bottom"/>
            <w:gridSpan w:val="34"/>
          </w:tcPr>
          <w:p>
            <w:pPr>
              <w:spacing w:after="0" w:line="183" w:lineRule="exact"/>
              <w:rPr>
                <w:sz w:val="20"/>
                <w:szCs w:val="20"/>
                <w:color w:val="auto"/>
              </w:rPr>
            </w:pPr>
            <w:r>
              <w:rPr>
                <w:rFonts w:ascii="Arial" w:cs="Arial" w:eastAsia="Arial" w:hAnsi="Arial"/>
                <w:sz w:val="16"/>
                <w:szCs w:val="16"/>
                <w:color w:val="auto"/>
              </w:rPr>
              <w:t>The following materials from Biogen Inc.’s Annual Report on Form 10-K for the year ended December 31, 2025, formatted in iXBRL</w:t>
            </w:r>
          </w:p>
        </w:tc>
      </w:t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20" w:type="dxa"/>
            <w:vAlign w:val="bottom"/>
            <w:gridSpan w:val="34"/>
          </w:tcPr>
          <w:p>
            <w:pPr>
              <w:spacing w:after="0" w:line="162" w:lineRule="exact"/>
              <w:rPr>
                <w:sz w:val="20"/>
                <w:szCs w:val="20"/>
                <w:color w:val="auto"/>
              </w:rPr>
            </w:pPr>
            <w:r>
              <w:rPr>
                <w:rFonts w:ascii="Arial" w:cs="Arial" w:eastAsia="Arial" w:hAnsi="Arial"/>
                <w:sz w:val="16"/>
                <w:szCs w:val="16"/>
                <w:color w:val="auto"/>
              </w:rPr>
              <w:t>(Inline Extensible Business Reporting Language): (i) the Consolidated Statements of Income, (ii) the Consolidated Statements of</w:t>
            </w:r>
          </w:p>
        </w:tc>
      </w:t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20" w:type="dxa"/>
            <w:vAlign w:val="bottom"/>
            <w:gridSpan w:val="34"/>
          </w:tcPr>
          <w:p>
            <w:pPr>
              <w:spacing w:after="0" w:line="162" w:lineRule="exact"/>
              <w:rPr>
                <w:sz w:val="20"/>
                <w:szCs w:val="20"/>
                <w:color w:val="auto"/>
              </w:rPr>
            </w:pPr>
            <w:r>
              <w:rPr>
                <w:rFonts w:ascii="Arial" w:cs="Arial" w:eastAsia="Arial" w:hAnsi="Arial"/>
                <w:sz w:val="16"/>
                <w:szCs w:val="16"/>
                <w:color w:val="auto"/>
              </w:rPr>
              <w:t>Comprehensive Income, (iii) the Consolidated Balance Sheets, (iv) the Consolidated Statements of Cash Flow, (v) the Consolidated</w:t>
            </w:r>
          </w:p>
        </w:tc>
      </w:tr>
      <w:tr>
        <w:trPr>
          <w:trHeight w:val="215"/>
        </w:trPr>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20" w:type="dxa"/>
            <w:vAlign w:val="bottom"/>
            <w:gridSpan w:val="34"/>
          </w:tcPr>
          <w:p>
            <w:pPr>
              <w:spacing w:after="0"/>
              <w:rPr>
                <w:sz w:val="20"/>
                <w:szCs w:val="20"/>
                <w:color w:val="auto"/>
              </w:rPr>
            </w:pPr>
            <w:r>
              <w:rPr>
                <w:rFonts w:ascii="Arial" w:cs="Arial" w:eastAsia="Arial" w:hAnsi="Arial"/>
                <w:sz w:val="16"/>
                <w:szCs w:val="16"/>
                <w:color w:val="auto"/>
              </w:rPr>
              <w:t>Statements of Equity and (vi) Notes to Consolidated Financial Statements.</w:t>
            </w:r>
          </w:p>
        </w:tc>
      </w:tr>
      <w:tr>
        <w:trPr>
          <w:trHeight w:val="215"/>
        </w:trPr>
        <w:tc>
          <w:tcPr>
            <w:tcW w:w="860" w:type="dxa"/>
            <w:vAlign w:val="bottom"/>
          </w:tcPr>
          <w:p>
            <w:pPr>
              <w:spacing w:after="0"/>
              <w:rPr>
                <w:sz w:val="20"/>
                <w:szCs w:val="20"/>
                <w:color w:val="auto"/>
              </w:rPr>
            </w:pPr>
            <w:r>
              <w:rPr>
                <w:rFonts w:ascii="Arial" w:cs="Arial" w:eastAsia="Arial" w:hAnsi="Arial"/>
                <w:sz w:val="16"/>
                <w:szCs w:val="16"/>
                <w:color w:val="auto"/>
              </w:rPr>
              <w:t>104</w:t>
            </w:r>
          </w:p>
        </w:tc>
        <w:tc>
          <w:tcPr>
            <w:tcW w:w="920" w:type="dxa"/>
            <w:vAlign w:val="bottom"/>
          </w:tcPr>
          <w:p>
            <w:pPr>
              <w:spacing w:after="0"/>
              <w:rPr>
                <w:sz w:val="18"/>
                <w:szCs w:val="18"/>
                <w:color w:val="auto"/>
              </w:rPr>
            </w:pPr>
          </w:p>
        </w:tc>
        <w:tc>
          <w:tcPr>
            <w:tcW w:w="9620" w:type="dxa"/>
            <w:vAlign w:val="bottom"/>
            <w:gridSpan w:val="34"/>
          </w:tcPr>
          <w:p>
            <w:pPr>
              <w:spacing w:after="0"/>
              <w:rPr>
                <w:sz w:val="20"/>
                <w:szCs w:val="20"/>
                <w:color w:val="auto"/>
              </w:rPr>
            </w:pPr>
            <w:r>
              <w:rPr>
                <w:rFonts w:ascii="Arial" w:cs="Arial" w:eastAsia="Arial" w:hAnsi="Arial"/>
                <w:sz w:val="16"/>
                <w:szCs w:val="16"/>
                <w:color w:val="auto"/>
              </w:rPr>
              <w:t>Cover Page Interactive Data File (contained in Exhibit 101)</w:t>
            </w:r>
          </w:p>
        </w:tc>
      </w:tr>
    </w:tbl>
    <w:p>
      <w:pPr>
        <w:spacing w:after="0" w:line="236" w:lineRule="exact"/>
        <w:rPr>
          <w:sz w:val="20"/>
          <w:szCs w:val="20"/>
          <w:color w:val="auto"/>
        </w:rPr>
      </w:pPr>
    </w:p>
    <w:p>
      <w:pPr>
        <w:ind w:left="680" w:hanging="533"/>
        <w:spacing w:after="0"/>
        <w:tabs>
          <w:tab w:leader="none" w:pos="6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217" w:lineRule="exact"/>
        <w:rPr>
          <w:sz w:val="20"/>
          <w:szCs w:val="20"/>
          <w:color w:val="auto"/>
        </w:rPr>
      </w:pPr>
    </w:p>
    <w:p>
      <w:pPr>
        <w:ind w:left="680" w:hanging="533"/>
        <w:spacing w:after="0"/>
        <w:tabs>
          <w:tab w:leader="none" w:pos="6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Confidential treatment has been granted or requested with respect to portions of this exhibit.</w:t>
      </w:r>
    </w:p>
    <w:p>
      <w:pPr>
        <w:spacing w:after="0" w:line="203" w:lineRule="exact"/>
        <w:rPr>
          <w:rFonts w:ascii="Arial" w:cs="Arial" w:eastAsia="Arial" w:hAnsi="Arial"/>
          <w:sz w:val="14"/>
          <w:szCs w:val="14"/>
          <w:color w:val="auto"/>
        </w:rPr>
      </w:pPr>
    </w:p>
    <w:p>
      <w:pPr>
        <w:ind w:left="140"/>
        <w:spacing w:after="0"/>
        <w:rPr>
          <w:rFonts w:ascii="Arial" w:cs="Arial" w:eastAsia="Arial" w:hAnsi="Arial"/>
          <w:sz w:val="14"/>
          <w:szCs w:val="14"/>
          <w:color w:val="auto"/>
        </w:rPr>
      </w:pPr>
      <w:r>
        <w:rPr>
          <w:rFonts w:ascii="Arial" w:cs="Arial" w:eastAsia="Arial" w:hAnsi="Arial"/>
          <w:sz w:val="14"/>
          <w:szCs w:val="14"/>
          <w:color w:val="auto"/>
        </w:rPr>
        <w:t>+Filed herewith.</w:t>
      </w:r>
    </w:p>
    <w:p>
      <w:pPr>
        <w:spacing w:after="0" w:line="217" w:lineRule="exact"/>
        <w:rPr>
          <w:sz w:val="20"/>
          <w:szCs w:val="20"/>
          <w:color w:val="auto"/>
        </w:rPr>
      </w:pPr>
    </w:p>
    <w:p>
      <w:pPr>
        <w:ind w:left="680" w:hanging="614"/>
        <w:spacing w:after="0"/>
        <w:tabs>
          <w:tab w:leader="none" w:pos="680" w:val="left"/>
        </w:tabs>
        <w:numPr>
          <w:ilvl w:val="0"/>
          <w:numId w:val="9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00587F"/>
        </w:rPr>
        <w:t>SIGNATURES</w:t>
      </w:r>
    </w:p>
    <w:p>
      <w:pPr>
        <w:spacing w:after="0" w:line="9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58"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BIOGEN INC.</w:t>
      </w:r>
    </w:p>
    <w:p>
      <w:pPr>
        <w:spacing w:after="0" w:line="293" w:lineRule="exact"/>
        <w:rPr>
          <w:sz w:val="20"/>
          <w:szCs w:val="20"/>
          <w:color w:val="auto"/>
        </w:rPr>
      </w:pPr>
    </w:p>
    <w:p>
      <w:pPr>
        <w:ind w:left="7000"/>
        <w:spacing w:after="0"/>
        <w:tabs>
          <w:tab w:leader="none" w:pos="768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CHRISTOPHER A. VIEHBACHER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34925</wp:posOffset>
            </wp:positionV>
            <wp:extent cx="22542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5">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Christopher A. Viehbacher</w:t>
      </w:r>
    </w:p>
    <w:p>
      <w:pPr>
        <w:spacing w:after="0" w:line="5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38" w:right="5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40"/>
          </w:cols>
          <w:pgMar w:left="320" w:top="238" w:right="539" w:bottom="1440" w:gutter="0" w:footer="0" w:header="0"/>
        </w:sect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r>
      <w:tr>
        <w:trPr>
          <w:trHeight w:val="20"/>
        </w:trPr>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502"/>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CHRISTOPHER A. VIEHBACHER</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Christopher A. Viehbacher</w:t>
            </w:r>
          </w:p>
        </w:tc>
      </w:tr>
      <w:tr>
        <w:trPr>
          <w:trHeight w:val="544"/>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ROBIN C. KRAMER</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Robin C. Kramer</w:t>
            </w:r>
          </w:p>
        </w:tc>
      </w:tr>
      <w:tr>
        <w:trPr>
          <w:trHeight w:val="544"/>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SEAN GODBOUT</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Sean Godbout</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CAROLINE D. DORSA</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Caroline D. Dorsa</w:t>
            </w:r>
          </w:p>
        </w:tc>
      </w:tr>
      <w:tr>
        <w:trPr>
          <w:trHeight w:val="544"/>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MARIA C. FREIRE</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Maria C. Freire</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WILLIAM A. HAWKINS</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William A. Hawkins</w:t>
            </w:r>
          </w:p>
        </w:tc>
      </w:tr>
      <w:tr>
        <w:trPr>
          <w:trHeight w:val="544"/>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SUSAN LANGER</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Susan Langer</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JESUS B. MANTAS</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Jesus B. Mantas</w:t>
            </w:r>
          </w:p>
        </w:tc>
      </w:tr>
      <w:tr>
        <w:trPr>
          <w:trHeight w:val="53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LLOYD B. MINOR</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Lloyd B. Minor</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SIR MENELAS PANGALOS</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Sir Menelas Pangalos</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MONISH PATOLAWALA</w:t>
            </w:r>
          </w:p>
        </w:tc>
      </w:tr>
      <w:tr>
        <w:trPr>
          <w:trHeight w:val="246"/>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Monish Patolawala</w:t>
            </w:r>
          </w:p>
        </w:tc>
      </w:tr>
      <w:tr>
        <w:trPr>
          <w:trHeight w:val="490"/>
        </w:trPr>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w:t>
            </w:r>
          </w:p>
        </w:tc>
        <w:tc>
          <w:tcPr>
            <w:tcW w:w="43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ERIC K. ROWINSKY</w:t>
            </w:r>
          </w:p>
        </w:tc>
      </w:tr>
      <w:tr>
        <w:trPr>
          <w:trHeight w:val="192"/>
        </w:trPr>
        <w:tc>
          <w:tcPr>
            <w:tcW w:w="4660" w:type="dxa"/>
            <w:vAlign w:val="bottom"/>
            <w:gridSpan w:val="4"/>
          </w:tcPr>
          <w:p>
            <w:pPr>
              <w:ind w:left="20"/>
              <w:spacing w:after="0"/>
              <w:rPr>
                <w:sz w:val="20"/>
                <w:szCs w:val="20"/>
                <w:color w:val="auto"/>
              </w:rPr>
            </w:pPr>
            <w:r>
              <w:rPr>
                <w:rFonts w:ascii="Arial" w:cs="Arial" w:eastAsia="Arial" w:hAnsi="Arial"/>
                <w:sz w:val="14"/>
                <w:szCs w:val="14"/>
                <w:color w:val="auto"/>
              </w:rPr>
              <w:t>Eric K. Rowinsky</w:t>
            </w:r>
          </w:p>
        </w:tc>
      </w:tr>
      <w:tr>
        <w:trPr>
          <w:trHeight w:val="527"/>
        </w:trPr>
        <w:tc>
          <w:tcPr>
            <w:tcW w:w="280" w:type="dxa"/>
            <w:vAlign w:val="bottom"/>
          </w:tcPr>
          <w:p>
            <w:pPr>
              <w:ind w:left="20"/>
              <w:spacing w:after="0"/>
              <w:rPr>
                <w:sz w:val="20"/>
                <w:szCs w:val="20"/>
                <w:color w:val="auto"/>
              </w:rPr>
            </w:pPr>
            <w:r>
              <w:rPr>
                <w:rFonts w:ascii="Arial" w:cs="Arial" w:eastAsia="Arial" w:hAnsi="Arial"/>
                <w:sz w:val="14"/>
                <w:szCs w:val="14"/>
                <w:color w:val="auto"/>
              </w:rPr>
              <w:t>/S/</w:t>
            </w:r>
          </w:p>
        </w:tc>
        <w:tc>
          <w:tcPr>
            <w:tcW w:w="4380" w:type="dxa"/>
            <w:vAlign w:val="bottom"/>
            <w:gridSpan w:val="3"/>
          </w:tcPr>
          <w:p>
            <w:pPr>
              <w:ind w:left="80"/>
              <w:spacing w:after="0"/>
              <w:rPr>
                <w:sz w:val="20"/>
                <w:szCs w:val="20"/>
                <w:color w:val="auto"/>
              </w:rPr>
            </w:pPr>
            <w:r>
              <w:rPr>
                <w:rFonts w:ascii="Arial" w:cs="Arial" w:eastAsia="Arial" w:hAnsi="Arial"/>
                <w:sz w:val="14"/>
                <w:szCs w:val="14"/>
                <w:color w:val="auto"/>
              </w:rPr>
              <w:t>STEPHEN A. SHERWIN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9489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Stephen A. Sherwin</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680" w:type="dxa"/>
            <w:vAlign w:val="bottom"/>
            <w:gridSpan w:val="2"/>
          </w:tcPr>
          <w:p>
            <w:pPr>
              <w:jc w:val="center"/>
              <w:ind w:right="2080"/>
              <w:spacing w:after="0"/>
              <w:rPr>
                <w:sz w:val="20"/>
                <w:szCs w:val="20"/>
                <w:color w:val="auto"/>
              </w:rPr>
            </w:pPr>
            <w:r>
              <w:rPr>
                <w:rFonts w:ascii="Arial" w:cs="Arial" w:eastAsia="Arial" w:hAnsi="Arial"/>
                <w:sz w:val="14"/>
                <w:szCs w:val="14"/>
                <w:b w:val="1"/>
                <w:bCs w:val="1"/>
                <w:color w:val="auto"/>
              </w:rPr>
              <w:t>Capacity</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4380" w:type="dxa"/>
            <w:vAlign w:val="bottom"/>
            <w:gridSpan w:val="3"/>
          </w:tcPr>
          <w:p>
            <w:pPr>
              <w:jc w:val="center"/>
              <w:ind w:right="360"/>
              <w:spacing w:after="0"/>
              <w:rPr>
                <w:sz w:val="20"/>
                <w:szCs w:val="20"/>
                <w:color w:val="auto"/>
              </w:rPr>
            </w:pPr>
            <w:r>
              <w:rPr>
                <w:rFonts w:ascii="Arial" w:cs="Arial" w:eastAsia="Arial" w:hAnsi="Arial"/>
                <w:sz w:val="14"/>
                <w:szCs w:val="14"/>
                <w:color w:val="auto"/>
              </w:rPr>
              <w:t>Director and Chief Executive Officer (principal executive officer)</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643"/>
        </w:trPr>
        <w:tc>
          <w:tcPr>
            <w:tcW w:w="4380" w:type="dxa"/>
            <w:vAlign w:val="bottom"/>
            <w:gridSpan w:val="3"/>
          </w:tcPr>
          <w:p>
            <w:pPr>
              <w:jc w:val="center"/>
              <w:ind w:right="360"/>
              <w:spacing w:after="0"/>
              <w:rPr>
                <w:sz w:val="20"/>
                <w:szCs w:val="20"/>
                <w:color w:val="auto"/>
              </w:rPr>
            </w:pPr>
            <w:r>
              <w:rPr>
                <w:rFonts w:ascii="Arial" w:cs="Arial" w:eastAsia="Arial" w:hAnsi="Arial"/>
                <w:sz w:val="14"/>
                <w:szCs w:val="14"/>
                <w:color w:val="auto"/>
              </w:rPr>
              <w:t>Executive Vice President and Chief Financial Officer (principal</w:t>
            </w:r>
          </w:p>
        </w:tc>
        <w:tc>
          <w:tcPr>
            <w:tcW w:w="1460" w:type="dxa"/>
            <w:vAlign w:val="bottom"/>
            <w:gridSpan w:val="3"/>
            <w:vMerge w:val="restart"/>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113"/>
        </w:trPr>
        <w:tc>
          <w:tcPr>
            <w:tcW w:w="4380" w:type="dxa"/>
            <w:vAlign w:val="bottom"/>
            <w:gridSpan w:val="3"/>
            <w:vMerge w:val="restart"/>
          </w:tcPr>
          <w:p>
            <w:pPr>
              <w:jc w:val="center"/>
              <w:ind w:right="380"/>
              <w:spacing w:after="0"/>
              <w:rPr>
                <w:sz w:val="20"/>
                <w:szCs w:val="20"/>
                <w:color w:val="auto"/>
              </w:rPr>
            </w:pPr>
            <w:r>
              <w:rPr>
                <w:rFonts w:ascii="Arial" w:cs="Arial" w:eastAsia="Arial" w:hAnsi="Arial"/>
                <w:sz w:val="14"/>
                <w:szCs w:val="14"/>
                <w:color w:val="auto"/>
              </w:rPr>
              <w:t>financial officer)</w:t>
            </w:r>
          </w:p>
        </w:tc>
        <w:tc>
          <w:tcPr>
            <w:tcW w:w="14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43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8"/>
        </w:trPr>
        <w:tc>
          <w:tcPr>
            <w:tcW w:w="4380" w:type="dxa"/>
            <w:vAlign w:val="bottom"/>
            <w:gridSpan w:val="3"/>
          </w:tcPr>
          <w:p>
            <w:pPr>
              <w:jc w:val="center"/>
              <w:ind w:right="360"/>
              <w:spacing w:after="0"/>
              <w:rPr>
                <w:sz w:val="20"/>
                <w:szCs w:val="20"/>
                <w:color w:val="auto"/>
              </w:rPr>
            </w:pPr>
            <w:r>
              <w:rPr>
                <w:rFonts w:ascii="Arial" w:cs="Arial" w:eastAsia="Arial" w:hAnsi="Arial"/>
                <w:sz w:val="14"/>
                <w:szCs w:val="14"/>
                <w:color w:val="auto"/>
              </w:rPr>
              <w:t>Vice President, Chief Accounting Officer and Global Corporate</w:t>
            </w:r>
          </w:p>
        </w:tc>
        <w:tc>
          <w:tcPr>
            <w:tcW w:w="1460" w:type="dxa"/>
            <w:vAlign w:val="bottom"/>
            <w:gridSpan w:val="3"/>
            <w:vMerge w:val="restart"/>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139"/>
        </w:trPr>
        <w:tc>
          <w:tcPr>
            <w:tcW w:w="4380" w:type="dxa"/>
            <w:vAlign w:val="bottom"/>
            <w:gridSpan w:val="3"/>
          </w:tcPr>
          <w:p>
            <w:pPr>
              <w:jc w:val="center"/>
              <w:ind w:right="360"/>
              <w:spacing w:after="0" w:line="139" w:lineRule="exact"/>
              <w:rPr>
                <w:sz w:val="20"/>
                <w:szCs w:val="20"/>
                <w:color w:val="auto"/>
              </w:rPr>
            </w:pPr>
            <w:r>
              <w:rPr>
                <w:rFonts w:ascii="Arial" w:cs="Arial" w:eastAsia="Arial" w:hAnsi="Arial"/>
                <w:sz w:val="14"/>
                <w:szCs w:val="14"/>
                <w:color w:val="auto"/>
              </w:rPr>
              <w:t>Controller</w:t>
            </w: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380" w:type="dxa"/>
            <w:vAlign w:val="bottom"/>
            <w:gridSpan w:val="3"/>
          </w:tcPr>
          <w:p>
            <w:pPr>
              <w:jc w:val="center"/>
              <w:ind w:right="380"/>
              <w:spacing w:after="0"/>
              <w:rPr>
                <w:sz w:val="20"/>
                <w:szCs w:val="20"/>
                <w:color w:val="auto"/>
              </w:rPr>
            </w:pPr>
            <w:r>
              <w:rPr>
                <w:rFonts w:ascii="Arial" w:cs="Arial" w:eastAsia="Arial" w:hAnsi="Arial"/>
                <w:sz w:val="14"/>
                <w:szCs w:val="14"/>
                <w:color w:val="auto"/>
              </w:rPr>
              <w:t>(principal accounting officer)</w:t>
            </w: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8"/>
        </w:trPr>
        <w:tc>
          <w:tcPr>
            <w:tcW w:w="4380" w:type="dxa"/>
            <w:vAlign w:val="bottom"/>
            <w:gridSpan w:val="3"/>
          </w:tcPr>
          <w:p>
            <w:pPr>
              <w:jc w:val="center"/>
              <w:ind w:right="360"/>
              <w:spacing w:after="0"/>
              <w:rPr>
                <w:sz w:val="20"/>
                <w:szCs w:val="20"/>
                <w:color w:val="auto"/>
              </w:rPr>
            </w:pPr>
            <w:r>
              <w:rPr>
                <w:rFonts w:ascii="Arial" w:cs="Arial" w:eastAsia="Arial" w:hAnsi="Arial"/>
                <w:sz w:val="14"/>
                <w:szCs w:val="14"/>
                <w:color w:val="auto"/>
              </w:rPr>
              <w:t>Director and Chair of the Board of Directors</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80" w:type="dxa"/>
            <w:vAlign w:val="bottom"/>
            <w:gridSpan w:val="2"/>
          </w:tcPr>
          <w:p>
            <w:pPr>
              <w:jc w:val="center"/>
              <w:ind w:right="2060"/>
              <w:spacing w:after="0"/>
              <w:rPr>
                <w:sz w:val="20"/>
                <w:szCs w:val="20"/>
                <w:color w:val="auto"/>
              </w:rPr>
            </w:pPr>
            <w:r>
              <w:rPr>
                <w:rFonts w:ascii="Arial" w:cs="Arial" w:eastAsia="Arial" w:hAnsi="Arial"/>
                <w:sz w:val="14"/>
                <w:szCs w:val="14"/>
                <w:color w:val="auto"/>
              </w:rPr>
              <w:t>Director</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80" w:type="dxa"/>
            <w:vAlign w:val="bottom"/>
            <w:gridSpan w:val="2"/>
          </w:tcPr>
          <w:p>
            <w:pPr>
              <w:jc w:val="center"/>
              <w:ind w:right="2060"/>
              <w:spacing w:after="0"/>
              <w:rPr>
                <w:sz w:val="20"/>
                <w:szCs w:val="20"/>
                <w:color w:val="auto"/>
              </w:rPr>
            </w:pPr>
            <w:r>
              <w:rPr>
                <w:rFonts w:ascii="Arial" w:cs="Arial" w:eastAsia="Arial" w:hAnsi="Arial"/>
                <w:sz w:val="14"/>
                <w:szCs w:val="14"/>
                <w:color w:val="auto"/>
              </w:rPr>
              <w:t>Director</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80" w:type="dxa"/>
            <w:vAlign w:val="bottom"/>
            <w:gridSpan w:val="2"/>
          </w:tcPr>
          <w:p>
            <w:pPr>
              <w:jc w:val="center"/>
              <w:ind w:right="2060"/>
              <w:spacing w:after="0"/>
              <w:rPr>
                <w:sz w:val="20"/>
                <w:szCs w:val="20"/>
                <w:color w:val="auto"/>
              </w:rPr>
            </w:pPr>
            <w:r>
              <w:rPr>
                <w:rFonts w:ascii="Arial" w:cs="Arial" w:eastAsia="Arial" w:hAnsi="Arial"/>
                <w:sz w:val="14"/>
                <w:szCs w:val="14"/>
                <w:color w:val="auto"/>
              </w:rPr>
              <w:t>Director</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80" w:type="dxa"/>
            <w:vAlign w:val="bottom"/>
            <w:gridSpan w:val="2"/>
          </w:tcPr>
          <w:p>
            <w:pPr>
              <w:jc w:val="center"/>
              <w:ind w:right="2060"/>
              <w:spacing w:after="0"/>
              <w:rPr>
                <w:sz w:val="20"/>
                <w:szCs w:val="20"/>
                <w:color w:val="auto"/>
              </w:rPr>
            </w:pPr>
            <w:r>
              <w:rPr>
                <w:rFonts w:ascii="Arial" w:cs="Arial" w:eastAsia="Arial" w:hAnsi="Arial"/>
                <w:sz w:val="14"/>
                <w:szCs w:val="14"/>
                <w:color w:val="auto"/>
              </w:rPr>
              <w:t>Director</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742"/>
        </w:trPr>
        <w:tc>
          <w:tcPr>
            <w:tcW w:w="1700" w:type="dxa"/>
            <w:vAlign w:val="bottom"/>
          </w:tcPr>
          <w:p>
            <w:pPr>
              <w:spacing w:after="0"/>
              <w:rPr>
                <w:sz w:val="24"/>
                <w:szCs w:val="24"/>
                <w:color w:val="auto"/>
              </w:rPr>
            </w:pPr>
          </w:p>
        </w:tc>
        <w:tc>
          <w:tcPr>
            <w:tcW w:w="2680" w:type="dxa"/>
            <w:vAlign w:val="bottom"/>
            <w:gridSpan w:val="2"/>
          </w:tcPr>
          <w:p>
            <w:pPr>
              <w:jc w:val="center"/>
              <w:ind w:right="2060"/>
              <w:spacing w:after="0"/>
              <w:rPr>
                <w:sz w:val="20"/>
                <w:szCs w:val="20"/>
                <w:color w:val="auto"/>
              </w:rPr>
            </w:pPr>
            <w:r>
              <w:rPr>
                <w:rFonts w:ascii="Arial" w:cs="Arial" w:eastAsia="Arial" w:hAnsi="Arial"/>
                <w:sz w:val="14"/>
                <w:szCs w:val="14"/>
                <w:color w:val="auto"/>
              </w:rPr>
              <w:t>Director</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80" w:type="dxa"/>
            <w:vAlign w:val="bottom"/>
            <w:gridSpan w:val="2"/>
          </w:tcPr>
          <w:p>
            <w:pPr>
              <w:jc w:val="center"/>
              <w:ind w:right="2060"/>
              <w:spacing w:after="0"/>
              <w:rPr>
                <w:sz w:val="20"/>
                <w:szCs w:val="20"/>
                <w:color w:val="auto"/>
              </w:rPr>
            </w:pPr>
            <w:r>
              <w:rPr>
                <w:rFonts w:ascii="Arial" w:cs="Arial" w:eastAsia="Arial" w:hAnsi="Arial"/>
                <w:sz w:val="14"/>
                <w:szCs w:val="14"/>
                <w:color w:val="auto"/>
              </w:rPr>
              <w:t>Director</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80" w:type="dxa"/>
            <w:vAlign w:val="bottom"/>
            <w:gridSpan w:val="2"/>
          </w:tcPr>
          <w:p>
            <w:pPr>
              <w:jc w:val="center"/>
              <w:ind w:right="2060"/>
              <w:spacing w:after="0"/>
              <w:rPr>
                <w:sz w:val="20"/>
                <w:szCs w:val="20"/>
                <w:color w:val="auto"/>
              </w:rPr>
            </w:pPr>
            <w:r>
              <w:rPr>
                <w:rFonts w:ascii="Arial" w:cs="Arial" w:eastAsia="Arial" w:hAnsi="Arial"/>
                <w:sz w:val="14"/>
                <w:szCs w:val="14"/>
                <w:color w:val="auto"/>
              </w:rPr>
              <w:t>Director</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756"/>
        </w:trPr>
        <w:tc>
          <w:tcPr>
            <w:tcW w:w="1700" w:type="dxa"/>
            <w:vAlign w:val="bottom"/>
          </w:tcPr>
          <w:p>
            <w:pPr>
              <w:spacing w:after="0"/>
              <w:rPr>
                <w:sz w:val="24"/>
                <w:szCs w:val="24"/>
                <w:color w:val="auto"/>
              </w:rPr>
            </w:pPr>
          </w:p>
        </w:tc>
        <w:tc>
          <w:tcPr>
            <w:tcW w:w="2680" w:type="dxa"/>
            <w:vAlign w:val="bottom"/>
            <w:gridSpan w:val="2"/>
          </w:tcPr>
          <w:p>
            <w:pPr>
              <w:jc w:val="center"/>
              <w:ind w:right="2060"/>
              <w:spacing w:after="0"/>
              <w:rPr>
                <w:sz w:val="20"/>
                <w:szCs w:val="20"/>
                <w:color w:val="auto"/>
              </w:rPr>
            </w:pPr>
            <w:r>
              <w:rPr>
                <w:rFonts w:ascii="Arial" w:cs="Arial" w:eastAsia="Arial" w:hAnsi="Arial"/>
                <w:sz w:val="14"/>
                <w:szCs w:val="14"/>
                <w:color w:val="auto"/>
              </w:rPr>
              <w:t>Director</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r>
        <w:trPr>
          <w:trHeight w:val="743"/>
        </w:trPr>
        <w:tc>
          <w:tcPr>
            <w:tcW w:w="1700" w:type="dxa"/>
            <w:vAlign w:val="bottom"/>
          </w:tcPr>
          <w:p>
            <w:pPr>
              <w:spacing w:after="0"/>
              <w:rPr>
                <w:sz w:val="24"/>
                <w:szCs w:val="24"/>
                <w:color w:val="auto"/>
              </w:rPr>
            </w:pPr>
          </w:p>
        </w:tc>
        <w:tc>
          <w:tcPr>
            <w:tcW w:w="2680" w:type="dxa"/>
            <w:vAlign w:val="bottom"/>
            <w:gridSpan w:val="2"/>
          </w:tcPr>
          <w:p>
            <w:pPr>
              <w:jc w:val="center"/>
              <w:ind w:right="2060"/>
              <w:spacing w:after="0"/>
              <w:rPr>
                <w:sz w:val="20"/>
                <w:szCs w:val="20"/>
                <w:color w:val="auto"/>
              </w:rPr>
            </w:pPr>
            <w:r>
              <w:rPr>
                <w:rFonts w:ascii="Arial" w:cs="Arial" w:eastAsia="Arial" w:hAnsi="Arial"/>
                <w:sz w:val="14"/>
                <w:szCs w:val="14"/>
                <w:color w:val="auto"/>
              </w:rPr>
              <w:t>Director</w:t>
            </w:r>
          </w:p>
        </w:tc>
        <w:tc>
          <w:tcPr>
            <w:tcW w:w="1460" w:type="dxa"/>
            <w:vAlign w:val="bottom"/>
            <w:gridSpan w:val="3"/>
          </w:tcPr>
          <w:p>
            <w:pPr>
              <w:jc w:val="center"/>
              <w:ind w:left="308"/>
              <w:spacing w:after="0"/>
              <w:rPr>
                <w:sz w:val="20"/>
                <w:szCs w:val="20"/>
                <w:color w:val="auto"/>
              </w:rPr>
            </w:pPr>
            <w:r>
              <w:rPr>
                <w:rFonts w:ascii="Arial" w:cs="Arial" w:eastAsia="Arial" w:hAnsi="Arial"/>
                <w:sz w:val="14"/>
                <w:szCs w:val="14"/>
                <w:color w:val="auto"/>
              </w:rPr>
              <w:t>February 6, 2026</w:t>
            </w:r>
          </w:p>
        </w:tc>
        <w:tc>
          <w:tcPr>
            <w:tcW w:w="0" w:type="dxa"/>
            <w:vAlign w:val="bottom"/>
          </w:tcPr>
          <w:p>
            <w:pPr>
              <w:spacing w:after="0"/>
              <w:rPr>
                <w:sz w:val="1"/>
                <w:szCs w:val="1"/>
                <w:color w:val="auto"/>
              </w:rPr>
            </w:pPr>
          </w:p>
        </w:tc>
      </w:tr>
    </w:tbl>
    <w:p>
      <w:pPr>
        <w:spacing w:after="0" w:line="373" w:lineRule="exact"/>
        <w:rPr>
          <w:sz w:val="20"/>
          <w:szCs w:val="20"/>
          <w:color w:val="auto"/>
        </w:rPr>
      </w:pPr>
    </w:p>
    <w:p>
      <w:pPr>
        <w:sectPr>
          <w:pgSz w:w="11900" w:h="16838" w:orient="portrait"/>
          <w:cols w:equalWidth="0" w:num="2">
            <w:col w:w="4660" w:space="260"/>
            <w:col w:w="6120"/>
          </w:cols>
          <w:pgMar w:left="320" w:top="238" w:right="5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238" w:right="5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CONSOLIDATED FINANCIAL STATEMENTS</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9780" w:type="dxa"/>
            <w:vAlign w:val="bottom"/>
          </w:tcPr>
          <w:p>
            <w:pPr>
              <w:spacing w:after="0"/>
              <w:rPr>
                <w:sz w:val="17"/>
                <w:szCs w:val="17"/>
                <w:color w:val="auto"/>
              </w:rPr>
            </w:pPr>
          </w:p>
        </w:tc>
        <w:tc>
          <w:tcPr>
            <w:tcW w:w="14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Page Number</w:t>
            </w:r>
          </w:p>
        </w:tc>
      </w:tr>
      <w:tr>
        <w:trPr>
          <w:trHeight w:val="190"/>
        </w:trPr>
        <w:tc>
          <w:tcPr>
            <w:tcW w:w="9780" w:type="dxa"/>
            <w:vAlign w:val="bottom"/>
          </w:tcPr>
          <w:p>
            <w:pPr>
              <w:spacing w:after="0"/>
              <w:rPr>
                <w:sz w:val="20"/>
                <w:szCs w:val="20"/>
                <w:color w:val="auto"/>
              </w:rPr>
            </w:pPr>
            <w:r>
              <w:rPr>
                <w:rFonts w:ascii="Arial" w:cs="Arial" w:eastAsia="Arial" w:hAnsi="Arial"/>
                <w:sz w:val="14"/>
                <w:szCs w:val="14"/>
                <w:color w:val="auto"/>
              </w:rPr>
              <w:t>Consolidated Statements of Income</w:t>
            </w:r>
          </w:p>
        </w:tc>
        <w:tc>
          <w:tcPr>
            <w:tcW w:w="1420" w:type="dxa"/>
            <w:vAlign w:val="bottom"/>
          </w:tcPr>
          <w:p>
            <w:pPr>
              <w:jc w:val="right"/>
              <w:spacing w:after="0"/>
              <w:rPr>
                <w:sz w:val="20"/>
                <w:szCs w:val="20"/>
                <w:color w:val="auto"/>
              </w:rPr>
            </w:pPr>
            <w:r>
              <w:rPr>
                <w:rFonts w:ascii="Arial" w:cs="Arial" w:eastAsia="Arial" w:hAnsi="Arial"/>
                <w:sz w:val="14"/>
                <w:szCs w:val="14"/>
                <w:color w:val="auto"/>
              </w:rPr>
              <w:t>F-2</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Consolidated Statements of Comprehensive Income</w:t>
            </w:r>
          </w:p>
        </w:tc>
        <w:tc>
          <w:tcPr>
            <w:tcW w:w="1420" w:type="dxa"/>
            <w:vAlign w:val="bottom"/>
          </w:tcPr>
          <w:p>
            <w:pPr>
              <w:jc w:val="right"/>
              <w:spacing w:after="0"/>
              <w:rPr>
                <w:sz w:val="20"/>
                <w:szCs w:val="20"/>
                <w:color w:val="auto"/>
              </w:rPr>
            </w:pPr>
            <w:r>
              <w:rPr>
                <w:rFonts w:ascii="Arial" w:cs="Arial" w:eastAsia="Arial" w:hAnsi="Arial"/>
                <w:sz w:val="14"/>
                <w:szCs w:val="14"/>
                <w:color w:val="auto"/>
              </w:rPr>
              <w:t>F-3</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Consolidated Balance Sheets</w:t>
            </w:r>
          </w:p>
        </w:tc>
        <w:tc>
          <w:tcPr>
            <w:tcW w:w="1420" w:type="dxa"/>
            <w:vAlign w:val="bottom"/>
          </w:tcPr>
          <w:p>
            <w:pPr>
              <w:jc w:val="right"/>
              <w:spacing w:after="0"/>
              <w:rPr>
                <w:sz w:val="20"/>
                <w:szCs w:val="20"/>
                <w:color w:val="auto"/>
              </w:rPr>
            </w:pPr>
            <w:r>
              <w:rPr>
                <w:rFonts w:ascii="Arial" w:cs="Arial" w:eastAsia="Arial" w:hAnsi="Arial"/>
                <w:sz w:val="14"/>
                <w:szCs w:val="14"/>
                <w:color w:val="auto"/>
              </w:rPr>
              <w:t>F-4</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Consolidated Statements of Cash Flow</w:t>
            </w:r>
          </w:p>
        </w:tc>
        <w:tc>
          <w:tcPr>
            <w:tcW w:w="1420" w:type="dxa"/>
            <w:vAlign w:val="bottom"/>
          </w:tcPr>
          <w:p>
            <w:pPr>
              <w:jc w:val="right"/>
              <w:spacing w:after="0"/>
              <w:rPr>
                <w:sz w:val="20"/>
                <w:szCs w:val="20"/>
                <w:color w:val="auto"/>
              </w:rPr>
            </w:pPr>
            <w:r>
              <w:rPr>
                <w:rFonts w:ascii="Arial" w:cs="Arial" w:eastAsia="Arial" w:hAnsi="Arial"/>
                <w:sz w:val="14"/>
                <w:szCs w:val="14"/>
                <w:color w:val="auto"/>
              </w:rPr>
              <w:t>F-5</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Consolidated Statements of Equity</w:t>
            </w:r>
          </w:p>
        </w:tc>
        <w:tc>
          <w:tcPr>
            <w:tcW w:w="1420" w:type="dxa"/>
            <w:vAlign w:val="bottom"/>
          </w:tcPr>
          <w:p>
            <w:pPr>
              <w:jc w:val="right"/>
              <w:spacing w:after="0"/>
              <w:rPr>
                <w:sz w:val="20"/>
                <w:szCs w:val="20"/>
                <w:color w:val="auto"/>
              </w:rPr>
            </w:pPr>
            <w:r>
              <w:rPr>
                <w:rFonts w:ascii="Arial" w:cs="Arial" w:eastAsia="Arial" w:hAnsi="Arial"/>
                <w:sz w:val="14"/>
                <w:szCs w:val="14"/>
                <w:color w:val="auto"/>
              </w:rPr>
              <w:t>F-6</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Notes to Consolidated Financial Statements</w:t>
            </w:r>
          </w:p>
        </w:tc>
        <w:tc>
          <w:tcPr>
            <w:tcW w:w="1420" w:type="dxa"/>
            <w:vAlign w:val="bottom"/>
          </w:tcPr>
          <w:p>
            <w:pPr>
              <w:jc w:val="right"/>
              <w:spacing w:after="0"/>
              <w:rPr>
                <w:sz w:val="20"/>
                <w:szCs w:val="20"/>
                <w:color w:val="auto"/>
              </w:rPr>
            </w:pPr>
            <w:r>
              <w:rPr>
                <w:rFonts w:ascii="Arial" w:cs="Arial" w:eastAsia="Arial" w:hAnsi="Arial"/>
                <w:sz w:val="14"/>
                <w:szCs w:val="14"/>
                <w:color w:val="auto"/>
              </w:rPr>
              <w:t>F-8</w:t>
            </w:r>
          </w:p>
        </w:tc>
      </w:tr>
      <w:tr>
        <w:trPr>
          <w:trHeight w:val="203"/>
        </w:trPr>
        <w:tc>
          <w:tcPr>
            <w:tcW w:w="9780" w:type="dxa"/>
            <w:vAlign w:val="bottom"/>
          </w:tcPr>
          <w:p>
            <w:pPr>
              <w:spacing w:after="0"/>
              <w:rPr>
                <w:sz w:val="20"/>
                <w:szCs w:val="20"/>
                <w:color w:val="auto"/>
              </w:rPr>
            </w:pPr>
            <w:r>
              <w:rPr>
                <w:rFonts w:ascii="Arial" w:cs="Arial" w:eastAsia="Arial" w:hAnsi="Arial"/>
                <w:sz w:val="14"/>
                <w:szCs w:val="14"/>
                <w:color w:val="auto"/>
              </w:rPr>
              <w:t>Report of Independent Registered Public Accounting Firm (PCAOB ID 238)</w:t>
            </w:r>
          </w:p>
        </w:tc>
        <w:tc>
          <w:tcPr>
            <w:tcW w:w="1420" w:type="dxa"/>
            <w:vAlign w:val="bottom"/>
          </w:tcPr>
          <w:p>
            <w:pPr>
              <w:jc w:val="right"/>
              <w:spacing w:after="0"/>
              <w:rPr>
                <w:sz w:val="20"/>
                <w:szCs w:val="20"/>
                <w:color w:val="auto"/>
              </w:rPr>
            </w:pPr>
            <w:r>
              <w:rPr>
                <w:rFonts w:ascii="Arial" w:cs="Arial" w:eastAsia="Arial" w:hAnsi="Arial"/>
                <w:sz w:val="14"/>
                <w:szCs w:val="14"/>
                <w:color w:val="auto"/>
              </w:rPr>
              <w:t>F-80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 except per share amounts)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ind w:right="439"/>
              <w:spacing w:after="0"/>
              <w:rPr>
                <w:sz w:val="20"/>
                <w:szCs w:val="20"/>
                <w:color w:val="auto"/>
              </w:rPr>
            </w:pPr>
            <w:r>
              <w:rPr>
                <w:rFonts w:ascii="Arial" w:cs="Arial" w:eastAsia="Arial" w:hAnsi="Arial"/>
                <w:sz w:val="16"/>
                <w:szCs w:val="16"/>
                <w:b w:val="1"/>
                <w:bCs w:val="1"/>
                <w:color w:val="2573BA"/>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4"/>
        </w:trPr>
        <w:tc>
          <w:tcPr>
            <w:tcW w:w="6700" w:type="dxa"/>
            <w:vAlign w:val="bottom"/>
            <w:vMerge w:val="continue"/>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700" w:type="dxa"/>
            <w:vAlign w:val="bottom"/>
          </w:tcPr>
          <w:p>
            <w:pPr>
              <w:ind w:left="120"/>
              <w:spacing w:after="0"/>
              <w:rPr>
                <w:sz w:val="20"/>
                <w:szCs w:val="20"/>
                <w:color w:val="auto"/>
              </w:rPr>
            </w:pPr>
            <w:r>
              <w:rPr>
                <w:rFonts w:ascii="Arial" w:cs="Arial" w:eastAsia="Arial" w:hAnsi="Arial"/>
                <w:sz w:val="16"/>
                <w:szCs w:val="16"/>
                <w:color w:val="auto"/>
              </w:rPr>
              <w:t>Product revenue, net</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7,119.4</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7,213.5</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7,246.7</w:t>
            </w:r>
          </w:p>
        </w:tc>
        <w:tc>
          <w:tcPr>
            <w:tcW w:w="0" w:type="dxa"/>
            <w:vAlign w:val="bottom"/>
          </w:tcPr>
          <w:p>
            <w:pPr>
              <w:spacing w:after="0"/>
              <w:rPr>
                <w:sz w:val="1"/>
                <w:szCs w:val="1"/>
                <w:color w:val="auto"/>
              </w:rPr>
            </w:pPr>
          </w:p>
        </w:tc>
      </w:tr>
      <w:tr>
        <w:trPr>
          <w:trHeight w:val="215"/>
        </w:trPr>
        <w:tc>
          <w:tcPr>
            <w:tcW w:w="6700" w:type="dxa"/>
            <w:vAlign w:val="bottom"/>
          </w:tcPr>
          <w:p>
            <w:pPr>
              <w:ind w:left="120"/>
              <w:spacing w:after="0"/>
              <w:rPr>
                <w:sz w:val="20"/>
                <w:szCs w:val="20"/>
                <w:color w:val="auto"/>
              </w:rPr>
            </w:pPr>
            <w:r>
              <w:rPr>
                <w:rFonts w:ascii="Arial" w:cs="Arial" w:eastAsia="Arial" w:hAnsi="Arial"/>
                <w:sz w:val="16"/>
                <w:szCs w:val="16"/>
                <w:color w:val="auto"/>
              </w:rPr>
              <w:t>Revenue from anti-CD20 therapeutic programs</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1,860.6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1,689.6</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Alzheimer's collaboration revenue</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177.7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Contract manufacturing, royalty and other revenue</w:t>
            </w:r>
          </w:p>
        </w:tc>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732.9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899.3</w:t>
            </w: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9,890.6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9,675.9</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9,835.6</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20"/>
                <w:szCs w:val="20"/>
                <w:color w:val="auto"/>
              </w:rPr>
            </w:pPr>
            <w:r>
              <w:rPr>
                <w:rFonts w:ascii="Arial" w:cs="Arial" w:eastAsia="Arial" w:hAnsi="Arial"/>
                <w:sz w:val="16"/>
                <w:szCs w:val="16"/>
                <w:color w:val="auto"/>
              </w:rPr>
              <w:t>Cost and expense:</w:t>
            </w:r>
          </w:p>
        </w:tc>
        <w:tc>
          <w:tcPr>
            <w:tcW w:w="12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Cost of sales, excluding amortization and impairment of acquired intangible assets</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2,404.2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2,310.4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2,533.4</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1,778.6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1,980.3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2,445.4</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Acquired in-process research and development, upfront and milestone expense</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471.8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2,433.6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2,403.7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2,549.7</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Amortization and impairment of acquired intangible assets</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515.0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446.7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240.6</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Collaboration profit sharing/(loss reimbursement)</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290.2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(Gain) loss on fair value remeasurement of contingent consideration</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Impairment of ROU asset</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52.9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Restructuring charges</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Gain on sale of priority review voucher, net</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305.6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10"/>
        </w:trPr>
        <w:tc>
          <w:tcPr>
            <w:tcW w:w="6700" w:type="dxa"/>
            <w:vAlign w:val="bottom"/>
          </w:tcPr>
          <w:p>
            <w:pPr>
              <w:ind w:left="340"/>
              <w:spacing w:after="0"/>
              <w:rPr>
                <w:sz w:val="20"/>
                <w:szCs w:val="20"/>
                <w:color w:val="auto"/>
              </w:rPr>
            </w:pPr>
            <w:r>
              <w:rPr>
                <w:rFonts w:ascii="Arial" w:cs="Arial" w:eastAsia="Arial" w:hAnsi="Arial"/>
                <w:sz w:val="16"/>
                <w:szCs w:val="16"/>
                <w:color w:val="auto"/>
              </w:rPr>
              <w:t>Total cost and expense</w:t>
            </w:r>
          </w:p>
        </w:tc>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8,334.1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7,769.9</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8,538.8</w:t>
            </w:r>
          </w:p>
        </w:tc>
        <w:tc>
          <w:tcPr>
            <w:tcW w:w="0" w:type="dxa"/>
            <w:vAlign w:val="bottom"/>
          </w:tcPr>
          <w:p>
            <w:pPr>
              <w:spacing w:after="0"/>
              <w:rPr>
                <w:sz w:val="1"/>
                <w:szCs w:val="1"/>
                <w:color w:val="auto"/>
              </w:rPr>
            </w:pPr>
          </w:p>
        </w:tc>
      </w:tr>
      <w:tr>
        <w:trPr>
          <w:trHeight w:val="209"/>
        </w:trPr>
        <w:tc>
          <w:tcPr>
            <w:tcW w:w="6700" w:type="dxa"/>
            <w:vAlign w:val="bottom"/>
          </w:tcPr>
          <w:p>
            <w:pPr>
              <w:spacing w:after="0"/>
              <w:rPr>
                <w:sz w:val="20"/>
                <w:szCs w:val="20"/>
                <w:color w:val="auto"/>
              </w:rPr>
            </w:pPr>
            <w:r>
              <w:rPr>
                <w:rFonts w:ascii="Arial" w:cs="Arial" w:eastAsia="Arial" w:hAnsi="Arial"/>
                <w:sz w:val="16"/>
                <w:szCs w:val="16"/>
                <w:color w:val="auto"/>
              </w:rPr>
              <w:t>Income before income tax (benefit) expense</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1,556.5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1,906.0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1,296.8</w:t>
            </w:r>
          </w:p>
        </w:tc>
        <w:tc>
          <w:tcPr>
            <w:tcW w:w="0" w:type="dxa"/>
            <w:vAlign w:val="bottom"/>
          </w:tcPr>
          <w:p>
            <w:pPr>
              <w:spacing w:after="0"/>
              <w:rPr>
                <w:sz w:val="1"/>
                <w:szCs w:val="1"/>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263.6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135.3</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1,292.9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1,632.2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1,161.5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6"/>
                <w:szCs w:val="16"/>
                <w:color w:val="auto"/>
              </w:rPr>
              <w:t>Net income attributable to noncontrolling interests, net of tax</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51"/>
        </w:trPr>
        <w:tc>
          <w:tcPr>
            <w:tcW w:w="670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1,292.9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1,632.2</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1,161.1</w:t>
            </w:r>
          </w:p>
        </w:tc>
        <w:tc>
          <w:tcPr>
            <w:tcW w:w="0" w:type="dxa"/>
            <w:vAlign w:val="bottom"/>
          </w:tcPr>
          <w:p>
            <w:pPr>
              <w:spacing w:after="0"/>
              <w:rPr>
                <w:sz w:val="1"/>
                <w:szCs w:val="1"/>
                <w:color w:val="auto"/>
              </w:rPr>
            </w:pPr>
          </w:p>
        </w:tc>
      </w:tr>
      <w:tr>
        <w:trPr>
          <w:trHeight w:val="450"/>
        </w:trPr>
        <w:tc>
          <w:tcPr>
            <w:tcW w:w="6700" w:type="dxa"/>
            <w:vAlign w:val="bottom"/>
          </w:tcPr>
          <w:p>
            <w:pPr>
              <w:spacing w:after="0"/>
              <w:rPr>
                <w:sz w:val="20"/>
                <w:szCs w:val="20"/>
                <w:color w:val="auto"/>
              </w:rPr>
            </w:pPr>
            <w:r>
              <w:rPr>
                <w:rFonts w:ascii="Arial" w:cs="Arial" w:eastAsia="Arial" w:hAnsi="Arial"/>
                <w:sz w:val="16"/>
                <w:szCs w:val="16"/>
                <w:color w:val="auto"/>
              </w:rPr>
              <w:t>Net income per share:</w:t>
            </w:r>
          </w:p>
        </w:tc>
        <w:tc>
          <w:tcPr>
            <w:tcW w:w="120" w:type="dxa"/>
            <w:vAlign w:val="bottom"/>
            <w:shd w:val="clear" w:color="auto" w:fill="DBDBDB"/>
          </w:tcPr>
          <w:p>
            <w:pPr>
              <w:spacing w:after="0"/>
              <w:rPr>
                <w:sz w:val="24"/>
                <w:szCs w:val="24"/>
                <w:color w:val="auto"/>
              </w:rPr>
            </w:pPr>
          </w:p>
        </w:tc>
        <w:tc>
          <w:tcPr>
            <w:tcW w:w="1300" w:type="dxa"/>
            <w:vAlign w:val="bottom"/>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8.83</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8.79</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11.18</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486"/>
        </w:trPr>
        <w:tc>
          <w:tcPr>
            <w:tcW w:w="6700" w:type="dxa"/>
            <w:vAlign w:val="bottom"/>
          </w:tcPr>
          <w:p>
            <w:pPr>
              <w:spacing w:after="0"/>
              <w:rPr>
                <w:sz w:val="20"/>
                <w:szCs w:val="20"/>
                <w:color w:val="auto"/>
              </w:rPr>
            </w:pPr>
            <w:r>
              <w:rPr>
                <w:rFonts w:ascii="Arial" w:cs="Arial" w:eastAsia="Arial" w:hAnsi="Arial"/>
                <w:sz w:val="16"/>
                <w:szCs w:val="16"/>
                <w:color w:val="auto"/>
              </w:rPr>
              <w:t>Weighted-average shares used in calculating:</w:t>
            </w:r>
          </w:p>
        </w:tc>
        <w:tc>
          <w:tcPr>
            <w:tcW w:w="120" w:type="dxa"/>
            <w:vAlign w:val="bottom"/>
            <w:shd w:val="clear" w:color="auto" w:fill="DBDBDB"/>
          </w:tcPr>
          <w:p>
            <w:pPr>
              <w:spacing w:after="0"/>
              <w:rPr>
                <w:sz w:val="24"/>
                <w:szCs w:val="24"/>
                <w:color w:val="auto"/>
              </w:rPr>
            </w:pPr>
          </w:p>
        </w:tc>
        <w:tc>
          <w:tcPr>
            <w:tcW w:w="1300" w:type="dxa"/>
            <w:vAlign w:val="bottom"/>
            <w:shd w:val="clear" w:color="auto" w:fill="DBDBDB"/>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6"/>
                <w:szCs w:val="16"/>
                <w:color w:val="auto"/>
              </w:rPr>
              <w:t>Basic earnings per share attributable to Biogen Inc.</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146.5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18"/>
        </w:trPr>
        <w:tc>
          <w:tcPr>
            <w:tcW w:w="6700" w:type="dxa"/>
            <w:vAlign w:val="bottom"/>
          </w:tcPr>
          <w:p>
            <w:pPr>
              <w:ind w:left="120"/>
              <w:spacing w:after="0"/>
              <w:rPr>
                <w:sz w:val="20"/>
                <w:szCs w:val="20"/>
                <w:color w:val="auto"/>
              </w:rPr>
            </w:pPr>
            <w:r>
              <w:rPr>
                <w:rFonts w:ascii="Arial" w:cs="Arial" w:eastAsia="Arial" w:hAnsi="Arial"/>
                <w:sz w:val="16"/>
                <w:szCs w:val="16"/>
                <w:color w:val="auto"/>
              </w:rPr>
              <w:t>Diluted earnings per share attributable to Biogen Inc.</w:t>
            </w:r>
          </w:p>
        </w:tc>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147.1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CONSOLIDATED STATEMENTS OF COMPREHENSIVE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87F"/>
        </w:rPr>
        <w:t>(In millions)</w:t>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Biogen Inc.</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Unrealized gains (losses) on securities available for sale, net of tax</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Unrealized gains (losses) on cash flow hedges, net of tax</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Unrealized gains (losses) on pension benefit obligation, net of tax</w:t>
      </w:r>
    </w:p>
    <w:p>
      <w:pPr>
        <w:spacing w:after="0" w:line="32" w:lineRule="exact"/>
        <w:rPr>
          <w:sz w:val="20"/>
          <w:szCs w:val="20"/>
          <w:color w:val="auto"/>
        </w:rPr>
      </w:pPr>
    </w:p>
    <w:p>
      <w:pPr>
        <w:ind w:left="40" w:right="1120" w:firstLine="122"/>
        <w:spacing w:after="0" w:line="318" w:lineRule="auto"/>
        <w:rPr>
          <w:sz w:val="20"/>
          <w:szCs w:val="20"/>
          <w:color w:val="auto"/>
        </w:rPr>
      </w:pPr>
      <w:r>
        <w:rPr>
          <w:rFonts w:ascii="Arial" w:cs="Arial" w:eastAsia="Arial" w:hAnsi="Arial"/>
          <w:sz w:val="16"/>
          <w:szCs w:val="16"/>
          <w:color w:val="auto"/>
        </w:rPr>
        <w:t>Currency translation adjustments, net of tax Total other comprehensive income (loss), net of tax Comprehensive income (loss) attributable to Biogen Inc. Comprehensive income attributable to noncontrolling interests, net of tax Comprehensive income (loss)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For the 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 w:type="dxa"/>
            <w:vAlign w:val="bottom"/>
            <w:tcBorders>
              <w:top w:val="single" w:sz="8" w:color="auto"/>
              <w:bottom w:val="single" w:sz="8" w:color="auto"/>
            </w:tcBorders>
            <w:shd w:val="clear" w:color="auto" w:fill="DDDDDD"/>
          </w:tcPr>
          <w:p>
            <w:pPr>
              <w:spacing w:after="0"/>
              <w:rPr>
                <w:sz w:val="18"/>
                <w:szCs w:val="18"/>
                <w:color w:val="auto"/>
              </w:rPr>
            </w:pPr>
          </w:p>
        </w:tc>
        <w:tc>
          <w:tcPr>
            <w:tcW w:w="1020" w:type="dxa"/>
            <w:vAlign w:val="bottom"/>
            <w:tcBorders>
              <w:top w:val="single" w:sz="8" w:color="auto"/>
              <w:bottom w:val="single" w:sz="8" w:color="auto"/>
            </w:tcBorders>
            <w:shd w:val="clear" w:color="auto" w:fill="DDDDDD"/>
          </w:tcPr>
          <w:p>
            <w:pPr>
              <w:jc w:val="right"/>
              <w:ind w:right="399"/>
              <w:spacing w:after="0"/>
              <w:rPr>
                <w:sz w:val="20"/>
                <w:szCs w:val="20"/>
                <w:color w:val="auto"/>
              </w:rPr>
            </w:pPr>
            <w:r>
              <w:rPr>
                <w:rFonts w:ascii="Arial" w:cs="Arial" w:eastAsia="Arial" w:hAnsi="Arial"/>
                <w:sz w:val="16"/>
                <w:szCs w:val="16"/>
                <w:b w:val="1"/>
                <w:bCs w:val="1"/>
                <w:color w:val="2573BA"/>
              </w:rPr>
              <w:t>2025</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r>
      <w:tr>
        <w:trPr>
          <w:trHeight w:val="208"/>
        </w:trPr>
        <w:tc>
          <w:tcPr>
            <w:tcW w:w="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2573BA"/>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1,292.9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1,632.2</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1,161.1</w:t>
            </w:r>
          </w:p>
        </w:tc>
      </w:tr>
      <w:tr>
        <w:trPr>
          <w:trHeight w:val="431"/>
        </w:trPr>
        <w:tc>
          <w:tcPr>
            <w:tcW w:w="300" w:type="dxa"/>
            <w:vAlign w:val="bottom"/>
            <w:shd w:val="clear" w:color="auto" w:fill="DBDBDB"/>
          </w:tcPr>
          <w:p>
            <w:pPr>
              <w:spacing w:after="0"/>
              <w:rPr>
                <w:sz w:val="24"/>
                <w:szCs w:val="2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0.2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6"/>
        </w:trPr>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(110.5)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16"/>
        </w:trPr>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3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57.3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r>
      <w:tr>
        <w:trPr>
          <w:trHeight w:val="210"/>
        </w:trPr>
        <w:tc>
          <w:tcPr>
            <w:tcW w:w="3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(45.8)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09"/>
        </w:trPr>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1,247.1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1,649.7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1,172.3</w:t>
            </w:r>
          </w:p>
        </w:tc>
      </w:tr>
      <w:tr>
        <w:trPr>
          <w:trHeight w:val="216"/>
        </w:trPr>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30"/>
        </w:trPr>
        <w:tc>
          <w:tcPr>
            <w:tcW w:w="300" w:type="dxa"/>
            <w:vAlign w:val="bottom"/>
            <w:tcBorders>
              <w:top w:val="single" w:sz="8" w:color="auto"/>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2573BA"/>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1,247.1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1,649.7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1,172.7</w:t>
            </w:r>
          </w:p>
        </w:tc>
      </w:tr>
      <w:tr>
        <w:trPr>
          <w:trHeight w:val="20"/>
        </w:trPr>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60" w:space="720"/>
            <w:col w:w="4140"/>
          </w:cols>
          <w:pgMar w:left="320" w:top="23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notes to these consolidated financial statements.</w:t>
      </w:r>
    </w:p>
    <w:p>
      <w:pPr>
        <w:sectPr>
          <w:pgSz w:w="11900" w:h="16838" w:orient="portrait"/>
          <w:cols w:equalWidth="0" w:num="1">
            <w:col w:w="11220"/>
          </w:cols>
          <w:pgMar w:left="320" w:top="238" w:right="35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 except per share amounts)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09"/>
        </w:trPr>
        <w:tc>
          <w:tcPr>
            <w:tcW w:w="7980" w:type="dxa"/>
            <w:vAlign w:val="bottom"/>
            <w:vMerge w:val="restart"/>
          </w:tcPr>
          <w:p>
            <w:pPr>
              <w:ind w:left="528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auto"/>
            </w:tcBorders>
            <w:shd w:val="clear" w:color="auto" w:fill="DDDDDD"/>
          </w:tcPr>
          <w:p>
            <w:pPr>
              <w:spacing w:after="0"/>
              <w:rPr>
                <w:sz w:val="18"/>
                <w:szCs w:val="18"/>
                <w:color w:val="auto"/>
              </w:rPr>
            </w:pPr>
          </w:p>
        </w:tc>
        <w:tc>
          <w:tcPr>
            <w:tcW w:w="1200" w:type="dxa"/>
            <w:vAlign w:val="bottom"/>
            <w:tcBorders>
              <w:bottom w:val="single" w:sz="8" w:color="auto"/>
            </w:tcBorders>
            <w:shd w:val="clear" w:color="auto" w:fill="DDDDDD"/>
          </w:tcPr>
          <w:p>
            <w:pPr>
              <w:jc w:val="right"/>
              <w:ind w:right="519"/>
              <w:spacing w:after="0"/>
              <w:rPr>
                <w:sz w:val="20"/>
                <w:szCs w:val="20"/>
                <w:color w:val="auto"/>
              </w:rPr>
            </w:pPr>
            <w:r>
              <w:rPr>
                <w:rFonts w:ascii="Arial" w:cs="Arial" w:eastAsia="Arial" w:hAnsi="Arial"/>
                <w:sz w:val="16"/>
                <w:szCs w:val="16"/>
                <w:b w:val="1"/>
                <w:bCs w:val="1"/>
                <w:color w:val="2573BA"/>
              </w:rPr>
              <w:t>2025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6"/>
        </w:trPr>
        <w:tc>
          <w:tcPr>
            <w:tcW w:w="79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6"/>
                <w:szCs w:val="16"/>
                <w:color w:val="auto"/>
              </w:rPr>
              <w:t>Current assets:</w:t>
            </w:r>
          </w:p>
        </w:tc>
        <w:tc>
          <w:tcPr>
            <w:tcW w:w="36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3,008.5</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2,375.0</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Current portion of marketable securities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807.2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Accounts receivable, net of allowance for doubtful accounts of $3.0 and $2.2, respectively</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1,342.4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1,404.8</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Due from anti-CD20 therapeutic programs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524.6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2,168.1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2,460.5</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1,123.3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752.5</w:t>
            </w:r>
          </w:p>
        </w:tc>
        <w:tc>
          <w:tcPr>
            <w:tcW w:w="0" w:type="dxa"/>
            <w:vAlign w:val="bottom"/>
          </w:tcPr>
          <w:p>
            <w:pPr>
              <w:spacing w:after="0"/>
              <w:rPr>
                <w:sz w:val="1"/>
                <w:szCs w:val="1"/>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8,974.1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7,456.8</w:t>
            </w:r>
          </w:p>
        </w:tc>
        <w:tc>
          <w:tcPr>
            <w:tcW w:w="0" w:type="dxa"/>
            <w:vAlign w:val="bottom"/>
          </w:tcPr>
          <w:p>
            <w:pPr>
              <w:spacing w:after="0"/>
              <w:rPr>
                <w:sz w:val="1"/>
                <w:szCs w:val="1"/>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6"/>
                <w:szCs w:val="16"/>
                <w:color w:val="auto"/>
              </w:rPr>
              <w:t>Marketable securities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431.9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3,055.4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3,181.3</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Operating lease assets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265.4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356.4</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Intangible assets, net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9,178.5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9,691.2</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6,491.1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6,478.9</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Deferred tax asset</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292.5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217"/>
        </w:trPr>
        <w:tc>
          <w:tcPr>
            <w:tcW w:w="798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750.6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560.5</w:t>
            </w:r>
          </w:p>
        </w:tc>
        <w:tc>
          <w:tcPr>
            <w:tcW w:w="0" w:type="dxa"/>
            <w:vAlign w:val="bottom"/>
          </w:tcPr>
          <w:p>
            <w:pPr>
              <w:spacing w:after="0"/>
              <w:rPr>
                <w:sz w:val="1"/>
                <w:szCs w:val="1"/>
                <w:color w:val="auto"/>
              </w:rPr>
            </w:pPr>
          </w:p>
        </w:tc>
      </w:tr>
      <w:tr>
        <w:trPr>
          <w:trHeight w:val="231"/>
        </w:trPr>
        <w:tc>
          <w:tcPr>
            <w:tcW w:w="798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2573BA"/>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29,439.5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28,049.3</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620"/>
              <w:spacing w:after="0"/>
              <w:rPr>
                <w:sz w:val="20"/>
                <w:szCs w:val="20"/>
                <w:color w:val="auto"/>
              </w:rPr>
            </w:pPr>
            <w:r>
              <w:rPr>
                <w:rFonts w:ascii="Arial" w:cs="Arial" w:eastAsia="Arial" w:hAnsi="Arial"/>
                <w:sz w:val="16"/>
                <w:szCs w:val="16"/>
                <w:b w:val="1"/>
                <w:bCs w:val="1"/>
                <w:color w:val="auto"/>
              </w:rPr>
              <w:t>LIABILITIES AND EQUITY</w:t>
            </w: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6"/>
                <w:szCs w:val="16"/>
                <w:color w:val="auto"/>
              </w:rPr>
              <w:t>Current liabilities:</w:t>
            </w:r>
          </w:p>
        </w:tc>
        <w:tc>
          <w:tcPr>
            <w:tcW w:w="36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Current portion of notes payable</w:t>
            </w:r>
          </w:p>
        </w:tc>
        <w:tc>
          <w:tcPr>
            <w:tcW w:w="3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1,748.6</w:t>
            </w:r>
          </w:p>
        </w:tc>
        <w:tc>
          <w:tcPr>
            <w:tcW w:w="0" w:type="dxa"/>
            <w:vAlign w:val="bottom"/>
          </w:tcPr>
          <w:p>
            <w:pPr>
              <w:spacing w:after="0"/>
              <w:rPr>
                <w:sz w:val="1"/>
                <w:szCs w:val="1"/>
                <w:color w:val="auto"/>
              </w:rPr>
            </w:pPr>
          </w:p>
        </w:tc>
      </w:tr>
      <w:tr>
        <w:trPr>
          <w:trHeight w:val="215"/>
        </w:trPr>
        <w:tc>
          <w:tcPr>
            <w:tcW w:w="798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114.8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548.3</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432.0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424.2</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Accrued expense and other</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2,802.6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2,807.7</w:t>
            </w:r>
          </w:p>
        </w:tc>
        <w:tc>
          <w:tcPr>
            <w:tcW w:w="0" w:type="dxa"/>
            <w:vAlign w:val="bottom"/>
          </w:tcPr>
          <w:p>
            <w:pPr>
              <w:spacing w:after="0"/>
              <w:rPr>
                <w:sz w:val="1"/>
                <w:szCs w:val="1"/>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3,349.4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5,528.8</w:t>
            </w:r>
          </w:p>
        </w:tc>
        <w:tc>
          <w:tcPr>
            <w:tcW w:w="0" w:type="dxa"/>
            <w:vAlign w:val="bottom"/>
          </w:tcPr>
          <w:p>
            <w:pPr>
              <w:spacing w:after="0"/>
              <w:rPr>
                <w:sz w:val="1"/>
                <w:szCs w:val="1"/>
                <w:color w:val="auto"/>
              </w:rPr>
            </w:pPr>
          </w:p>
        </w:tc>
      </w:tr>
      <w:tr>
        <w:trPr>
          <w:trHeight w:val="215"/>
        </w:trPr>
        <w:tc>
          <w:tcPr>
            <w:tcW w:w="7980" w:type="dxa"/>
            <w:vAlign w:val="bottom"/>
          </w:tcPr>
          <w:p>
            <w:pPr>
              <w:spacing w:after="0"/>
              <w:rPr>
                <w:sz w:val="20"/>
                <w:szCs w:val="20"/>
                <w:color w:val="auto"/>
              </w:rPr>
            </w:pPr>
            <w:r>
              <w:rPr>
                <w:rFonts w:ascii="Arial" w:cs="Arial" w:eastAsia="Arial" w:hAnsi="Arial"/>
                <w:sz w:val="16"/>
                <w:szCs w:val="16"/>
                <w:color w:val="auto"/>
              </w:rPr>
              <w:t>Notes payable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6,286.8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4,547.2</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Deferred tax liability</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507.6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290.4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334.5</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748.5</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732.3</w:t>
            </w:r>
          </w:p>
        </w:tc>
        <w:tc>
          <w:tcPr>
            <w:tcW w:w="0" w:type="dxa"/>
            <w:vAlign w:val="bottom"/>
          </w:tcPr>
          <w:p>
            <w:pPr>
              <w:spacing w:after="0"/>
              <w:rPr>
                <w:sz w:val="1"/>
                <w:szCs w:val="1"/>
                <w:color w:val="auto"/>
              </w:rPr>
            </w:pPr>
          </w:p>
        </w:tc>
      </w:tr>
      <w:tr>
        <w:trPr>
          <w:trHeight w:val="210"/>
        </w:trPr>
        <w:tc>
          <w:tcPr>
            <w:tcW w:w="79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11,182.7</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11,333.3</w:t>
            </w:r>
          </w:p>
        </w:tc>
        <w:tc>
          <w:tcPr>
            <w:tcW w:w="0" w:type="dxa"/>
            <w:vAlign w:val="bottom"/>
          </w:tcPr>
          <w:p>
            <w:pPr>
              <w:spacing w:after="0"/>
              <w:rPr>
                <w:sz w:val="1"/>
                <w:szCs w:val="1"/>
                <w:color w:val="auto"/>
              </w:rPr>
            </w:pPr>
          </w:p>
        </w:tc>
      </w:tr>
      <w:tr>
        <w:trPr>
          <w:trHeight w:val="195"/>
        </w:trPr>
        <w:tc>
          <w:tcPr>
            <w:tcW w:w="7980" w:type="dxa"/>
            <w:vAlign w:val="bottom"/>
          </w:tcPr>
          <w:p>
            <w:pPr>
              <w:spacing w:after="0"/>
              <w:rPr>
                <w:sz w:val="20"/>
                <w:szCs w:val="20"/>
                <w:color w:val="auto"/>
              </w:rPr>
            </w:pPr>
            <w:r>
              <w:rPr>
                <w:rFonts w:ascii="Arial" w:cs="Arial" w:eastAsia="Arial" w:hAnsi="Arial"/>
                <w:sz w:val="16"/>
                <w:szCs w:val="16"/>
                <w:color w:val="auto"/>
              </w:rPr>
              <w:t>Commitments, contingencies and guarantees (Notes 22 and 23)</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Equity:</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6"/>
                <w:szCs w:val="16"/>
                <w:color w:val="auto"/>
              </w:rPr>
              <w:t>Biogen Inc. shareholders’ equity:</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Preferred stock, par value $0.001 per share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Common stock, par value $0.0005 per share</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863.1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569.4</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(182.0)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36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20,552.7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19,259.8</w:t>
            </w:r>
          </w:p>
        </w:tc>
        <w:tc>
          <w:tcPr>
            <w:tcW w:w="0" w:type="dxa"/>
            <w:vAlign w:val="bottom"/>
          </w:tcPr>
          <w:p>
            <w:pPr>
              <w:spacing w:after="0"/>
              <w:rPr>
                <w:sz w:val="1"/>
                <w:szCs w:val="1"/>
                <w:color w:val="auto"/>
              </w:rPr>
            </w:pPr>
          </w:p>
        </w:tc>
      </w:tr>
      <w:tr>
        <w:trPr>
          <w:trHeight w:val="216"/>
        </w:trPr>
        <w:tc>
          <w:tcPr>
            <w:tcW w:w="7980" w:type="dxa"/>
            <w:vAlign w:val="bottom"/>
          </w:tcPr>
          <w:p>
            <w:pPr>
              <w:ind w:left="120"/>
              <w:spacing w:after="0"/>
              <w:rPr>
                <w:sz w:val="20"/>
                <w:szCs w:val="20"/>
                <w:color w:val="auto"/>
              </w:rPr>
            </w:pPr>
            <w:r>
              <w:rPr>
                <w:rFonts w:ascii="Arial" w:cs="Arial" w:eastAsia="Arial" w:hAnsi="Arial"/>
                <w:sz w:val="16"/>
                <w:szCs w:val="16"/>
                <w:color w:val="auto"/>
              </w:rPr>
              <w:t>Treasury stock, at cost; 23.8 million and 23.8 million shares, respectively</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(2,977.1)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11"/>
        </w:trPr>
        <w:tc>
          <w:tcPr>
            <w:tcW w:w="798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36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18,256.8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16,716.0</w:t>
            </w: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6"/>
                <w:szCs w:val="16"/>
                <w:color w:val="auto"/>
              </w:rPr>
              <w:t>Total liabilities and equity</w:t>
            </w:r>
          </w:p>
        </w:tc>
        <w:tc>
          <w:tcPr>
            <w:tcW w:w="360" w:type="dxa"/>
            <w:vAlign w:val="bottom"/>
            <w:tcBorders>
              <w:bottom w:val="single" w:sz="8" w:color="auto"/>
            </w:tcBorders>
            <w:shd w:val="clear" w:color="auto" w:fill="DBDBDB"/>
          </w:tcPr>
          <w:p>
            <w:pPr>
              <w:jc w:val="right"/>
              <w:ind w:right="179"/>
              <w:spacing w:after="0"/>
              <w:rPr>
                <w:sz w:val="20"/>
                <w:szCs w:val="20"/>
                <w:color w:val="auto"/>
              </w:rPr>
            </w:pPr>
            <w:r>
              <w:rPr>
                <w:rFonts w:ascii="Arial" w:cs="Arial" w:eastAsia="Arial" w:hAnsi="Arial"/>
                <w:sz w:val="16"/>
                <w:szCs w:val="16"/>
                <w:color w:val="2573BA"/>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29,439.5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28,049.3</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4"/>
          <w:szCs w:val="24"/>
          <w:color w:val="00587F"/>
        </w:rPr>
        <w:t>CONSOLIDATED STATEMENTS OF CASH FLOW</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 from operating activities: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to reconcile net income to net cash flow from operating activities: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and amortization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Impairment of intangible assets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Impairment of ROU asset</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Excess and obsolescence charges related to inventory</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Amortization of acquired inventory step-up</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Acquired in-process research and development</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Share-based compensation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Contingent consideration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Deferred income taxes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 loss on strategic investments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 on sale of priority review voucher, net</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Changes in operating assets and liabilities, net of effects of business acquired:</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Accounts receivable</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Due from anti-CD20 therapeutic programs</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Inventory</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Accrued expense and other current liabilities</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Income tax assets and liabilities</w:t>
      </w:r>
    </w:p>
    <w:p>
      <w:pPr>
        <w:spacing w:after="0" w:line="42" w:lineRule="exact"/>
        <w:rPr>
          <w:sz w:val="20"/>
          <w:szCs w:val="20"/>
          <w:color w:val="auto"/>
        </w:rPr>
      </w:pPr>
    </w:p>
    <w:p>
      <w:pPr>
        <w:ind w:left="680" w:right="2260" w:hanging="121"/>
        <w:spacing w:after="0" w:line="311" w:lineRule="auto"/>
        <w:rPr>
          <w:sz w:val="20"/>
          <w:szCs w:val="20"/>
          <w:color w:val="auto"/>
        </w:rPr>
      </w:pPr>
      <w:r>
        <w:rPr>
          <w:rFonts w:ascii="Arial" w:cs="Arial" w:eastAsia="Arial" w:hAnsi="Arial"/>
          <w:sz w:val="14"/>
          <w:szCs w:val="14"/>
          <w:color w:val="auto"/>
        </w:rPr>
        <w:t>Other changes in operating assets and liabilities, net Net cash flow provided by (used in) operating activities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 from investing activities: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Purchases of property, plant and equipment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sales and maturities of marketable securities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Purchases of marketable securities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of Reata, net of cash acquired</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of HI-Bio, net of cash acquired</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 of equity interest in Samsung Bioepis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 of priority review voucher, net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Acquired in-process research and development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Acquisitions of intangible assets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sales of strategic investments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flow provided by (used in) investing activities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 from financing activities: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 related to issuance of stock for share-based compensation arrangements, net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borrowings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Repayments of borrowings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(distribution) contribution to noncontrolling interest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Contingent consideration payments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w:t>
      </w:r>
    </w:p>
    <w:p>
      <w:pPr>
        <w:spacing w:after="0" w:line="55" w:lineRule="exact"/>
        <w:rPr>
          <w:sz w:val="20"/>
          <w:szCs w:val="20"/>
          <w:color w:val="auto"/>
        </w:rPr>
      </w:pPr>
    </w:p>
    <w:p>
      <w:pPr>
        <w:ind w:left="20" w:right="2300" w:firstLine="648"/>
        <w:spacing w:after="0" w:line="311" w:lineRule="auto"/>
        <w:rPr>
          <w:sz w:val="20"/>
          <w:szCs w:val="20"/>
          <w:color w:val="auto"/>
        </w:rPr>
      </w:pPr>
      <w:r>
        <w:rPr>
          <w:rFonts w:ascii="Arial" w:cs="Arial" w:eastAsia="Arial" w:hAnsi="Arial"/>
          <w:sz w:val="14"/>
          <w:szCs w:val="14"/>
          <w:color w:val="auto"/>
        </w:rPr>
        <w:t>Net cash flow provided by (used in) financing activities Net increase (decrease) in cash and cash equivalents</w:t>
      </w:r>
    </w:p>
    <w:p>
      <w:pPr>
        <w:spacing w:after="0" w:line="1" w:lineRule="exact"/>
        <w:rPr>
          <w:sz w:val="20"/>
          <w:szCs w:val="20"/>
          <w:color w:val="auto"/>
        </w:rPr>
      </w:pPr>
    </w:p>
    <w:p>
      <w:pPr>
        <w:ind w:left="20" w:right="2400"/>
        <w:spacing w:after="0" w:line="332" w:lineRule="auto"/>
        <w:rPr>
          <w:sz w:val="20"/>
          <w:szCs w:val="20"/>
          <w:color w:val="auto"/>
        </w:rPr>
      </w:pPr>
      <w:r>
        <w:rPr>
          <w:rFonts w:ascii="Arial" w:cs="Arial" w:eastAsia="Arial" w:hAnsi="Arial"/>
          <w:sz w:val="14"/>
          <w:szCs w:val="14"/>
          <w:color w:val="auto"/>
        </w:rPr>
        <w:t>Effect of exchange rate changes on cash and cash equivalents Cash and cash equivalents, beginning of the year</w:t>
      </w:r>
    </w:p>
    <w:p>
      <w:pPr>
        <w:ind w:left="20"/>
        <w:spacing w:after="0"/>
        <w:rPr>
          <w:sz w:val="20"/>
          <w:szCs w:val="20"/>
          <w:color w:val="auto"/>
        </w:rPr>
      </w:pPr>
      <w:r>
        <w:rPr>
          <w:rFonts w:ascii="Arial" w:cs="Arial" w:eastAsia="Arial" w:hAnsi="Arial"/>
          <w:sz w:val="14"/>
          <w:szCs w:val="14"/>
          <w:color w:val="auto"/>
        </w:rPr>
        <w:t>Cash and cash equivalents, end of the year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Borders>
              <w:top w:val="single" w:sz="8" w:color="auto"/>
              <w:bottom w:val="single" w:sz="8" w:color="auto"/>
            </w:tcBorders>
            <w:shd w:val="clear" w:color="auto" w:fill="DDDDDD"/>
          </w:tcPr>
          <w:p>
            <w:pPr>
              <w:spacing w:after="0"/>
              <w:rPr>
                <w:sz w:val="17"/>
                <w:szCs w:val="17"/>
                <w:color w:val="auto"/>
              </w:rPr>
            </w:pPr>
          </w:p>
        </w:tc>
        <w:tc>
          <w:tcPr>
            <w:tcW w:w="1020" w:type="dxa"/>
            <w:vAlign w:val="bottom"/>
            <w:tcBorders>
              <w:top w:val="single" w:sz="8" w:color="auto"/>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2025</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r>
      <w:tr>
        <w:trPr>
          <w:trHeight w:val="378"/>
        </w:trPr>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1,292.9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1,632.2</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1,161.5</w:t>
            </w:r>
          </w:p>
        </w:tc>
      </w:tr>
      <w:tr>
        <w:trPr>
          <w:trHeight w:val="405"/>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779.9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673.2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494.8</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124.4</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240.8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31.5</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290.8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291.2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264.2</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361.6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(305.8)</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277.1</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148.2</w:t>
            </w:r>
          </w:p>
        </w:tc>
      </w:tr>
      <w:tr>
        <w:trPr>
          <w:trHeight w:val="405"/>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102.7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222.3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61.3</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(130.9)</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171.1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(958.1)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(299.0)</w:t>
            </w:r>
          </w:p>
        </w:tc>
      </w:tr>
      <w:tr>
        <w:trPr>
          <w:trHeight w:val="207"/>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(248.0)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r>
      <w:tr>
        <w:trPr>
          <w:trHeight w:val="196"/>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2,204.6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2,875.5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1,547.2</w:t>
            </w:r>
          </w:p>
        </w:tc>
      </w:tr>
      <w:tr>
        <w:trPr>
          <w:trHeight w:val="381"/>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(153.8)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(277.0)</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7,380.8</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(1,258.3)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(5,140.7)</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(6,926.1)</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(1,074.8)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788.1</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(34.4)</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119.6</w:t>
            </w:r>
          </w:p>
        </w:tc>
      </w:tr>
      <w:tr>
        <w:trPr>
          <w:trHeight w:val="207"/>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42.9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196"/>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(1,371.1)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(4,101.0)</w:t>
            </w:r>
          </w:p>
        </w:tc>
      </w:tr>
      <w:tr>
        <w:trPr>
          <w:trHeight w:val="381"/>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(44.3)</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1,733.1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997.2</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(1,750.0)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(809.9)</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(280.0)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5.0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(301.9)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w:t>
            </w:r>
          </w:p>
        </w:tc>
      </w:tr>
      <w:tr>
        <w:trPr>
          <w:trHeight w:val="192"/>
        </w:trPr>
        <w:tc>
          <w:tcPr>
            <w:tcW w:w="280" w:type="dxa"/>
            <w:vAlign w:val="bottom"/>
            <w:shd w:val="clear" w:color="auto" w:fill="DBDBDB"/>
          </w:tcPr>
          <w:p>
            <w:pPr>
              <w:spacing w:after="0"/>
              <w:rPr>
                <w:sz w:val="16"/>
                <w:szCs w:val="16"/>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531.6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1,392.8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(2,404.5)</w:t>
            </w: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35.1</w:t>
            </w:r>
          </w:p>
        </w:tc>
      </w:tr>
      <w:tr>
        <w:trPr>
          <w:trHeight w:val="206"/>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2,375.0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1,049.9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3,419.3</w:t>
            </w:r>
          </w:p>
        </w:tc>
      </w:tr>
      <w:tr>
        <w:trPr>
          <w:trHeight w:val="216"/>
        </w:trPr>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3,008.5</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2,375.0</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1,049.9</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20" w:space="720"/>
            <w:col w:w="4100"/>
          </w:cols>
          <w:pgMar w:left="320" w:top="238" w:right="339" w:bottom="1440" w:gutter="0" w:footer="0" w:header="0"/>
          <w:type w:val="continuous"/>
        </w:sect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these consolidated financial statements.</w:t>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CONSOLIDATED STATEMENTS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60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spacing w:after="0"/>
              <w:rPr>
                <w:sz w:val="17"/>
                <w:szCs w:val="17"/>
                <w:color w:val="auto"/>
              </w:rPr>
            </w:pP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3120" w:type="dxa"/>
            <w:vAlign w:val="bottom"/>
            <w:tcBorders>
              <w:bottom w:val="single" w:sz="8" w:color="auto"/>
            </w:tcBorders>
            <w:gridSpan w:val="10"/>
            <w:shd w:val="clear" w:color="auto" w:fill="DBDBDB"/>
          </w:tcPr>
          <w:p>
            <w:pPr>
              <w:ind w:left="20"/>
              <w:spacing w:after="0"/>
              <w:rPr>
                <w:sz w:val="20"/>
                <w:szCs w:val="20"/>
                <w:color w:val="auto"/>
              </w:rPr>
            </w:pPr>
            <w:r>
              <w:rPr>
                <w:rFonts w:ascii="Arial" w:cs="Arial" w:eastAsia="Arial" w:hAnsi="Arial"/>
                <w:sz w:val="14"/>
                <w:szCs w:val="14"/>
                <w:b w:val="1"/>
                <w:bCs w:val="1"/>
                <w:color w:val="0070C0"/>
              </w:rPr>
              <w:t>For the Year Ended December 31, 2025</w:t>
            </w:r>
          </w:p>
        </w:tc>
        <w:tc>
          <w:tcPr>
            <w:tcW w:w="68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3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vMerge w:val="restart"/>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84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9"/>
                <w:szCs w:val="9"/>
                <w:color w:val="auto"/>
              </w:rPr>
            </w:pPr>
          </w:p>
        </w:tc>
        <w:tc>
          <w:tcPr>
            <w:tcW w:w="9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8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28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DBDBDB"/>
            </w:tcBorders>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DBDBDB"/>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2840" w:type="dxa"/>
            <w:vAlign w:val="bottom"/>
          </w:tcPr>
          <w:p>
            <w:pPr>
              <w:spacing w:after="0"/>
              <w:rPr>
                <w:sz w:val="20"/>
                <w:szCs w:val="20"/>
                <w:color w:val="auto"/>
              </w:rPr>
            </w:pPr>
            <w:r>
              <w:rPr>
                <w:rFonts w:ascii="Arial" w:cs="Arial" w:eastAsia="Arial" w:hAnsi="Arial"/>
                <w:sz w:val="14"/>
                <w:szCs w:val="14"/>
                <w:b w:val="1"/>
                <w:bCs w:val="1"/>
                <w:color w:val="auto"/>
              </w:rPr>
              <w:t>Balance, December 31, 2024</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360" w:type="dxa"/>
            <w:vAlign w:val="bottom"/>
            <w:gridSpan w:val="3"/>
            <w:shd w:val="clear" w:color="auto" w:fill="DBDBDB"/>
          </w:tcPr>
          <w:p>
            <w:pPr>
              <w:ind w:left="12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BDBDB"/>
          </w:tcPr>
          <w:p>
            <w:pPr>
              <w:ind w:left="140"/>
              <w:spacing w:after="0"/>
              <w:rPr>
                <w:sz w:val="20"/>
                <w:szCs w:val="20"/>
                <w:color w:val="auto"/>
              </w:rPr>
            </w:pPr>
            <w:r>
              <w:rPr>
                <w:rFonts w:ascii="Arial" w:cs="Arial" w:eastAsia="Arial" w:hAnsi="Arial"/>
                <w:sz w:val="14"/>
                <w:szCs w:val="14"/>
                <w:color w:val="2573BA"/>
              </w:rPr>
              <w:t>—</w:t>
            </w: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169.5</w:t>
            </w:r>
          </w:p>
        </w:tc>
        <w:tc>
          <w:tcPr>
            <w:tcW w:w="38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569.4</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(136.2)</w:t>
            </w: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19,259.8</w:t>
            </w:r>
          </w:p>
        </w:tc>
        <w:tc>
          <w:tcPr>
            <w:tcW w:w="80" w:type="dxa"/>
            <w:vAlign w:val="bottom"/>
            <w:shd w:val="clear" w:color="auto" w:fill="DBDBDB"/>
          </w:tcPr>
          <w:p>
            <w:pPr>
              <w:spacing w:after="0"/>
              <w:rPr>
                <w:sz w:val="16"/>
                <w:szCs w:val="16"/>
                <w:color w:val="auto"/>
              </w:rPr>
            </w:pPr>
          </w:p>
        </w:tc>
        <w:tc>
          <w:tcPr>
            <w:tcW w:w="680" w:type="dxa"/>
            <w:vAlign w:val="bottom"/>
            <w:shd w:val="clear" w:color="auto" w:fill="DBDBDB"/>
          </w:tcPr>
          <w:p>
            <w:pPr>
              <w:ind w:left="280"/>
              <w:spacing w:after="0"/>
              <w:rPr>
                <w:sz w:val="20"/>
                <w:szCs w:val="20"/>
                <w:color w:val="auto"/>
              </w:rPr>
            </w:pPr>
            <w:r>
              <w:rPr>
                <w:rFonts w:ascii="Arial" w:cs="Arial" w:eastAsia="Arial" w:hAnsi="Arial"/>
                <w:sz w:val="14"/>
                <w:szCs w:val="14"/>
                <w:b w:val="1"/>
                <w:bCs w:val="1"/>
                <w:color w:val="2573BA"/>
              </w:rPr>
              <w:t>(23.8)</w:t>
            </w:r>
          </w:p>
        </w:tc>
        <w:tc>
          <w:tcPr>
            <w:tcW w:w="80" w:type="dxa"/>
            <w:vAlign w:val="bottom"/>
            <w:shd w:val="clear" w:color="auto" w:fill="DBDBDB"/>
          </w:tcPr>
          <w:p>
            <w:pPr>
              <w:spacing w:after="0"/>
              <w:rPr>
                <w:sz w:val="16"/>
                <w:szCs w:val="16"/>
                <w:color w:val="auto"/>
              </w:rPr>
            </w:pPr>
          </w:p>
        </w:tc>
        <w:tc>
          <w:tcPr>
            <w:tcW w:w="720" w:type="dxa"/>
            <w:vAlign w:val="bottom"/>
            <w:shd w:val="clear" w:color="auto" w:fill="DBDBDB"/>
          </w:tcPr>
          <w:p>
            <w:pPr>
              <w:jc w:val="center"/>
              <w:spacing w:after="0"/>
              <w:rPr>
                <w:sz w:val="20"/>
                <w:szCs w:val="20"/>
                <w:color w:val="auto"/>
              </w:rPr>
            </w:pPr>
            <w:r>
              <w:rPr>
                <w:rFonts w:ascii="Arial" w:cs="Arial" w:eastAsia="Arial" w:hAnsi="Arial"/>
                <w:sz w:val="14"/>
                <w:szCs w:val="14"/>
                <w:color w:val="2573BA"/>
              </w:rPr>
              <w:t>$(2,977.1)</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16,716.0</w:t>
            </w:r>
          </w:p>
        </w:tc>
        <w:tc>
          <w:tcPr>
            <w:tcW w:w="0" w:type="dxa"/>
            <w:vAlign w:val="bottom"/>
          </w:tcPr>
          <w:p>
            <w:pPr>
              <w:spacing w:after="0"/>
              <w:rPr>
                <w:sz w:val="1"/>
                <w:szCs w:val="1"/>
                <w:color w:val="auto"/>
              </w:rPr>
            </w:pPr>
          </w:p>
        </w:tc>
      </w:tr>
      <w:tr>
        <w:trPr>
          <w:trHeight w:val="203"/>
        </w:trPr>
        <w:tc>
          <w:tcPr>
            <w:tcW w:w="284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340" w:type="dxa"/>
            <w:vAlign w:val="bottom"/>
            <w:shd w:val="clear" w:color="auto" w:fill="DBDBDB"/>
          </w:tcPr>
          <w:p>
            <w:pPr>
              <w:ind w:left="14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8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220" w:type="dxa"/>
            <w:vAlign w:val="bottom"/>
            <w:shd w:val="clear" w:color="auto" w:fill="DBDBDB"/>
          </w:tcPr>
          <w:p>
            <w:pPr>
              <w:spacing w:after="0"/>
              <w:rPr>
                <w:sz w:val="17"/>
                <w:szCs w:val="17"/>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1,292.9</w:t>
            </w:r>
          </w:p>
        </w:tc>
        <w:tc>
          <w:tcPr>
            <w:tcW w:w="80" w:type="dxa"/>
            <w:vAlign w:val="bottom"/>
            <w:shd w:val="clear" w:color="auto" w:fill="DBDBDB"/>
          </w:tcPr>
          <w:p>
            <w:pPr>
              <w:spacing w:after="0"/>
              <w:rPr>
                <w:sz w:val="17"/>
                <w:szCs w:val="17"/>
                <w:color w:val="auto"/>
              </w:rPr>
            </w:pPr>
          </w:p>
        </w:tc>
        <w:tc>
          <w:tcPr>
            <w:tcW w:w="760" w:type="dxa"/>
            <w:vAlign w:val="bottom"/>
            <w:gridSpan w:val="2"/>
            <w:shd w:val="clear" w:color="auto" w:fill="DBDBDB"/>
          </w:tcPr>
          <w:p>
            <w:pPr>
              <w:ind w:left="46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shd w:val="clear" w:color="auto" w:fill="DBDBDB"/>
          </w:tcPr>
          <w:p>
            <w:pPr>
              <w:ind w:left="50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1,292.9</w:t>
            </w:r>
          </w:p>
        </w:tc>
        <w:tc>
          <w:tcPr>
            <w:tcW w:w="0" w:type="dxa"/>
            <w:vAlign w:val="bottom"/>
          </w:tcPr>
          <w:p>
            <w:pPr>
              <w:spacing w:after="0"/>
              <w:rPr>
                <w:sz w:val="1"/>
                <w:szCs w:val="1"/>
                <w:color w:val="auto"/>
              </w:rPr>
            </w:pPr>
          </w:p>
        </w:tc>
      </w:tr>
      <w:tr>
        <w:trPr>
          <w:trHeight w:val="151"/>
        </w:trPr>
        <w:tc>
          <w:tcPr>
            <w:tcW w:w="2840" w:type="dxa"/>
            <w:vAlign w:val="bottom"/>
          </w:tcPr>
          <w:p>
            <w:pPr>
              <w:spacing w:after="0" w:line="151" w:lineRule="exact"/>
              <w:rPr>
                <w:sz w:val="20"/>
                <w:szCs w:val="20"/>
                <w:color w:val="auto"/>
              </w:rPr>
            </w:pPr>
            <w:r>
              <w:rPr>
                <w:rFonts w:ascii="Arial" w:cs="Arial" w:eastAsia="Arial" w:hAnsi="Arial"/>
                <w:sz w:val="14"/>
                <w:szCs w:val="14"/>
                <w:color w:val="auto"/>
              </w:rPr>
              <w:t>Other comprehensive income (loss), net of</w:t>
            </w: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340" w:type="dxa"/>
            <w:vAlign w:val="bottom"/>
            <w:vMerge w:val="restart"/>
            <w:shd w:val="clear" w:color="auto" w:fill="DBDBDB"/>
          </w:tcPr>
          <w:p>
            <w:pPr>
              <w:ind w:left="14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4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8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22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(45.8)</w:t>
            </w: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760" w:type="dxa"/>
            <w:vAlign w:val="bottom"/>
            <w:gridSpan w:val="2"/>
            <w:vMerge w:val="restart"/>
            <w:shd w:val="clear" w:color="auto" w:fill="DBDBDB"/>
          </w:tcPr>
          <w:p>
            <w:pPr>
              <w:ind w:left="46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vMerge w:val="restart"/>
            <w:shd w:val="clear" w:color="auto" w:fill="DBDBDB"/>
          </w:tcPr>
          <w:p>
            <w:pPr>
              <w:ind w:left="50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(45.8)</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4"/>
                <w:szCs w:val="14"/>
                <w:color w:val="auto"/>
              </w:rPr>
              <w:t>tax</w:t>
            </w:r>
          </w:p>
        </w:tc>
        <w:tc>
          <w:tcPr>
            <w:tcW w:w="60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4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8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stock</w:t>
            </w: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340" w:type="dxa"/>
            <w:vAlign w:val="bottom"/>
            <w:vMerge w:val="restart"/>
            <w:shd w:val="clear" w:color="auto" w:fill="DBDBDB"/>
          </w:tcPr>
          <w:p>
            <w:pPr>
              <w:ind w:left="140"/>
              <w:spacing w:after="0"/>
              <w:rPr>
                <w:sz w:val="20"/>
                <w:szCs w:val="20"/>
                <w:color w:val="auto"/>
              </w:rPr>
            </w:pPr>
            <w:r>
              <w:rPr>
                <w:rFonts w:ascii="Arial" w:cs="Arial" w:eastAsia="Arial" w:hAnsi="Arial"/>
                <w:sz w:val="14"/>
                <w:szCs w:val="14"/>
                <w:color w:val="026DCE"/>
              </w:rPr>
              <w:t>—</w:t>
            </w:r>
          </w:p>
        </w:tc>
        <w:tc>
          <w:tcPr>
            <w:tcW w:w="740" w:type="dxa"/>
            <w:vAlign w:val="bottom"/>
            <w:gridSpan w:val="3"/>
            <w:vMerge w:val="restart"/>
            <w:shd w:val="clear" w:color="auto" w:fill="DBDBDB"/>
          </w:tcPr>
          <w:p>
            <w:pPr>
              <w:jc w:val="right"/>
              <w:spacing w:after="0"/>
              <w:rPr>
                <w:sz w:val="20"/>
                <w:szCs w:val="20"/>
                <w:color w:val="auto"/>
              </w:rPr>
            </w:pPr>
            <w:r>
              <w:rPr>
                <w:rFonts w:ascii="Arial" w:cs="Arial" w:eastAsia="Arial" w:hAnsi="Arial"/>
                <w:sz w:val="14"/>
                <w:szCs w:val="14"/>
                <w:color w:val="026DCE"/>
              </w:rPr>
              <w:t>0.3</w:t>
            </w: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4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2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34.0</w:t>
            </w: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9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2"/>
                <w:szCs w:val="12"/>
                <w:color w:val="auto"/>
              </w:rPr>
            </w:pPr>
          </w:p>
        </w:tc>
        <w:tc>
          <w:tcPr>
            <w:tcW w:w="8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760" w:type="dxa"/>
            <w:vAlign w:val="bottom"/>
            <w:gridSpan w:val="2"/>
            <w:vMerge w:val="restart"/>
            <w:shd w:val="clear" w:color="auto" w:fill="DBDBDB"/>
          </w:tcPr>
          <w:p>
            <w:pPr>
              <w:ind w:left="46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vMerge w:val="restart"/>
            <w:shd w:val="clear" w:color="auto" w:fill="DBDBDB"/>
          </w:tcPr>
          <w:p>
            <w:pPr>
              <w:ind w:left="50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2"/>
                <w:szCs w:val="12"/>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34.0</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4"/>
                <w:szCs w:val="14"/>
                <w:color w:val="auto"/>
              </w:rPr>
              <w:t>option and stock purchase plans</w:t>
            </w:r>
          </w:p>
        </w:tc>
        <w:tc>
          <w:tcPr>
            <w:tcW w:w="60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740" w:type="dxa"/>
            <w:vAlign w:val="bottom"/>
            <w:gridSpan w:val="3"/>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4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stock</w:t>
            </w: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340" w:type="dxa"/>
            <w:vAlign w:val="bottom"/>
            <w:vMerge w:val="restart"/>
            <w:shd w:val="clear" w:color="auto" w:fill="DBDBDB"/>
          </w:tcPr>
          <w:p>
            <w:pPr>
              <w:ind w:left="14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2"/>
                <w:szCs w:val="12"/>
                <w:color w:val="auto"/>
              </w:rPr>
            </w:pPr>
          </w:p>
        </w:tc>
        <w:tc>
          <w:tcPr>
            <w:tcW w:w="72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026DCE"/>
              </w:rPr>
              <w:t>0.7</w:t>
            </w: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4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(44.0)</w:t>
            </w: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9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2"/>
                <w:szCs w:val="12"/>
                <w:color w:val="auto"/>
              </w:rPr>
            </w:pPr>
          </w:p>
        </w:tc>
        <w:tc>
          <w:tcPr>
            <w:tcW w:w="8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760" w:type="dxa"/>
            <w:vAlign w:val="bottom"/>
            <w:gridSpan w:val="2"/>
            <w:vMerge w:val="restart"/>
            <w:shd w:val="clear" w:color="auto" w:fill="DBDBDB"/>
          </w:tcPr>
          <w:p>
            <w:pPr>
              <w:ind w:left="46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vMerge w:val="restart"/>
            <w:shd w:val="clear" w:color="auto" w:fill="DBDBDB"/>
          </w:tcPr>
          <w:p>
            <w:pPr>
              <w:ind w:left="50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2"/>
                <w:szCs w:val="12"/>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(44.0)</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4"/>
                <w:szCs w:val="14"/>
                <w:color w:val="auto"/>
              </w:rPr>
              <w:t>award plan</w:t>
            </w:r>
          </w:p>
        </w:tc>
        <w:tc>
          <w:tcPr>
            <w:tcW w:w="60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720" w:type="dxa"/>
            <w:vAlign w:val="bottom"/>
            <w:gridSpan w:val="2"/>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4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Compensation related to share-based</w:t>
            </w: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340" w:type="dxa"/>
            <w:vAlign w:val="bottom"/>
            <w:vMerge w:val="restart"/>
            <w:shd w:val="clear" w:color="auto" w:fill="DBDBDB"/>
          </w:tcPr>
          <w:p>
            <w:pPr>
              <w:ind w:left="14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4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72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303.1</w:t>
            </w: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9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2"/>
                <w:szCs w:val="12"/>
                <w:color w:val="auto"/>
              </w:rPr>
            </w:pPr>
          </w:p>
        </w:tc>
        <w:tc>
          <w:tcPr>
            <w:tcW w:w="8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760" w:type="dxa"/>
            <w:vAlign w:val="bottom"/>
            <w:gridSpan w:val="2"/>
            <w:vMerge w:val="restart"/>
            <w:shd w:val="clear" w:color="auto" w:fill="DBDBDB"/>
          </w:tcPr>
          <w:p>
            <w:pPr>
              <w:ind w:left="46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vMerge w:val="restart"/>
            <w:shd w:val="clear" w:color="auto" w:fill="DBDBDB"/>
          </w:tcPr>
          <w:p>
            <w:pPr>
              <w:ind w:left="50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2"/>
                <w:szCs w:val="12"/>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303.1</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4"/>
                <w:szCs w:val="14"/>
                <w:color w:val="auto"/>
              </w:rPr>
              <w:t>payments</w:t>
            </w:r>
          </w:p>
        </w:tc>
        <w:tc>
          <w:tcPr>
            <w:tcW w:w="60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4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6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760" w:type="dxa"/>
            <w:vAlign w:val="bottom"/>
            <w:gridSpan w:val="2"/>
            <w:vMerge w:val="continue"/>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0.6</w:t>
            </w:r>
          </w:p>
        </w:tc>
        <w:tc>
          <w:tcPr>
            <w:tcW w:w="8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ind w:left="460"/>
              <w:spacing w:after="0"/>
              <w:rPr>
                <w:sz w:val="20"/>
                <w:szCs w:val="20"/>
                <w:color w:val="auto"/>
              </w:rPr>
            </w:pPr>
            <w:r>
              <w:rPr>
                <w:rFonts w:ascii="Arial" w:cs="Arial" w:eastAsia="Arial" w:hAnsi="Arial"/>
                <w:sz w:val="14"/>
                <w:szCs w:val="14"/>
                <w:b w:val="1"/>
                <w:bCs w:val="1"/>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ind w:left="500"/>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0.6</w:t>
            </w:r>
          </w:p>
        </w:tc>
        <w:tc>
          <w:tcPr>
            <w:tcW w:w="0" w:type="dxa"/>
            <w:vAlign w:val="bottom"/>
          </w:tcPr>
          <w:p>
            <w:pPr>
              <w:spacing w:after="0"/>
              <w:rPr>
                <w:sz w:val="1"/>
                <w:szCs w:val="1"/>
                <w:color w:val="auto"/>
              </w:rPr>
            </w:pPr>
          </w:p>
        </w:tc>
      </w:tr>
      <w:tr>
        <w:trPr>
          <w:trHeight w:val="217"/>
        </w:trPr>
        <w:tc>
          <w:tcPr>
            <w:tcW w:w="2840" w:type="dxa"/>
            <w:vAlign w:val="bottom"/>
          </w:tcPr>
          <w:p>
            <w:pPr>
              <w:spacing w:after="0"/>
              <w:rPr>
                <w:sz w:val="20"/>
                <w:szCs w:val="20"/>
                <w:color w:val="auto"/>
              </w:rPr>
            </w:pPr>
            <w:r>
              <w:rPr>
                <w:rFonts w:ascii="Arial" w:cs="Arial" w:eastAsia="Arial" w:hAnsi="Arial"/>
                <w:sz w:val="14"/>
                <w:szCs w:val="14"/>
                <w:b w:val="1"/>
                <w:bCs w:val="1"/>
                <w:color w:val="auto"/>
              </w:rPr>
              <w:t>Balance, December 31, 2025</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2573BA"/>
              </w:rPr>
              <w:t>$</w:t>
            </w:r>
          </w:p>
        </w:tc>
        <w:tc>
          <w:tcPr>
            <w:tcW w:w="34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170.5</w:t>
            </w:r>
          </w:p>
        </w:tc>
        <w:tc>
          <w:tcPr>
            <w:tcW w:w="40" w:type="dxa"/>
            <w:vAlign w:val="bottom"/>
            <w:tcBorders>
              <w:bottom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8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863.1</w:t>
            </w:r>
          </w:p>
        </w:tc>
        <w:tc>
          <w:tcPr>
            <w:tcW w:w="8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(182.0)</w:t>
            </w:r>
          </w:p>
        </w:tc>
        <w:tc>
          <w:tcPr>
            <w:tcW w:w="8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20,552.7</w:t>
            </w:r>
          </w:p>
        </w:tc>
        <w:tc>
          <w:tcPr>
            <w:tcW w:w="8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4"/>
                <w:szCs w:val="14"/>
                <w:b w:val="1"/>
                <w:bCs w:val="1"/>
                <w:color w:val="2573BA"/>
              </w:rPr>
              <w:t>(23.8)</w:t>
            </w:r>
          </w:p>
        </w:tc>
        <w:tc>
          <w:tcPr>
            <w:tcW w:w="8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color w:val="2573BA"/>
              </w:rPr>
              <w:t>$(2,977.1)</w:t>
            </w:r>
          </w:p>
        </w:tc>
        <w:tc>
          <w:tcPr>
            <w:tcW w:w="8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18,256.8</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9"/>
        </w:trPr>
        <w:tc>
          <w:tcPr>
            <w:tcW w:w="28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For the Year Ended December 31, 2024</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13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5"/>
            <w:vMerge w:val="restart"/>
          </w:tcPr>
          <w:p>
            <w:pPr>
              <w:jc w:val="right"/>
              <w:ind w:right="12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840" w:type="dxa"/>
            <w:vAlign w:val="bottom"/>
          </w:tcPr>
          <w:p>
            <w:pPr>
              <w:spacing w:after="0"/>
              <w:rPr>
                <w:sz w:val="8"/>
                <w:szCs w:val="8"/>
                <w:color w:val="auto"/>
              </w:rPr>
            </w:pPr>
          </w:p>
        </w:tc>
        <w:tc>
          <w:tcPr>
            <w:tcW w:w="130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3"/>
            <w:vMerge w:val="restart"/>
          </w:tcPr>
          <w:p>
            <w:pPr>
              <w:jc w:val="center"/>
              <w:ind w:right="80"/>
              <w:spacing w:after="0" w:line="145"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8"/>
                <w:szCs w:val="8"/>
                <w:color w:val="auto"/>
              </w:rPr>
            </w:pPr>
          </w:p>
        </w:tc>
        <w:tc>
          <w:tcPr>
            <w:tcW w:w="960" w:type="dxa"/>
            <w:vAlign w:val="bottom"/>
            <w:gridSpan w:val="2"/>
            <w:vMerge w:val="restart"/>
          </w:tcPr>
          <w:p>
            <w:pPr>
              <w:jc w:val="center"/>
              <w:ind w:right="320"/>
              <w:spacing w:after="0" w:line="14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8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28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40" w:type="dxa"/>
            <w:vAlign w:val="bottom"/>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4"/>
        </w:trPr>
        <w:tc>
          <w:tcPr>
            <w:tcW w:w="2840" w:type="dxa"/>
            <w:vAlign w:val="bottom"/>
          </w:tcPr>
          <w:p>
            <w:pPr>
              <w:spacing w:after="0"/>
              <w:rPr>
                <w:sz w:val="20"/>
                <w:szCs w:val="20"/>
                <w:color w:val="auto"/>
              </w:rPr>
            </w:pPr>
            <w:r>
              <w:rPr>
                <w:rFonts w:ascii="Arial" w:cs="Arial" w:eastAsia="Arial" w:hAnsi="Arial"/>
                <w:sz w:val="14"/>
                <w:szCs w:val="14"/>
                <w:b w:val="1"/>
                <w:bCs w:val="1"/>
                <w:color w:val="auto"/>
              </w:rPr>
              <w:t>Balance, December 31, 2023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168.7</w:t>
            </w:r>
          </w:p>
        </w:tc>
        <w:tc>
          <w:tcPr>
            <w:tcW w:w="38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302.5</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(153.7)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17,627.6</w:t>
            </w:r>
          </w:p>
        </w:tc>
        <w:tc>
          <w:tcPr>
            <w:tcW w:w="80" w:type="dxa"/>
            <w:vAlign w:val="bottom"/>
          </w:tcPr>
          <w:p>
            <w:pPr>
              <w:spacing w:after="0"/>
              <w:rPr>
                <w:sz w:val="16"/>
                <w:szCs w:val="16"/>
                <w:color w:val="auto"/>
              </w:rPr>
            </w:pPr>
          </w:p>
        </w:tc>
        <w:tc>
          <w:tcPr>
            <w:tcW w:w="680" w:type="dxa"/>
            <w:vAlign w:val="bottom"/>
          </w:tcPr>
          <w:p>
            <w:pPr>
              <w:ind w:left="280"/>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14,799.4</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1,632.2</w:t>
            </w:r>
          </w:p>
        </w:tc>
        <w:tc>
          <w:tcPr>
            <w:tcW w:w="8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1,632.2</w:t>
            </w:r>
          </w:p>
        </w:tc>
        <w:tc>
          <w:tcPr>
            <w:tcW w:w="0" w:type="dxa"/>
            <w:vAlign w:val="bottom"/>
          </w:tcPr>
          <w:p>
            <w:pPr>
              <w:spacing w:after="0"/>
              <w:rPr>
                <w:sz w:val="1"/>
                <w:szCs w:val="1"/>
                <w:color w:val="auto"/>
              </w:rPr>
            </w:pPr>
          </w:p>
        </w:tc>
      </w:tr>
      <w:tr>
        <w:trPr>
          <w:trHeight w:val="161"/>
        </w:trPr>
        <w:tc>
          <w:tcPr>
            <w:tcW w:w="2840" w:type="dxa"/>
            <w:vAlign w:val="bottom"/>
          </w:tcPr>
          <w:p>
            <w:pPr>
              <w:spacing w:after="0"/>
              <w:rPr>
                <w:sz w:val="20"/>
                <w:szCs w:val="20"/>
                <w:color w:val="auto"/>
              </w:rPr>
            </w:pPr>
            <w:r>
              <w:rPr>
                <w:rFonts w:ascii="Arial" w:cs="Arial" w:eastAsia="Arial" w:hAnsi="Arial"/>
                <w:sz w:val="14"/>
                <w:szCs w:val="14"/>
                <w:color w:val="auto"/>
              </w:rPr>
              <w:t>Other comprehensive income (loss), net of</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17.5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4"/>
                <w:szCs w:val="14"/>
                <w:color w:val="auto"/>
              </w:rPr>
              <w:t>tax</w:t>
            </w: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stock</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36.3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4"/>
                <w:szCs w:val="14"/>
                <w:color w:val="auto"/>
              </w:rPr>
              <w:t>option and stock purchase plans</w:t>
            </w: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Arial" w:cs="Arial" w:eastAsia="Arial" w:hAnsi="Arial"/>
                <w:sz w:val="14"/>
                <w:szCs w:val="14"/>
                <w:color w:val="auto"/>
              </w:rPr>
              <w:t>Issuance of common stock under stock</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(67.7)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4"/>
                <w:szCs w:val="14"/>
                <w:color w:val="auto"/>
              </w:rPr>
              <w:t>award plan</w:t>
            </w: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color w:val="auto"/>
              </w:rPr>
              <w:t>Compensation related to share-based</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301.5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ind w:left="4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301.5</w:t>
            </w:r>
          </w:p>
        </w:tc>
        <w:tc>
          <w:tcPr>
            <w:tcW w:w="0" w:type="dxa"/>
            <w:vAlign w:val="bottom"/>
          </w:tcPr>
          <w:p>
            <w:pPr>
              <w:spacing w:after="0"/>
              <w:rPr>
                <w:sz w:val="1"/>
                <w:szCs w:val="1"/>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4"/>
                <w:szCs w:val="14"/>
                <w:color w:val="auto"/>
              </w:rPr>
              <w:t>payments</w:t>
            </w:r>
          </w:p>
        </w:tc>
        <w:tc>
          <w:tcPr>
            <w:tcW w:w="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40" w:type="dxa"/>
            <w:vAlign w:val="bottom"/>
          </w:tcPr>
          <w:p>
            <w:pPr>
              <w:spacing w:after="0"/>
              <w:rPr>
                <w:sz w:val="20"/>
                <w:szCs w:val="20"/>
                <w:color w:val="auto"/>
              </w:rPr>
            </w:pPr>
            <w:r>
              <w:rPr>
                <w:rFonts w:ascii="Arial" w:cs="Arial" w:eastAsia="Arial" w:hAnsi="Arial"/>
                <w:sz w:val="14"/>
                <w:szCs w:val="14"/>
                <w:color w:val="auto"/>
              </w:rPr>
              <w:t>Other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0"/>
        </w:trPr>
        <w:tc>
          <w:tcPr>
            <w:tcW w:w="2840" w:type="dxa"/>
            <w:vAlign w:val="bottom"/>
          </w:tcPr>
          <w:p>
            <w:pPr>
              <w:spacing w:after="0"/>
              <w:rPr>
                <w:sz w:val="20"/>
                <w:szCs w:val="20"/>
                <w:color w:val="auto"/>
              </w:rPr>
            </w:pPr>
            <w:r>
              <w:rPr>
                <w:rFonts w:ascii="Arial" w:cs="Arial" w:eastAsia="Arial" w:hAnsi="Arial"/>
                <w:sz w:val="14"/>
                <w:szCs w:val="14"/>
                <w:b w:val="1"/>
                <w:bCs w:val="1"/>
                <w:color w:val="auto"/>
              </w:rPr>
              <w:t>Balance, December 31, 2024</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169.5</w:t>
            </w:r>
          </w:p>
        </w:tc>
        <w:tc>
          <w:tcPr>
            <w:tcW w:w="380" w:type="dxa"/>
            <w:vAlign w:val="bottom"/>
            <w:gridSpan w:val="3"/>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569.4</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(136.2)</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19,259.8</w:t>
            </w:r>
          </w:p>
        </w:tc>
        <w:tc>
          <w:tcPr>
            <w:tcW w:w="80" w:type="dxa"/>
            <w:vAlign w:val="bottom"/>
          </w:tcPr>
          <w:p>
            <w:pPr>
              <w:spacing w:after="0"/>
              <w:rPr>
                <w:sz w:val="17"/>
                <w:szCs w:val="17"/>
                <w:color w:val="auto"/>
              </w:rPr>
            </w:pPr>
          </w:p>
        </w:tc>
        <w:tc>
          <w:tcPr>
            <w:tcW w:w="680" w:type="dxa"/>
            <w:vAlign w:val="bottom"/>
          </w:tcPr>
          <w:p>
            <w:pPr>
              <w:ind w:left="280"/>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16,716.0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right="120"/>
        <w:spacing w:after="0" w:line="256" w:lineRule="auto"/>
        <w:rPr>
          <w:sz w:val="20"/>
          <w:szCs w:val="20"/>
          <w:color w:val="auto"/>
        </w:rPr>
      </w:pPr>
      <w:r>
        <w:rPr>
          <w:rFonts w:ascii="Arial" w:cs="Arial" w:eastAsia="Arial" w:hAnsi="Arial"/>
          <w:sz w:val="14"/>
          <w:szCs w:val="14"/>
          <w:b w:val="1"/>
          <w:bCs w:val="1"/>
          <w:color w:val="auto"/>
        </w:rPr>
        <w:t>Balance, December 31, 2022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w:t>
      </w:r>
    </w:p>
    <w:p>
      <w:pPr>
        <w:spacing w:after="0" w:line="34" w:lineRule="exact"/>
        <w:rPr>
          <w:sz w:val="20"/>
          <w:szCs w:val="20"/>
          <w:color w:val="auto"/>
        </w:rPr>
      </w:pPr>
    </w:p>
    <w:p>
      <w:pPr>
        <w:ind w:left="20" w:right="160"/>
        <w:spacing w:after="0" w:line="252" w:lineRule="auto"/>
        <w:rPr>
          <w:sz w:val="20"/>
          <w:szCs w:val="20"/>
          <w:color w:val="auto"/>
        </w:rPr>
      </w:pPr>
      <w:r>
        <w:rPr>
          <w:rFonts w:ascii="Arial" w:cs="Arial" w:eastAsia="Arial" w:hAnsi="Arial"/>
          <w:sz w:val="14"/>
          <w:szCs w:val="14"/>
          <w:color w:val="auto"/>
        </w:rPr>
        <w:t>Other comprehensive income (loss), net of tax</w:t>
      </w:r>
    </w:p>
    <w:p>
      <w:pPr>
        <w:spacing w:after="0" w:line="1" w:lineRule="exact"/>
        <w:rPr>
          <w:sz w:val="20"/>
          <w:szCs w:val="20"/>
          <w:color w:val="auto"/>
        </w:rPr>
      </w:pPr>
    </w:p>
    <w:p>
      <w:pPr>
        <w:ind w:left="20" w:right="140"/>
        <w:spacing w:after="0" w:line="251" w:lineRule="auto"/>
        <w:rPr>
          <w:sz w:val="20"/>
          <w:szCs w:val="20"/>
          <w:color w:val="auto"/>
        </w:rPr>
      </w:pPr>
      <w:r>
        <w:rPr>
          <w:rFonts w:ascii="Arial" w:cs="Arial" w:eastAsia="Arial" w:hAnsi="Arial"/>
          <w:sz w:val="14"/>
          <w:szCs w:val="14"/>
          <w:color w:val="auto"/>
        </w:rPr>
        <w:t>Capital contribution from noncontrolling interest</w:t>
      </w:r>
    </w:p>
    <w:p>
      <w:pPr>
        <w:spacing w:after="0" w:line="1" w:lineRule="exact"/>
        <w:rPr>
          <w:sz w:val="20"/>
          <w:szCs w:val="20"/>
          <w:color w:val="auto"/>
        </w:rPr>
      </w:pPr>
    </w:p>
    <w:p>
      <w:pPr>
        <w:ind w:left="20" w:right="280"/>
        <w:spacing w:after="0" w:line="251" w:lineRule="auto"/>
        <w:rPr>
          <w:sz w:val="20"/>
          <w:szCs w:val="20"/>
          <w:color w:val="auto"/>
        </w:rPr>
      </w:pPr>
      <w:r>
        <w:rPr>
          <w:rFonts w:ascii="Arial" w:cs="Arial" w:eastAsia="Arial" w:hAnsi="Arial"/>
          <w:sz w:val="14"/>
          <w:szCs w:val="14"/>
          <w:color w:val="auto"/>
        </w:rPr>
        <w:t>Deconsolidation of noncontrolling interest</w:t>
      </w:r>
    </w:p>
    <w:p>
      <w:pPr>
        <w:spacing w:after="0" w:line="1" w:lineRule="exact"/>
        <w:rPr>
          <w:sz w:val="20"/>
          <w:szCs w:val="20"/>
          <w:color w:val="auto"/>
        </w:rPr>
      </w:pPr>
    </w:p>
    <w:p>
      <w:pPr>
        <w:ind w:left="20"/>
        <w:spacing w:after="0" w:line="241" w:lineRule="auto"/>
        <w:rPr>
          <w:sz w:val="20"/>
          <w:szCs w:val="20"/>
          <w:color w:val="auto"/>
        </w:rPr>
      </w:pPr>
      <w:r>
        <w:rPr>
          <w:rFonts w:ascii="Arial" w:cs="Arial" w:eastAsia="Arial" w:hAnsi="Arial"/>
          <w:sz w:val="14"/>
          <w:szCs w:val="14"/>
          <w:color w:val="auto"/>
        </w:rPr>
        <w:t>Issuance of common stock under stock option and stock purchase plans</w:t>
      </w:r>
    </w:p>
    <w:p>
      <w:pPr>
        <w:spacing w:after="0" w:line="1" w:lineRule="exact"/>
        <w:rPr>
          <w:sz w:val="20"/>
          <w:szCs w:val="20"/>
          <w:color w:val="auto"/>
        </w:rPr>
      </w:pPr>
    </w:p>
    <w:p>
      <w:pPr>
        <w:ind w:left="20"/>
        <w:spacing w:after="0" w:line="251" w:lineRule="auto"/>
        <w:rPr>
          <w:sz w:val="20"/>
          <w:szCs w:val="20"/>
          <w:color w:val="auto"/>
        </w:rPr>
      </w:pPr>
      <w:r>
        <w:rPr>
          <w:rFonts w:ascii="Arial" w:cs="Arial" w:eastAsia="Arial" w:hAnsi="Arial"/>
          <w:sz w:val="14"/>
          <w:szCs w:val="14"/>
          <w:color w:val="auto"/>
        </w:rPr>
        <w:t>Issuance of common stock under stock award plan</w:t>
      </w:r>
    </w:p>
    <w:p>
      <w:pPr>
        <w:spacing w:after="0" w:line="1" w:lineRule="exact"/>
        <w:rPr>
          <w:sz w:val="20"/>
          <w:szCs w:val="20"/>
          <w:color w:val="auto"/>
        </w:rPr>
      </w:pPr>
    </w:p>
    <w:p>
      <w:pPr>
        <w:ind w:left="20" w:right="120"/>
        <w:spacing w:after="0" w:line="251" w:lineRule="auto"/>
        <w:rPr>
          <w:sz w:val="20"/>
          <w:szCs w:val="20"/>
          <w:color w:val="auto"/>
        </w:rPr>
      </w:pPr>
      <w:r>
        <w:rPr>
          <w:rFonts w:ascii="Arial" w:cs="Arial" w:eastAsia="Arial" w:hAnsi="Arial"/>
          <w:sz w:val="14"/>
          <w:szCs w:val="14"/>
          <w:color w:val="auto"/>
        </w:rPr>
        <w:t>Compensation related to share-based payments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40" w:lineRule="exact"/>
        <w:rPr>
          <w:sz w:val="20"/>
          <w:szCs w:val="20"/>
          <w:color w:val="auto"/>
        </w:rPr>
      </w:pPr>
    </w:p>
    <w:p>
      <w:pPr>
        <w:ind w:left="20" w:right="120"/>
        <w:spacing w:after="0" w:line="273" w:lineRule="auto"/>
        <w:rPr>
          <w:sz w:val="20"/>
          <w:szCs w:val="20"/>
          <w:color w:val="auto"/>
        </w:rPr>
      </w:pPr>
      <w:r>
        <w:rPr>
          <w:rFonts w:ascii="Arial" w:cs="Arial" w:eastAsia="Arial" w:hAnsi="Arial"/>
          <w:sz w:val="14"/>
          <w:szCs w:val="14"/>
          <w:b w:val="1"/>
          <w:bCs w:val="1"/>
          <w:color w:val="auto"/>
        </w:rPr>
        <w:t>Balance,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820"/>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ind w:right="1820"/>
        <w:spacing w:after="0"/>
        <w:rPr>
          <w:sz w:val="20"/>
          <w:szCs w:val="20"/>
          <w:color w:val="auto"/>
        </w:rPr>
      </w:pPr>
      <w:r>
        <w:rPr>
          <w:rFonts w:ascii="Arial" w:cs="Arial" w:eastAsia="Arial" w:hAnsi="Arial"/>
          <w:sz w:val="25"/>
          <w:szCs w:val="25"/>
          <w:color w:val="00587F"/>
        </w:rPr>
        <w:t>CONSOLIDATED STATEMENTS OF EQUITY - (Continued)</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00587F"/>
        </w:rPr>
        <w:t>(In millions)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220" w:type="dxa"/>
            <w:vAlign w:val="bottom"/>
            <w:tcBorders>
              <w:top w:val="single" w:sz="8" w:color="auto"/>
            </w:tcBorders>
            <w:gridSpan w:val="5"/>
          </w:tcPr>
          <w:p>
            <w:pPr>
              <w:ind w:left="80"/>
              <w:spacing w:after="0" w:line="144" w:lineRule="exact"/>
              <w:rPr>
                <w:sz w:val="20"/>
                <w:szCs w:val="20"/>
                <w:color w:val="auto"/>
              </w:rPr>
            </w:pPr>
            <w:r>
              <w:rPr>
                <w:rFonts w:ascii="Arial" w:cs="Arial" w:eastAsia="Arial" w:hAnsi="Arial"/>
                <w:sz w:val="13"/>
                <w:szCs w:val="13"/>
                <w:b w:val="1"/>
                <w:bCs w:val="1"/>
                <w:color w:val="auto"/>
              </w:rPr>
              <w:t>Preferred stock</w:t>
            </w:r>
          </w:p>
        </w:tc>
        <w:tc>
          <w:tcPr>
            <w:tcW w:w="1240" w:type="dxa"/>
            <w:vAlign w:val="bottom"/>
            <w:tcBorders>
              <w:top w:val="single" w:sz="8" w:color="auto"/>
            </w:tcBorders>
            <w:gridSpan w:val="5"/>
          </w:tcPr>
          <w:p>
            <w:pPr>
              <w:ind w:left="100"/>
              <w:spacing w:after="0" w:line="144" w:lineRule="exact"/>
              <w:rPr>
                <w:sz w:val="20"/>
                <w:szCs w:val="20"/>
                <w:color w:val="auto"/>
              </w:rPr>
            </w:pPr>
            <w:r>
              <w:rPr>
                <w:rFonts w:ascii="Arial" w:cs="Arial" w:eastAsia="Arial" w:hAnsi="Arial"/>
                <w:sz w:val="13"/>
                <w:szCs w:val="13"/>
                <w:b w:val="1"/>
                <w:bCs w:val="1"/>
                <w:color w:val="auto"/>
              </w:rPr>
              <w:t>Common stock</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Accumulated</w:t>
            </w:r>
          </w:p>
        </w:tc>
        <w:tc>
          <w:tcPr>
            <w:tcW w:w="7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ind w:left="180"/>
              <w:spacing w:after="0" w:line="144" w:lineRule="exact"/>
              <w:rPr>
                <w:sz w:val="20"/>
                <w:szCs w:val="20"/>
                <w:color w:val="auto"/>
              </w:rPr>
            </w:pPr>
            <w:r>
              <w:rPr>
                <w:rFonts w:ascii="Arial" w:cs="Arial" w:eastAsia="Arial" w:hAnsi="Arial"/>
                <w:sz w:val="13"/>
                <w:szCs w:val="13"/>
                <w:b w:val="1"/>
                <w:bCs w:val="1"/>
                <w:color w:val="auto"/>
              </w:rPr>
              <w:t>Treasury stock</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6"/>
              </w:rPr>
              <w:t>Total</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122" w:lineRule="exact"/>
              <w:rPr>
                <w:sz w:val="20"/>
                <w:szCs w:val="20"/>
                <w:color w:val="auto"/>
              </w:rPr>
            </w:pPr>
            <w:r>
              <w:rPr>
                <w:rFonts w:ascii="Arial" w:cs="Arial" w:eastAsia="Arial" w:hAnsi="Arial"/>
                <w:sz w:val="13"/>
                <w:szCs w:val="13"/>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8"/>
        </w:trPr>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8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income (loss)</w:t>
            </w:r>
          </w:p>
        </w:tc>
        <w:tc>
          <w:tcPr>
            <w:tcW w:w="80" w:type="dxa"/>
            <w:vAlign w:val="bottom"/>
          </w:tcPr>
          <w:p>
            <w:pPr>
              <w:spacing w:after="0"/>
              <w:rPr>
                <w:sz w:val="16"/>
                <w:szCs w:val="16"/>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317"/>
        </w:trPr>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167.9</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73.3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$ 16,466.5</w:t>
            </w:r>
          </w:p>
        </w:tc>
        <w:tc>
          <w:tcPr>
            <w:tcW w:w="8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(23.8)</w:t>
            </w:r>
          </w:p>
        </w:tc>
        <w:tc>
          <w:tcPr>
            <w:tcW w:w="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13,397.9</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$ 13,388.4</w:t>
            </w:r>
          </w:p>
        </w:tc>
        <w:tc>
          <w:tcPr>
            <w:tcW w:w="0" w:type="dxa"/>
            <w:vAlign w:val="bottom"/>
          </w:tcPr>
          <w:p>
            <w:pPr>
              <w:spacing w:after="0"/>
              <w:rPr>
                <w:sz w:val="1"/>
                <w:szCs w:val="1"/>
                <w:color w:val="auto"/>
              </w:rPr>
            </w:pPr>
          </w:p>
        </w:tc>
      </w:tr>
      <w:tr>
        <w:trPr>
          <w:trHeight w:val="203"/>
        </w:trPr>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1,161.1</w:t>
            </w:r>
          </w:p>
        </w:tc>
        <w:tc>
          <w:tcPr>
            <w:tcW w:w="80" w:type="dxa"/>
            <w:vAlign w:val="bottom"/>
          </w:tcPr>
          <w:p>
            <w:pPr>
              <w:spacing w:after="0"/>
              <w:rPr>
                <w:sz w:val="17"/>
                <w:szCs w:val="17"/>
                <w:color w:val="auto"/>
              </w:rPr>
            </w:pPr>
          </w:p>
        </w:tc>
        <w:tc>
          <w:tcPr>
            <w:tcW w:w="600" w:type="dxa"/>
            <w:vAlign w:val="bottom"/>
            <w:gridSpan w:val="2"/>
          </w:tcPr>
          <w:p>
            <w:pPr>
              <w:ind w:left="3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1,161.1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1,161.5</w:t>
            </w:r>
          </w:p>
        </w:tc>
        <w:tc>
          <w:tcPr>
            <w:tcW w:w="0" w:type="dxa"/>
            <w:vAlign w:val="bottom"/>
          </w:tcPr>
          <w:p>
            <w:pPr>
              <w:spacing w:after="0"/>
              <w:rPr>
                <w:sz w:val="1"/>
                <w:szCs w:val="1"/>
                <w:color w:val="auto"/>
              </w:rPr>
            </w:pPr>
          </w:p>
        </w:tc>
      </w:tr>
      <w:tr>
        <w:trPr>
          <w:trHeight w:val="338"/>
        </w:trPr>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338"/>
        </w:trPr>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338"/>
        </w:trPr>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486"/>
        </w:trPr>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45.1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338"/>
        </w:trPr>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338"/>
        </w:trPr>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274.4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2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274.4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274.4</w:t>
            </w:r>
          </w:p>
        </w:tc>
        <w:tc>
          <w:tcPr>
            <w:tcW w:w="0" w:type="dxa"/>
            <w:vAlign w:val="bottom"/>
          </w:tcPr>
          <w:p>
            <w:pPr>
              <w:spacing w:after="0"/>
              <w:rPr>
                <w:sz w:val="1"/>
                <w:szCs w:val="1"/>
                <w:color w:val="auto"/>
              </w:rPr>
            </w:pPr>
          </w:p>
        </w:tc>
      </w:tr>
      <w:tr>
        <w:trPr>
          <w:trHeight w:val="203"/>
        </w:trPr>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7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90"/>
        </w:trPr>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168.7</w:t>
            </w:r>
          </w:p>
        </w:tc>
        <w:tc>
          <w:tcPr>
            <w:tcW w:w="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302.5</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(153.7)</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$ 17,627.6</w:t>
            </w:r>
          </w:p>
        </w:tc>
        <w:tc>
          <w:tcPr>
            <w:tcW w:w="8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(23.8)</w:t>
            </w:r>
          </w:p>
        </w:tc>
        <w:tc>
          <w:tcPr>
            <w:tcW w:w="8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14,799.4</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$ 14,799.4</w:t>
            </w:r>
          </w:p>
        </w:tc>
        <w:tc>
          <w:tcPr>
            <w:tcW w:w="0" w:type="dxa"/>
            <w:vAlign w:val="bottom"/>
          </w:tcPr>
          <w:p>
            <w:pPr>
              <w:spacing w:after="0"/>
              <w:rPr>
                <w:sz w:val="1"/>
                <w:szCs w:val="1"/>
                <w:color w:val="auto"/>
              </w:rPr>
            </w:pPr>
          </w:p>
        </w:tc>
      </w:tr>
      <w:tr>
        <w:trPr>
          <w:trHeight w:val="22"/>
        </w:trPr>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820"/>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73660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720" w:space="100"/>
            <w:col w:w="9420"/>
          </w:cols>
          <w:pgMar w:left="320" w:top="238"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831215" cy="3429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6">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w:t>
      </w:r>
      <w:r>
        <w:rPr>
          <w:sz w:val="20"/>
          <w:szCs w:val="20"/>
          <w:color w:val="auto"/>
        </w:rPr>
        <w:tab/>
      </w:r>
      <w:r>
        <w:rPr>
          <w:rFonts w:ascii="Arial" w:cs="Arial" w:eastAsia="Arial" w:hAnsi="Arial"/>
          <w:sz w:val="21"/>
          <w:szCs w:val="21"/>
          <w:b w:val="1"/>
          <w:bCs w:val="1"/>
          <w:color w:val="0070C0"/>
        </w:rPr>
        <w:t>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7">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these notes to "Biogen," the "company," "we," "us" and "our" refer to Biogen Inc. and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Business Overview</w:t>
      </w:r>
    </w:p>
    <w:p>
      <w:pPr>
        <w:spacing w:after="0" w:line="12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We have a broad portfolio of medicines to treat MS, have introduced the first approved treatment for SMA, co-developed treatments to address a defining pathology of Alzheimer’s disease and launched the first approved treatment to target a genetic cause of ALS. We market the first and only drug approved in the U.S., the E.U. and certain international markets for the treatment of FA in adults and adolescents aged 16 years and older. We are focused on advancing our pipeline in neurology, specialized immunology and rare diseases. We support our drug discovery and development efforts through internal research and development programs, external collaborations and acquisitions.</w:t>
      </w:r>
    </w:p>
    <w:p>
      <w:pPr>
        <w:spacing w:after="0" w:line="7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marketed products include VUMERITY, TYSABRI, TECFIDERA, AVONEX and PLEGRIDY for the treatment of MS; SPINRAZA for the treatment of SMA; SKYCLARYS for the treatment of FA; and QALSODY for the treatment of ALS.</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Supernus on the commercialization of ZURZUVAE for the treatment of PPD. We have certain business and financial rights with respect to RITUXAN for the treatment of non-Hodgkin's lymphoma, CLL and other conditions; RITUXAN HYCELA for the treatment of non-Hodgkin's lymphoma and CLL; GAZYVA for the treatment of CLL, follicular lymphoma and, following its approval in October 2025, lupus nephritis;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 owned member of the Roche Group.</w:t>
      </w:r>
    </w:p>
    <w:p>
      <w:pPr>
        <w:spacing w:after="0" w:line="7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and FLIXABI, an infliximab biosimilar referencing REMICADE.</w:t>
      </w:r>
    </w:p>
    <w:p>
      <w:pPr>
        <w:spacing w:after="0" w:line="45"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Consolidation</w:t>
      </w:r>
    </w:p>
    <w:p>
      <w:pPr>
        <w:spacing w:after="0" w:line="1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consolidated financial statements reflect our financial statements, those of our wholly owned subsidiaries and variable interest entities where we are the primary beneficiary. For consolidated entities where we own or are exposed to less than 100.0% of the economics, we record net income attributable to noncontrolling interests, net of tax in our consolidated statements of income equal to the percentage of the economic or ownership interest retained in such entities by the respective noncontrolling parties. Intercompany balances and transactions are eliminated in consolidation.</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We continuously assess whether we are the primary beneficiary of a variable interest entity as changes to existing relationships or future transactions may result in us consolidating or deconsolidating one or more of our collaborators or partners. In November 2023 we terminated the Neurimmune Agreement, which resulted in the deconsolidation of our variable interest entity, Neurimmune.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Use of Estimates</w:t>
      </w:r>
    </w:p>
    <w:p>
      <w:pPr>
        <w:spacing w:after="0" w:line="12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preparation of our consolidated financial statements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reasonable, the results of which form the basis for making judgments about the carrying values of assets, liabilities and equity and the amount of revenue and expense. Actual results may differ from these estimates.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Revenue Recognition</w:t>
      </w:r>
    </w:p>
    <w:p>
      <w:pPr>
        <w:spacing w:after="0" w:line="12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recognize revenue when our customer obtains control of promised goods or services, in an amount that reflects the consideration which we expect to receive in exchange for those goods or services. We recognize revenue following the five-step model prescribed under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 identify contract(s) with a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Product Revenue</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the U.S., we sell our products primarily to wholesale and specialty distributors and specialty pharmacies. In other countries, we sell our products primarily to wholesale distributors, hospitals, pharmacies and other third-party distribution partners. These customers subsequently resell our products to health care providers and patients. In addition, we enter into arrangements with health care providers and payors that provide for government-mandated or privately-negotiated discounts and allowances related to our products.</w:t>
      </w:r>
    </w:p>
    <w:p>
      <w:pPr>
        <w:spacing w:after="0" w:line="68"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Product revenue is recognized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 or the amount is immaterial.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Reserves for Discounts and Allowances</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Product revenue is recorded net of reserves established for applicable discounts and allowances that are offered within contracts with our customers, health care providers or payors, including those associated with the implementation of pricing actions in certain of the international markets in which we operate.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reserves, which are classified as a reduction in product revenue, are generally characterized in the following categories: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discounts, contractual adjustments and returns.</w:t>
      </w:r>
    </w:p>
    <w:p>
      <w:pPr>
        <w:spacing w:after="0" w:line="9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 recognized will not occur in a future period. Actual amounts may ultimately differ from our estimates. If actual results vary, we adjust these estimates, which could have an effect on earnings in the period of adjustment.</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Discounts include trade term discounts, wholesaler incentives and volume related discounts. Trade term discounts and wholesaler incentives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historical experience, including the timing of customer payments. Volume related discounts primarily relate to incentives offered to downstream customers who earn discounts based upon the quarterly or annual volume of units purchased.</w:t>
      </w:r>
    </w:p>
    <w:p>
      <w:pPr>
        <w:spacing w:after="0" w:line="74" w:lineRule="exact"/>
        <w:rPr>
          <w:sz w:val="20"/>
          <w:szCs w:val="20"/>
          <w:color w:val="auto"/>
        </w:rPr>
      </w:pPr>
    </w:p>
    <w:p>
      <w:pPr>
        <w:ind w:right="400"/>
        <w:spacing w:after="0" w:line="318" w:lineRule="auto"/>
        <w:rPr>
          <w:sz w:val="20"/>
          <w:szCs w:val="20"/>
          <w:color w:val="auto"/>
        </w:rPr>
      </w:pPr>
      <w:r>
        <w:rPr>
          <w:rFonts w:ascii="Arial" w:cs="Arial" w:eastAsia="Arial" w:hAnsi="Arial"/>
          <w:sz w:val="17"/>
          <w:szCs w:val="17"/>
          <w:color w:val="auto"/>
        </w:rPr>
        <w:t>Contractual adjustments primarily relate to Medicaid, Medicare and managed care rebates in the U.S., pharmacy rebates, co-payment (copay) assistance, VA and PHS discounts, specialty pharmacy program fees and other governmental rebates or applicable allowances.</w:t>
      </w:r>
    </w:p>
    <w:p>
      <w:pPr>
        <w:spacing w:after="0" w:line="22" w:lineRule="exact"/>
        <w:rPr>
          <w:sz w:val="20"/>
          <w:szCs w:val="20"/>
          <w:color w:val="auto"/>
        </w:rPr>
      </w:pPr>
    </w:p>
    <w:p>
      <w:pPr>
        <w:ind w:left="340" w:right="320" w:hanging="332"/>
        <w:spacing w:after="0" w:line="262" w:lineRule="auto"/>
        <w:tabs>
          <w:tab w:leader="none" w:pos="295"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0070C0"/>
        </w:rPr>
        <w:t xml:space="preserve">Medicaid rebates: </w:t>
      </w:r>
      <w:r>
        <w:rPr>
          <w:rFonts w:ascii="Arial" w:cs="Arial" w:eastAsia="Arial" w:hAnsi="Arial"/>
          <w:sz w:val="18"/>
          <w:szCs w:val="18"/>
          <w:color w:val="000000"/>
        </w:rPr>
        <w:t>relate to our estimated obligations to states under established reimbursement arrangements. Rebate accruals are</w:t>
      </w:r>
      <w:r>
        <w:rPr>
          <w:rFonts w:ascii="Arial" w:cs="Arial" w:eastAsia="Arial" w:hAnsi="Arial"/>
          <w:sz w:val="18"/>
          <w:szCs w:val="18"/>
          <w:i w:val="1"/>
          <w:iCs w:val="1"/>
          <w:color w:val="0070C0"/>
        </w:rPr>
        <w:t xml:space="preserve"> </w:t>
      </w:r>
      <w:r>
        <w:rPr>
          <w:rFonts w:ascii="Arial" w:cs="Arial" w:eastAsia="Arial" w:hAnsi="Arial"/>
          <w:sz w:val="18"/>
          <w:szCs w:val="18"/>
          <w:color w:val="000000"/>
        </w:rPr>
        <w:t>recorded in the same period the related revenue is recognized, resulting in a reduction of product revenue and the establishment of a liability which is included in accrued expense and other current liabilities in our consolidated balance sheets. Our liability for Medicaid rebates consists of estimates for claims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40" w:right="440"/>
        <w:spacing w:after="0" w:line="268" w:lineRule="auto"/>
        <w:rPr>
          <w:sz w:val="20"/>
          <w:szCs w:val="20"/>
          <w:color w:val="auto"/>
        </w:rPr>
      </w:pPr>
      <w:r>
        <w:rPr>
          <w:rFonts w:ascii="Arial" w:cs="Arial" w:eastAsia="Arial" w:hAnsi="Arial"/>
          <w:sz w:val="18"/>
          <w:szCs w:val="18"/>
          <w:color w:val="auto"/>
        </w:rPr>
        <w:t>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w:t>
      </w:r>
    </w:p>
    <w:p>
      <w:pPr>
        <w:spacing w:after="0" w:line="63" w:lineRule="exact"/>
        <w:rPr>
          <w:sz w:val="20"/>
          <w:szCs w:val="20"/>
          <w:color w:val="auto"/>
        </w:rPr>
      </w:pPr>
    </w:p>
    <w:p>
      <w:pPr>
        <w:ind w:left="340" w:right="40" w:hanging="332"/>
        <w:spacing w:after="0" w:line="255" w:lineRule="auto"/>
        <w:tabs>
          <w:tab w:leader="none" w:pos="29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0070C0"/>
        </w:rPr>
        <w:t xml:space="preserve">Governmental rebates: </w:t>
      </w:r>
      <w:r>
        <w:rPr>
          <w:rFonts w:ascii="Arial" w:cs="Arial" w:eastAsia="Arial" w:hAnsi="Arial"/>
          <w:sz w:val="18"/>
          <w:szCs w:val="18"/>
          <w:color w:val="000000"/>
        </w:rPr>
        <w:t>or chargebacks, including VA and PHS discounts, represent our estimated obligations resulting from contractual</w:t>
      </w:r>
      <w:r>
        <w:rPr>
          <w:rFonts w:ascii="Arial" w:cs="Arial" w:eastAsia="Arial" w:hAnsi="Arial"/>
          <w:sz w:val="18"/>
          <w:szCs w:val="18"/>
          <w:i w:val="1"/>
          <w:iCs w:val="1"/>
          <w:color w:val="0070C0"/>
        </w:rPr>
        <w:t xml:space="preserve"> </w:t>
      </w:r>
      <w:r>
        <w:rPr>
          <w:rFonts w:ascii="Arial" w:cs="Arial" w:eastAsia="Arial" w:hAnsi="Arial"/>
          <w:sz w:val="18"/>
          <w:szCs w:val="18"/>
          <w:color w:val="000000"/>
        </w:rPr>
        <w:t>commitments to sell products to qualified healthcare providers at prices lower than the list prices we charge to wholesalers which provide those products. The wholesaler charges us for the difference between what the wholesaler pays for the products and the ultimate selling price to the qualified healthcare providers. Rebate and chargeback reserves are established in the same period as the related revenue is recognized, resulting in a reduction of product revenue and a reduction in the net accounts receivable. Chargeback amounts are generally determined at the time of resale to the qualified healthcare provider from the wholesaler, and we generally issue credits for such amounts within a few weeks of the wholesaler notifying us about the resale. Our reserves for VA, PHS and other chargebacks consist of amounts for inventory that exists at the wholesalers that we expect will be sold to qualified healthcare providers and chargebacks that wholesalers have claimed for which we have not issued a credit.</w:t>
      </w:r>
    </w:p>
    <w:p>
      <w:pPr>
        <w:spacing w:after="0" w:line="72" w:lineRule="exact"/>
        <w:rPr>
          <w:rFonts w:ascii="Arial" w:cs="Arial" w:eastAsia="Arial" w:hAnsi="Arial"/>
          <w:sz w:val="18"/>
          <w:szCs w:val="18"/>
          <w:color w:val="auto"/>
        </w:rPr>
      </w:pPr>
    </w:p>
    <w:p>
      <w:pPr>
        <w:ind w:left="340" w:right="120" w:hanging="332"/>
        <w:spacing w:after="0" w:line="257" w:lineRule="auto"/>
        <w:tabs>
          <w:tab w:leader="none" w:pos="29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0070C0"/>
        </w:rPr>
        <w:t xml:space="preserve">Managed care rebates: </w:t>
      </w:r>
      <w:r>
        <w:rPr>
          <w:rFonts w:ascii="Arial" w:cs="Arial" w:eastAsia="Arial" w:hAnsi="Arial"/>
          <w:sz w:val="18"/>
          <w:szCs w:val="18"/>
          <w:color w:val="000000"/>
        </w:rPr>
        <w:t>represent our estimated obligations to third parties, primarily pharmacy benefit managers. Rebate accruals are</w:t>
      </w:r>
      <w:r>
        <w:rPr>
          <w:rFonts w:ascii="Arial" w:cs="Arial" w:eastAsia="Arial" w:hAnsi="Arial"/>
          <w:sz w:val="18"/>
          <w:szCs w:val="18"/>
          <w:i w:val="1"/>
          <w:iCs w:val="1"/>
          <w:color w:val="0070C0"/>
        </w:rPr>
        <w:t xml:space="preserve"> </w:t>
      </w:r>
      <w:r>
        <w:rPr>
          <w:rFonts w:ascii="Arial" w:cs="Arial" w:eastAsia="Arial" w:hAnsi="Arial"/>
          <w:sz w:val="18"/>
          <w:szCs w:val="18"/>
          <w:color w:val="000000"/>
        </w:rPr>
        <w:t>recorded in the same period the related revenue is recognized, resulting in a reduction of product revenue and the establishment of a liability which is included in accrued expense and other current liabilities in our consolidated balance sheets. These rebates result from performance-based goals, formulary position and price increase limit allowances (price protection). The calculation of the accrual for these rebates is based on an estimate of the coverage patterns and the resulting applicable contractual rebate rate(s) to be earned over a contractual period.</w:t>
      </w:r>
    </w:p>
    <w:p>
      <w:pPr>
        <w:spacing w:after="0" w:line="74" w:lineRule="exact"/>
        <w:rPr>
          <w:rFonts w:ascii="Arial" w:cs="Arial" w:eastAsia="Arial" w:hAnsi="Arial"/>
          <w:sz w:val="18"/>
          <w:szCs w:val="18"/>
          <w:color w:val="auto"/>
        </w:rPr>
      </w:pPr>
    </w:p>
    <w:p>
      <w:pPr>
        <w:jc w:val="both"/>
        <w:ind w:left="340" w:right="340" w:hanging="332"/>
        <w:spacing w:after="0" w:line="268" w:lineRule="auto"/>
        <w:tabs>
          <w:tab w:leader="none" w:pos="29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0070C0"/>
        </w:rPr>
        <w:t xml:space="preserve">Copay assistance: </w:t>
      </w:r>
      <w:r>
        <w:rPr>
          <w:rFonts w:ascii="Arial" w:cs="Arial" w:eastAsia="Arial" w:hAnsi="Arial"/>
          <w:sz w:val="18"/>
          <w:szCs w:val="18"/>
          <w:color w:val="000000"/>
        </w:rPr>
        <w:t>represents financial assistance to qualified patients, assisting them with prescription drug co-payments required by</w:t>
      </w:r>
      <w:r>
        <w:rPr>
          <w:rFonts w:ascii="Arial" w:cs="Arial" w:eastAsia="Arial" w:hAnsi="Arial"/>
          <w:sz w:val="18"/>
          <w:szCs w:val="18"/>
          <w:i w:val="1"/>
          <w:iCs w:val="1"/>
          <w:color w:val="0070C0"/>
        </w:rPr>
        <w:t xml:space="preserve"> </w:t>
      </w:r>
      <w:r>
        <w:rPr>
          <w:rFonts w:ascii="Arial" w:cs="Arial" w:eastAsia="Arial" w:hAnsi="Arial"/>
          <w:sz w:val="18"/>
          <w:szCs w:val="18"/>
          <w:color w:val="000000"/>
        </w:rPr>
        <w:t>insurance. The calculation of the accrual for copay is based on an estimate of claims and the cost per claim that we expect to receive associated with inventory that exists in the distribution channel at period end.</w:t>
      </w:r>
    </w:p>
    <w:p>
      <w:pPr>
        <w:spacing w:after="0" w:line="62" w:lineRule="exact"/>
        <w:rPr>
          <w:rFonts w:ascii="Arial" w:cs="Arial" w:eastAsia="Arial" w:hAnsi="Arial"/>
          <w:sz w:val="18"/>
          <w:szCs w:val="18"/>
          <w:color w:val="auto"/>
        </w:rPr>
      </w:pPr>
    </w:p>
    <w:p>
      <w:pPr>
        <w:ind w:left="340" w:right="160" w:hanging="332"/>
        <w:spacing w:after="0" w:line="257" w:lineRule="auto"/>
        <w:tabs>
          <w:tab w:leader="none" w:pos="29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0070C0"/>
        </w:rPr>
        <w:t xml:space="preserve">Pharmacy rebates: </w:t>
      </w:r>
      <w:r>
        <w:rPr>
          <w:rFonts w:ascii="Arial" w:cs="Arial" w:eastAsia="Arial" w:hAnsi="Arial"/>
          <w:sz w:val="18"/>
          <w:szCs w:val="18"/>
          <w:color w:val="000000"/>
        </w:rPr>
        <w:t>represent our estimated obligations resulting from contractual commitments to sell products to specific pharmacies.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Rebate accruals are recorded in the same period the related revenue is recognized, resulting in a reduction of product revenue and the establishment of a liability which is included in accrued expense and other current liabilities in our consolidated balance sheets. These rebates result from contracted discounts on product purchased or product dispensed. The calculation of the accrual for these rebates is based on an estimate of the pharmacy’s buying or dispensing patterns and the resulting applicable contractual rebate rate(s) to be earned over the contractual period.</w:t>
      </w:r>
    </w:p>
    <w:p>
      <w:pPr>
        <w:spacing w:after="0" w:line="74" w:lineRule="exact"/>
        <w:rPr>
          <w:rFonts w:ascii="Arial" w:cs="Arial" w:eastAsia="Arial" w:hAnsi="Arial"/>
          <w:sz w:val="18"/>
          <w:szCs w:val="18"/>
          <w:color w:val="auto"/>
        </w:rPr>
      </w:pPr>
    </w:p>
    <w:p>
      <w:pPr>
        <w:ind w:left="340" w:right="80" w:hanging="332"/>
        <w:spacing w:after="0" w:line="259" w:lineRule="auto"/>
        <w:tabs>
          <w:tab w:leader="none" w:pos="29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0070C0"/>
        </w:rPr>
        <w:t xml:space="preserve">IRA Medicare rebates: </w:t>
      </w:r>
      <w:r>
        <w:rPr>
          <w:rFonts w:ascii="Arial" w:cs="Arial" w:eastAsia="Arial" w:hAnsi="Arial"/>
          <w:sz w:val="18"/>
          <w:szCs w:val="18"/>
          <w:color w:val="000000"/>
        </w:rPr>
        <w:t>relate to our estimated obligation under the IRA for the manufacturer’s portion of the Medicare Part D redesign.</w:t>
      </w:r>
      <w:r>
        <w:rPr>
          <w:rFonts w:ascii="Arial" w:cs="Arial" w:eastAsia="Arial" w:hAnsi="Arial"/>
          <w:sz w:val="18"/>
          <w:szCs w:val="18"/>
          <w:i w:val="1"/>
          <w:iCs w:val="1"/>
          <w:color w:val="0070C0"/>
        </w:rPr>
        <w:t xml:space="preserve"> </w:t>
      </w:r>
      <w:r>
        <w:rPr>
          <w:rFonts w:ascii="Arial" w:cs="Arial" w:eastAsia="Arial" w:hAnsi="Arial"/>
          <w:sz w:val="18"/>
          <w:szCs w:val="18"/>
          <w:color w:val="000000"/>
        </w:rPr>
        <w:t>Rebate accruals are recorded in the same period the related revenue is recognized, resulting in a reduction of product revenue and the establishment of a liability which is included in accrued expense and other within our consolidated balance sheets. The calculation of the accrual for these rebates is based on an estimate of our Medicare population and the estimated manufacturer portion of our obligation under the Part D Redesign.</w:t>
      </w:r>
    </w:p>
    <w:p>
      <w:pPr>
        <w:spacing w:after="0" w:line="71" w:lineRule="exact"/>
        <w:rPr>
          <w:rFonts w:ascii="Arial" w:cs="Arial" w:eastAsia="Arial" w:hAnsi="Arial"/>
          <w:sz w:val="18"/>
          <w:szCs w:val="18"/>
          <w:color w:val="auto"/>
        </w:rPr>
      </w:pPr>
    </w:p>
    <w:p>
      <w:pPr>
        <w:ind w:left="340" w:hanging="332"/>
        <w:spacing w:after="0" w:line="287" w:lineRule="auto"/>
        <w:tabs>
          <w:tab w:leader="none" w:pos="295"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0070C0"/>
        </w:rPr>
        <w:t xml:space="preserve">Other governmental rebates: </w:t>
      </w:r>
      <w:r>
        <w:rPr>
          <w:rFonts w:ascii="Arial" w:cs="Arial" w:eastAsia="Arial" w:hAnsi="Arial"/>
          <w:sz w:val="18"/>
          <w:szCs w:val="18"/>
          <w:color w:val="000000"/>
        </w:rPr>
        <w:t>non-U.S. pharmaceutical taxes or applicable allowances primarily relate to mandatory rebates and discounts</w:t>
      </w:r>
      <w:r>
        <w:rPr>
          <w:rFonts w:ascii="Arial" w:cs="Arial" w:eastAsia="Arial" w:hAnsi="Arial"/>
          <w:sz w:val="18"/>
          <w:szCs w:val="18"/>
          <w:i w:val="1"/>
          <w:iCs w:val="1"/>
          <w:color w:val="0070C0"/>
        </w:rPr>
        <w:t xml:space="preserve"> </w:t>
      </w:r>
      <w:r>
        <w:rPr>
          <w:rFonts w:ascii="Arial" w:cs="Arial" w:eastAsia="Arial" w:hAnsi="Arial"/>
          <w:sz w:val="18"/>
          <w:szCs w:val="18"/>
          <w:color w:val="000000"/>
        </w:rPr>
        <w:t>in international markets where government-sponsored healthcare systems are the primary payors for healthcare.</w:t>
      </w:r>
    </w:p>
    <w:p>
      <w:pPr>
        <w:spacing w:after="0" w:line="4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Product return reserves are established for returns made by wholesalers and are recorded in the period the related revenue is recognized, resulting in a reduction to product revenue. In accordance with contractual terms, wholesalers are permitted to return product for reasons such as damaged or expired product.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to discounts, rebates and product returns,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separable benefit and fair value for these services we classify these payments in selling, general and administrative expense in our consolidated statements of income.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Revenue from Anti-CD20 Therapeutic Programs</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Our collaboration with Genentech is within the scope of ASC 808, </w:t>
      </w:r>
      <w:r>
        <w:rPr>
          <w:rFonts w:ascii="Arial" w:cs="Arial" w:eastAsia="Arial" w:hAnsi="Arial"/>
          <w:sz w:val="18"/>
          <w:szCs w:val="18"/>
          <w:i w:val="1"/>
          <w:iCs w:val="1"/>
          <w:color w:val="auto"/>
        </w:rPr>
        <w:t>Collaborative Agreements</w:t>
      </w:r>
      <w:r>
        <w:rPr>
          <w:rFonts w:ascii="Arial" w:cs="Arial" w:eastAsia="Arial" w:hAnsi="Arial"/>
          <w:sz w:val="18"/>
          <w:szCs w:val="18"/>
          <w:color w:val="auto"/>
        </w:rPr>
        <w:t>, which provides guidance on the presentation and disclosure of collaborative arrangements. For purposes of this footnote, we refer to RITUXAN and RITUXAN HYCELA collectively as RITUXAN.</w:t>
      </w:r>
    </w:p>
    <w:p>
      <w:pPr>
        <w:spacing w:after="0" w:line="6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Our share of the pre-tax co-promotion profits on RITUXAN, GAZYVA and LUNSUMIO and royalty revenue on sales of OCREVUS, resulted from an exchange of a license. As we do not have future performance obligations under the license or collaboration agreement, revenue is recognized as the underlying sales occur.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Revenue from anti-CD20 therapeutic programs consist of:</w:t>
      </w:r>
    </w:p>
    <w:p>
      <w:pPr>
        <w:spacing w:after="0" w:line="117" w:lineRule="exact"/>
        <w:rPr>
          <w:sz w:val="20"/>
          <w:szCs w:val="20"/>
          <w:color w:val="auto"/>
        </w:rPr>
      </w:pPr>
    </w:p>
    <w:p>
      <w:pPr>
        <w:ind w:left="580" w:hanging="410"/>
        <w:spacing w:after="0"/>
        <w:tabs>
          <w:tab w:leader="none" w:pos="5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share of pre-tax profits and losses in the U.S. for RITUXAN, GAZYVA and LUNSUMIO;</w:t>
      </w:r>
    </w:p>
    <w:p>
      <w:pPr>
        <w:spacing w:after="0" w:line="117" w:lineRule="exact"/>
        <w:rPr>
          <w:rFonts w:ascii="Arial" w:cs="Arial" w:eastAsia="Arial" w:hAnsi="Arial"/>
          <w:sz w:val="18"/>
          <w:szCs w:val="18"/>
          <w:color w:val="auto"/>
        </w:rPr>
      </w:pPr>
    </w:p>
    <w:p>
      <w:pPr>
        <w:ind w:left="560" w:hanging="390"/>
        <w:spacing w:after="0"/>
        <w:tabs>
          <w:tab w:leader="none" w:pos="5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royalty revenue on sales of OCREVUS; and</w:t>
      </w:r>
    </w:p>
    <w:p>
      <w:pPr>
        <w:spacing w:after="0" w:line="117" w:lineRule="exact"/>
        <w:rPr>
          <w:sz w:val="20"/>
          <w:szCs w:val="20"/>
          <w:color w:val="auto"/>
        </w:rPr>
      </w:pPr>
    </w:p>
    <w:p>
      <w:pPr>
        <w:ind w:left="500" w:right="460" w:hanging="330"/>
        <w:spacing w:after="0" w:line="287" w:lineRule="auto"/>
        <w:tabs>
          <w:tab w:leader="none" w:pos="6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 revenue from anti-CD20 therapeutic programs, which consists of our share of pre-tax co-promotion profits on RITUXAN in Canada, royalties on net sales of COLUMVI in the U.S. and royalties on sales of LUNSUMIO outside the U.S.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co-promotion profits on RITUXAN, GAZYVA and LUNSUMIO are calculated and paid to us by Genentech and the Roche Group. Pre-tax co-promotion profits consist of net sales to third-party customers less applicable costs to manufacture, third-party royalty expense, distribution, selling and marketing expense and joint development expense incurred by Genentech and the Roche Group. Our share of the pre-tax profits on RITUXAN, GAZYVA and LUNSUMIO include estimates that are based on information received from Genentech and the Roche Group. These estimates are subject to change and actual results may differ.</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recognize royalty revenue on sales of OCREVUS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6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Prior to regulatory approval, we record our share of the expense incurred by the collaboration for the development of anti-CD20 products within research and development expense and pre-commercialization costs within selling, general and administrative expense in our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6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 xml:space="preserve">For additional information on our relationship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Alzheimer's Collaboration Revenue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Contract Manufacturing, Royalty and Other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Contract Manufacturing Revenue</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record contract manufacturing revenue primarily from amounts earned under contract manufacturing agreements with our strategic customers. Revenue under contract manufacturing agreements is recognized when the customer obtains control of the product, which may occur at a point in time or over time depending on the terms and conditions of the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Royalty and Other Revenue</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Royalty and other revenue primarily reflects royalty revenue on biosimilar products from our license arrangements with Samsung Bioepis and royalties we receive from net sales on products related to patents that we have out-licensed.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As the royalties we receive relate to arrangements that resulted from an exchange of a license and utilize the sales and usage based royalty exception, the royalties are recognized as the underlying sales occur.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Collaborative and Other Relationships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a number of significant collaborative and other third-party relationships for revenue and for the development, regulatory approval, commercialization and marketing of certain of our products and product candidates. Where we are the principal on sales transactions with third parties, we recognize revenue, cost of sales and operating expense on a gross basis in their respective lines in our consolidated statements of income. Where we are not the principal on sales transactions with third parties, our share of the revenue, cost of sales and operating expense is recorded on a net basis as a component of other revenue in our consolidated statements of income.</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development and commercialization arrangements with Genentech, Eisai, Supernus and Samsung Bioepis represent collaborative arrangements as each party is an active participant in one or more joint operating activities and is exposed to significant risks and rewards of these arrangements. These arrangements resulted from an exchange of a license and utilize the sales and usage based royalty exception, as applicable. Therefore, revenue relating to royalties or profit-sharing amounts received is recognized as the underlying sales occur.</w:t>
      </w:r>
    </w:p>
    <w:p>
      <w:pPr>
        <w:spacing w:after="0" w:line="6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Genentech, Eisai, Supernus and Samsung Bioepis,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Fair Value Measurements</w:t>
      </w:r>
    </w:p>
    <w:p>
      <w:pPr>
        <w:spacing w:after="0" w:line="126"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We have certain financial assets and liabilities recorded at fair value which have been classified as Level 1, 2 or 3 within the fair value hierarchy as described in the accounting standards for fair value measurements.</w:t>
      </w:r>
    </w:p>
    <w:p>
      <w:pPr>
        <w:spacing w:after="0" w:line="45" w:lineRule="exact"/>
        <w:rPr>
          <w:sz w:val="20"/>
          <w:szCs w:val="20"/>
          <w:color w:val="auto"/>
        </w:rPr>
      </w:pPr>
    </w:p>
    <w:p>
      <w:pPr>
        <w:ind w:left="340" w:right="120" w:hanging="332"/>
        <w:spacing w:after="0" w:line="287" w:lineRule="auto"/>
        <w:tabs>
          <w:tab w:leader="none" w:pos="295"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0070C0"/>
        </w:rPr>
        <w:t xml:space="preserve">Level 1 </w:t>
      </w:r>
      <w:r>
        <w:rPr>
          <w:rFonts w:ascii="Arial" w:cs="Arial" w:eastAsia="Arial" w:hAnsi="Arial"/>
          <w:sz w:val="18"/>
          <w:szCs w:val="18"/>
          <w:color w:val="000000"/>
        </w:rPr>
        <w:t>— Fair values are determined utilizing quoted prices (unadjusted) in active markets for identical assets or liabilities that we have</w:t>
      </w:r>
      <w:r>
        <w:rPr>
          <w:rFonts w:ascii="Arial" w:cs="Arial" w:eastAsia="Arial" w:hAnsi="Arial"/>
          <w:sz w:val="18"/>
          <w:szCs w:val="18"/>
          <w:i w:val="1"/>
          <w:iCs w:val="1"/>
          <w:color w:val="0070C0"/>
        </w:rPr>
        <w:t xml:space="preserve"> </w:t>
      </w:r>
      <w:r>
        <w:rPr>
          <w:rFonts w:ascii="Arial" w:cs="Arial" w:eastAsia="Arial" w:hAnsi="Arial"/>
          <w:sz w:val="18"/>
          <w:szCs w:val="18"/>
          <w:color w:val="000000"/>
        </w:rPr>
        <w:t>the ability to access;</w:t>
      </w:r>
    </w:p>
    <w:p>
      <w:pPr>
        <w:spacing w:after="0" w:line="44" w:lineRule="exact"/>
        <w:rPr>
          <w:rFonts w:ascii="Arial" w:cs="Arial" w:eastAsia="Arial" w:hAnsi="Arial"/>
          <w:sz w:val="18"/>
          <w:szCs w:val="18"/>
          <w:color w:val="auto"/>
        </w:rPr>
      </w:pPr>
    </w:p>
    <w:p>
      <w:pPr>
        <w:ind w:left="340" w:right="400" w:hanging="332"/>
        <w:spacing w:after="0" w:line="318" w:lineRule="auto"/>
        <w:tabs>
          <w:tab w:leader="none" w:pos="295"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0070C0"/>
        </w:rPr>
        <w:t xml:space="preserve">Level 2 </w:t>
      </w:r>
      <w:r>
        <w:rPr>
          <w:rFonts w:ascii="Arial" w:cs="Arial" w:eastAsia="Arial" w:hAnsi="Arial"/>
          <w:sz w:val="17"/>
          <w:szCs w:val="17"/>
          <w:color w:val="000000"/>
        </w:rPr>
        <w:t>— Fair values are determined by utilizing quoted prices for identical or similar assets and liabilities in active markets or other</w:t>
      </w:r>
      <w:r>
        <w:rPr>
          <w:rFonts w:ascii="Arial" w:cs="Arial" w:eastAsia="Arial" w:hAnsi="Arial"/>
          <w:sz w:val="17"/>
          <w:szCs w:val="17"/>
          <w:i w:val="1"/>
          <w:iCs w:val="1"/>
          <w:color w:val="0070C0"/>
        </w:rPr>
        <w:t xml:space="preserve"> </w:t>
      </w:r>
      <w:r>
        <w:rPr>
          <w:rFonts w:ascii="Arial" w:cs="Arial" w:eastAsia="Arial" w:hAnsi="Arial"/>
          <w:sz w:val="17"/>
          <w:szCs w:val="17"/>
          <w:color w:val="000000"/>
        </w:rPr>
        <w:t>market observable inputs such as interest rates, yield curves, foreign currency spot rates and option pricing valuation models; and</w:t>
      </w:r>
    </w:p>
    <w:p>
      <w:pPr>
        <w:spacing w:after="0" w:line="21" w:lineRule="exact"/>
        <w:rPr>
          <w:rFonts w:ascii="Arial" w:cs="Arial" w:eastAsia="Arial" w:hAnsi="Arial"/>
          <w:sz w:val="17"/>
          <w:szCs w:val="17"/>
          <w:color w:val="auto"/>
        </w:rPr>
      </w:pPr>
    </w:p>
    <w:p>
      <w:pPr>
        <w:ind w:left="280" w:hanging="272"/>
        <w:spacing w:after="0"/>
        <w:tabs>
          <w:tab w:leader="none" w:pos="28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0070C0"/>
        </w:rPr>
        <w:t xml:space="preserve">Level 3 </w:t>
      </w:r>
      <w:r>
        <w:rPr>
          <w:rFonts w:ascii="Arial" w:cs="Arial" w:eastAsia="Arial" w:hAnsi="Arial"/>
          <w:sz w:val="18"/>
          <w:szCs w:val="18"/>
          <w:color w:val="000000"/>
        </w:rPr>
        <w:t>— Prices or valuations that require inputs that are both significant to the fair value measurement and unobservable.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financial assets have been classified as Level 2, and have been initially valued at the transaction price and subsequently valued, at the end of each reporting period, utilizing third-party pricing services or option pricing valuation models.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71"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We validate the prices provided by our third-party pricing services by understanding the models used, obtaining market values from other pricing sources and analyzing pricing data in certain instances. The option pricing valuation models use assumptions within the model, including the term, stock price volatility, constant maturity risk-free interest rate and dividend yield. After completing our validation procedures, we did not adjust or override any fair value measurements provided by our pricing services as of December 31, 2025 and 2024.</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 Assets and Liabilities</w:t>
      </w:r>
    </w:p>
    <w:p>
      <w:pPr>
        <w:spacing w:after="0" w:line="115"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color w:val="auto"/>
        </w:rPr>
        <w:t>The carrying amounts reflected in our consolidated balance sheets for current accounts receivable, due from anti-CD20 therapeutic programs, other current assets, accounts payable and accrued expense and other, approximate fair value due to their short-term maturities.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Cash and Cash Equivalents</w:t>
      </w:r>
    </w:p>
    <w:p>
      <w:pPr>
        <w:spacing w:after="0" w:line="11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consider only those investments that are highly liquid, readily convertible to cash and that mature within three months from date of purchase to be cash equivalents. As of December 31, 2025, cash equivalents were comprised of money market funds, overnight reverse repurchase agreements, short-term debt securities and commercial paper with maturities less than three months from the date of purchase. As of December 31, 2024, cash equivalents were comprised of money market funds with maturities less than three months from the date of purchase.</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Accounts Receivable</w:t>
      </w:r>
    </w:p>
    <w:p>
      <w:pPr>
        <w:spacing w:after="0" w:line="12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majority of our accounts receivable arise from product sales and primarily represent amounts due from our wholesale and other third-party distributors, public hospitals, pharmacies and other government entities and have standard payment terms that generally require payment within 30 to 90 days.</w:t>
      </w:r>
    </w:p>
    <w:p>
      <w:pPr>
        <w:spacing w:after="0" w:line="63"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We do not adjust our receivables for the effects of a significant financing component at contract inception if we expect to collect the receivables in one year or less from the time of sale.</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provide reserves against accounts receivable for estimated losses that may result from a customer's inability to pay. Amounts determined to be uncollectible are charged or written-off against the reserve.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Concentration of Credit Risk</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as previously defined by us.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7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Concentrations of credit risk with respect to receivables, which are typically unsecured, are somewhat mitigated due to the wide variety of customers and markets using our products, as well as their dispersion across many different geographic areas. We monitor the financial performance and creditworthiness of our customers so that we can properly assess and respond to changes in their credit profile. We continue to monitor these conditions and assess their possible impact on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Marketable Securities and Other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Marketable Debt Securities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Available-for-sale marketable debt securities are recorded at fair market value and unrealized gains and losses are included in AOCI in equity, net of related tax effects, unless the security has experienced a credit loss, we have determined that we have the intent to sell the security or we have determined that it is more likely than not that we will have to sell the security before its expected recovery. Realized gains and losses are reported in other (income) expense, net on a specific identification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Marketable Equity Securities and Venture Capital Funds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marketable equity securities are recorded at fair market value and unrealized gains and losses are included in other (income) expense, net in our consolidated statements of income. Our marketable equity securities represent investments in publicly traded equity securities and are included in investments and other assets in our consolidated balance sheets.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investments in venture capital funds are recorded at net asset value, which approximates fair value, and unrealized gains and losses are included in other (income) expense, net in our consolidated statements of income. The underlying investments of the venture capital funds in which we invest are in equity securities of certain biotechnology companies and are included in investments and other assets in our consolidated balance sheets.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Non-Marketable Equity Securities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invest in equity securities of companies whose securities are not publicly traded and where fair value is not readily available. These investments are recorded using either the equity method of accounting or the cost minus impairment adjusted for observable price changes, depending on our ownership percentage and other factors that suggest we have significant influence. We monitor these investments to evaluate whether any increase or decline in their value has occurred, based on the implied value of recent company financings, public market prices of comparable companies and general market conditions. These investments are included in investments and other assets in our consolidated balance sheets.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Evaluating Marketable Debt Securities for Other-than-Temporary Impairments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When we hold marketable debt securities, we conduct periodic reviews to identify and evaluate each investment that has an unrealized loss, in accordance with the meaning of other-than-temporary impairment. An unrealized loss exists when the current fair value of an individual security is less than its amortized cost basis. Unrealized losses on available-for-sale debt securities that are determined to be temporary, and not related to credit loss, are recorded, net of tax, in AOCI.</w:t>
      </w:r>
    </w:p>
    <w:p>
      <w:pPr>
        <w:spacing w:after="0" w:line="6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in earnings as an impairment loss.</w:t>
      </w:r>
    </w:p>
    <w:p>
      <w:pPr>
        <w:spacing w:after="0" w:line="6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Equity Method of Accounting</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other company and other relevant factors such as the presence of a collaborative or other business relationship. Under the equity method of accounting, we record in our consolidated statements of income our share of income or loss of the other company. If our share of losses exceeds the carrying value of our investment, we will suspend recognizing additional losses and will continue to do so unless we commit to providing additional funding.</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Inventory</w:t>
      </w:r>
    </w:p>
    <w:p>
      <w:pPr>
        <w:spacing w:after="0" w:line="1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Inventories are stated at the lower of cost or net realizable value with cost based on the first-in, first-out method. We classify our inventory costs as long-term when we expect to utilize the inventory beyond our normal operating cycle and include these costs in investments and other assets in our consolidated balance sheets. Inventory that can be used in either the production of clinical or commercial products is expensed as research and development costs when identified for use in a clinical manufacturing campaign.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Capitalization of Inventory Costs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changes in such judgments, due to, among other potential factors, a denial or significant delay of approval by necessary regulatory bodies.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Obsolescence and Unmarketable Inventory</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At each reporting period we review our inventories for excess or obsolescence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monitoring that we perform throughout the manufacturing process. In the event that certain batches or units of product no longer meet quality specifications, we will record a charge to cost of sales to write-down any unmarketable inventory to its estimated net realizable value. In all cases, product inventory is carried at the lower of cost or its estimated net realizable value. Amounts written-down due to unmarketable inventory are charged to cost of sales in our consolidated statements of income.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Property, Plant and Equipment</w:t>
      </w:r>
    </w:p>
    <w:p>
      <w:pPr>
        <w:spacing w:after="0" w:line="12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Property, plant and equipment are carried at cost, subject to reviews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6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 We also capitalize certain direct and incremental costs associated with the validation effort required for licensing by regulatory agencies of new manufacturing equipment for the production of a commercially approved drug. These costs primarily include direct labor and material and are incurred in preparing the equipment for its intended use. The validation costs are either amortized over the life of the related equipment or expensed as cost of sales when the product produced in the validation process is sold.</w:t>
      </w:r>
    </w:p>
    <w:p>
      <w:pPr>
        <w:spacing w:after="0" w:line="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we capitalize certain internal use computer software development costs. If the software is an integral part of production assets, these costs are included in machinery and equipment and are amortized on a straight-line basis over the estimated useful lives of the related software, which generally range from three to five years.</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generally depreciate or amortize the cost of our property, plant and equipment using the straight-line method over the estimated useful lives of the respective assets, which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Asset Category</w:t>
            </w:r>
          </w:p>
        </w:tc>
        <w:tc>
          <w:tcPr>
            <w:tcW w:w="440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6"/>
                <w:szCs w:val="16"/>
                <w:b w:val="1"/>
                <w:bCs w:val="1"/>
                <w:color w:val="auto"/>
              </w:rPr>
              <w:t>Useful Lives</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Land</w:t>
            </w:r>
          </w:p>
        </w:tc>
        <w:tc>
          <w:tcPr>
            <w:tcW w:w="440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Not depreciated</w:t>
            </w:r>
          </w:p>
        </w:tc>
      </w:tr>
      <w:tr>
        <w:trPr>
          <w:trHeight w:val="210"/>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Buildings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15 to 40 years</w:t>
            </w:r>
          </w:p>
        </w:tc>
      </w:tr>
      <w:tr>
        <w:trPr>
          <w:trHeight w:val="209"/>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Leasehold Improvements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Lesser of the useful life or the term of the respective lease</w:t>
            </w:r>
          </w:p>
        </w:tc>
      </w:tr>
      <w:tr>
        <w:trPr>
          <w:trHeight w:val="210"/>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Furniture and Fixtures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5 to 7 years</w:t>
            </w:r>
          </w:p>
        </w:tc>
      </w:tr>
      <w:tr>
        <w:trPr>
          <w:trHeight w:val="210"/>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Machinery and Equipment</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5 to 20 years</w:t>
            </w:r>
          </w:p>
        </w:tc>
      </w:tr>
      <w:tr>
        <w:trPr>
          <w:trHeight w:val="209"/>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Computer Software and Hardware</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3 to 5 years</w:t>
            </w:r>
          </w:p>
        </w:tc>
      </w:tr>
    </w:tbl>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When we dispose of property, plant and equipment, we remove the associated cost and accumulated depreciation from the related accounts in our consolidated balance sheets and include any resulting gain or loss in our consolidated statements of income.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Leases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determine if an arrangement is a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they will be exercised.</w:t>
      </w:r>
    </w:p>
    <w:p>
      <w:pPr>
        <w:spacing w:after="0" w:line="6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use the implicit rate when readily determinable and use our incremental borrowing rate when the implicit rate is not readily determinable based upon the information available at the commencement date in determining the present value of the lease payments. Our incremental borrowing rate is determined using a secured borrowing rate for the same currency and term as the associated lease.</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lease payments used to determine our operating lease assets may include lease incentives, stated rent increases and escalation clauses linked to rates of inflation when determinable and are recognized in our operating lease assets in our consolidated balance sheets. Our lease agreements may include both lease and non-lease components, which we account for as a single lease component when the payments are fixed. Variable payments included in the lease agreement are expensed as incurred. For certain equipment leases, such as vehicles, we apply a portfolio approach to effectively account for the operating lease assets and liabilities.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Our operating leases are reflected in operating lease assets, accrued expense and other and long-term operating lease liabilities in our consolidated balance sheets. Lease expense for minimum lease payments is recognized on a straight-line basis over the lease term.</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also have real estate lease agreements which are subleased to third parties. Operating leases for which we are the sublessor are included in accrued expense and other and other long-term liabilities in our consolidated balance sheets. We recognize sublease income on a straight-line basis over the lease term in our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leases, please read </w:t>
      </w:r>
      <w:r>
        <w:rPr>
          <w:rFonts w:ascii="Arial" w:cs="Arial" w:eastAsia="Arial" w:hAnsi="Arial"/>
          <w:sz w:val="18"/>
          <w:szCs w:val="18"/>
          <w:i w:val="1"/>
          <w:iCs w:val="1"/>
          <w:color w:val="auto"/>
        </w:rPr>
        <w:t>Note 12, Leases</w:t>
      </w:r>
      <w:r>
        <w:rPr>
          <w:rFonts w:ascii="Arial" w:cs="Arial" w:eastAsia="Arial" w:hAnsi="Arial"/>
          <w:sz w:val="18"/>
          <w:szCs w:val="18"/>
          <w:color w:val="auto"/>
        </w:rPr>
        <w:t>, to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Intangible Assets</w:t>
      </w:r>
    </w:p>
    <w:p>
      <w:pPr>
        <w:spacing w:after="0" w:line="12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intangible assets primarily consist of completed technology (comprising of acquired and in-licensed rights and patents, and developed technology), IPR&amp;D acquired after January 1, 2009, acquired priority review vouchers and trademarks and trade names. Our intangible assets are recorded at fair value at the time of their acquisition and are stated in our consolidated balance sheets net of accumulated amortization and impairments, if applicable.</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Intangible assets related to completed technology are amortized over their estimated useful lives using the economic consumption method if anticipated future revenue can be reasonably estimated. The straight-line method is used when revenue cannot be reasonably estimated. Amortization is recorded within amortization and impairment of acquired intangible assets in our consolidated statements of income.</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economic consumption method is based on revenue generated from the products underlying the related intangible assets. An analysis of the anticipated lifetime revenue of our marketed products is performed annually during our long-range planning cycle and whenever events or changes in circumstances would significantly affect anticipated lifetime revenue of the relevant products.</w:t>
      </w:r>
    </w:p>
    <w:p>
      <w:pPr>
        <w:spacing w:after="0" w:line="63"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Intangible assets related to trademarks, trade names, IPR&amp;D prior to commercialization and priority review vouchers are not amortized because they have indefinite lives; however, they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Acquired In-process Research and Development</w:t>
      </w:r>
    </w:p>
    <w:p>
      <w:pPr>
        <w:spacing w:after="0" w:line="16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Acquired IPR&amp;D represents the fair value assigned to research and development assets that have not reached technological feasibility. The value assigned to acquired IPR&amp;D is determined by estimating the costs to develop the acquired technology into commercially viable products, estimating the resulting revenue from the projects and discounting the net cash flow to present value. The revenue and cost projections used to value acquired IPR&amp;D are, as applicable, reduced based on the probability of success of developing a new drug. Additionally, the projections consider the relevant market sizes and growth factors, expected trends in technology and the nature and expected timing of new product introductions by us and our competitors. The rates utilized to discount the net cash flow to present value are commensurate with the stage of development of the projects and uncertainties in the economic estimates used in the projections. Upon the acquisition of IPR&amp;D, we complete an assessment of whether our acquisition constitutes the purchase of a single asset or a group of assets. We consider multiple factors in this assessment, including the nature of the technology acquired, the presence or absence of separate cash flow, the development process and stage of completion, quantitative significance and our rationale for entering into the transaction.</w:t>
      </w:r>
    </w:p>
    <w:p>
      <w:pPr>
        <w:spacing w:after="0" w:line="6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If we acquire a business as defined under applicable accounting standards, then the acquired IPR&amp;D is capitalized as an intangible asset. If we acquire an asset or group of assets with no alternative future use that do not meet the definition of a business under applicable accounting standards, then the acquired IPR&amp;D is expensed on its acquisition date. Future costs to develop these assets are recorded to research and development expense within our consolidated statements of income as they are incurred.</w:t>
      </w:r>
    </w:p>
    <w:p>
      <w:pPr>
        <w:spacing w:after="0" w:line="6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When performing our impairment assessment, we calculate the fair value using the same methodology as described above. If the carrying value of our acquired IPR&amp;D exceeds its fair value, then the intangible asset is written down to its fair value. Changes in estimates and assumptions used in determining the fair value of our acquired IPR&amp;D could result in an impairment. Acquired IPR&amp;D impairments are recorded within amortization and impairment of acquired intangible assets in our consolidated statements of income.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Goodwill</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Goodwill is not amortized, but is reviewed for impairment annually, as of October 31, and whenever events or changes in circumstances indicate that the carrying value of the goodwill may not be recoverable.</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We compare the fair value of our reporting unit to its carrying value. If the carrying value of the net assets assigned to the reporting unit exceeds the fair value of our reporting unit, we would record an impairment loss equal to the difference. As described in </w:t>
      </w:r>
      <w:r>
        <w:rPr>
          <w:rFonts w:ascii="Arial" w:cs="Arial" w:eastAsia="Arial" w:hAnsi="Arial"/>
          <w:sz w:val="18"/>
          <w:szCs w:val="18"/>
          <w:i w:val="1"/>
          <w:iCs w:val="1"/>
          <w:color w:val="auto"/>
        </w:rPr>
        <w:t>Note 25,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to these consolidated financial statements, we operate as one operating segment, which is our only reporting unit.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Impairment of Long-Lived Assets</w:t>
      </w:r>
    </w:p>
    <w:p>
      <w:pPr>
        <w:spacing w:after="0" w:line="112" w:lineRule="exact"/>
        <w:rPr>
          <w:sz w:val="20"/>
          <w:szCs w:val="20"/>
          <w:color w:val="auto"/>
        </w:rPr>
      </w:pPr>
    </w:p>
    <w:p>
      <w:pPr>
        <w:jc w:val="both"/>
        <w:ind w:right="740"/>
        <w:spacing w:after="0" w:line="268" w:lineRule="auto"/>
        <w:rPr>
          <w:sz w:val="20"/>
          <w:szCs w:val="20"/>
          <w:color w:val="auto"/>
        </w:rPr>
      </w:pPr>
      <w:r>
        <w:rPr>
          <w:rFonts w:ascii="Arial" w:cs="Arial" w:eastAsia="Arial" w:hAnsi="Arial"/>
          <w:sz w:val="18"/>
          <w:szCs w:val="18"/>
          <w:color w:val="auto"/>
        </w:rPr>
        <w:t>Long-lived assets to be held and used, including property, plant and equipment, and definite-lived intangible assets are reviewed for impairment whenever events or changes in circumstances indicate that the carrying amount of the assets or asset group may not be recoverable.</w:t>
      </w:r>
    </w:p>
    <w:p>
      <w:pPr>
        <w:spacing w:after="0" w:line="6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Determination of recoverability is based on an estimate of undiscounted future cash flow resulting from the use of the assets and eventual disposition. In the event that such cash flow is not expected to be sufficient to recover the carrying amount of the assets, the assets are written-down to their fair values. Long-lived assets to be disposed of are carried at fair value less costs to sell.</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Contingent Consideration</w:t>
      </w:r>
    </w:p>
    <w:p>
      <w:pPr>
        <w:spacing w:after="0" w:line="12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consideration for our acquisitions often includes future payments that are contingent upon the occurrence of a particular event or events. We record an obligation for such contingent payments at fair value on the acquisition date. We estimate the fair value of contingent consideration obligations through valuation models that incorporate probability-adjusted assumptions related to the achievement of the milestones and thus likelihood of making related payments. We revalue our contingent consideration obligations each reporting period. Changes in the fair value of our contingent consideration obligations are recognized in our consolidated statements of income.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 and reserves associated with products upon commercialization, changes in the assumed achievement or timing of any cumulative sales-based and development milestones, changes in the probability of certain clinical events and changes in the assumed probability associated with regulatory approval.</w:t>
      </w:r>
    </w:p>
    <w:p>
      <w:pPr>
        <w:spacing w:after="0" w:line="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Discount rates in our valuation models represent a measure of the credit risk associated with settling the liability. The period over which we discount our contingent obligations is based on the current development stage of the product candidates, our specific development plan for that product candidate adjusted for the probability of completing the development step and when the contingent payments would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as of the acquisition date and for each subsequent period.</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Derivative Instruments and Hedging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Cash Flow and Fair Value Derivative Instruments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recognize all derivative instruments as either assets or liabilities at fair value in our consolidated balance sheets. Changes in the fair value of our derivative instruments are recognized each period in current earnings or AOCI, depending on whether the derivative instrument is designated as part of a hedge transaction and, if so, the type of hedge transaction. We classify the cash flow from these instruments in the same category as the cash flow from the hedged items. We do not hold or issue derivative instruments for trading or speculative purposes.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assess at inception and on an ongoing basis, whether the derivative instruments that are used in hedging transactions are highly effective in offsetting the changes in cash flow or fair values of the hedged items. We exclude the forward points portion of the derivative instruments used in a hedging transaction from the effectiveness test and record the fair value gain or loss related to this portion each period in our consolidated statements of income 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same line as the underlying hedged item.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Translation of Foreign Currencies</w:t>
      </w:r>
    </w:p>
    <w:p>
      <w:pPr>
        <w:spacing w:after="0" w:line="12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functional currency for most of our foreign subsidiaries is their local currency. For our non-U.S. subsidiaries that transact in a functional currency other than the U.S. dollar, assets and liabilities are translated at current rates of exchange at the balance sheet date. Income and expense items are translated at the average foreign currency exchange rates for the period. Adjustments resulting from the translation of the financial statements of our foreign operations into U.S. dollars are excluded from the determination of net income and are recorded in AOCI, as a separate component of equity. For subsidiaries where the functional currency of the assets and liabilities differ from the local currency, non-monetary assets and liabilities are translated at the rate of exchange in effect on the date assets were acquired while monetary assets and liabilities are translated at current rates of exchange as of the balance sheet date. Income and expense items are translated at the average foreign currency rates for the period. Translation adjustments of these subsidiaries are included in other (income) expense, net in our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Royalty Cost of Sales</w:t>
      </w:r>
    </w:p>
    <w:p>
      <w:pPr>
        <w:spacing w:after="0" w:line="1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make royalty payments to a number of third parties under license or purchase agreements associated with our acquisition of intellectual property. These royalty payments are typically calculated as a percentage (royalty rate) of the sales of our products in a particular year. That royalty rate may remain constant, increase or decrease within each year based on the total amount of sales during the annual period. Each quarterly period, we estimate our total royalty obligation for the full year and recognize the proportional amount as cost of sales based on actual quarterly sales as a percentage of full year estimated sales. For example, if the level of net sales in any calendar year increases the royalty rate within the year, we will record our cost of sales at an even rate over the year, based on the estimated blended royalty rate.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Accounting for Share-Based Compensation</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share-based compensation programs grant awards that have included stock options, time-vested RSUs, performance-vested stock units that vest based upon meeting both a performance condition and a service condition and shares issued under our ESPP. Compensation expense is recognized based on the estimated fair value of the awards at grant date. We recognize compensation expense for the number of awards expected to vest after taking into consideration an estimate of award forfeitures over the requisite service period, which is generally the vesting period. Where awards are made with non-substantive vesting periods (for instance, where a portion of the award vests upon retirement eligibility), we estimate and recognize expense based on the period from the grant date to the date the employee becomes retirement eligible.</w:t>
      </w:r>
    </w:p>
    <w:p>
      <w:pPr>
        <w:spacing w:after="0" w:line="7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fair values of our stock option grants are estimated as of the date of grant using a Black-Scholes option valuation model. The estimated fair values of the stock options are then expensed over the options' vesting periods.</w:t>
      </w:r>
    </w:p>
    <w:p>
      <w:pPr>
        <w:spacing w:after="0" w:line="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fair values of our RSUs are based on the market value of our stock on the date of grant. Compensation expense for RSUs is recognized straight-line over the applicable service period. If the service condition is not met or not expected to be met, any compensation expense previously recognized to date associated with the awards will be reversed.</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fair values of our PSUs that settle in stock and have market-based metrics are estimated using a lattice model with a Monte Carlo simulation. Compensation expense is recognized straight-line over the applicable service period for these awards. The probability of actual shares expected to be earned is considered in the grant date valuation, therefore the expense is not adjusted to reflect the actual units earned.</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fair values of PSUs that settle in stock and do not have market-based metrics are based on the market value of our stock on the date of grant. Compensation expense is recognized for the number of units expected to be earned after assessing the probability that certain performance criteria will be met and the targeted payout level associated with the performance criteria expected to be achieved. Cumulative adjustments are recorded each quarter to reflect the estimated outcome of the performance-related conditions until the date results are determined and settled. If the performance criteria are not met or not expected to be met, any compensation expense previously recognized to date associated with the awards will be reversed.</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Research and Development Expense</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Research and development expense consists of expenses incurred in performing research and development activities, which include compensation and benefits, facilities and overhead expense, clinical trial expense and fees paid to CROs, clinical supply and manufacturing expense, fair value step-up adjustment amortization of inventory used for clinical purposes and other outside expense. Research and development expense is expensed as incurred. Payments we make for research and development services prior to the services being rendered are recorded as prepaid assets in our consolidated balance sheets and are expensed as the services are provided. We also accrue the costs of ongoing clinical trials associated with programs that have been terminated or discontinued for which there is no future economic benefit at the time the decision is made to terminate or discontinue the program.</w:t>
      </w:r>
    </w:p>
    <w:p>
      <w:pPr>
        <w:spacing w:after="0" w:line="7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 xml:space="preserve">From time to time, we enter into development agreements in which we share expenses with a collaborative partner. We record payments received from our collaborative partners for their share of the development costs as a reduction of research and development expense, except as discussed in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these consolidated financial statements. Expenses incurred by Genentech in the ongoing development of RITUXAN, GAZYVA, LUNSUMIO and other products for which an initial indication has been approved are not recorded as research and development expense, but rather reduce our share of profits recorded as a component of revenue from anti-CD20 therapeutic programs.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Acquired In-process Research and Development, Upfront and Milestone Expense</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Acquired in-process research and development, upfront and milestone expense consists of upfront fees and milestones paid to third-party collaborators as well as charges associated with the acquisition of an asset or group of assets with no alternative future use that did not meet the definition of a business under applicable accounting standards. Upfront and milestone payments made to third-party collaborators are expensed as incurred up to the point of regulatory approval. Milestone payments made upon regulatory approval are capitalized and amortized over the remaining useful life of the related product.</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Selling, General and Administrative Expense</w:t>
      </w:r>
    </w:p>
    <w:p>
      <w:pPr>
        <w:spacing w:after="0" w:line="9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Selling, general and administrative expense is primarily comprised of compensation and benefits associated with sales and marketing, finance, human resources, legal, information technology and other administrative personnel, outside marketing, advertising and legal expense and other general and administrative costs.</w:t>
      </w:r>
    </w:p>
    <w:p>
      <w:pPr>
        <w:spacing w:after="0" w:line="117" w:lineRule="exact"/>
        <w:rPr>
          <w:sz w:val="20"/>
          <w:szCs w:val="20"/>
          <w:color w:val="auto"/>
        </w:rPr>
      </w:pPr>
    </w:p>
    <w:p>
      <w:pPr>
        <w:ind w:right="1100"/>
        <w:spacing w:after="0" w:line="287" w:lineRule="auto"/>
        <w:rPr>
          <w:sz w:val="20"/>
          <w:szCs w:val="20"/>
          <w:color w:val="auto"/>
        </w:rPr>
      </w:pPr>
      <w:r>
        <w:rPr>
          <w:rFonts w:ascii="Arial" w:cs="Arial" w:eastAsia="Arial" w:hAnsi="Arial"/>
          <w:sz w:val="18"/>
          <w:szCs w:val="18"/>
          <w:color w:val="auto"/>
        </w:rPr>
        <w:t>Advertising costs are expensed as incurred. For the years ended December 31, 2025, 2024 and 2023, advertising costs totaled approximately $71.9 million, $66.8 million and $71.4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Income Taxes</w:t>
      </w:r>
    </w:p>
    <w:p>
      <w:pPr>
        <w:spacing w:after="0" w:line="11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provision for income taxes includes federal, state, local and foreign taxes. Income taxes are accounted for under the asset and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 We recognize deferred taxes associated with our GILTI tax calculations.</w:t>
      </w:r>
    </w:p>
    <w:p>
      <w:pPr>
        <w:spacing w:after="0" w:line="6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The income tax consequences from the intra-entity transfers of inventory within our consolidated group, both current and deferred, are recorded as a prepaid tax or deferred charge and recognized through our consolidated statements of income when the inventory is sold to a third party. The income tax consequences from the intra-entity transfer of assets other than inventory and associated changes to deferred taxes are recognized when the transfer occurs.</w:t>
      </w:r>
    </w:p>
    <w:p>
      <w:pPr>
        <w:spacing w:after="0" w:line="7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account for uncertain tax positions using a “more likely than 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also accrue for potential interest and penalties related to unrecognized tax benefits in income tax (benefit) expense in our consolidated statements of income.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Contingencies</w:t>
      </w:r>
    </w:p>
    <w:p>
      <w:pPr>
        <w:spacing w:after="0" w:line="12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currently involved in various claims and legal proceedings. Loss contingency provisions are recorded if the potential loss from any claim, asserted or unasserted, or legal proceeding is considered probable and the amount can be reasonably estimated or a range of loss can be determined. These accruals represent management’s best estimate of probable loss. Disclosure also is provided when it is reasonably possible that a loss will be incurred or when it is reasonably possible that the amount of a loss will exceed the recorded provision. On a quarterly basis, we review the status of each significant matter and assess its potential financial exposure. Significant judgment is required in both the determination of probability and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change our estimates. Legal costs associated with legal proceedings are expensed when incurred.</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Earnings per Share</w:t>
      </w:r>
    </w:p>
    <w:p>
      <w:pPr>
        <w:spacing w:after="0" w:line="11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Basic earnings per share is computed by dividing undistributed net income attributable to Biogen Inc. by the weighted-average number of common shares outstanding during the period. Diluted earnings per share is computed based on the treasury method by dividing net income by the weighted-average number of common shares outstanding during the period plus potentially dilutive common equivalent shares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Business Combinations</w:t>
      </w:r>
    </w:p>
    <w:p>
      <w:pPr>
        <w:spacing w:after="0" w:line="12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Business combinations are recorded using the acquisition method of accounting. The results of operations of the acquired company are included in our results of operations beginning on the acquisition date, and assets acquired and liabilities assumed are recognized on the acquisition date at their respective fair values. Any excess of consideration transferred over the net carrying value of the assets acquired and liabilities assumed as of the acquisition date is recognized as goodwill.</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use the multi-period excess earnings method, which is a form of the income approach, utilizing post-tax cash flow and discount rates in estimating the fair value of identifiable intangible assets acquired when allocating the purchase consideration paid for the acquisition. The estimates of the fair value of identifiable intangible assets involve significant judgment by management and include assumptions with measurement uncertainty, such as the amount and timing of projected cash flow, long-term sales forecasts, discount rates and additionally for IPR&amp;D intangible assets, the timing and probability of regulatory and commercial success.</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use the net realizable value method in estimating the fair value of acquired finished goods and work-in-process inventory. Raw materials acquired are valued using the replacement cost method.</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Transaction and restructuring costs related to business combinations are expensed as incurred. The fair value of assets acquired and liabilities assumed in certain cases may be subject to revision based on the final determination of fair value during a period of time not to exceed 12 months from the acquisition date. If we determine the assets acquired do not meet the definition of a business, the transaction will be accounted for as an asset acquisition rather than a business combination.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New Accounting Pronouncements</w:t>
      </w:r>
    </w:p>
    <w:p>
      <w:pPr>
        <w:spacing w:after="0" w:line="12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we adopt as of the specified effective date. Unless otherwise discussed below, we do not believe that the adoption of recently issued standards have or may have a material impact on our consolidated financial statements or disclosures.</w:t>
      </w:r>
    </w:p>
    <w:p>
      <w:pPr>
        <w:sectPr>
          <w:pgSz w:w="11900" w:h="16838" w:orient="portrait"/>
          <w:cols w:equalWidth="0" w:num="1">
            <w:col w:w="11220"/>
          </w:cols>
          <w:pgMar w:left="320" w:top="238" w:right="359" w:bottom="1440" w:gutter="0" w:footer="0" w:header="0"/>
        </w:sectPr>
      </w:pPr>
    </w:p>
    <w:p>
      <w:pPr>
        <w:spacing w:after="0" w:line="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0070C0"/>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26873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1">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ASU No. 2023-09, </w:t>
      </w:r>
      <w:r>
        <w:rPr>
          <w:rFonts w:ascii="Arial" w:cs="Arial" w:eastAsia="Arial" w:hAnsi="Arial"/>
          <w:sz w:val="14"/>
          <w:szCs w:val="14"/>
          <w:i w:val="1"/>
          <w:iCs w:val="1"/>
          <w:color w:val="auto"/>
        </w:rPr>
        <w:t>Income</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Taxes (Topic 740):</w:t>
      </w:r>
    </w:p>
    <w:p>
      <w:pPr>
        <w:ind w:left="20"/>
        <w:spacing w:after="0"/>
        <w:rPr>
          <w:sz w:val="20"/>
          <w:szCs w:val="20"/>
          <w:color w:val="auto"/>
        </w:rPr>
      </w:pPr>
      <w:r>
        <w:rPr>
          <w:rFonts w:ascii="Arial" w:cs="Arial" w:eastAsia="Arial" w:hAnsi="Arial"/>
          <w:sz w:val="14"/>
          <w:szCs w:val="14"/>
          <w:i w:val="1"/>
          <w:iCs w:val="1"/>
          <w:color w:val="auto"/>
        </w:rPr>
        <w:t>Improvements to Income Tax</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26873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2">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right="60"/>
        <w:spacing w:after="0" w:line="241" w:lineRule="auto"/>
        <w:rPr>
          <w:sz w:val="20"/>
          <w:szCs w:val="20"/>
          <w:color w:val="auto"/>
        </w:rPr>
      </w:pPr>
      <w:r>
        <w:rPr>
          <w:rFonts w:ascii="Arial" w:cs="Arial" w:eastAsia="Arial" w:hAnsi="Arial"/>
          <w:sz w:val="14"/>
          <w:szCs w:val="14"/>
          <w:color w:val="auto"/>
        </w:rPr>
        <w:t xml:space="preserve">ASU No. 2024-03, </w:t>
      </w:r>
      <w:r>
        <w:rPr>
          <w:rFonts w:ascii="Arial" w:cs="Arial" w:eastAsia="Arial" w:hAnsi="Arial"/>
          <w:sz w:val="14"/>
          <w:szCs w:val="14"/>
          <w:i w:val="1"/>
          <w:iCs w:val="1"/>
          <w:color w:val="auto"/>
        </w:rPr>
        <w:t>Income</w:t>
      </w:r>
      <w:r>
        <w:rPr>
          <w:rFonts w:ascii="Arial" w:cs="Arial" w:eastAsia="Arial" w:hAnsi="Arial"/>
          <w:sz w:val="14"/>
          <w:szCs w:val="14"/>
          <w:color w:val="auto"/>
        </w:rPr>
        <w:t xml:space="preserve"> </w:t>
      </w:r>
      <w:r>
        <w:rPr>
          <w:rFonts w:ascii="Arial" w:cs="Arial" w:eastAsia="Arial" w:hAnsi="Arial"/>
          <w:sz w:val="14"/>
          <w:szCs w:val="14"/>
          <w:i w:val="1"/>
          <w:iCs w:val="1"/>
          <w:color w:val="auto"/>
        </w:rPr>
        <w:t>Statement (Subtopic 220-40):</w:t>
      </w:r>
    </w:p>
    <w:p>
      <w:pPr>
        <w:spacing w:after="0" w:line="1" w:lineRule="exact"/>
        <w:rPr>
          <w:sz w:val="20"/>
          <w:szCs w:val="20"/>
          <w:color w:val="auto"/>
        </w:rPr>
      </w:pPr>
    </w:p>
    <w:p>
      <w:pPr>
        <w:ind w:left="20" w:right="180"/>
        <w:spacing w:after="0" w:line="252" w:lineRule="auto"/>
        <w:rPr>
          <w:sz w:val="20"/>
          <w:szCs w:val="20"/>
          <w:color w:val="auto"/>
        </w:rPr>
      </w:pPr>
      <w:r>
        <w:rPr>
          <w:rFonts w:ascii="Arial" w:cs="Arial" w:eastAsia="Arial" w:hAnsi="Arial"/>
          <w:sz w:val="14"/>
          <w:szCs w:val="14"/>
          <w:i w:val="1"/>
          <w:iCs w:val="1"/>
          <w:color w:val="auto"/>
        </w:rPr>
        <w:t>Reporting Comprehensive Income - Expense Disaggregation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626745</wp:posOffset>
            </wp:positionV>
            <wp:extent cx="12687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3">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right="40"/>
        <w:spacing w:after="0" w:line="221" w:lineRule="auto"/>
        <w:rPr>
          <w:sz w:val="20"/>
          <w:szCs w:val="20"/>
          <w:color w:val="auto"/>
        </w:rPr>
      </w:pPr>
      <w:r>
        <w:rPr>
          <w:rFonts w:ascii="Arial" w:cs="Arial" w:eastAsia="Arial" w:hAnsi="Arial"/>
          <w:sz w:val="14"/>
          <w:szCs w:val="14"/>
          <w:color w:val="auto"/>
        </w:rPr>
        <w:t>ASU No. 2025-06, Intangibles - Goodwill and Other -</w:t>
      </w:r>
    </w:p>
    <w:p>
      <w:pPr>
        <w:ind w:left="20"/>
        <w:spacing w:after="0" w:line="222" w:lineRule="auto"/>
        <w:rPr>
          <w:sz w:val="20"/>
          <w:szCs w:val="20"/>
          <w:color w:val="auto"/>
        </w:rPr>
      </w:pPr>
      <w:r>
        <w:rPr>
          <w:rFonts w:ascii="Arial" w:cs="Arial" w:eastAsia="Arial" w:hAnsi="Arial"/>
          <w:sz w:val="14"/>
          <w:szCs w:val="14"/>
          <w:color w:val="auto"/>
        </w:rPr>
        <w:t>Internal-Use Software</w:t>
      </w:r>
    </w:p>
    <w:p>
      <w:pPr>
        <w:spacing w:after="0" w:line="1" w:lineRule="exact"/>
        <w:rPr>
          <w:sz w:val="20"/>
          <w:szCs w:val="20"/>
          <w:color w:val="auto"/>
        </w:rPr>
      </w:pPr>
    </w:p>
    <w:p>
      <w:pPr>
        <w:ind w:left="20" w:right="160"/>
        <w:spacing w:after="0" w:line="211" w:lineRule="auto"/>
        <w:rPr>
          <w:sz w:val="20"/>
          <w:szCs w:val="20"/>
          <w:color w:val="auto"/>
        </w:rPr>
      </w:pPr>
      <w:r>
        <w:rPr>
          <w:rFonts w:ascii="Arial" w:cs="Arial" w:eastAsia="Arial" w:hAnsi="Arial"/>
          <w:sz w:val="14"/>
          <w:szCs w:val="14"/>
          <w:color w:val="auto"/>
        </w:rPr>
        <w:t>(Subtopic 350-40): Targeted Improvements to the</w:t>
      </w:r>
    </w:p>
    <w:p>
      <w:pPr>
        <w:ind w:left="20" w:right="200"/>
        <w:spacing w:after="0" w:line="244" w:lineRule="auto"/>
        <w:rPr>
          <w:sz w:val="20"/>
          <w:szCs w:val="20"/>
          <w:color w:val="auto"/>
        </w:rPr>
      </w:pPr>
      <w:r>
        <w:rPr>
          <w:rFonts w:ascii="Arial" w:cs="Arial" w:eastAsia="Arial" w:hAnsi="Arial"/>
          <w:sz w:val="14"/>
          <w:szCs w:val="14"/>
          <w:color w:val="auto"/>
        </w:rPr>
        <w:t>Accounting for Internal-Use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2687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4">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3" w:lineRule="exact"/>
        <w:rPr>
          <w:sz w:val="20"/>
          <w:szCs w:val="20"/>
          <w:color w:val="auto"/>
        </w:rPr>
      </w:pPr>
    </w:p>
    <w:p>
      <w:pPr>
        <w:ind w:left="20" w:right="20"/>
        <w:spacing w:after="0" w:line="221" w:lineRule="auto"/>
        <w:rPr>
          <w:sz w:val="20"/>
          <w:szCs w:val="20"/>
          <w:color w:val="auto"/>
        </w:rPr>
      </w:pPr>
      <w:r>
        <w:rPr>
          <w:rFonts w:ascii="Arial" w:cs="Arial" w:eastAsia="Arial" w:hAnsi="Arial"/>
          <w:sz w:val="14"/>
          <w:szCs w:val="14"/>
          <w:color w:val="auto"/>
        </w:rPr>
        <w:t>ASU No. 2025-07, Derivatives and Hedging (Topic 815) and</w:t>
      </w:r>
    </w:p>
    <w:p>
      <w:pPr>
        <w:ind w:left="20"/>
        <w:spacing w:after="0" w:line="222" w:lineRule="auto"/>
        <w:rPr>
          <w:sz w:val="20"/>
          <w:szCs w:val="20"/>
          <w:color w:val="auto"/>
        </w:rPr>
      </w:pPr>
      <w:r>
        <w:rPr>
          <w:rFonts w:ascii="Arial" w:cs="Arial" w:eastAsia="Arial" w:hAnsi="Arial"/>
          <w:sz w:val="14"/>
          <w:szCs w:val="14"/>
          <w:color w:val="auto"/>
        </w:rPr>
        <w:t>Revenue from Contracts with</w:t>
      </w:r>
    </w:p>
    <w:p>
      <w:pPr>
        <w:ind w:left="20"/>
        <w:spacing w:after="0" w:line="202" w:lineRule="auto"/>
        <w:rPr>
          <w:sz w:val="20"/>
          <w:szCs w:val="20"/>
          <w:color w:val="auto"/>
        </w:rPr>
      </w:pPr>
      <w:r>
        <w:rPr>
          <w:rFonts w:ascii="Arial" w:cs="Arial" w:eastAsia="Arial" w:hAnsi="Arial"/>
          <w:sz w:val="14"/>
          <w:szCs w:val="14"/>
          <w:color w:val="auto"/>
        </w:rPr>
        <w:t>Customers (Topic 606):</w:t>
      </w:r>
    </w:p>
    <w:p>
      <w:pPr>
        <w:ind w:left="20"/>
        <w:spacing w:after="0" w:line="221" w:lineRule="auto"/>
        <w:rPr>
          <w:sz w:val="20"/>
          <w:szCs w:val="20"/>
          <w:color w:val="auto"/>
        </w:rPr>
      </w:pPr>
      <w:r>
        <w:rPr>
          <w:rFonts w:ascii="Arial" w:cs="Arial" w:eastAsia="Arial" w:hAnsi="Arial"/>
          <w:sz w:val="14"/>
          <w:szCs w:val="14"/>
          <w:color w:val="auto"/>
        </w:rPr>
        <w:t>Derivatives Scope</w:t>
      </w:r>
    </w:p>
    <w:p>
      <w:pPr>
        <w:ind w:left="20"/>
        <w:spacing w:after="0" w:line="221" w:lineRule="auto"/>
        <w:rPr>
          <w:sz w:val="20"/>
          <w:szCs w:val="20"/>
          <w:color w:val="auto"/>
        </w:rPr>
      </w:pPr>
      <w:r>
        <w:rPr>
          <w:rFonts w:ascii="Arial" w:cs="Arial" w:eastAsia="Arial" w:hAnsi="Arial"/>
          <w:sz w:val="14"/>
          <w:szCs w:val="14"/>
          <w:color w:val="auto"/>
        </w:rPr>
        <w:t>Refinements and Scope</w:t>
      </w:r>
    </w:p>
    <w:p>
      <w:pPr>
        <w:spacing w:after="0" w:line="1" w:lineRule="exact"/>
        <w:rPr>
          <w:sz w:val="20"/>
          <w:szCs w:val="20"/>
          <w:color w:val="auto"/>
        </w:rPr>
      </w:pPr>
    </w:p>
    <w:p>
      <w:pPr>
        <w:ind w:left="20"/>
        <w:spacing w:after="0" w:line="211" w:lineRule="auto"/>
        <w:rPr>
          <w:sz w:val="20"/>
          <w:szCs w:val="20"/>
          <w:color w:val="auto"/>
        </w:rPr>
      </w:pPr>
      <w:r>
        <w:rPr>
          <w:rFonts w:ascii="Arial" w:cs="Arial" w:eastAsia="Arial" w:hAnsi="Arial"/>
          <w:sz w:val="14"/>
          <w:szCs w:val="14"/>
          <w:color w:val="auto"/>
        </w:rPr>
        <w:t>Clarification for Share-Based Noncash Consideration from a</w:t>
      </w:r>
    </w:p>
    <w:p>
      <w:pPr>
        <w:ind w:left="20" w:right="420"/>
        <w:spacing w:after="0" w:line="244" w:lineRule="auto"/>
        <w:rPr>
          <w:sz w:val="20"/>
          <w:szCs w:val="20"/>
          <w:color w:val="auto"/>
        </w:rPr>
      </w:pPr>
      <w:r>
        <w:rPr>
          <w:rFonts w:ascii="Arial" w:cs="Arial" w:eastAsia="Arial" w:hAnsi="Arial"/>
          <w:sz w:val="14"/>
          <w:szCs w:val="14"/>
          <w:color w:val="auto"/>
        </w:rPr>
        <w:t>Customer in a Revenue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12687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5">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0070C0"/>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25717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This standard establishes incremental disaggregation of</w:t>
      </w:r>
    </w:p>
    <w:p>
      <w:pPr>
        <w:spacing w:after="0" w:line="15"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income tax disclosures pertaining to the effective tax rate reconciliation and income taxes paid. The amendments in this</w:t>
      </w:r>
    </w:p>
    <w:p>
      <w:pPr>
        <w:spacing w:after="0" w:line="1" w:lineRule="exact"/>
        <w:rPr>
          <w:sz w:val="20"/>
          <w:szCs w:val="20"/>
          <w:color w:val="auto"/>
        </w:rPr>
      </w:pPr>
    </w:p>
    <w:p>
      <w:pPr>
        <w:ind w:right="120"/>
        <w:spacing w:after="0" w:line="264" w:lineRule="auto"/>
        <w:rPr>
          <w:sz w:val="20"/>
          <w:szCs w:val="20"/>
          <w:color w:val="auto"/>
        </w:rPr>
      </w:pPr>
      <w:r>
        <w:rPr>
          <w:rFonts w:ascii="Arial" w:cs="Arial" w:eastAsia="Arial" w:hAnsi="Arial"/>
          <w:sz w:val="14"/>
          <w:szCs w:val="14"/>
          <w:color w:val="auto"/>
        </w:rPr>
        <w:t>update are required to be applied on a prospective basis with the option to apply it retrospectively.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320675</wp:posOffset>
            </wp:positionV>
            <wp:extent cx="25717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This standard requires disclosure in the notes to the financial</w:t>
      </w:r>
    </w:p>
    <w:p>
      <w:pPr>
        <w:spacing w:after="0" w:line="15"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statements, at each interim and annual reporting period, of specified information about certain costs and expense</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including purchases of inventory, employee compensation, depreciation and intangible asset amortization included in each relevant expense caption. This standard also requires a qualitative description of the amounts remaining in relevant expense captions that are not separately disaggregated, as well as disclosure of the total amount of selling expenses, and, in annual reporting periods, an entity’s definition of 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13970</wp:posOffset>
            </wp:positionV>
            <wp:extent cx="25717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 w:lineRule="exact"/>
        <w:rPr>
          <w:sz w:val="20"/>
          <w:szCs w:val="20"/>
          <w:color w:val="auto"/>
        </w:rPr>
      </w:pPr>
    </w:p>
    <w:p>
      <w:pPr>
        <w:ind w:right="160"/>
        <w:spacing w:after="0" w:line="221" w:lineRule="auto"/>
        <w:rPr>
          <w:sz w:val="20"/>
          <w:szCs w:val="20"/>
          <w:color w:val="auto"/>
        </w:rPr>
      </w:pPr>
      <w:r>
        <w:rPr>
          <w:rFonts w:ascii="Arial" w:cs="Arial" w:eastAsia="Arial" w:hAnsi="Arial"/>
          <w:sz w:val="14"/>
          <w:szCs w:val="14"/>
          <w:color w:val="auto"/>
        </w:rPr>
        <w:t>This standard modernizes the accounting for software costs, including updating guidance on the recognition and</w:t>
      </w:r>
    </w:p>
    <w:p>
      <w:pPr>
        <w:spacing w:after="0" w:line="222" w:lineRule="auto"/>
        <w:rPr>
          <w:sz w:val="20"/>
          <w:szCs w:val="20"/>
          <w:color w:val="auto"/>
        </w:rPr>
      </w:pPr>
      <w:r>
        <w:rPr>
          <w:rFonts w:ascii="Arial" w:cs="Arial" w:eastAsia="Arial" w:hAnsi="Arial"/>
          <w:sz w:val="14"/>
          <w:szCs w:val="14"/>
          <w:color w:val="auto"/>
        </w:rPr>
        <w:t>measurement of costs incurred in connection with</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development and implementation activities related to internal-use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194310</wp:posOffset>
            </wp:positionV>
            <wp:extent cx="25717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4" w:lineRule="exact"/>
        <w:rPr>
          <w:sz w:val="20"/>
          <w:szCs w:val="20"/>
          <w:color w:val="auto"/>
        </w:rPr>
      </w:pPr>
    </w:p>
    <w:p>
      <w:pPr>
        <w:ind w:right="280"/>
        <w:spacing w:after="0" w:line="221" w:lineRule="auto"/>
        <w:rPr>
          <w:sz w:val="20"/>
          <w:szCs w:val="20"/>
          <w:color w:val="auto"/>
        </w:rPr>
      </w:pPr>
      <w:r>
        <w:rPr>
          <w:rFonts w:ascii="Arial" w:cs="Arial" w:eastAsia="Arial" w:hAnsi="Arial"/>
          <w:sz w:val="14"/>
          <w:szCs w:val="14"/>
          <w:color w:val="auto"/>
        </w:rPr>
        <w:t>This standard refines and expands the existing scope exceptions that exclude certain contracts, including certain</w:t>
      </w:r>
    </w:p>
    <w:p>
      <w:pPr>
        <w:spacing w:after="0" w:line="222" w:lineRule="auto"/>
        <w:rPr>
          <w:sz w:val="20"/>
          <w:szCs w:val="20"/>
          <w:color w:val="auto"/>
        </w:rPr>
      </w:pPr>
      <w:r>
        <w:rPr>
          <w:rFonts w:ascii="Arial" w:cs="Arial" w:eastAsia="Arial" w:hAnsi="Arial"/>
          <w:sz w:val="14"/>
          <w:szCs w:val="14"/>
          <w:color w:val="auto"/>
        </w:rPr>
        <w:t>R&amp;D funding arrangements, from derivative accounting, and</w:t>
      </w:r>
    </w:p>
    <w:p>
      <w:pPr>
        <w:spacing w:after="0" w:line="1"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clarifies the accounting for share-based noncash consideration received from a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468630</wp:posOffset>
            </wp:positionV>
            <wp:extent cx="257175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39"/>
        <w:spacing w:after="0"/>
        <w:rPr>
          <w:sz w:val="20"/>
          <w:szCs w:val="20"/>
          <w:color w:val="auto"/>
        </w:rPr>
      </w:pPr>
      <w:r>
        <w:rPr>
          <w:rFonts w:ascii="Arial" w:cs="Arial" w:eastAsia="Arial" w:hAnsi="Arial"/>
          <w:sz w:val="14"/>
          <w:szCs w:val="14"/>
          <w:b w:val="1"/>
          <w:bCs w:val="1"/>
          <w:color w:val="0070C0"/>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23495</wp:posOffset>
            </wp:positionV>
            <wp:extent cx="12858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Annual reporting for fiscal</w:t>
      </w:r>
    </w:p>
    <w:p>
      <w:pPr>
        <w:spacing w:after="0" w:line="15"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years beginning after December 15, 2024. Early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443230</wp:posOffset>
            </wp:positionV>
            <wp:extent cx="12858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Annual reporting for fiscal</w:t>
      </w:r>
    </w:p>
    <w:p>
      <w:pPr>
        <w:spacing w:after="0" w:line="15" w:lineRule="exact"/>
        <w:rPr>
          <w:sz w:val="20"/>
          <w:szCs w:val="20"/>
          <w:color w:val="auto"/>
        </w:rPr>
      </w:pPr>
    </w:p>
    <w:p>
      <w:pPr>
        <w:ind w:right="380"/>
        <w:spacing w:after="0" w:line="231" w:lineRule="auto"/>
        <w:rPr>
          <w:sz w:val="20"/>
          <w:szCs w:val="20"/>
          <w:color w:val="auto"/>
        </w:rPr>
      </w:pPr>
      <w:r>
        <w:rPr>
          <w:rFonts w:ascii="Arial" w:cs="Arial" w:eastAsia="Arial" w:hAnsi="Arial"/>
          <w:sz w:val="14"/>
          <w:szCs w:val="14"/>
          <w:color w:val="auto"/>
        </w:rPr>
        <w:t>years beginning after December 15, 2026, and</w:t>
      </w:r>
    </w:p>
    <w:p>
      <w:pPr>
        <w:spacing w:after="0" w:line="1" w:lineRule="exact"/>
        <w:rPr>
          <w:sz w:val="20"/>
          <w:szCs w:val="20"/>
          <w:color w:val="auto"/>
        </w:rPr>
      </w:pPr>
    </w:p>
    <w:p>
      <w:pPr>
        <w:ind w:right="240"/>
        <w:spacing w:after="0" w:line="249" w:lineRule="auto"/>
        <w:rPr>
          <w:sz w:val="20"/>
          <w:szCs w:val="20"/>
          <w:color w:val="auto"/>
        </w:rPr>
      </w:pPr>
      <w:r>
        <w:rPr>
          <w:rFonts w:ascii="Arial" w:cs="Arial" w:eastAsia="Arial" w:hAnsi="Arial"/>
          <w:sz w:val="14"/>
          <w:szCs w:val="14"/>
          <w:color w:val="auto"/>
        </w:rPr>
        <w:t>interim periods within fiscal years beginning after December 15, 2027. Early 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421640</wp:posOffset>
            </wp:positionV>
            <wp:extent cx="128587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20"/>
        <w:spacing w:after="0" w:line="221" w:lineRule="auto"/>
        <w:rPr>
          <w:sz w:val="20"/>
          <w:szCs w:val="20"/>
          <w:color w:val="auto"/>
        </w:rPr>
      </w:pPr>
      <w:r>
        <w:rPr>
          <w:rFonts w:ascii="Arial" w:cs="Arial" w:eastAsia="Arial" w:hAnsi="Arial"/>
          <w:sz w:val="14"/>
          <w:szCs w:val="14"/>
          <w:color w:val="auto"/>
        </w:rPr>
        <w:t>Annual reporting for fiscal periods beginning after</w:t>
      </w:r>
    </w:p>
    <w:p>
      <w:pPr>
        <w:spacing w:after="0" w:line="222" w:lineRule="auto"/>
        <w:rPr>
          <w:sz w:val="20"/>
          <w:szCs w:val="20"/>
          <w:color w:val="auto"/>
        </w:rPr>
      </w:pPr>
      <w:r>
        <w:rPr>
          <w:rFonts w:ascii="Arial" w:cs="Arial" w:eastAsia="Arial" w:hAnsi="Arial"/>
          <w:sz w:val="14"/>
          <w:szCs w:val="14"/>
          <w:color w:val="auto"/>
        </w:rPr>
        <w:t>December 15, 2027, and</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14"/>
          <w:szCs w:val="14"/>
          <w:color w:val="auto"/>
        </w:rPr>
        <w:t>interim periods within those annual reporting periods. Early</w:t>
      </w:r>
    </w:p>
    <w:p>
      <w:pPr>
        <w:spacing w:after="0"/>
        <w:rPr>
          <w:sz w:val="20"/>
          <w:szCs w:val="20"/>
          <w:color w:val="auto"/>
        </w:rPr>
      </w:pPr>
      <w:r>
        <w:rPr>
          <w:rFonts w:ascii="Arial" w:cs="Arial" w:eastAsia="Arial" w:hAnsi="Arial"/>
          <w:sz w:val="14"/>
          <w:szCs w:val="14"/>
          <w:color w:val="auto"/>
        </w:rPr>
        <w:t>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109220</wp:posOffset>
            </wp:positionV>
            <wp:extent cx="12858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4">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70" w:lineRule="exact"/>
        <w:rPr>
          <w:sz w:val="20"/>
          <w:szCs w:val="20"/>
          <w:color w:val="auto"/>
        </w:rPr>
      </w:pPr>
    </w:p>
    <w:p>
      <w:pPr>
        <w:ind w:right="320"/>
        <w:spacing w:after="0" w:line="221" w:lineRule="auto"/>
        <w:rPr>
          <w:sz w:val="20"/>
          <w:szCs w:val="20"/>
          <w:color w:val="auto"/>
        </w:rPr>
      </w:pPr>
      <w:r>
        <w:rPr>
          <w:rFonts w:ascii="Arial" w:cs="Arial" w:eastAsia="Arial" w:hAnsi="Arial"/>
          <w:sz w:val="14"/>
          <w:szCs w:val="14"/>
          <w:color w:val="auto"/>
        </w:rPr>
        <w:t>Annual reporting for fiscal years beginning after</w:t>
      </w:r>
    </w:p>
    <w:p>
      <w:pPr>
        <w:spacing w:after="0" w:line="222" w:lineRule="auto"/>
        <w:rPr>
          <w:sz w:val="20"/>
          <w:szCs w:val="20"/>
          <w:color w:val="auto"/>
        </w:rPr>
      </w:pPr>
      <w:r>
        <w:rPr>
          <w:rFonts w:ascii="Arial" w:cs="Arial" w:eastAsia="Arial" w:hAnsi="Arial"/>
          <w:sz w:val="14"/>
          <w:szCs w:val="14"/>
          <w:color w:val="auto"/>
        </w:rPr>
        <w:t>December 15, 2026, and</w:t>
      </w:r>
    </w:p>
    <w:p>
      <w:pPr>
        <w:spacing w:after="0" w:line="1" w:lineRule="exact"/>
        <w:rPr>
          <w:sz w:val="20"/>
          <w:szCs w:val="20"/>
          <w:color w:val="auto"/>
        </w:rPr>
      </w:pPr>
    </w:p>
    <w:p>
      <w:pPr>
        <w:spacing w:after="0" w:line="211" w:lineRule="auto"/>
        <w:rPr>
          <w:sz w:val="20"/>
          <w:szCs w:val="20"/>
          <w:color w:val="auto"/>
        </w:rPr>
      </w:pPr>
      <w:r>
        <w:rPr>
          <w:rFonts w:ascii="Arial" w:cs="Arial" w:eastAsia="Arial" w:hAnsi="Arial"/>
          <w:sz w:val="14"/>
          <w:szCs w:val="14"/>
          <w:color w:val="auto"/>
        </w:rPr>
        <w:t>interim periods within those annual reporting periods. Early</w:t>
      </w:r>
    </w:p>
    <w:p>
      <w:pPr>
        <w:spacing w:after="0"/>
        <w:rPr>
          <w:sz w:val="20"/>
          <w:szCs w:val="20"/>
          <w:color w:val="auto"/>
        </w:rPr>
      </w:pPr>
      <w:r>
        <w:rPr>
          <w:rFonts w:ascii="Arial" w:cs="Arial" w:eastAsia="Arial" w:hAnsi="Arial"/>
          <w:sz w:val="14"/>
          <w:szCs w:val="14"/>
          <w:color w:val="auto"/>
        </w:rPr>
        <w:t>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383540</wp:posOffset>
            </wp:positionV>
            <wp:extent cx="12858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5">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4"/>
          <w:szCs w:val="14"/>
          <w:b w:val="1"/>
          <w:bCs w:val="1"/>
          <w:color w:val="0070C0"/>
        </w:rPr>
        <w:t>Effects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18256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We adopted this standard and applied the</w:t>
      </w:r>
    </w:p>
    <w:p>
      <w:pPr>
        <w:spacing w:after="0" w:line="15"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disclosure requirements on a prospective basis effective for the year ended December</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31, 2025. The adoption did not have a material impact on our consolidated financial position or results of operations. Refer to</w:t>
      </w:r>
    </w:p>
    <w:p>
      <w:pPr>
        <w:spacing w:after="0" w:line="1" w:lineRule="exact"/>
        <w:rPr>
          <w:sz w:val="20"/>
          <w:szCs w:val="20"/>
          <w:color w:val="auto"/>
        </w:rPr>
      </w:pPr>
    </w:p>
    <w:p>
      <w:pPr>
        <w:ind w:right="300"/>
        <w:spacing w:after="0" w:line="264" w:lineRule="auto"/>
        <w:rPr>
          <w:sz w:val="20"/>
          <w:szCs w:val="20"/>
          <w:color w:val="auto"/>
        </w:rPr>
      </w:pPr>
      <w:r>
        <w:rPr>
          <w:rFonts w:ascii="Arial" w:cs="Arial" w:eastAsia="Arial" w:hAnsi="Arial"/>
          <w:sz w:val="14"/>
          <w:szCs w:val="14"/>
          <w:i w:val="1"/>
          <w:iCs w:val="1"/>
          <w:color w:val="auto"/>
        </w:rPr>
        <w:t>Note 17, Income Taxes</w:t>
      </w:r>
      <w:r>
        <w:rPr>
          <w:rFonts w:ascii="Arial" w:cs="Arial" w:eastAsia="Arial" w:hAnsi="Arial"/>
          <w:sz w:val="14"/>
          <w:szCs w:val="14"/>
          <w:color w:val="auto"/>
        </w:rPr>
        <w:t>, for our updated</w:t>
      </w:r>
      <w:r>
        <w:rPr>
          <w:rFonts w:ascii="Arial" w:cs="Arial" w:eastAsia="Arial" w:hAnsi="Arial"/>
          <w:sz w:val="14"/>
          <w:szCs w:val="14"/>
          <w:i w:val="1"/>
          <w:iCs w:val="1"/>
          <w:color w:val="auto"/>
        </w:rPr>
        <w:t xml:space="preserve"> </w:t>
      </w:r>
      <w:r>
        <w:rPr>
          <w:rFonts w:ascii="Arial" w:cs="Arial" w:eastAsia="Arial" w:hAnsi="Arial"/>
          <w:sz w:val="14"/>
          <w:szCs w:val="14"/>
          <w:color w:val="auto"/>
        </w:rPr>
        <w:t>income tax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18256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We are currently evaluating the potential</w:t>
      </w:r>
    </w:p>
    <w:p>
      <w:pPr>
        <w:spacing w:after="0" w:line="15"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impact that this new standard will have on our consolidated financial statements and</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related disclosures, and expect to apply this standard prospectively upon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621030</wp:posOffset>
            </wp:positionV>
            <wp:extent cx="18256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8">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80"/>
        <w:spacing w:after="0" w:line="221" w:lineRule="auto"/>
        <w:rPr>
          <w:sz w:val="20"/>
          <w:szCs w:val="20"/>
          <w:color w:val="auto"/>
        </w:rPr>
      </w:pPr>
      <w:r>
        <w:rPr>
          <w:rFonts w:ascii="Arial" w:cs="Arial" w:eastAsia="Arial" w:hAnsi="Arial"/>
          <w:sz w:val="14"/>
          <w:szCs w:val="14"/>
          <w:color w:val="auto"/>
        </w:rPr>
        <w:t>We are currently evaluating the potential impact that this new standard will have on</w:t>
      </w:r>
    </w:p>
    <w:p>
      <w:pPr>
        <w:spacing w:after="0" w:line="1"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our consolidated financial statements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277495</wp:posOffset>
            </wp:positionV>
            <wp:extent cx="18256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0"/>
        <w:spacing w:after="0" w:line="221" w:lineRule="auto"/>
        <w:rPr>
          <w:sz w:val="20"/>
          <w:szCs w:val="20"/>
          <w:color w:val="auto"/>
        </w:rPr>
      </w:pPr>
      <w:r>
        <w:rPr>
          <w:rFonts w:ascii="Arial" w:cs="Arial" w:eastAsia="Arial" w:hAnsi="Arial"/>
          <w:sz w:val="14"/>
          <w:szCs w:val="14"/>
          <w:color w:val="auto"/>
        </w:rPr>
        <w:t>We have early adopted this new standard on a modified retrospective basis as of</w:t>
      </w:r>
    </w:p>
    <w:p>
      <w:pPr>
        <w:spacing w:after="0" w:line="222" w:lineRule="auto"/>
        <w:rPr>
          <w:sz w:val="20"/>
          <w:szCs w:val="20"/>
          <w:color w:val="auto"/>
        </w:rPr>
      </w:pPr>
      <w:r>
        <w:rPr>
          <w:rFonts w:ascii="Arial" w:cs="Arial" w:eastAsia="Arial" w:hAnsi="Arial"/>
          <w:sz w:val="14"/>
          <w:szCs w:val="14"/>
          <w:color w:val="auto"/>
        </w:rPr>
        <w:t>January 1, 2025. Adoption did not have a</w:t>
      </w:r>
    </w:p>
    <w:p>
      <w:pPr>
        <w:spacing w:after="0" w:line="1" w:lineRule="exact"/>
        <w:rPr>
          <w:sz w:val="20"/>
          <w:szCs w:val="20"/>
          <w:color w:val="auto"/>
        </w:rPr>
      </w:pPr>
    </w:p>
    <w:p>
      <w:pPr>
        <w:ind w:right="440"/>
        <w:spacing w:after="0" w:line="211" w:lineRule="auto"/>
        <w:rPr>
          <w:sz w:val="20"/>
          <w:szCs w:val="20"/>
          <w:color w:val="auto"/>
        </w:rPr>
      </w:pPr>
      <w:r>
        <w:rPr>
          <w:rFonts w:ascii="Arial" w:cs="Arial" w:eastAsia="Arial" w:hAnsi="Arial"/>
          <w:sz w:val="14"/>
          <w:szCs w:val="14"/>
          <w:color w:val="auto"/>
        </w:rPr>
        <w:t>material impact on our condensed consolidated financial statements and</w:t>
      </w:r>
    </w:p>
    <w:p>
      <w:pPr>
        <w:spacing w:after="0"/>
        <w:rPr>
          <w:sz w:val="20"/>
          <w:szCs w:val="20"/>
          <w:color w:val="auto"/>
        </w:rPr>
      </w:pPr>
      <w:r>
        <w:rPr>
          <w:rFonts w:ascii="Arial" w:cs="Arial" w:eastAsia="Arial" w:hAnsi="Arial"/>
          <w:sz w:val="14"/>
          <w:szCs w:val="14"/>
          <w:color w:val="auto"/>
        </w:rPr>
        <w:t>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383540</wp:posOffset>
            </wp:positionV>
            <wp:extent cx="18256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0">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spacing w:after="0" w:line="798" w:lineRule="exact"/>
        <w:rPr>
          <w:sz w:val="20"/>
          <w:szCs w:val="20"/>
          <w:color w:val="auto"/>
        </w:rPr>
      </w:pPr>
    </w:p>
    <w:p>
      <w:pPr>
        <w:sectPr>
          <w:pgSz w:w="11900" w:h="16838" w:orient="portrait"/>
          <w:cols w:equalWidth="0" w:num="4">
            <w:col w:w="1960" w:space="160"/>
            <w:col w:w="4000" w:space="140"/>
            <w:col w:w="1960" w:space="160"/>
            <w:col w:w="2840"/>
          </w:cols>
          <w:pgMar w:left="320" w:top="238" w:right="35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2:</w:t>
            </w:r>
          </w:p>
        </w:tc>
        <w:tc>
          <w:tcPr>
            <w:tcW w:w="9920" w:type="dxa"/>
            <w:vAlign w:val="bottom"/>
            <w:tcBorders>
              <w:bottom w:val="single" w:sz="8" w:color="0070C0"/>
            </w:tcBorders>
          </w:tcPr>
          <w:p>
            <w:pPr>
              <w:ind w:left="20"/>
              <w:spacing w:after="0"/>
              <w:rPr>
                <w:sz w:val="20"/>
                <w:szCs w:val="20"/>
                <w:color w:val="auto"/>
              </w:rPr>
            </w:pPr>
            <w:r>
              <w:rPr>
                <w:rFonts w:ascii="Arial" w:cs="Arial" w:eastAsia="Arial" w:hAnsi="Arial"/>
                <w:sz w:val="22"/>
                <w:szCs w:val="22"/>
                <w:b w:val="1"/>
                <w:bCs w:val="1"/>
                <w:color w:val="0070C0"/>
              </w:rPr>
              <w:t>Acquisitions</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Alcyone Therapeutics, Inc.</w:t>
      </w:r>
    </w:p>
    <w:p>
      <w:pPr>
        <w:spacing w:after="0" w:line="1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November 2025 we completed the acquisition of all of the issued and outstanding shares of Alcyone Therapeutics, Inc., a clinical-stage biotechnology company focused on pediatric care through precision CNS therapeutics and dosing platforms. Alcyone's lead asset is ThecaFlex DRx, an implantable subcutaneous port and catheter device being investigated for the intrathecal delivery of ASOs, including SPINRAZA, which is designed to provide an alternative to repeat lumbar punctures in chronic intrathecal administration of medicines.</w:t>
      </w:r>
    </w:p>
    <w:p>
      <w:pPr>
        <w:spacing w:after="0" w:line="6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Total consideration for this transaction, which was recorded in acquired in-process research and development, upfront and milestone expense in our consolidated statements of income for the year ended December 31, 2025, was approximately $85.0 million, comprising a $50.0 million payment made upon closing and a $ 35.0 million payment that was considered probable as of December 31, 2025, and made upon FDA approval of a supplemental application in January 2026.</w:t>
      </w:r>
    </w:p>
    <w:p>
      <w:pPr>
        <w:spacing w:after="0" w:line="68"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We may pay additional development and regulatory milestone payments to the former shareholders of Alcyone of up to a total of $75.0 million if approval is received for ThecaFlex DRx administration of SPINRAZA or other additional pipeline products.</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accounted for this transaction as an asset acquisition as the value being acquired primarily relates to a single asset. Under the terms of this acquisition, we will oversee the end-to-end development, manufacturing and commercialization of ThecaFlex DRx.</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Alcyone's remaining therapeutic assets were divested from Alcyone into Neela Therapeutics, Inc., a newly formed independent company, prior to the closing of this acquisition.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Human Immunology Biosciences</w:t>
      </w:r>
    </w:p>
    <w:p>
      <w:pPr>
        <w:spacing w:after="0" w:line="12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July 2, 2024, we completed the acquisition of all of the issued and outstanding shares of HI-Bio, a privately-held clinical-stage biotechnology company focused on targeted therapies for patients with severe immune-mediated diseases. HI-Bio's lead asset, felzartamab, an anti-CD38 antibody, is currently being evaluated for several indications, including three leading indications, AMR, PMN and IgAN. Felzartamab has received Breakthrough Therapy Designation and ODD from the FDA for development in the treatment of PMN and AMR. Subsequent to our acquisition, felzartamab received ODD in the E.U. in PMN, IgAN and solid organ transplantation. The acquisition of HI-Bio is expected to augment our pipeline and build on our expertise in immunology.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this acquisition, we paid shareholders of HI-Bio approximately $1.15 billion at closing and may pay up to a total of</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$650.0 million in contingent development and regulatory milestone payments. The $1.15 billion paid included approximately $ 74.5 million related to HI-Bio's outstanding, non-vested equity awards, inclusive of employer taxes, of which $56.4 million was recognized as share-based compensation payments to settle non-vested equity awards attributable to the post-acquisition service period and therefore not reflected as a component of total purchase price paid. Of the total $56.4 million, we recognized approximately $42.5 million as a charge to research and development expense with the remaining $13.9 million as a charge to selling, general and administrative expense within our consolidated statements of income for the year ended December 31, 2024. These amounts were associated with the accelerated vesting of stock options and RSUs previously granted to HI-Bio employees and required no future services to vest.</w:t>
      </w:r>
    </w:p>
    <w:p>
      <w:pPr>
        <w:spacing w:after="0" w:line="7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Upon closing we also paid an additional $43.7 million related to working capital adjustments as of the transaction close date, which was included as a component of total purchase price paid.</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We funded this acquisition through available cash on hand and accounted for this acquisition as a business combination using the acquisition method of accounting in accordance with </w:t>
      </w:r>
      <w:r>
        <w:rPr>
          <w:rFonts w:ascii="Arial" w:cs="Arial" w:eastAsia="Arial" w:hAnsi="Arial"/>
          <w:sz w:val="18"/>
          <w:szCs w:val="18"/>
          <w:i w:val="1"/>
          <w:iCs w:val="1"/>
          <w:color w:val="auto"/>
        </w:rPr>
        <w:t>ASC Topic 805, Business Combinations</w:t>
      </w:r>
      <w:r>
        <w:rPr>
          <w:rFonts w:ascii="Arial" w:cs="Arial" w:eastAsia="Arial" w:hAnsi="Arial"/>
          <w:sz w:val="18"/>
          <w:szCs w:val="18"/>
          <w:color w:val="auto"/>
        </w:rPr>
        <w:t>, and recorded assets acquired and liabilities assumed at their respective fair values as of the acquisition date.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Purchase Price Consideration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Total consideration transferred for the acquisition of HI-Bio is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2060" w:type="dxa"/>
            <w:vAlign w:val="bottom"/>
            <w:tcBorders>
              <w:bottom w:val="single" w:sz="8" w:color="auto"/>
            </w:tcBorders>
            <w:shd w:val="clear" w:color="auto" w:fill="DBDBDB"/>
          </w:tcPr>
          <w:p>
            <w:pPr>
              <w:jc w:val="right"/>
              <w:ind w:right="528"/>
              <w:spacing w:after="0"/>
              <w:rPr>
                <w:sz w:val="20"/>
                <w:szCs w:val="20"/>
                <w:color w:val="auto"/>
              </w:rPr>
            </w:pPr>
            <w:r>
              <w:rPr>
                <w:rFonts w:ascii="Arial" w:cs="Arial" w:eastAsia="Arial" w:hAnsi="Arial"/>
                <w:sz w:val="14"/>
                <w:szCs w:val="14"/>
                <w:b w:val="1"/>
                <w:bCs w:val="1"/>
                <w:color w:val="0070C0"/>
              </w:rPr>
              <w:t>As of July 2, 2024</w:t>
            </w:r>
          </w:p>
        </w:tc>
      </w:tr>
      <w:tr>
        <w:trPr>
          <w:trHeight w:val="196"/>
        </w:trPr>
        <w:tc>
          <w:tcPr>
            <w:tcW w:w="8820" w:type="dxa"/>
            <w:vAlign w:val="bottom"/>
            <w:gridSpan w:val="4"/>
          </w:tcPr>
          <w:p>
            <w:pPr>
              <w:ind w:left="20"/>
              <w:spacing w:after="0" w:line="196" w:lineRule="exact"/>
              <w:rPr>
                <w:sz w:val="20"/>
                <w:szCs w:val="20"/>
                <w:color w:val="auto"/>
              </w:rPr>
            </w:pPr>
            <w:r>
              <w:rPr>
                <w:rFonts w:ascii="Arial" w:cs="Arial" w:eastAsia="Arial" w:hAnsi="Arial"/>
                <w:sz w:val="14"/>
                <w:szCs w:val="14"/>
                <w:color w:val="auto"/>
              </w:rPr>
              <w:t>Cash consideration paid to HI-Bio shareholders</w:t>
            </w:r>
            <w:r>
              <w:rPr>
                <w:rFonts w:ascii="Arial" w:cs="Arial" w:eastAsia="Arial" w:hAnsi="Arial"/>
                <w:sz w:val="18"/>
                <w:szCs w:val="18"/>
                <w:color w:val="auto"/>
                <w:vertAlign w:val="superscript"/>
              </w:rPr>
              <w:t>(1)</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0070C0"/>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1,137.3</w:t>
            </w:r>
          </w:p>
        </w:tc>
      </w:tr>
      <w:tr>
        <w:trPr>
          <w:trHeight w:val="198"/>
        </w:trPr>
        <w:tc>
          <w:tcPr>
            <w:tcW w:w="8820" w:type="dxa"/>
            <w:vAlign w:val="bottom"/>
            <w:gridSpan w:val="4"/>
          </w:tcPr>
          <w:p>
            <w:pPr>
              <w:ind w:left="20"/>
              <w:spacing w:after="0"/>
              <w:rPr>
                <w:sz w:val="20"/>
                <w:szCs w:val="20"/>
                <w:color w:val="auto"/>
              </w:rPr>
            </w:pPr>
            <w:r>
              <w:rPr>
                <w:rFonts w:ascii="Arial" w:cs="Arial" w:eastAsia="Arial" w:hAnsi="Arial"/>
                <w:sz w:val="14"/>
                <w:szCs w:val="14"/>
                <w:color w:val="auto"/>
              </w:rPr>
              <w:t>Contingent consideration</w:t>
            </w:r>
          </w:p>
        </w:tc>
        <w:tc>
          <w:tcPr>
            <w:tcW w:w="360" w:type="dxa"/>
            <w:vAlign w:val="bottom"/>
            <w:tcBorders>
              <w:bottom w:val="single" w:sz="8" w:color="auto"/>
            </w:tcBorders>
            <w:shd w:val="clear" w:color="auto" w:fill="DBDBDB"/>
          </w:tcPr>
          <w:p>
            <w:pPr>
              <w:spacing w:after="0"/>
              <w:rPr>
                <w:sz w:val="17"/>
                <w:szCs w:val="17"/>
                <w:color w:val="auto"/>
              </w:rPr>
            </w:pP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485.1</w:t>
            </w:r>
          </w:p>
        </w:tc>
      </w:tr>
      <w:tr>
        <w:trPr>
          <w:trHeight w:val="225"/>
        </w:trPr>
        <w:tc>
          <w:tcPr>
            <w:tcW w:w="40" w:type="dxa"/>
            <w:vAlign w:val="bottom"/>
          </w:tcPr>
          <w:p>
            <w:pPr>
              <w:spacing w:after="0"/>
              <w:rPr>
                <w:sz w:val="19"/>
                <w:szCs w:val="19"/>
                <w:color w:val="auto"/>
              </w:rPr>
            </w:pPr>
          </w:p>
        </w:tc>
        <w:tc>
          <w:tcPr>
            <w:tcW w:w="8780" w:type="dxa"/>
            <w:vAlign w:val="bottom"/>
            <w:gridSpan w:val="3"/>
          </w:tcPr>
          <w:p>
            <w:pPr>
              <w:ind w:left="200"/>
              <w:spacing w:after="0"/>
              <w:rPr>
                <w:sz w:val="20"/>
                <w:szCs w:val="20"/>
                <w:color w:val="auto"/>
              </w:rPr>
            </w:pPr>
            <w:r>
              <w:rPr>
                <w:rFonts w:ascii="Arial" w:cs="Arial" w:eastAsia="Arial" w:hAnsi="Arial"/>
                <w:sz w:val="14"/>
                <w:szCs w:val="14"/>
                <w:color w:val="auto"/>
              </w:rPr>
              <w:t>Total consideration</w:t>
            </w: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0070C0"/>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1,622.4</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4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60" w:type="dxa"/>
            <w:vAlign w:val="bottom"/>
          </w:tcPr>
          <w:p>
            <w:pPr>
              <w:spacing w:after="0"/>
              <w:rPr>
                <w:sz w:val="11"/>
                <w:szCs w:val="11"/>
                <w:color w:val="auto"/>
              </w:rPr>
            </w:pPr>
          </w:p>
        </w:tc>
      </w:tr>
    </w:tbl>
    <w:p>
      <w:pPr>
        <w:spacing w:after="0" w:line="99" w:lineRule="exact"/>
        <w:rPr>
          <w:sz w:val="20"/>
          <w:szCs w:val="20"/>
          <w:color w:val="auto"/>
        </w:rPr>
      </w:pPr>
    </w:p>
    <w:p>
      <w:pPr>
        <w:ind w:left="180" w:right="20" w:hanging="172"/>
        <w:spacing w:after="0" w:line="283" w:lineRule="auto"/>
        <w:tabs>
          <w:tab w:leader="none" w:pos="172" w:val="left"/>
        </w:tabs>
        <w:numPr>
          <w:ilvl w:val="0"/>
          <w:numId w:val="105"/>
        </w:numPr>
        <w:rPr>
          <w:rFonts w:ascii="Arial" w:cs="Arial" w:eastAsia="Arial" w:hAnsi="Arial"/>
          <w:sz w:val="9"/>
          <w:szCs w:val="9"/>
          <w:color w:val="auto"/>
        </w:rPr>
      </w:pPr>
      <w:r>
        <w:rPr>
          <w:rFonts w:ascii="Arial" w:cs="Arial" w:eastAsia="Arial" w:hAnsi="Arial"/>
          <w:sz w:val="14"/>
          <w:szCs w:val="14"/>
          <w:color w:val="auto"/>
        </w:rPr>
        <w:t>Represents total consideration paid to shareholders of HI-Bio of $1.15 billion, plus an additional $43.7 million related to working capital adjustments as of the transaction close date, less $56.4 million of cash paid for HI-Bio's outstanding, non-vested equity awards, inclusive of employer taxes, which were recognized as compensation attributable to the post-acquisition service period and therefore not reflected as a component of total consideration.</w:t>
      </w:r>
    </w:p>
    <w:p>
      <w:pPr>
        <w:spacing w:after="0" w:line="5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0070C0"/>
        </w:rPr>
        <w:t xml:space="preserve">Contingent Consideration: </w:t>
      </w:r>
      <w:r>
        <w:rPr>
          <w:rFonts w:ascii="Arial" w:cs="Arial" w:eastAsia="Arial" w:hAnsi="Arial"/>
          <w:sz w:val="18"/>
          <w:szCs w:val="18"/>
          <w:color w:val="000000"/>
        </w:rPr>
        <w:t>We may make certain contingent payments to the former shareholders of HI-Bio upon the achievement of</w:t>
      </w:r>
      <w:r>
        <w:rPr>
          <w:rFonts w:ascii="Arial" w:cs="Arial" w:eastAsia="Arial" w:hAnsi="Arial"/>
          <w:sz w:val="18"/>
          <w:szCs w:val="18"/>
          <w:b w:val="1"/>
          <w:bCs w:val="1"/>
          <w:color w:val="0070C0"/>
        </w:rPr>
        <w:t xml:space="preserve"> </w:t>
      </w:r>
      <w:r>
        <w:rPr>
          <w:rFonts w:ascii="Arial" w:cs="Arial" w:eastAsia="Arial" w:hAnsi="Arial"/>
          <w:sz w:val="18"/>
          <w:szCs w:val="18"/>
          <w:color w:val="000000"/>
        </w:rPr>
        <w:t>certain development and regulatory milestones. As of the acquisition date, the maximum aggregate amount payable for these potential milestones was $650.0 million. The acquisition-date fair value of these milestones was approximately $485.1 million and was estimated utilizing a probability-adjusted discounted cash flow calculation using an appropriate discount rate dependent on the nature and timing of the milestone payments, which ranged from 6.2% to 7.0%, and probabilities of technological and regulatory success ranging from 67.0% to near-certain probability.</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Of the total contingent consideration recorded as of the transaction close date, approximately $279.3 million related to milestones classified as short-term and reflected as a component of accrued expense and other with the remaining $ 205.8 million reflected as a component of other long-term liabilities within our consolidated balance sheets. The short-term liability related to the fourth patient dosed in a Phase 3 clinical trial of felzartamab in a first and second indication, which would each result in the achievement of a $150.0 million milestone payment.</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Changes in the fair value of the contingent consideration obligation subsequent to the transaction close date are being recognized as (gain) loss on fair value remeasurement of contingent consideration within our consolidated statements of income. This fair value measurement is based on significant inputs that are not observable in the market and thus represent Level 3 fair value measurements. For additional information related to the fair value of this obligation, please read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to these consolidated financial statements.</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0070C0"/>
        </w:rPr>
        <w:t xml:space="preserve">Other Contractual Commitments: </w:t>
      </w:r>
      <w:r>
        <w:rPr>
          <w:rFonts w:ascii="Arial" w:cs="Arial" w:eastAsia="Arial" w:hAnsi="Arial"/>
          <w:sz w:val="18"/>
          <w:szCs w:val="18"/>
          <w:color w:val="000000"/>
        </w:rPr>
        <w:t>We acquired HI-Bio's pre-existing in-license commitments under third-party agreements with MorphoSys,</w:t>
      </w:r>
      <w:r>
        <w:rPr>
          <w:rFonts w:ascii="Arial" w:cs="Arial" w:eastAsia="Arial" w:hAnsi="Arial"/>
          <w:sz w:val="18"/>
          <w:szCs w:val="18"/>
          <w:b w:val="1"/>
          <w:bCs w:val="1"/>
          <w:color w:val="0070C0"/>
        </w:rPr>
        <w:t xml:space="preserve"> </w:t>
      </w:r>
      <w:r>
        <w:rPr>
          <w:rFonts w:ascii="Arial" w:cs="Arial" w:eastAsia="Arial" w:hAnsi="Arial"/>
          <w:sz w:val="18"/>
          <w:szCs w:val="18"/>
          <w:color w:val="000000"/>
        </w:rPr>
        <w:t>which include tiered royalties on potential future sales ranging from high-single digit to mid-teen percentages, as well as potential future development, regulatory and commercial milestone payments of up to $130.0 million, $230.0 million and $640.0 million, respectively. At the transaction close date the achievement of these milestones was not considered probable and therefore not recorded in our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Purchase Price Allocation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finalized purchase accounting for this acquisition in the second quarter of 2025.</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 and reflects measurement period adjustments made to the amounts initially recorded as of the acquisition date on July 2, 2024. The related impact to our consolidated statements of income that would have been recognized in previous periods if the adjustments were recognized as of the acquisition date is immaterial.</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2140" w:type="dxa"/>
            <w:vAlign w:val="bottom"/>
            <w:shd w:val="clear" w:color="auto" w:fill="DBDBDB"/>
          </w:tcPr>
          <w:p>
            <w:pPr>
              <w:jc w:val="center"/>
              <w:ind w:right="108"/>
              <w:spacing w:after="0"/>
              <w:rPr>
                <w:sz w:val="20"/>
                <w:szCs w:val="20"/>
                <w:color w:val="auto"/>
              </w:rPr>
            </w:pPr>
            <w:r>
              <w:rPr>
                <w:rFonts w:ascii="Arial" w:cs="Arial" w:eastAsia="Arial" w:hAnsi="Arial"/>
                <w:sz w:val="14"/>
                <w:szCs w:val="14"/>
                <w:b w:val="1"/>
                <w:bCs w:val="1"/>
                <w:color w:val="0070C0"/>
              </w:rPr>
              <w:t>Amounts Recognized as of</w:t>
            </w:r>
          </w:p>
        </w:tc>
        <w:tc>
          <w:tcPr>
            <w:tcW w:w="0" w:type="dxa"/>
            <w:vAlign w:val="bottom"/>
          </w:tcPr>
          <w:p>
            <w:pPr>
              <w:spacing w:after="0"/>
              <w:rPr>
                <w:sz w:val="1"/>
                <w:szCs w:val="1"/>
                <w:color w:val="auto"/>
              </w:rPr>
            </w:pPr>
          </w:p>
        </w:tc>
      </w:tr>
      <w:tr>
        <w:trPr>
          <w:trHeight w:val="139"/>
        </w:trPr>
        <w:tc>
          <w:tcPr>
            <w:tcW w:w="88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vMerge w:val="restart"/>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2140" w:type="dxa"/>
            <w:vAlign w:val="bottom"/>
            <w:shd w:val="clear" w:color="auto" w:fill="DBDBDB"/>
          </w:tcPr>
          <w:p>
            <w:pPr>
              <w:jc w:val="center"/>
              <w:ind w:right="88"/>
              <w:spacing w:after="0" w:line="139" w:lineRule="exact"/>
              <w:rPr>
                <w:sz w:val="20"/>
                <w:szCs w:val="20"/>
                <w:color w:val="auto"/>
              </w:rPr>
            </w:pPr>
            <w:r>
              <w:rPr>
                <w:rFonts w:ascii="Arial" w:cs="Arial" w:eastAsia="Arial" w:hAnsi="Arial"/>
                <w:sz w:val="14"/>
                <w:szCs w:val="14"/>
                <w:b w:val="1"/>
                <w:bCs w:val="1"/>
                <w:color w:val="0070C0"/>
              </w:rPr>
              <w:t>Acquisition Date</w:t>
            </w:r>
          </w:p>
        </w:tc>
        <w:tc>
          <w:tcPr>
            <w:tcW w:w="0" w:type="dxa"/>
            <w:vAlign w:val="bottom"/>
          </w:tcPr>
          <w:p>
            <w:pPr>
              <w:spacing w:after="0"/>
              <w:rPr>
                <w:sz w:val="1"/>
                <w:szCs w:val="1"/>
                <w:color w:val="auto"/>
              </w:rPr>
            </w:pPr>
          </w:p>
        </w:tc>
      </w:tr>
      <w:tr>
        <w:trPr>
          <w:trHeight w:val="197"/>
        </w:trPr>
        <w:tc>
          <w:tcPr>
            <w:tcW w:w="88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140" w:type="dxa"/>
            <w:vAlign w:val="bottom"/>
            <w:tcBorders>
              <w:bottom w:val="single" w:sz="8" w:color="auto"/>
            </w:tcBorders>
            <w:shd w:val="clear" w:color="auto" w:fill="DBDBDB"/>
          </w:tcPr>
          <w:p>
            <w:pPr>
              <w:jc w:val="center"/>
              <w:ind w:right="108"/>
              <w:spacing w:after="0"/>
              <w:rPr>
                <w:sz w:val="20"/>
                <w:szCs w:val="20"/>
                <w:color w:val="auto"/>
              </w:rPr>
            </w:pPr>
            <w:r>
              <w:rPr>
                <w:rFonts w:ascii="Arial" w:cs="Arial" w:eastAsia="Arial" w:hAnsi="Arial"/>
                <w:sz w:val="14"/>
                <w:szCs w:val="14"/>
                <w:b w:val="1"/>
                <w:bCs w:val="1"/>
                <w:color w:val="0070C0"/>
              </w:rPr>
              <w:t>(as adjusted)</w:t>
            </w:r>
          </w:p>
        </w:tc>
        <w:tc>
          <w:tcPr>
            <w:tcW w:w="0" w:type="dxa"/>
            <w:vAlign w:val="bottom"/>
          </w:tcPr>
          <w:p>
            <w:pPr>
              <w:spacing w:after="0"/>
              <w:rPr>
                <w:sz w:val="1"/>
                <w:szCs w:val="1"/>
                <w:color w:val="auto"/>
              </w:rPr>
            </w:pPr>
          </w:p>
        </w:tc>
      </w:tr>
      <w:tr>
        <w:trPr>
          <w:trHeight w:val="189"/>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w w:val="76"/>
              </w:rPr>
              <w:t>$</w:t>
            </w: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62.5</w:t>
            </w:r>
          </w:p>
        </w:tc>
        <w:tc>
          <w:tcPr>
            <w:tcW w:w="0" w:type="dxa"/>
            <w:vAlign w:val="bottom"/>
          </w:tcPr>
          <w:p>
            <w:pPr>
              <w:spacing w:after="0"/>
              <w:rPr>
                <w:sz w:val="1"/>
                <w:szCs w:val="1"/>
                <w:color w:val="auto"/>
              </w:rPr>
            </w:pPr>
          </w:p>
        </w:tc>
      </w:tr>
      <w:tr>
        <w:trPr>
          <w:trHeight w:val="203"/>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Intangible assets:</w:t>
            </w:r>
          </w:p>
        </w:tc>
        <w:tc>
          <w:tcPr>
            <w:tcW w:w="160" w:type="dxa"/>
            <w:vAlign w:val="bottom"/>
            <w:shd w:val="clear" w:color="auto" w:fill="DBDBDB"/>
          </w:tcPr>
          <w:p>
            <w:pPr>
              <w:spacing w:after="0"/>
              <w:rPr>
                <w:sz w:val="17"/>
                <w:szCs w:val="17"/>
                <w:color w:val="auto"/>
              </w:rPr>
            </w:pPr>
          </w:p>
        </w:tc>
        <w:tc>
          <w:tcPr>
            <w:tcW w:w="21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2"/>
          </w:tcPr>
          <w:p>
            <w:pPr>
              <w:ind w:left="140"/>
              <w:spacing w:after="0"/>
              <w:rPr>
                <w:sz w:val="20"/>
                <w:szCs w:val="20"/>
                <w:color w:val="auto"/>
              </w:rPr>
            </w:pPr>
            <w:r>
              <w:rPr>
                <w:rFonts w:ascii="Arial" w:cs="Arial" w:eastAsia="Arial" w:hAnsi="Arial"/>
                <w:sz w:val="14"/>
                <w:szCs w:val="14"/>
                <w:color w:val="auto"/>
              </w:rPr>
              <w:t>IPR&amp;D - felzartamab (IgAN)</w:t>
            </w:r>
          </w:p>
        </w:tc>
        <w:tc>
          <w:tcPr>
            <w:tcW w:w="160" w:type="dxa"/>
            <w:vAlign w:val="bottom"/>
            <w:shd w:val="clear" w:color="auto" w:fill="DBDBDB"/>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920.0</w:t>
            </w:r>
          </w:p>
        </w:tc>
        <w:tc>
          <w:tcPr>
            <w:tcW w:w="0" w:type="dxa"/>
            <w:vAlign w:val="bottom"/>
          </w:tcPr>
          <w:p>
            <w:pPr>
              <w:spacing w:after="0"/>
              <w:rPr>
                <w:sz w:val="1"/>
                <w:szCs w:val="1"/>
                <w:color w:val="auto"/>
              </w:rPr>
            </w:pPr>
          </w:p>
        </w:tc>
      </w:tr>
      <w:tr>
        <w:trPr>
          <w:trHeight w:val="203"/>
        </w:trPr>
        <w:tc>
          <w:tcPr>
            <w:tcW w:w="8940" w:type="dxa"/>
            <w:vAlign w:val="bottom"/>
            <w:gridSpan w:val="2"/>
          </w:tcPr>
          <w:p>
            <w:pPr>
              <w:ind w:left="140"/>
              <w:spacing w:after="0"/>
              <w:rPr>
                <w:sz w:val="20"/>
                <w:szCs w:val="20"/>
                <w:color w:val="auto"/>
              </w:rPr>
            </w:pPr>
            <w:r>
              <w:rPr>
                <w:rFonts w:ascii="Arial" w:cs="Arial" w:eastAsia="Arial" w:hAnsi="Arial"/>
                <w:sz w:val="14"/>
                <w:szCs w:val="14"/>
                <w:color w:val="auto"/>
              </w:rPr>
              <w:t>IPR&amp;D - felzartamab (AMR)</w:t>
            </w:r>
          </w:p>
        </w:tc>
        <w:tc>
          <w:tcPr>
            <w:tcW w:w="160" w:type="dxa"/>
            <w:vAlign w:val="bottom"/>
            <w:shd w:val="clear" w:color="auto" w:fill="DBDBDB"/>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450.0</w:t>
            </w:r>
          </w:p>
        </w:tc>
        <w:tc>
          <w:tcPr>
            <w:tcW w:w="0" w:type="dxa"/>
            <w:vAlign w:val="bottom"/>
          </w:tcPr>
          <w:p>
            <w:pPr>
              <w:spacing w:after="0"/>
              <w:rPr>
                <w:sz w:val="1"/>
                <w:szCs w:val="1"/>
                <w:color w:val="auto"/>
              </w:rPr>
            </w:pPr>
          </w:p>
        </w:tc>
      </w:tr>
      <w:tr>
        <w:trPr>
          <w:trHeight w:val="203"/>
        </w:trPr>
        <w:tc>
          <w:tcPr>
            <w:tcW w:w="8940" w:type="dxa"/>
            <w:vAlign w:val="bottom"/>
            <w:gridSpan w:val="2"/>
          </w:tcPr>
          <w:p>
            <w:pPr>
              <w:ind w:left="140"/>
              <w:spacing w:after="0"/>
              <w:rPr>
                <w:sz w:val="20"/>
                <w:szCs w:val="20"/>
                <w:color w:val="auto"/>
              </w:rPr>
            </w:pPr>
            <w:r>
              <w:rPr>
                <w:rFonts w:ascii="Arial" w:cs="Arial" w:eastAsia="Arial" w:hAnsi="Arial"/>
                <w:sz w:val="14"/>
                <w:szCs w:val="14"/>
                <w:color w:val="auto"/>
              </w:rPr>
              <w:t>IPR&amp;D - felzartamab (PMN)</w:t>
            </w:r>
          </w:p>
        </w:tc>
        <w:tc>
          <w:tcPr>
            <w:tcW w:w="160" w:type="dxa"/>
            <w:vAlign w:val="bottom"/>
            <w:shd w:val="clear" w:color="auto" w:fill="DBDBDB"/>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265.0</w:t>
            </w:r>
          </w:p>
        </w:tc>
        <w:tc>
          <w:tcPr>
            <w:tcW w:w="0" w:type="dxa"/>
            <w:vAlign w:val="bottom"/>
          </w:tcPr>
          <w:p>
            <w:pPr>
              <w:spacing w:after="0"/>
              <w:rPr>
                <w:sz w:val="1"/>
                <w:szCs w:val="1"/>
                <w:color w:val="auto"/>
              </w:rPr>
            </w:pPr>
          </w:p>
        </w:tc>
      </w:tr>
      <w:tr>
        <w:trPr>
          <w:trHeight w:val="203"/>
        </w:trPr>
        <w:tc>
          <w:tcPr>
            <w:tcW w:w="8940" w:type="dxa"/>
            <w:vAlign w:val="bottom"/>
            <w:gridSpan w:val="2"/>
          </w:tcPr>
          <w:p>
            <w:pPr>
              <w:ind w:left="140"/>
              <w:spacing w:after="0"/>
              <w:rPr>
                <w:sz w:val="20"/>
                <w:szCs w:val="20"/>
                <w:color w:val="auto"/>
              </w:rPr>
            </w:pPr>
            <w:r>
              <w:rPr>
                <w:rFonts w:ascii="Arial" w:cs="Arial" w:eastAsia="Arial" w:hAnsi="Arial"/>
                <w:sz w:val="14"/>
                <w:szCs w:val="14"/>
                <w:color w:val="auto"/>
              </w:rPr>
              <w:t>Other clinical programs</w:t>
            </w:r>
          </w:p>
        </w:tc>
        <w:tc>
          <w:tcPr>
            <w:tcW w:w="160" w:type="dxa"/>
            <w:vAlign w:val="bottom"/>
            <w:shd w:val="clear" w:color="auto" w:fill="DBDBDB"/>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7.9</w:t>
            </w:r>
          </w:p>
        </w:tc>
        <w:tc>
          <w:tcPr>
            <w:tcW w:w="0" w:type="dxa"/>
            <w:vAlign w:val="bottom"/>
          </w:tcPr>
          <w:p>
            <w:pPr>
              <w:spacing w:after="0"/>
              <w:rPr>
                <w:sz w:val="1"/>
                <w:szCs w:val="1"/>
                <w:color w:val="auto"/>
              </w:rPr>
            </w:pPr>
          </w:p>
        </w:tc>
      </w:tr>
      <w:tr>
        <w:trPr>
          <w:trHeight w:val="215"/>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Prepaid expense and other assets</w:t>
            </w:r>
            <w:r>
              <w:rPr>
                <w:rFonts w:ascii="Arial" w:cs="Arial" w:eastAsia="Arial" w:hAnsi="Arial"/>
                <w:sz w:val="18"/>
                <w:szCs w:val="18"/>
                <w:color w:val="auto"/>
                <w:vertAlign w:val="superscript"/>
              </w:rPr>
              <w:t>(1)</w:t>
            </w:r>
          </w:p>
        </w:tc>
        <w:tc>
          <w:tcPr>
            <w:tcW w:w="160" w:type="dxa"/>
            <w:vAlign w:val="bottom"/>
            <w:shd w:val="clear" w:color="auto" w:fill="DBDBDB"/>
          </w:tcPr>
          <w:p>
            <w:pPr>
              <w:spacing w:after="0"/>
              <w:rPr>
                <w:sz w:val="18"/>
                <w:szCs w:val="18"/>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w:t>
            </w:r>
          </w:p>
        </w:tc>
        <w:tc>
          <w:tcPr>
            <w:tcW w:w="0" w:type="dxa"/>
            <w:vAlign w:val="bottom"/>
          </w:tcPr>
          <w:p>
            <w:pPr>
              <w:spacing w:after="0"/>
              <w:rPr>
                <w:sz w:val="1"/>
                <w:szCs w:val="1"/>
                <w:color w:val="auto"/>
              </w:rPr>
            </w:pPr>
          </w:p>
        </w:tc>
      </w:tr>
      <w:tr>
        <w:trPr>
          <w:trHeight w:val="190"/>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Operating lease assets</w:t>
            </w:r>
          </w:p>
        </w:tc>
        <w:tc>
          <w:tcPr>
            <w:tcW w:w="160" w:type="dxa"/>
            <w:vAlign w:val="bottom"/>
            <w:shd w:val="clear" w:color="auto" w:fill="DBDBDB"/>
          </w:tcPr>
          <w:p>
            <w:pPr>
              <w:spacing w:after="0"/>
              <w:rPr>
                <w:sz w:val="16"/>
                <w:szCs w:val="16"/>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w:t>
            </w:r>
          </w:p>
        </w:tc>
        <w:tc>
          <w:tcPr>
            <w:tcW w:w="0" w:type="dxa"/>
            <w:vAlign w:val="bottom"/>
          </w:tcPr>
          <w:p>
            <w:pPr>
              <w:spacing w:after="0"/>
              <w:rPr>
                <w:sz w:val="1"/>
                <w:szCs w:val="1"/>
                <w:color w:val="auto"/>
              </w:rPr>
            </w:pPr>
          </w:p>
        </w:tc>
      </w:tr>
      <w:tr>
        <w:trPr>
          <w:trHeight w:val="203"/>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DBDBDB"/>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w:t>
            </w:r>
          </w:p>
        </w:tc>
        <w:tc>
          <w:tcPr>
            <w:tcW w:w="0" w:type="dxa"/>
            <w:vAlign w:val="bottom"/>
          </w:tcPr>
          <w:p>
            <w:pPr>
              <w:spacing w:after="0"/>
              <w:rPr>
                <w:sz w:val="1"/>
                <w:szCs w:val="1"/>
                <w:color w:val="auto"/>
              </w:rPr>
            </w:pPr>
          </w:p>
        </w:tc>
      </w:tr>
      <w:tr>
        <w:trPr>
          <w:trHeight w:val="203"/>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Accrued liabilities</w:t>
            </w:r>
          </w:p>
        </w:tc>
        <w:tc>
          <w:tcPr>
            <w:tcW w:w="160" w:type="dxa"/>
            <w:vAlign w:val="bottom"/>
            <w:shd w:val="clear" w:color="auto" w:fill="DBDBDB"/>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(35.0)</w:t>
            </w:r>
          </w:p>
        </w:tc>
        <w:tc>
          <w:tcPr>
            <w:tcW w:w="0" w:type="dxa"/>
            <w:vAlign w:val="bottom"/>
          </w:tcPr>
          <w:p>
            <w:pPr>
              <w:spacing w:after="0"/>
              <w:rPr>
                <w:sz w:val="1"/>
                <w:szCs w:val="1"/>
                <w:color w:val="auto"/>
              </w:rPr>
            </w:pPr>
          </w:p>
        </w:tc>
      </w:tr>
      <w:tr>
        <w:trPr>
          <w:trHeight w:val="215"/>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Deferred tax liability</w:t>
            </w:r>
            <w:r>
              <w:rPr>
                <w:rFonts w:ascii="Arial" w:cs="Arial" w:eastAsia="Arial" w:hAnsi="Arial"/>
                <w:sz w:val="18"/>
                <w:szCs w:val="18"/>
                <w:color w:val="auto"/>
                <w:vertAlign w:val="superscript"/>
              </w:rPr>
              <w:t>(1)</w:t>
            </w:r>
          </w:p>
        </w:tc>
        <w:tc>
          <w:tcPr>
            <w:tcW w:w="160" w:type="dxa"/>
            <w:vAlign w:val="bottom"/>
            <w:shd w:val="clear" w:color="auto" w:fill="DBDBDB"/>
          </w:tcPr>
          <w:p>
            <w:pPr>
              <w:spacing w:after="0"/>
              <w:rPr>
                <w:sz w:val="18"/>
                <w:szCs w:val="18"/>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(309.3)</w:t>
            </w:r>
          </w:p>
        </w:tc>
        <w:tc>
          <w:tcPr>
            <w:tcW w:w="0" w:type="dxa"/>
            <w:vAlign w:val="bottom"/>
          </w:tcPr>
          <w:p>
            <w:pPr>
              <w:spacing w:after="0"/>
              <w:rPr>
                <w:sz w:val="1"/>
                <w:szCs w:val="1"/>
                <w:color w:val="auto"/>
              </w:rPr>
            </w:pPr>
          </w:p>
        </w:tc>
      </w:tr>
      <w:tr>
        <w:trPr>
          <w:trHeight w:val="192"/>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Operating lease liabilities</w:t>
            </w:r>
          </w:p>
        </w:tc>
        <w:tc>
          <w:tcPr>
            <w:tcW w:w="160" w:type="dxa"/>
            <w:vAlign w:val="bottom"/>
            <w:tcBorders>
              <w:bottom w:val="single" w:sz="8" w:color="auto"/>
            </w:tcBorders>
            <w:shd w:val="clear" w:color="auto" w:fill="DBDBDB"/>
          </w:tcPr>
          <w:p>
            <w:pPr>
              <w:spacing w:after="0"/>
              <w:rPr>
                <w:sz w:val="16"/>
                <w:szCs w:val="16"/>
                <w:color w:val="auto"/>
              </w:rPr>
            </w:pP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(1.2)</w:t>
            </w:r>
          </w:p>
        </w:tc>
        <w:tc>
          <w:tcPr>
            <w:tcW w:w="0" w:type="dxa"/>
            <w:vAlign w:val="bottom"/>
          </w:tcPr>
          <w:p>
            <w:pPr>
              <w:spacing w:after="0"/>
              <w:rPr>
                <w:sz w:val="1"/>
                <w:szCs w:val="1"/>
                <w:color w:val="auto"/>
              </w:rPr>
            </w:pPr>
          </w:p>
        </w:tc>
      </w:tr>
      <w:tr>
        <w:trPr>
          <w:trHeight w:val="194"/>
        </w:trPr>
        <w:tc>
          <w:tcPr>
            <w:tcW w:w="8940" w:type="dxa"/>
            <w:vAlign w:val="bottom"/>
            <w:gridSpan w:val="2"/>
          </w:tcPr>
          <w:p>
            <w:pPr>
              <w:ind w:left="240"/>
              <w:spacing w:after="0"/>
              <w:rPr>
                <w:sz w:val="20"/>
                <w:szCs w:val="20"/>
                <w:color w:val="auto"/>
              </w:rPr>
            </w:pPr>
            <w:r>
              <w:rPr>
                <w:rFonts w:ascii="Arial" w:cs="Arial" w:eastAsia="Arial" w:hAnsi="Arial"/>
                <w:sz w:val="14"/>
                <w:szCs w:val="14"/>
                <w:color w:val="auto"/>
              </w:rPr>
              <w:t>Total identifiable net assets</w:t>
            </w:r>
          </w:p>
        </w:tc>
        <w:tc>
          <w:tcPr>
            <w:tcW w:w="160" w:type="dxa"/>
            <w:vAlign w:val="bottom"/>
            <w:shd w:val="clear" w:color="auto" w:fill="DBDBDB"/>
          </w:tcPr>
          <w:p>
            <w:pPr>
              <w:spacing w:after="0"/>
              <w:rPr>
                <w:sz w:val="16"/>
                <w:szCs w:val="16"/>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1,361.4</w:t>
            </w:r>
          </w:p>
        </w:tc>
        <w:tc>
          <w:tcPr>
            <w:tcW w:w="0" w:type="dxa"/>
            <w:vAlign w:val="bottom"/>
          </w:tcPr>
          <w:p>
            <w:pPr>
              <w:spacing w:after="0"/>
              <w:rPr>
                <w:sz w:val="1"/>
                <w:szCs w:val="1"/>
                <w:color w:val="auto"/>
              </w:rPr>
            </w:pPr>
          </w:p>
        </w:tc>
      </w:tr>
      <w:tr>
        <w:trPr>
          <w:trHeight w:val="211"/>
        </w:trPr>
        <w:tc>
          <w:tcPr>
            <w:tcW w:w="8940" w:type="dxa"/>
            <w:vAlign w:val="bottom"/>
            <w:gridSpan w:val="2"/>
          </w:tcPr>
          <w:p>
            <w:pPr>
              <w:ind w:left="20"/>
              <w:spacing w:after="0"/>
              <w:rPr>
                <w:sz w:val="20"/>
                <w:szCs w:val="20"/>
                <w:color w:val="auto"/>
              </w:rPr>
            </w:pPr>
            <w:r>
              <w:rPr>
                <w:rFonts w:ascii="Arial" w:cs="Arial" w:eastAsia="Arial" w:hAnsi="Arial"/>
                <w:sz w:val="14"/>
                <w:szCs w:val="14"/>
                <w:color w:val="auto"/>
              </w:rPr>
              <w:t>Goodwill</w:t>
            </w:r>
            <w:r>
              <w:rPr>
                <w:rFonts w:ascii="Arial" w:cs="Arial" w:eastAsia="Arial" w:hAnsi="Arial"/>
                <w:sz w:val="18"/>
                <w:szCs w:val="18"/>
                <w:color w:val="auto"/>
                <w:vertAlign w:val="superscript"/>
              </w:rPr>
              <w:t>(1)</w:t>
            </w:r>
          </w:p>
        </w:tc>
        <w:tc>
          <w:tcPr>
            <w:tcW w:w="160" w:type="dxa"/>
            <w:vAlign w:val="bottom"/>
            <w:tcBorders>
              <w:bottom w:val="single" w:sz="8" w:color="auto"/>
            </w:tcBorders>
            <w:shd w:val="clear" w:color="auto" w:fill="DBDBDB"/>
          </w:tcPr>
          <w:p>
            <w:pPr>
              <w:spacing w:after="0"/>
              <w:rPr>
                <w:sz w:val="18"/>
                <w:szCs w:val="18"/>
                <w:color w:val="auto"/>
              </w:rPr>
            </w:pP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261.0</w:t>
            </w:r>
          </w:p>
        </w:tc>
        <w:tc>
          <w:tcPr>
            <w:tcW w:w="0" w:type="dxa"/>
            <w:vAlign w:val="bottom"/>
          </w:tcPr>
          <w:p>
            <w:pPr>
              <w:spacing w:after="0"/>
              <w:rPr>
                <w:sz w:val="1"/>
                <w:szCs w:val="1"/>
                <w:color w:val="auto"/>
              </w:rPr>
            </w:pPr>
          </w:p>
        </w:tc>
      </w:tr>
      <w:tr>
        <w:trPr>
          <w:trHeight w:val="221"/>
        </w:trPr>
        <w:tc>
          <w:tcPr>
            <w:tcW w:w="8940" w:type="dxa"/>
            <w:vAlign w:val="bottom"/>
            <w:gridSpan w:val="2"/>
          </w:tcPr>
          <w:p>
            <w:pPr>
              <w:ind w:left="240"/>
              <w:spacing w:after="0"/>
              <w:rPr>
                <w:sz w:val="20"/>
                <w:szCs w:val="20"/>
                <w:color w:val="auto"/>
              </w:rPr>
            </w:pPr>
            <w:r>
              <w:rPr>
                <w:rFonts w:ascii="Arial" w:cs="Arial" w:eastAsia="Arial" w:hAnsi="Arial"/>
                <w:sz w:val="14"/>
                <w:szCs w:val="14"/>
                <w:color w:val="auto"/>
              </w:rPr>
              <w:t>Total assets acquired and liabilities assumed</w:t>
            </w:r>
          </w:p>
        </w:tc>
        <w:tc>
          <w:tcPr>
            <w:tcW w:w="1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w w:val="76"/>
              </w:rPr>
              <w:t>$</w:t>
            </w: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1,622.4</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21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171450</wp:posOffset>
            </wp:positionV>
            <wp:extent cx="24085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4">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362" w:lineRule="exact"/>
        <w:rPr>
          <w:sz w:val="20"/>
          <w:szCs w:val="20"/>
          <w:color w:val="auto"/>
        </w:rPr>
      </w:pPr>
    </w:p>
    <w:p>
      <w:pPr>
        <w:ind w:left="180" w:right="360" w:hanging="172"/>
        <w:spacing w:after="0" w:line="305" w:lineRule="auto"/>
        <w:tabs>
          <w:tab w:leader="none" w:pos="158" w:val="left"/>
        </w:tabs>
        <w:numPr>
          <w:ilvl w:val="0"/>
          <w:numId w:val="106"/>
        </w:numPr>
        <w:rPr>
          <w:rFonts w:ascii="Arial" w:cs="Arial" w:eastAsia="Arial" w:hAnsi="Arial"/>
          <w:sz w:val="9"/>
          <w:szCs w:val="9"/>
          <w:color w:val="auto"/>
        </w:rPr>
      </w:pPr>
      <w:r>
        <w:rPr>
          <w:rFonts w:ascii="Arial" w:cs="Arial" w:eastAsia="Arial" w:hAnsi="Arial"/>
          <w:sz w:val="14"/>
          <w:szCs w:val="14"/>
          <w:color w:val="auto"/>
        </w:rPr>
        <w:t>Includes measurement period adjustments recorded in 2025 that increased prepaid expense and other assets by $0.4 million, net deferred tax liability by $4.9 million and goodwill by $4.5 million.</w:t>
      </w:r>
    </w:p>
    <w:p>
      <w:pPr>
        <w:spacing w:after="0" w:line="40"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b w:val="1"/>
          <w:bCs w:val="1"/>
          <w:color w:val="0070C0"/>
        </w:rPr>
        <w:t xml:space="preserve">Intangible assets: </w:t>
      </w:r>
      <w:r>
        <w:rPr>
          <w:rFonts w:ascii="Arial" w:cs="Arial" w:eastAsia="Arial" w:hAnsi="Arial"/>
          <w:sz w:val="18"/>
          <w:szCs w:val="18"/>
          <w:color w:val="000000"/>
        </w:rPr>
        <w:t>Intangible assets comprised of approximately $1.6 billion of IPR&amp;D related to HI-Bio's lead asset felzartamab. This</w:t>
      </w:r>
      <w:r>
        <w:rPr>
          <w:rFonts w:ascii="Arial" w:cs="Arial" w:eastAsia="Arial" w:hAnsi="Arial"/>
          <w:sz w:val="18"/>
          <w:szCs w:val="18"/>
          <w:b w:val="1"/>
          <w:bCs w:val="1"/>
          <w:color w:val="0070C0"/>
        </w:rPr>
        <w:t xml:space="preserve"> </w:t>
      </w:r>
      <w:r>
        <w:rPr>
          <w:rFonts w:ascii="Arial" w:cs="Arial" w:eastAsia="Arial" w:hAnsi="Arial"/>
          <w:sz w:val="18"/>
          <w:szCs w:val="18"/>
          <w:color w:val="000000"/>
        </w:rPr>
        <w:t>includes $920.0 million of IPR&amp;D related to felzartamab indication for IgAN, $450.0 million of IPR&amp;D related to felzartamab indication for AMR and $265.0 million of IPR&amp;D related to felzartamab indication for PMN. The estimated fair values of the program related intangible assets were determined using a multi-period excess earnings method, a form of the income approach, utilizing cash flow analyses and a discount rate of 14.5%. These fair value measurements were based on significant inputs that are not observable in the market and thus represent Level 3 fair value measurements.</w:t>
      </w:r>
    </w:p>
    <w:p>
      <w:pPr>
        <w:spacing w:after="0" w:line="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color w:val="0070C0"/>
        </w:rPr>
        <w:t xml:space="preserve">Goodwill: </w:t>
      </w:r>
      <w:r>
        <w:rPr>
          <w:rFonts w:ascii="Arial" w:cs="Arial" w:eastAsia="Arial" w:hAnsi="Arial"/>
          <w:sz w:val="18"/>
          <w:szCs w:val="18"/>
          <w:color w:val="000000"/>
        </w:rPr>
        <w:t>Goodwill was calculated as the excess of the consideration transferred over the net assets recognized and represents the future</w:t>
      </w:r>
      <w:r>
        <w:rPr>
          <w:rFonts w:ascii="Arial" w:cs="Arial" w:eastAsia="Arial" w:hAnsi="Arial"/>
          <w:sz w:val="18"/>
          <w:szCs w:val="18"/>
          <w:b w:val="1"/>
          <w:bCs w:val="1"/>
          <w:color w:val="0070C0"/>
        </w:rPr>
        <w:t xml:space="preserve"> </w:t>
      </w:r>
      <w:r>
        <w:rPr>
          <w:rFonts w:ascii="Arial" w:cs="Arial" w:eastAsia="Arial" w:hAnsi="Arial"/>
          <w:sz w:val="18"/>
          <w:szCs w:val="18"/>
          <w:color w:val="000000"/>
        </w:rPr>
        <w:t>economic benefits arising from the other assets acquired that could not be individually identified and separately recognized. We recognized goodwill of approximately $261.0 million, which includes measurement period adjustments, and is not deductible for tax purposes. The goodwill recognized from our acquisition of HI-Bio is primarily the result of the deferred tax consequences from the transaction recorded for financial statement purposes.</w:t>
      </w:r>
    </w:p>
    <w:p>
      <w:pPr>
        <w:spacing w:after="0" w:line="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color w:val="0070C0"/>
        </w:rPr>
        <w:t xml:space="preserve">Acquisition-related expense: </w:t>
      </w:r>
      <w:r>
        <w:rPr>
          <w:rFonts w:ascii="Arial" w:cs="Arial" w:eastAsia="Arial" w:hAnsi="Arial"/>
          <w:sz w:val="18"/>
          <w:szCs w:val="18"/>
          <w:color w:val="000000"/>
        </w:rPr>
        <w:t>Acquisition-related expense, primarily comprised of advisory and legal fees, and other transaction costs,</w:t>
      </w:r>
      <w:r>
        <w:rPr>
          <w:rFonts w:ascii="Arial" w:cs="Arial" w:eastAsia="Arial" w:hAnsi="Arial"/>
          <w:sz w:val="18"/>
          <w:szCs w:val="18"/>
          <w:b w:val="1"/>
          <w:bCs w:val="1"/>
          <w:color w:val="0070C0"/>
        </w:rPr>
        <w:t xml:space="preserve"> </w:t>
      </w:r>
      <w:r>
        <w:rPr>
          <w:rFonts w:ascii="Arial" w:cs="Arial" w:eastAsia="Arial" w:hAnsi="Arial"/>
          <w:sz w:val="18"/>
          <w:szCs w:val="18"/>
          <w:color w:val="000000"/>
        </w:rPr>
        <w:t>totaled approximately $2.8 million and were recorded within selling, general and administrative expense within our consolidated statements of income for the year ended December 31, 2024.</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Reata Pharmaceuticals, Inc.</w:t>
      </w:r>
    </w:p>
    <w:p>
      <w:pPr>
        <w:spacing w:after="0" w:line="112"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On September 26, 2023, we completed the acquisition of all of the issued and outstanding shares of Reata, a biopharmaceutical company focused on developing therapeutics that regulate cellular metabolism and inflammation in serious neurologic diseases. As a result of this transaction we acquired SKYCLARYS (omaveloxolone), the first and only drug approved in the U.S., the E.U. and certain international markets for the treatment of FA in adults and adolescents aged 16 years and older, as well as other clinical and preclinical pipeline programs.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Under the terms of this acquisition, we paid Reata shareholders $172.50 in cash for each issued and outstanding Reata share, which totaled approximately $6.6 billion. In addition, we agreed to pay approximately $983.9 million in cash for Reata's outstanding equity awards, inclusive of employer taxes, of which approximately $590.5 million was attributable to pre-acquisition services and is therefore reflected as a component of total purchase price paid. Of the $983.9 million paid to Reata's equity award holders, we recognized approximately</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$393.4 million as compensation attributable to the post-acquisition service period, of which $ 196.4 million was recognized as a charge to selling, general and administrative expense with the remaining $197.0 million as a charge to research and development expense within our consolidated statements of income for the year ended December 31, 2023. These amounts were associated with the accelerated vesting of stock options and RSUs previously granted to Reata employees that required no future services to vest.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funded this acquisition through available cash, cash equivalents and marketable securities, supplemented by the issuance of a</w:t>
      </w:r>
    </w:p>
    <w:p>
      <w:pPr>
        <w:spacing w:after="0" w:line="2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 xml:space="preserve">$1.0 billion term loan under our 2023 Term Loan. For additional information on our 2023 Term Loan,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these consolidated financial statements.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We accounted for this acquisition as a business combination using the acquisition method of accounting in accordance with </w:t>
      </w:r>
      <w:r>
        <w:rPr>
          <w:rFonts w:ascii="Arial" w:cs="Arial" w:eastAsia="Arial" w:hAnsi="Arial"/>
          <w:sz w:val="18"/>
          <w:szCs w:val="18"/>
          <w:i w:val="1"/>
          <w:iCs w:val="1"/>
          <w:color w:val="auto"/>
        </w:rPr>
        <w:t>ASC Topic 805,</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recorded assets acquired and liabilities assumed at their respective fair values as of the acquisition date.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Purchase Price Consideration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Total consideration transferred for the acquisition of Reata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070C0"/>
              </w:rPr>
              <w:t>As of September 26, 2023</w:t>
            </w:r>
          </w:p>
        </w:tc>
      </w:tr>
      <w:tr>
        <w:trPr>
          <w:trHeight w:val="196"/>
        </w:trPr>
        <w:tc>
          <w:tcPr>
            <w:tcW w:w="8820" w:type="dxa"/>
            <w:vAlign w:val="bottom"/>
            <w:gridSpan w:val="2"/>
          </w:tcPr>
          <w:p>
            <w:pPr>
              <w:ind w:left="20"/>
              <w:spacing w:after="0" w:line="196" w:lineRule="exact"/>
              <w:rPr>
                <w:sz w:val="20"/>
                <w:szCs w:val="20"/>
                <w:color w:val="auto"/>
              </w:rPr>
            </w:pPr>
            <w:r>
              <w:rPr>
                <w:rFonts w:ascii="Arial" w:cs="Arial" w:eastAsia="Arial" w:hAnsi="Arial"/>
                <w:sz w:val="14"/>
                <w:szCs w:val="14"/>
                <w:color w:val="auto"/>
              </w:rPr>
              <w:t>Cash consideration paid to Reata shareholders</w:t>
            </w:r>
            <w:r>
              <w:rPr>
                <w:rFonts w:ascii="Arial" w:cs="Arial" w:eastAsia="Arial" w:hAnsi="Arial"/>
                <w:sz w:val="18"/>
                <w:szCs w:val="18"/>
                <w:color w:val="auto"/>
                <w:vertAlign w:val="superscript"/>
              </w:rPr>
              <w:t>(1)</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6,602.9</w:t>
            </w:r>
          </w:p>
        </w:tc>
      </w:tr>
      <w:tr>
        <w:trPr>
          <w:trHeight w:val="203"/>
        </w:trPr>
        <w:tc>
          <w:tcPr>
            <w:tcW w:w="88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Fair value of Reata equity compensation pre-acquisition services and related taxes</w:t>
            </w:r>
            <w:r>
              <w:rPr>
                <w:rFonts w:ascii="Arial" w:cs="Arial" w:eastAsia="Arial" w:hAnsi="Arial"/>
                <w:sz w:val="18"/>
                <w:szCs w:val="18"/>
                <w:color w:val="auto"/>
                <w:vertAlign w:val="superscript"/>
              </w:rPr>
              <w:t>(2)</w:t>
            </w:r>
          </w:p>
        </w:tc>
        <w:tc>
          <w:tcPr>
            <w:tcW w:w="22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590.5</w:t>
            </w:r>
          </w:p>
        </w:tc>
      </w:tr>
      <w:tr>
        <w:trPr>
          <w:trHeight w:val="221"/>
        </w:trPr>
        <w:tc>
          <w:tcPr>
            <w:tcW w:w="8820" w:type="dxa"/>
            <w:vAlign w:val="bottom"/>
            <w:gridSpan w:val="2"/>
          </w:tcPr>
          <w:p>
            <w:pPr>
              <w:ind w:left="240"/>
              <w:spacing w:after="0"/>
              <w:rPr>
                <w:sz w:val="20"/>
                <w:szCs w:val="20"/>
                <w:color w:val="auto"/>
              </w:rPr>
            </w:pPr>
            <w:r>
              <w:rPr>
                <w:rFonts w:ascii="Arial" w:cs="Arial" w:eastAsia="Arial" w:hAnsi="Arial"/>
                <w:sz w:val="14"/>
                <w:szCs w:val="14"/>
                <w:color w:val="auto"/>
              </w:rPr>
              <w:t>Total consideration</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0070C0"/>
              </w:rPr>
              <w:t>$</w:t>
            </w: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7,193.4</w:t>
            </w:r>
          </w:p>
        </w:tc>
      </w:tr>
      <w:tr>
        <w:trPr>
          <w:trHeight w:val="20"/>
        </w:trPr>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171450</wp:posOffset>
            </wp:positionV>
            <wp:extent cx="24085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332" w:lineRule="exact"/>
        <w:rPr>
          <w:sz w:val="20"/>
          <w:szCs w:val="20"/>
          <w:color w:val="auto"/>
        </w:rPr>
      </w:pPr>
    </w:p>
    <w:p>
      <w:pPr>
        <w:ind w:left="160" w:hanging="152"/>
        <w:spacing w:after="0"/>
        <w:tabs>
          <w:tab w:leader="none" w:pos="160" w:val="left"/>
        </w:tabs>
        <w:numPr>
          <w:ilvl w:val="0"/>
          <w:numId w:val="107"/>
        </w:numPr>
        <w:rPr>
          <w:rFonts w:ascii="Arial" w:cs="Arial" w:eastAsia="Arial" w:hAnsi="Arial"/>
          <w:sz w:val="18"/>
          <w:szCs w:val="18"/>
          <w:color w:val="auto"/>
          <w:vertAlign w:val="superscript"/>
        </w:rPr>
      </w:pPr>
      <w:r>
        <w:rPr>
          <w:rFonts w:ascii="Arial" w:cs="Arial" w:eastAsia="Arial" w:hAnsi="Arial"/>
          <w:sz w:val="14"/>
          <w:szCs w:val="14"/>
          <w:color w:val="auto"/>
        </w:rPr>
        <w:t>Represents cash consideration transferred of $172.50 per outstanding Reata ordinary share based on 38.3 million Reata shares outstanding at closing.</w:t>
      </w:r>
    </w:p>
    <w:p>
      <w:pPr>
        <w:spacing w:after="0" w:line="12"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07"/>
        </w:numPr>
        <w:rPr>
          <w:rFonts w:ascii="Arial" w:cs="Arial" w:eastAsia="Arial" w:hAnsi="Arial"/>
          <w:sz w:val="18"/>
          <w:szCs w:val="18"/>
          <w:color w:val="auto"/>
          <w:vertAlign w:val="superscript"/>
        </w:rPr>
      </w:pPr>
      <w:r>
        <w:rPr>
          <w:rFonts w:ascii="Arial" w:cs="Arial" w:eastAsia="Arial" w:hAnsi="Arial"/>
          <w:sz w:val="14"/>
          <w:szCs w:val="14"/>
          <w:color w:val="auto"/>
        </w:rPr>
        <w:t>Represents the fair value of Reata stock options and stock units issued to Reata equity award holders and the related taxes attributable to pre-acquisition vesting services.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Purchase Price Allocation</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finalized purchase accounting for this acquisition in the third quarter of 2024. The following table summarizes the amounts recognized for assets acquired and liabilities assumed as of the acquisition date, and reflects measurement period adjustments made to the amounts initially recorded as of the acquisition date on September 26, 2023. The measurement period adjustments summarized below resulted from updates to our valuation assumptions related to the estimated amounts and timing of future cash flows associated with certain intangible assets, updates of our assumptions related to the quantities, selling location and remaining manufacturing and selling costs of acquired inventory, and other assets and liabilities. The related impact to our consolidated statements of income that would have been recognized in previous periods if the adjustments were recognized as of the acquisition date is immaterial.</w:t>
      </w: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2"/>
            <w:shd w:val="clear" w:color="auto" w:fill="DBDBDB"/>
          </w:tcPr>
          <w:p>
            <w:pPr>
              <w:jc w:val="center"/>
              <w:spacing w:after="0"/>
              <w:rPr>
                <w:sz w:val="20"/>
                <w:szCs w:val="20"/>
                <w:color w:val="auto"/>
              </w:rPr>
            </w:pPr>
            <w:r>
              <w:rPr>
                <w:rFonts w:ascii="Arial" w:cs="Arial" w:eastAsia="Arial" w:hAnsi="Arial"/>
                <w:sz w:val="14"/>
                <w:szCs w:val="14"/>
                <w:color w:val="0070C0"/>
              </w:rPr>
              <w:t>Amounts Recognized as of Acquisition</w:t>
            </w:r>
          </w:p>
        </w:tc>
        <w:tc>
          <w:tcPr>
            <w:tcW w:w="0" w:type="dxa"/>
            <w:vAlign w:val="bottom"/>
          </w:tcPr>
          <w:p>
            <w:pPr>
              <w:spacing w:after="0"/>
              <w:rPr>
                <w:sz w:val="1"/>
                <w:szCs w:val="1"/>
                <w:color w:val="auto"/>
              </w:rPr>
            </w:pPr>
          </w:p>
        </w:tc>
      </w:tr>
      <w:tr>
        <w:trPr>
          <w:trHeight w:val="139"/>
        </w:trPr>
        <w:tc>
          <w:tcPr>
            <w:tcW w:w="860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vMerge w:val="restart"/>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2080" w:type="dxa"/>
            <w:vAlign w:val="bottom"/>
            <w:shd w:val="clear" w:color="auto" w:fill="DBDBDB"/>
          </w:tcPr>
          <w:p>
            <w:pPr>
              <w:jc w:val="center"/>
              <w:ind w:right="388"/>
              <w:spacing w:after="0" w:line="139" w:lineRule="exact"/>
              <w:rPr>
                <w:sz w:val="20"/>
                <w:szCs w:val="20"/>
                <w:color w:val="auto"/>
              </w:rPr>
            </w:pPr>
            <w:r>
              <w:rPr>
                <w:rFonts w:ascii="Arial" w:cs="Arial" w:eastAsia="Arial" w:hAnsi="Arial"/>
                <w:sz w:val="14"/>
                <w:szCs w:val="14"/>
                <w:color w:val="0070C0"/>
              </w:rPr>
              <w:t>Date</w:t>
            </w:r>
          </w:p>
        </w:tc>
        <w:tc>
          <w:tcPr>
            <w:tcW w:w="0" w:type="dxa"/>
            <w:vAlign w:val="bottom"/>
          </w:tcPr>
          <w:p>
            <w:pPr>
              <w:spacing w:after="0"/>
              <w:rPr>
                <w:sz w:val="1"/>
                <w:szCs w:val="1"/>
                <w:color w:val="auto"/>
              </w:rPr>
            </w:pPr>
          </w:p>
        </w:tc>
      </w:tr>
      <w:tr>
        <w:trPr>
          <w:trHeight w:val="194"/>
        </w:trPr>
        <w:tc>
          <w:tcPr>
            <w:tcW w:w="860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80" w:type="dxa"/>
            <w:vAlign w:val="bottom"/>
            <w:tcBorders>
              <w:bottom w:val="single" w:sz="8" w:color="auto"/>
            </w:tcBorders>
            <w:shd w:val="clear" w:color="auto" w:fill="DBDBDB"/>
          </w:tcPr>
          <w:p>
            <w:pPr>
              <w:spacing w:after="0"/>
              <w:rPr>
                <w:sz w:val="16"/>
                <w:szCs w:val="16"/>
                <w:color w:val="auto"/>
              </w:rPr>
            </w:pPr>
          </w:p>
        </w:tc>
        <w:tc>
          <w:tcPr>
            <w:tcW w:w="2080" w:type="dxa"/>
            <w:vAlign w:val="bottom"/>
            <w:tcBorders>
              <w:bottom w:val="single" w:sz="8" w:color="auto"/>
            </w:tcBorders>
            <w:shd w:val="clear" w:color="auto" w:fill="DBDBDB"/>
          </w:tcPr>
          <w:p>
            <w:pPr>
              <w:jc w:val="center"/>
              <w:ind w:right="408"/>
              <w:spacing w:after="0"/>
              <w:rPr>
                <w:sz w:val="20"/>
                <w:szCs w:val="20"/>
                <w:color w:val="auto"/>
              </w:rPr>
            </w:pPr>
            <w:r>
              <w:rPr>
                <w:rFonts w:ascii="Arial" w:cs="Arial" w:eastAsia="Arial" w:hAnsi="Arial"/>
                <w:sz w:val="14"/>
                <w:szCs w:val="14"/>
                <w:color w:val="0070C0"/>
              </w:rPr>
              <w:t>(as adjusted)</w:t>
            </w:r>
          </w:p>
        </w:tc>
        <w:tc>
          <w:tcPr>
            <w:tcW w:w="0" w:type="dxa"/>
            <w:vAlign w:val="bottom"/>
          </w:tcPr>
          <w:p>
            <w:pPr>
              <w:spacing w:after="0"/>
              <w:rPr>
                <w:sz w:val="1"/>
                <w:szCs w:val="1"/>
                <w:color w:val="auto"/>
              </w:rPr>
            </w:pPr>
          </w:p>
        </w:tc>
      </w:tr>
      <w:tr>
        <w:trPr>
          <w:trHeight w:val="192"/>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Cash and cash equivalents</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0070C0"/>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267.3</w:t>
            </w:r>
          </w:p>
        </w:tc>
        <w:tc>
          <w:tcPr>
            <w:tcW w:w="0" w:type="dxa"/>
            <w:vAlign w:val="bottom"/>
          </w:tcPr>
          <w:p>
            <w:pPr>
              <w:spacing w:after="0"/>
              <w:rPr>
                <w:sz w:val="1"/>
                <w:szCs w:val="1"/>
                <w:color w:val="auto"/>
              </w:rPr>
            </w:pPr>
          </w:p>
        </w:tc>
      </w:tr>
      <w:tr>
        <w:trPr>
          <w:trHeight w:val="203"/>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Accounts receivable</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15.9</w:t>
            </w:r>
          </w:p>
        </w:tc>
        <w:tc>
          <w:tcPr>
            <w:tcW w:w="0" w:type="dxa"/>
            <w:vAlign w:val="bottom"/>
          </w:tcPr>
          <w:p>
            <w:pPr>
              <w:spacing w:after="0"/>
              <w:rPr>
                <w:sz w:val="1"/>
                <w:szCs w:val="1"/>
                <w:color w:val="auto"/>
              </w:rPr>
            </w:pPr>
          </w:p>
        </w:tc>
      </w:tr>
      <w:tr>
        <w:trPr>
          <w:trHeight w:val="203"/>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Inventory</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1,259.0</w:t>
            </w:r>
          </w:p>
        </w:tc>
        <w:tc>
          <w:tcPr>
            <w:tcW w:w="0" w:type="dxa"/>
            <w:vAlign w:val="bottom"/>
          </w:tcPr>
          <w:p>
            <w:pPr>
              <w:spacing w:after="0"/>
              <w:rPr>
                <w:sz w:val="1"/>
                <w:szCs w:val="1"/>
                <w:color w:val="auto"/>
              </w:rPr>
            </w:pPr>
          </w:p>
        </w:tc>
      </w:tr>
      <w:tr>
        <w:trPr>
          <w:trHeight w:val="210"/>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Other current assets</w:t>
            </w:r>
            <w:r>
              <w:rPr>
                <w:rFonts w:ascii="Arial" w:cs="Arial" w:eastAsia="Arial" w:hAnsi="Arial"/>
                <w:sz w:val="18"/>
                <w:szCs w:val="18"/>
                <w:color w:val="auto"/>
                <w:vertAlign w:val="superscript"/>
              </w:rPr>
              <w:t>(1)</w:t>
            </w:r>
          </w:p>
        </w:tc>
        <w:tc>
          <w:tcPr>
            <w:tcW w:w="48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54.6</w:t>
            </w:r>
          </w:p>
        </w:tc>
        <w:tc>
          <w:tcPr>
            <w:tcW w:w="0" w:type="dxa"/>
            <w:vAlign w:val="bottom"/>
          </w:tcPr>
          <w:p>
            <w:pPr>
              <w:spacing w:after="0"/>
              <w:rPr>
                <w:sz w:val="1"/>
                <w:szCs w:val="1"/>
                <w:color w:val="auto"/>
              </w:rPr>
            </w:pPr>
          </w:p>
        </w:tc>
      </w:tr>
      <w:tr>
        <w:trPr>
          <w:trHeight w:val="195"/>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Intangible assets:</w:t>
            </w:r>
          </w:p>
        </w:tc>
        <w:tc>
          <w:tcPr>
            <w:tcW w:w="480" w:type="dxa"/>
            <w:vAlign w:val="bottom"/>
            <w:shd w:val="clear" w:color="auto" w:fill="DBDBDB"/>
          </w:tcPr>
          <w:p>
            <w:pPr>
              <w:spacing w:after="0"/>
              <w:rPr>
                <w:sz w:val="16"/>
                <w:szCs w:val="16"/>
                <w:color w:val="auto"/>
              </w:rPr>
            </w:pPr>
          </w:p>
        </w:tc>
        <w:tc>
          <w:tcPr>
            <w:tcW w:w="20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gridSpan w:val="3"/>
          </w:tcPr>
          <w:p>
            <w:pPr>
              <w:ind w:left="140"/>
              <w:spacing w:after="0"/>
              <w:rPr>
                <w:sz w:val="20"/>
                <w:szCs w:val="20"/>
                <w:color w:val="auto"/>
              </w:rPr>
            </w:pPr>
            <w:r>
              <w:rPr>
                <w:rFonts w:ascii="Arial" w:cs="Arial" w:eastAsia="Arial" w:hAnsi="Arial"/>
                <w:sz w:val="14"/>
                <w:szCs w:val="14"/>
                <w:color w:val="auto"/>
              </w:rPr>
              <w:t>Completed technology for SKYCLARYS (U.S.)</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4,200.0</w:t>
            </w:r>
          </w:p>
        </w:tc>
        <w:tc>
          <w:tcPr>
            <w:tcW w:w="0" w:type="dxa"/>
            <w:vAlign w:val="bottom"/>
          </w:tcPr>
          <w:p>
            <w:pPr>
              <w:spacing w:after="0"/>
              <w:rPr>
                <w:sz w:val="1"/>
                <w:szCs w:val="1"/>
                <w:color w:val="auto"/>
              </w:rPr>
            </w:pPr>
          </w:p>
        </w:tc>
      </w:tr>
      <w:tr>
        <w:trPr>
          <w:trHeight w:val="203"/>
        </w:trPr>
        <w:tc>
          <w:tcPr>
            <w:tcW w:w="8680" w:type="dxa"/>
            <w:vAlign w:val="bottom"/>
            <w:gridSpan w:val="3"/>
          </w:tcPr>
          <w:p>
            <w:pPr>
              <w:ind w:left="140"/>
              <w:spacing w:after="0"/>
              <w:rPr>
                <w:sz w:val="20"/>
                <w:szCs w:val="20"/>
                <w:color w:val="auto"/>
              </w:rPr>
            </w:pPr>
            <w:r>
              <w:rPr>
                <w:rFonts w:ascii="Arial" w:cs="Arial" w:eastAsia="Arial" w:hAnsi="Arial"/>
                <w:sz w:val="14"/>
                <w:szCs w:val="14"/>
                <w:color w:val="auto"/>
              </w:rPr>
              <w:t>In-process research and development (omaveloxolone)</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2,300.0</w:t>
            </w:r>
          </w:p>
        </w:tc>
        <w:tc>
          <w:tcPr>
            <w:tcW w:w="0" w:type="dxa"/>
            <w:vAlign w:val="bottom"/>
          </w:tcPr>
          <w:p>
            <w:pPr>
              <w:spacing w:after="0"/>
              <w:rPr>
                <w:sz w:val="1"/>
                <w:szCs w:val="1"/>
                <w:color w:val="auto"/>
              </w:rPr>
            </w:pPr>
          </w:p>
        </w:tc>
      </w:tr>
      <w:tr>
        <w:trPr>
          <w:trHeight w:val="202"/>
        </w:trPr>
        <w:tc>
          <w:tcPr>
            <w:tcW w:w="8680" w:type="dxa"/>
            <w:vAlign w:val="bottom"/>
            <w:gridSpan w:val="3"/>
          </w:tcPr>
          <w:p>
            <w:pPr>
              <w:ind w:left="140"/>
              <w:spacing w:after="0"/>
              <w:rPr>
                <w:sz w:val="20"/>
                <w:szCs w:val="20"/>
                <w:color w:val="auto"/>
              </w:rPr>
            </w:pPr>
            <w:r>
              <w:rPr>
                <w:rFonts w:ascii="Arial" w:cs="Arial" w:eastAsia="Arial" w:hAnsi="Arial"/>
                <w:sz w:val="14"/>
                <w:szCs w:val="14"/>
                <w:color w:val="auto"/>
              </w:rPr>
              <w:t>Priority review voucher</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100.0</w:t>
            </w:r>
          </w:p>
        </w:tc>
        <w:tc>
          <w:tcPr>
            <w:tcW w:w="0" w:type="dxa"/>
            <w:vAlign w:val="bottom"/>
          </w:tcPr>
          <w:p>
            <w:pPr>
              <w:spacing w:after="0"/>
              <w:rPr>
                <w:sz w:val="1"/>
                <w:szCs w:val="1"/>
                <w:color w:val="auto"/>
              </w:rPr>
            </w:pPr>
          </w:p>
        </w:tc>
      </w:tr>
      <w:tr>
        <w:trPr>
          <w:trHeight w:val="203"/>
        </w:trPr>
        <w:tc>
          <w:tcPr>
            <w:tcW w:w="8680" w:type="dxa"/>
            <w:vAlign w:val="bottom"/>
            <w:gridSpan w:val="3"/>
          </w:tcPr>
          <w:p>
            <w:pPr>
              <w:ind w:left="140"/>
              <w:spacing w:after="0"/>
              <w:rPr>
                <w:sz w:val="20"/>
                <w:szCs w:val="20"/>
                <w:color w:val="auto"/>
              </w:rPr>
            </w:pPr>
            <w:r>
              <w:rPr>
                <w:rFonts w:ascii="Arial" w:cs="Arial" w:eastAsia="Arial" w:hAnsi="Arial"/>
                <w:sz w:val="14"/>
                <w:szCs w:val="14"/>
                <w:color w:val="auto"/>
              </w:rPr>
              <w:t>Other clinical programs</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40.0</w:t>
            </w:r>
          </w:p>
        </w:tc>
        <w:tc>
          <w:tcPr>
            <w:tcW w:w="0" w:type="dxa"/>
            <w:vAlign w:val="bottom"/>
          </w:tcPr>
          <w:p>
            <w:pPr>
              <w:spacing w:after="0"/>
              <w:rPr>
                <w:sz w:val="1"/>
                <w:szCs w:val="1"/>
                <w:color w:val="auto"/>
              </w:rPr>
            </w:pPr>
          </w:p>
        </w:tc>
      </w:tr>
      <w:tr>
        <w:trPr>
          <w:trHeight w:val="203"/>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Operating lease assets</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121.2</w:t>
            </w:r>
          </w:p>
        </w:tc>
        <w:tc>
          <w:tcPr>
            <w:tcW w:w="0" w:type="dxa"/>
            <w:vAlign w:val="bottom"/>
          </w:tcPr>
          <w:p>
            <w:pPr>
              <w:spacing w:after="0"/>
              <w:rPr>
                <w:sz w:val="1"/>
                <w:szCs w:val="1"/>
                <w:color w:val="auto"/>
              </w:rPr>
            </w:pPr>
          </w:p>
        </w:tc>
      </w:tr>
      <w:tr>
        <w:trPr>
          <w:trHeight w:val="215"/>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Accrued expense and other</w:t>
            </w:r>
            <w:r>
              <w:rPr>
                <w:rFonts w:ascii="Arial" w:cs="Arial" w:eastAsia="Arial" w:hAnsi="Arial"/>
                <w:sz w:val="18"/>
                <w:szCs w:val="18"/>
                <w:color w:val="auto"/>
                <w:vertAlign w:val="superscript"/>
              </w:rPr>
              <w:t>(1)</w:t>
            </w:r>
          </w:p>
        </w:tc>
        <w:tc>
          <w:tcPr>
            <w:tcW w:w="48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(110.3)</w:t>
            </w:r>
          </w:p>
        </w:tc>
        <w:tc>
          <w:tcPr>
            <w:tcW w:w="0" w:type="dxa"/>
            <w:vAlign w:val="bottom"/>
          </w:tcPr>
          <w:p>
            <w:pPr>
              <w:spacing w:after="0"/>
              <w:rPr>
                <w:sz w:val="1"/>
                <w:szCs w:val="1"/>
                <w:color w:val="auto"/>
              </w:rPr>
            </w:pPr>
          </w:p>
        </w:tc>
      </w:tr>
      <w:tr>
        <w:trPr>
          <w:trHeight w:val="190"/>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Debt payable</w:t>
            </w:r>
          </w:p>
        </w:tc>
        <w:tc>
          <w:tcPr>
            <w:tcW w:w="480" w:type="dxa"/>
            <w:vAlign w:val="bottom"/>
            <w:shd w:val="clear" w:color="auto" w:fill="DBDBDB"/>
          </w:tcPr>
          <w:p>
            <w:pPr>
              <w:spacing w:after="0"/>
              <w:rPr>
                <w:sz w:val="16"/>
                <w:szCs w:val="16"/>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(159.9)</w:t>
            </w:r>
          </w:p>
        </w:tc>
        <w:tc>
          <w:tcPr>
            <w:tcW w:w="0" w:type="dxa"/>
            <w:vAlign w:val="bottom"/>
          </w:tcPr>
          <w:p>
            <w:pPr>
              <w:spacing w:after="0"/>
              <w:rPr>
                <w:sz w:val="1"/>
                <w:szCs w:val="1"/>
                <w:color w:val="auto"/>
              </w:rPr>
            </w:pPr>
          </w:p>
        </w:tc>
      </w:tr>
      <w:tr>
        <w:trPr>
          <w:trHeight w:val="203"/>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Contingent payable to Blackstone</w:t>
            </w:r>
          </w:p>
        </w:tc>
        <w:tc>
          <w:tcPr>
            <w:tcW w:w="480" w:type="dxa"/>
            <w:vAlign w:val="bottom"/>
            <w:shd w:val="clear" w:color="auto" w:fill="DBDBDB"/>
          </w:tcPr>
          <w:p>
            <w:pPr>
              <w:spacing w:after="0"/>
              <w:rPr>
                <w:sz w:val="17"/>
                <w:szCs w:val="17"/>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(300.0)</w:t>
            </w:r>
          </w:p>
        </w:tc>
        <w:tc>
          <w:tcPr>
            <w:tcW w:w="0" w:type="dxa"/>
            <w:vAlign w:val="bottom"/>
          </w:tcPr>
          <w:p>
            <w:pPr>
              <w:spacing w:after="0"/>
              <w:rPr>
                <w:sz w:val="1"/>
                <w:szCs w:val="1"/>
                <w:color w:val="auto"/>
              </w:rPr>
            </w:pPr>
          </w:p>
        </w:tc>
      </w:tr>
      <w:tr>
        <w:trPr>
          <w:trHeight w:val="215"/>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Deferred tax liability</w:t>
            </w:r>
            <w:r>
              <w:rPr>
                <w:rFonts w:ascii="Arial" w:cs="Arial" w:eastAsia="Arial" w:hAnsi="Arial"/>
                <w:sz w:val="18"/>
                <w:szCs w:val="18"/>
                <w:color w:val="auto"/>
                <w:vertAlign w:val="superscript"/>
              </w:rPr>
              <w:t>(1)</w:t>
            </w:r>
          </w:p>
        </w:tc>
        <w:tc>
          <w:tcPr>
            <w:tcW w:w="48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(909.3)</w:t>
            </w:r>
          </w:p>
        </w:tc>
        <w:tc>
          <w:tcPr>
            <w:tcW w:w="0" w:type="dxa"/>
            <w:vAlign w:val="bottom"/>
          </w:tcPr>
          <w:p>
            <w:pPr>
              <w:spacing w:after="0"/>
              <w:rPr>
                <w:sz w:val="1"/>
                <w:szCs w:val="1"/>
                <w:color w:val="auto"/>
              </w:rPr>
            </w:pPr>
          </w:p>
        </w:tc>
      </w:tr>
      <w:tr>
        <w:trPr>
          <w:trHeight w:val="190"/>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Operating lease liabilities</w:t>
            </w:r>
          </w:p>
        </w:tc>
        <w:tc>
          <w:tcPr>
            <w:tcW w:w="480" w:type="dxa"/>
            <w:vAlign w:val="bottom"/>
            <w:shd w:val="clear" w:color="auto" w:fill="DBDBDB"/>
          </w:tcPr>
          <w:p>
            <w:pPr>
              <w:spacing w:after="0"/>
              <w:rPr>
                <w:sz w:val="16"/>
                <w:szCs w:val="16"/>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(151.8)</w:t>
            </w:r>
          </w:p>
        </w:tc>
        <w:tc>
          <w:tcPr>
            <w:tcW w:w="0" w:type="dxa"/>
            <w:vAlign w:val="bottom"/>
          </w:tcPr>
          <w:p>
            <w:pPr>
              <w:spacing w:after="0"/>
              <w:rPr>
                <w:sz w:val="1"/>
                <w:szCs w:val="1"/>
                <w:color w:val="auto"/>
              </w:rPr>
            </w:pPr>
          </w:p>
        </w:tc>
      </w:tr>
      <w:tr>
        <w:trPr>
          <w:trHeight w:val="204"/>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Other assets and liabilities, net</w:t>
            </w:r>
          </w:p>
        </w:tc>
        <w:tc>
          <w:tcPr>
            <w:tcW w:w="480" w:type="dxa"/>
            <w:vAlign w:val="bottom"/>
            <w:tcBorders>
              <w:bottom w:val="single" w:sz="8" w:color="auto"/>
            </w:tcBorders>
            <w:shd w:val="clear" w:color="auto" w:fill="DBDBDB"/>
          </w:tcPr>
          <w:p>
            <w:pPr>
              <w:spacing w:after="0"/>
              <w:rPr>
                <w:sz w:val="17"/>
                <w:szCs w:val="17"/>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(2.5)</w:t>
            </w:r>
          </w:p>
        </w:tc>
        <w:tc>
          <w:tcPr>
            <w:tcW w:w="0" w:type="dxa"/>
            <w:vAlign w:val="bottom"/>
          </w:tcPr>
          <w:p>
            <w:pPr>
              <w:spacing w:after="0"/>
              <w:rPr>
                <w:sz w:val="1"/>
                <w:szCs w:val="1"/>
                <w:color w:val="auto"/>
              </w:rPr>
            </w:pPr>
          </w:p>
        </w:tc>
      </w:tr>
      <w:tr>
        <w:trPr>
          <w:trHeight w:val="194"/>
        </w:trPr>
        <w:tc>
          <w:tcPr>
            <w:tcW w:w="8680" w:type="dxa"/>
            <w:vAlign w:val="bottom"/>
            <w:gridSpan w:val="3"/>
          </w:tcPr>
          <w:p>
            <w:pPr>
              <w:ind w:left="240"/>
              <w:spacing w:after="0"/>
              <w:rPr>
                <w:sz w:val="20"/>
                <w:szCs w:val="20"/>
                <w:color w:val="auto"/>
              </w:rPr>
            </w:pPr>
            <w:r>
              <w:rPr>
                <w:rFonts w:ascii="Arial" w:cs="Arial" w:eastAsia="Arial" w:hAnsi="Arial"/>
                <w:sz w:val="14"/>
                <w:szCs w:val="14"/>
                <w:color w:val="auto"/>
              </w:rPr>
              <w:t>Total identifiable net assets</w:t>
            </w:r>
          </w:p>
        </w:tc>
        <w:tc>
          <w:tcPr>
            <w:tcW w:w="480" w:type="dxa"/>
            <w:vAlign w:val="bottom"/>
            <w:shd w:val="clear" w:color="auto" w:fill="DBDBDB"/>
          </w:tcPr>
          <w:p>
            <w:pPr>
              <w:spacing w:after="0"/>
              <w:rPr>
                <w:sz w:val="16"/>
                <w:szCs w:val="16"/>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6,724.2</w:t>
            </w:r>
          </w:p>
        </w:tc>
        <w:tc>
          <w:tcPr>
            <w:tcW w:w="0" w:type="dxa"/>
            <w:vAlign w:val="bottom"/>
          </w:tcPr>
          <w:p>
            <w:pPr>
              <w:spacing w:after="0"/>
              <w:rPr>
                <w:sz w:val="1"/>
                <w:szCs w:val="1"/>
                <w:color w:val="auto"/>
              </w:rPr>
            </w:pPr>
          </w:p>
        </w:tc>
      </w:tr>
      <w:tr>
        <w:trPr>
          <w:trHeight w:val="211"/>
        </w:trPr>
        <w:tc>
          <w:tcPr>
            <w:tcW w:w="8680" w:type="dxa"/>
            <w:vAlign w:val="bottom"/>
            <w:gridSpan w:val="3"/>
          </w:tcPr>
          <w:p>
            <w:pPr>
              <w:ind w:left="20"/>
              <w:spacing w:after="0"/>
              <w:rPr>
                <w:sz w:val="20"/>
                <w:szCs w:val="20"/>
                <w:color w:val="auto"/>
              </w:rPr>
            </w:pPr>
            <w:r>
              <w:rPr>
                <w:rFonts w:ascii="Arial" w:cs="Arial" w:eastAsia="Arial" w:hAnsi="Arial"/>
                <w:sz w:val="14"/>
                <w:szCs w:val="14"/>
                <w:color w:val="auto"/>
              </w:rPr>
              <w:t>Goodwill</w:t>
            </w:r>
            <w:r>
              <w:rPr>
                <w:rFonts w:ascii="Arial" w:cs="Arial" w:eastAsia="Arial" w:hAnsi="Arial"/>
                <w:sz w:val="18"/>
                <w:szCs w:val="18"/>
                <w:color w:val="auto"/>
                <w:vertAlign w:val="superscript"/>
              </w:rPr>
              <w:t>(1)</w:t>
            </w:r>
          </w:p>
        </w:tc>
        <w:tc>
          <w:tcPr>
            <w:tcW w:w="480" w:type="dxa"/>
            <w:vAlign w:val="bottom"/>
            <w:tcBorders>
              <w:bottom w:val="single" w:sz="8" w:color="auto"/>
            </w:tcBorders>
            <w:shd w:val="clear" w:color="auto" w:fill="DBDBDB"/>
          </w:tcPr>
          <w:p>
            <w:pPr>
              <w:spacing w:after="0"/>
              <w:rPr>
                <w:sz w:val="18"/>
                <w:szCs w:val="18"/>
                <w:color w:val="auto"/>
              </w:rPr>
            </w:pP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469.2</w:t>
            </w:r>
          </w:p>
        </w:tc>
        <w:tc>
          <w:tcPr>
            <w:tcW w:w="0" w:type="dxa"/>
            <w:vAlign w:val="bottom"/>
          </w:tcPr>
          <w:p>
            <w:pPr>
              <w:spacing w:after="0"/>
              <w:rPr>
                <w:sz w:val="1"/>
                <w:szCs w:val="1"/>
                <w:color w:val="auto"/>
              </w:rPr>
            </w:pPr>
          </w:p>
        </w:tc>
      </w:tr>
      <w:tr>
        <w:trPr>
          <w:trHeight w:val="221"/>
        </w:trPr>
        <w:tc>
          <w:tcPr>
            <w:tcW w:w="8680" w:type="dxa"/>
            <w:vAlign w:val="bottom"/>
            <w:gridSpan w:val="3"/>
          </w:tcPr>
          <w:p>
            <w:pPr>
              <w:ind w:left="240"/>
              <w:spacing w:after="0"/>
              <w:rPr>
                <w:sz w:val="20"/>
                <w:szCs w:val="20"/>
                <w:color w:val="auto"/>
              </w:rPr>
            </w:pPr>
            <w:r>
              <w:rPr>
                <w:rFonts w:ascii="Arial" w:cs="Arial" w:eastAsia="Arial" w:hAnsi="Arial"/>
                <w:sz w:val="14"/>
                <w:szCs w:val="14"/>
                <w:color w:val="auto"/>
              </w:rPr>
              <w:t>Total assets acquired and liabilities assumed</w:t>
            </w:r>
          </w:p>
        </w:tc>
        <w:tc>
          <w:tcPr>
            <w:tcW w:w="480" w:type="dxa"/>
            <w:vAlign w:val="bottom"/>
            <w:tcBorders>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color w:val="0070C0"/>
              </w:rPr>
              <w:t>$</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7,193.4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00" w:type="dxa"/>
            <w:vAlign w:val="bottom"/>
            <w:tcBorders>
              <w:bottom w:val="single" w:sz="8" w:color="auto"/>
            </w:tcBorders>
          </w:tcPr>
          <w:p>
            <w:pPr>
              <w:spacing w:after="0"/>
              <w:rPr>
                <w:sz w:val="11"/>
                <w:szCs w:val="11"/>
                <w:color w:val="auto"/>
              </w:rPr>
            </w:pPr>
          </w:p>
        </w:tc>
        <w:tc>
          <w:tcPr>
            <w:tcW w:w="4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80" w:right="220" w:hanging="172"/>
        <w:spacing w:after="0" w:line="305" w:lineRule="auto"/>
        <w:tabs>
          <w:tab w:leader="none" w:pos="172" w:val="left"/>
        </w:tabs>
        <w:numPr>
          <w:ilvl w:val="0"/>
          <w:numId w:val="108"/>
        </w:numPr>
        <w:rPr>
          <w:rFonts w:ascii="Arial" w:cs="Arial" w:eastAsia="Arial" w:hAnsi="Arial"/>
          <w:sz w:val="9"/>
          <w:szCs w:val="9"/>
          <w:color w:val="auto"/>
        </w:rPr>
      </w:pPr>
      <w:r>
        <w:rPr>
          <w:rFonts w:ascii="Arial" w:cs="Arial" w:eastAsia="Arial" w:hAnsi="Arial"/>
          <w:sz w:val="14"/>
          <w:szCs w:val="14"/>
          <w:color w:val="auto"/>
        </w:rPr>
        <w:t>Includes measurement period adjustments recorded in 2024 that increased other current assets by $1.0 million, accrued expense and other by $8.8 million and goodwill by $4.7 million, and decreased deferred tax liability by $3.1 million.</w:t>
      </w:r>
    </w:p>
    <w:p>
      <w:pPr>
        <w:spacing w:after="0" w:line="4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b w:val="1"/>
          <w:bCs w:val="1"/>
          <w:color w:val="0070C0"/>
        </w:rPr>
        <w:t xml:space="preserve">Inventory: </w:t>
      </w:r>
      <w:r>
        <w:rPr>
          <w:rFonts w:ascii="Arial" w:cs="Arial" w:eastAsia="Arial" w:hAnsi="Arial"/>
          <w:sz w:val="18"/>
          <w:szCs w:val="18"/>
          <w:color w:val="000000"/>
        </w:rPr>
        <w:t>Total inventory acquired was approximately $1.3 billion, which reflects a step-up in the fair value of finished goods and work-in-process inventory for SKYCLARYS. The fair value was determined based on the estimated selling price of the inventory, less the remaining manufacturing and selling costs and a normal profit margin on those manufacturing and selling efforts. This fair value step-up adjustment is being amortized to cost of sales as the inventory is sold or research and development expense as the inventory is used for clinical purposes within our consolidated statements of income. We expect this amount to be fully amortized by the end of 2028.</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0070C0"/>
        </w:rPr>
        <w:t xml:space="preserve">Intangible assets: </w:t>
      </w:r>
      <w:r>
        <w:rPr>
          <w:rFonts w:ascii="Arial" w:cs="Arial" w:eastAsia="Arial" w:hAnsi="Arial"/>
          <w:sz w:val="18"/>
          <w:szCs w:val="18"/>
          <w:color w:val="000000"/>
        </w:rPr>
        <w:t>Intangible assets are comprised of $4.2 billion related to SKYCLARYS commercialization rights in the U.S., $2.3 billion of</w:t>
      </w:r>
      <w:r>
        <w:rPr>
          <w:rFonts w:ascii="Arial" w:cs="Arial" w:eastAsia="Arial" w:hAnsi="Arial"/>
          <w:sz w:val="18"/>
          <w:szCs w:val="18"/>
          <w:b w:val="1"/>
          <w:bCs w:val="1"/>
          <w:color w:val="0070C0"/>
        </w:rPr>
        <w:t xml:space="preserve"> </w:t>
      </w:r>
      <w:r>
        <w:rPr>
          <w:rFonts w:ascii="Arial" w:cs="Arial" w:eastAsia="Arial" w:hAnsi="Arial"/>
          <w:sz w:val="18"/>
          <w:szCs w:val="18"/>
          <w:color w:val="000000"/>
        </w:rPr>
        <w:t>IPR&amp;D related to the omaveloxolone program outside the U.S., which had not yet received regulatory approval in the E.U. as of the acquisition date, $100.0 million related to a rare pediatric disease PRV which may be used to obtain priority review by the FDA for a future regulatory submission or sold to a third party and $40.0 million related to other clinical programs. The estimated fair values of the program related intangible assets were determined using a multi-period excess earnings method, a form of the income approach, utilizing a discount rate of 14.3% and the estimated fair value of the PRV was based on recent external purchase and sale transactions of similar vouchers.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Our valuation of the SKYCLARYS commercialization rights reflects the assumption that, using an economic consumption model, the related $4.2 billion intangible asset will be amortized over its expected economic life. Upon SKYCLARYS receiving regulatory approval in the E.U. in February 2024, we began selling the product in certain countries in Europe, and began amortizing the $2.3 billion IPR&amp;D asset related to the program outside the U.S. over its expected economic life using an economic consumption model.</w:t>
      </w:r>
    </w:p>
    <w:p>
      <w:pPr>
        <w:spacing w:after="0" w:line="68"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These fair value measurements were based on significant inputs not observable in the market and thus represent Level 3 fair value measurements.</w:t>
      </w:r>
    </w:p>
    <w:p>
      <w:pPr>
        <w:spacing w:after="0" w:line="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0070C0"/>
        </w:rPr>
        <w:t xml:space="preserve">Leases: </w:t>
      </w:r>
      <w:r>
        <w:rPr>
          <w:rFonts w:ascii="Arial" w:cs="Arial" w:eastAsia="Arial" w:hAnsi="Arial"/>
          <w:sz w:val="18"/>
          <w:szCs w:val="18"/>
          <w:color w:val="000000"/>
        </w:rPr>
        <w:t>We assumed responsibility for a single-tenant, build-to-suit building of approximately 327,400 square feet of office and laboratory</w:t>
      </w:r>
      <w:r>
        <w:rPr>
          <w:rFonts w:ascii="Arial" w:cs="Arial" w:eastAsia="Arial" w:hAnsi="Arial"/>
          <w:sz w:val="18"/>
          <w:szCs w:val="18"/>
          <w:b w:val="1"/>
          <w:bCs w:val="1"/>
          <w:color w:val="0070C0"/>
        </w:rPr>
        <w:t xml:space="preserve"> </w:t>
      </w:r>
      <w:r>
        <w:rPr>
          <w:rFonts w:ascii="Arial" w:cs="Arial" w:eastAsia="Arial" w:hAnsi="Arial"/>
          <w:sz w:val="18"/>
          <w:szCs w:val="18"/>
          <w:color w:val="000000"/>
        </w:rPr>
        <w:t>space located in Plano, Texas, with an initial lease term of 16 years. We recorded a lease liability of approximately $151.8 million, which represented the net present value of rental expense over the remaining lease term of approximately 15 years, with a corresponding right-of-use asset of approximately $ 121.2 million, which represented our estimate of the fair value for a market participant of the rental market in the Dallas, Texas area. Included in our estimate of the market rental rate was the value of any leasehold improvements or tenant allowances related to the building. We do not intend to occupy this building and are evaluating opportunities to sublease the property.</w:t>
      </w:r>
    </w:p>
    <w:p>
      <w:pPr>
        <w:spacing w:after="0" w:line="7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color w:val="0070C0"/>
        </w:rPr>
        <w:t xml:space="preserve">Goodwill: </w:t>
      </w:r>
      <w:r>
        <w:rPr>
          <w:rFonts w:ascii="Arial" w:cs="Arial" w:eastAsia="Arial" w:hAnsi="Arial"/>
          <w:sz w:val="18"/>
          <w:szCs w:val="18"/>
          <w:color w:val="000000"/>
        </w:rPr>
        <w:t>Goodwill was calculated as the excess of the consideration transferred over the net assets recognized and represents the future</w:t>
      </w:r>
      <w:r>
        <w:rPr>
          <w:rFonts w:ascii="Arial" w:cs="Arial" w:eastAsia="Arial" w:hAnsi="Arial"/>
          <w:sz w:val="18"/>
          <w:szCs w:val="18"/>
          <w:b w:val="1"/>
          <w:bCs w:val="1"/>
          <w:color w:val="0070C0"/>
        </w:rPr>
        <w:t xml:space="preserve"> </w:t>
      </w:r>
      <w:r>
        <w:rPr>
          <w:rFonts w:ascii="Arial" w:cs="Arial" w:eastAsia="Arial" w:hAnsi="Arial"/>
          <w:sz w:val="18"/>
          <w:szCs w:val="18"/>
          <w:color w:val="000000"/>
        </w:rPr>
        <w:t>economic benefits arising from the other assets acquired that could not be individually identified and separately recognized. We recognized goodwill of approximately $469.2 million, which includes measurement period adjustments, and is not deductible for tax purposes. The goodwill recognized from our acquisition of Reata is primarily the result of the deferred tax consequences from the transaction recorded for financial statement purposes.</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0070C0"/>
        </w:rPr>
        <w:t xml:space="preserve">Acquisition-related expense: </w:t>
      </w:r>
      <w:r>
        <w:rPr>
          <w:rFonts w:ascii="Arial" w:cs="Arial" w:eastAsia="Arial" w:hAnsi="Arial"/>
          <w:sz w:val="18"/>
          <w:szCs w:val="18"/>
          <w:color w:val="000000"/>
        </w:rPr>
        <w:t>Acquisition-related expense, primarily comprised of regulatory, advisory and legal fees, and other transaction</w:t>
      </w:r>
      <w:r>
        <w:rPr>
          <w:rFonts w:ascii="Arial" w:cs="Arial" w:eastAsia="Arial" w:hAnsi="Arial"/>
          <w:sz w:val="18"/>
          <w:szCs w:val="18"/>
          <w:b w:val="1"/>
          <w:bCs w:val="1"/>
          <w:color w:val="0070C0"/>
        </w:rPr>
        <w:t xml:space="preserve"> </w:t>
      </w:r>
      <w:r>
        <w:rPr>
          <w:rFonts w:ascii="Arial" w:cs="Arial" w:eastAsia="Arial" w:hAnsi="Arial"/>
          <w:sz w:val="18"/>
          <w:szCs w:val="18"/>
          <w:color w:val="000000"/>
        </w:rPr>
        <w:t>costs, totaled approximately $28.4 million and were recorded in selling, general and administrative expense within our consolidated statements of income for the year ended December 31,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3:</w:t>
            </w:r>
          </w:p>
        </w:tc>
        <w:tc>
          <w:tcPr>
            <w:tcW w:w="9920" w:type="dxa"/>
            <w:vAlign w:val="bottom"/>
            <w:tcBorders>
              <w:bottom w:val="single" w:sz="8" w:color="0070C0"/>
            </w:tcBorders>
          </w:tcPr>
          <w:p>
            <w:pPr>
              <w:ind w:left="20"/>
              <w:spacing w:after="0"/>
              <w:rPr>
                <w:sz w:val="20"/>
                <w:szCs w:val="20"/>
                <w:color w:val="auto"/>
              </w:rPr>
            </w:pPr>
            <w:r>
              <w:rPr>
                <w:rFonts w:ascii="Arial" w:cs="Arial" w:eastAsia="Arial" w:hAnsi="Arial"/>
                <w:sz w:val="22"/>
                <w:szCs w:val="22"/>
                <w:b w:val="1"/>
                <w:bCs w:val="1"/>
                <w:color w:val="0070C0"/>
              </w:rPr>
              <w:t>Dispositions</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Sale of Joint Venture Equity Interest in Samsung Bioepis</w:t>
      </w:r>
    </w:p>
    <w:p>
      <w:pPr>
        <w:spacing w:after="0" w:line="1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April 2022 we completed the sale of our 49.9% equity interest in Samsung Bioepis to Samsung BioLogics in exchange for total consideration of approximately $2.3 billion. Under the terms of this transaction, we received approximately $1.0 billion in cash at closing, with approximately $ 1.3 billion in cash to be deferred over two payments. The first deferred payment of $812.5 million was received in April 2023 and the second deferred payment of $437.5 million was received in April 2024.</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year ended December 31, 2024, we recognized a gain of approximately $7.5 million to reflect the change in fair value associated with the passage of time related to the second deferred payment due to us, which was received in April 2024. For the year ended December 31, 2023, we recognized gains of approximately $ 13.7 million and $24.6 million to reflect the changes in fair value associated with changes in interest rates and the passage of time related to the first and second deferred payments due to us, respectively, which were received in April 2023 and April 2024, respectively. These changes were recorded in other (income) expense, net within our consolidated statements of income.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Sale of Priority Review Voucher</w:t>
      </w:r>
    </w:p>
    <w:p>
      <w:pPr>
        <w:spacing w:after="0" w:line="12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April 2024 we completed the sale of our rare pediatric disease PRV, generated by the development associated with SPINRAZA, to a third party. In consideration for the PRV we received a cash payment of $103.0 million upon the closing of the PRV purchase, of which approximately $14.4 million was paid to Ionis. Our net portion of approximately $88.6 million was recognized in gain on sale of priority review voucher, net within our consolidated statements of income for the year ended December 31, 2024.</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Sale of TOFIDENCE</w:t>
      </w:r>
    </w:p>
    <w:p>
      <w:pPr>
        <w:spacing w:after="0" w:line="99"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In March 2025 we completed the sale of our regulatory and commercial rights in the U.S. for TOFIDENCE, a tocilizumab biosimilar referencing ACTEMRA, to Organon. Under the terms of this transaction, we received a payment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of approximately $51.0 million in July 2025 and recognized a de minimis loss within our consolidated statements of income for the year ended December 31, 2025.</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Sale of BYOOVIZ and OPUVIZ Rights</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2025 we completed the sale of our remaining commercial rights to two ophthalmology assets in Europe: BYOOVIZ, a ranibizumab biosimilar referencing LUCENTIS, and OPUVIZ, an aflibercept biosimilar referencing EYLEA. Samsung Bioepis will have full responsibility for commercialization of BYOOVIZ upon the transfer of commercial rights from Biogen back to Samsung Bioepis, which became effective as of January 2026. Under the terms of this transaction, we received a payment of $28.0 million in November 2025 and recognized a minimal gain on disposal within our consolidated statements of income for the year ended December 31, 2025.</w:t>
      </w:r>
    </w:p>
    <w:p>
      <w:pPr>
        <w:spacing w:after="0" w:line="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For additional information on our license arrangements with Samsung Bioepis,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31215" cy="3429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0">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4:</w:t>
      </w:r>
      <w:r>
        <w:rPr>
          <w:sz w:val="20"/>
          <w:szCs w:val="20"/>
          <w:color w:val="auto"/>
        </w:rPr>
        <w:tab/>
      </w:r>
      <w:r>
        <w:rPr>
          <w:rFonts w:ascii="Arial" w:cs="Arial" w:eastAsia="Arial" w:hAnsi="Arial"/>
          <w:sz w:val="21"/>
          <w:szCs w:val="21"/>
          <w:b w:val="1"/>
          <w:bCs w:val="1"/>
          <w:color w:val="0070C0"/>
        </w:rPr>
        <w:t>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1">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2023 Fit for Growth Restructuring Program</w:t>
      </w:r>
    </w:p>
    <w:p>
      <w:pPr>
        <w:spacing w:after="0" w:line="12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2023 we initiated cost saving measures as part of our Fit for Growth program to reduce operating costs, while improving operating efficiency and effectiveness. The Fit for Growth program generated approximately $1.0 billion in gross operating expense savings by the end of 2025, some of which has been reinvested in various initiatives. The Fit for Growth program included net headcount reductions of approximately 1,400 employees and we incurred total restructuring charges of approximately $320.0 million by the end of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2023 Fit for Growth program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8"/>
          </w:tcPr>
          <w:p>
            <w:pPr>
              <w:ind w:left="20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0070C0"/>
              </w:rPr>
              <w:t>2025</w:t>
            </w:r>
          </w:p>
        </w:tc>
        <w:tc>
          <w:tcPr>
            <w:tcW w:w="10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620" w:type="dxa"/>
            <w:vAlign w:val="bottom"/>
            <w:tcBorders>
              <w:bottom w:val="single" w:sz="8" w:color="auto"/>
            </w:tcBorders>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Severance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Accelerated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Accelerated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Accelerated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2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Costs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and Other</w:t>
            </w:r>
          </w:p>
        </w:tc>
        <w:tc>
          <w:tcPr>
            <w:tcW w:w="10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and Other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and Other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8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Selling, general and</w:t>
            </w:r>
          </w:p>
        </w:tc>
        <w:tc>
          <w:tcPr>
            <w:tcW w:w="1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20" w:type="dxa"/>
            <w:vAlign w:val="bottom"/>
            <w:gridSpan w:val="3"/>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(1.4)</w:t>
            </w:r>
          </w:p>
        </w:tc>
        <w:tc>
          <w:tcPr>
            <w:tcW w:w="100" w:type="dxa"/>
            <w:vAlign w:val="bottom"/>
            <w:shd w:val="clear" w:color="auto" w:fill="DBDBDB"/>
          </w:tcPr>
          <w:p>
            <w:pPr>
              <w:spacing w:after="0"/>
              <w:rPr>
                <w:sz w:val="12"/>
                <w:szCs w:val="12"/>
                <w:color w:val="auto"/>
              </w:rPr>
            </w:pP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6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(1.4)</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89"/>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administrative</w:t>
            </w:r>
          </w:p>
        </w:tc>
        <w:tc>
          <w:tcPr>
            <w:tcW w:w="180" w:type="dxa"/>
            <w:vAlign w:val="bottom"/>
            <w:vMerge w:val="continue"/>
            <w:shd w:val="clear" w:color="auto" w:fill="DBDBDB"/>
          </w:tcPr>
          <w:p>
            <w:pPr>
              <w:spacing w:after="0"/>
              <w:rPr>
                <w:sz w:val="16"/>
                <w:szCs w:val="16"/>
                <w:color w:val="auto"/>
              </w:rPr>
            </w:pPr>
          </w:p>
        </w:tc>
        <w:tc>
          <w:tcPr>
            <w:tcW w:w="700" w:type="dxa"/>
            <w:vAlign w:val="bottom"/>
            <w:vMerge w:val="continue"/>
            <w:shd w:val="clear" w:color="auto" w:fill="DBDBDB"/>
          </w:tcPr>
          <w:p>
            <w:pPr>
              <w:spacing w:after="0"/>
              <w:rPr>
                <w:sz w:val="16"/>
                <w:szCs w:val="16"/>
                <w:color w:val="auto"/>
              </w:rPr>
            </w:pPr>
          </w:p>
        </w:tc>
        <w:tc>
          <w:tcPr>
            <w:tcW w:w="220" w:type="dxa"/>
            <w:vAlign w:val="bottom"/>
            <w:gridSpan w:val="3"/>
            <w:vMerge w:val="continue"/>
            <w:shd w:val="clear" w:color="auto" w:fill="DBDBDB"/>
          </w:tcPr>
          <w:p>
            <w:pPr>
              <w:spacing w:after="0"/>
              <w:rPr>
                <w:sz w:val="16"/>
                <w:szCs w:val="16"/>
                <w:color w:val="auto"/>
              </w:rPr>
            </w:pPr>
          </w:p>
        </w:tc>
        <w:tc>
          <w:tcPr>
            <w:tcW w:w="94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vMerge w:val="continue"/>
            <w:shd w:val="clear" w:color="auto" w:fill="DBDBDB"/>
          </w:tcPr>
          <w:p>
            <w:pPr>
              <w:spacing w:after="0"/>
              <w:rPr>
                <w:sz w:val="16"/>
                <w:szCs w:val="16"/>
                <w:color w:val="auto"/>
              </w:rPr>
            </w:pPr>
          </w:p>
        </w:tc>
        <w:tc>
          <w:tcPr>
            <w:tcW w:w="620" w:type="dxa"/>
            <w:vAlign w:val="bottom"/>
            <w:vMerge w:val="continue"/>
            <w:shd w:val="clear" w:color="auto" w:fill="DBDBDB"/>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10.1</w:t>
            </w: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6"/>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8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48.7</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6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48.7</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w:t>
            </w:r>
          </w:p>
        </w:tc>
        <w:tc>
          <w:tcPr>
            <w:tcW w:w="0" w:type="dxa"/>
            <w:vAlign w:val="bottom"/>
          </w:tcPr>
          <w:p>
            <w:pPr>
              <w:spacing w:after="0"/>
              <w:rPr>
                <w:sz w:val="1"/>
                <w:szCs w:val="1"/>
                <w:color w:val="auto"/>
              </w:rPr>
            </w:pPr>
          </w:p>
        </w:tc>
      </w:tr>
      <w:tr>
        <w:trPr>
          <w:trHeight w:val="220"/>
        </w:trPr>
        <w:tc>
          <w:tcPr>
            <w:tcW w:w="228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48.7</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8.7</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57.4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i w:val="1"/>
          <w:iCs w:val="1"/>
          <w:color w:val="0070C0"/>
        </w:rPr>
        <w:t xml:space="preserve">Other Costs: </w:t>
      </w:r>
      <w:r>
        <w:rPr>
          <w:rFonts w:ascii="Arial" w:cs="Arial" w:eastAsia="Arial" w:hAnsi="Arial"/>
          <w:sz w:val="18"/>
          <w:szCs w:val="18"/>
          <w:color w:val="000000"/>
        </w:rPr>
        <w:t>Includes costs associated with items such as asset abandonment and write-offs, facility closure costs, pre-tax gains and losses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resulting from the termination of certain leases, employee non-severance expense, consulting fees and other costs.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Reata Integration</w:t>
      </w:r>
    </w:p>
    <w:p>
      <w:pPr>
        <w:spacing w:after="0" w:line="12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Following the close of our Reata acquisition in September 2023, we implemented an integration plan designed to realize operating synergies through cost savings and avoidance. Under this initiative, we estimated we would incur total integration charges of approximately $35.0 million related to severance and employment costs, which were substantially incurred during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Reata integration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4"/>
                <w:szCs w:val="14"/>
                <w:b w:val="1"/>
                <w:bCs w:val="1"/>
                <w:color w:val="auto"/>
              </w:rPr>
              <w:t>For the Years Ended December 31,</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spacing w:after="0"/>
              <w:rPr>
                <w:sz w:val="17"/>
                <w:szCs w:val="17"/>
                <w:color w:val="auto"/>
              </w:rPr>
            </w:pP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0070C0"/>
              </w:rPr>
              <w:t>2025</w:t>
            </w:r>
          </w:p>
        </w:tc>
        <w:tc>
          <w:tcPr>
            <w:tcW w:w="10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9"/>
              </w:rPr>
              <w:t>Severance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Accelerated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Accelerated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Severance</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Accelerated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1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vMerge w:val="restart"/>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2"/>
                <w:szCs w:val="12"/>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Depreciation</w:t>
            </w:r>
          </w:p>
        </w:tc>
        <w:tc>
          <w:tcPr>
            <w:tcW w:w="18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7"/>
              </w:rPr>
              <w:t>Costs</w:t>
            </w:r>
          </w:p>
        </w:tc>
        <w:tc>
          <w:tcPr>
            <w:tcW w:w="8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and Other</w:t>
            </w:r>
          </w:p>
        </w:tc>
        <w:tc>
          <w:tcPr>
            <w:tcW w:w="100" w:type="dxa"/>
            <w:vAlign w:val="bottom"/>
            <w:tcBorders>
              <w:bottom w:val="single" w:sz="8" w:color="DBDBDB"/>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and Other</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and Other</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2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Selling, general and</w:t>
            </w:r>
          </w:p>
        </w:tc>
        <w:tc>
          <w:tcPr>
            <w:tcW w:w="1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2"/>
                <w:szCs w:val="12"/>
                <w:color w:val="auto"/>
              </w:rPr>
            </w:pPr>
          </w:p>
        </w:tc>
        <w:tc>
          <w:tcPr>
            <w:tcW w:w="18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6.8</w:t>
            </w:r>
          </w:p>
        </w:tc>
        <w:tc>
          <w:tcPr>
            <w:tcW w:w="100" w:type="dxa"/>
            <w:vAlign w:val="bottom"/>
            <w:shd w:val="clear" w:color="auto" w:fill="DBDBDB"/>
          </w:tcPr>
          <w:p>
            <w:pPr>
              <w:spacing w:after="0"/>
              <w:rPr>
                <w:sz w:val="12"/>
                <w:szCs w:val="12"/>
                <w:color w:val="auto"/>
              </w:rPr>
            </w:pPr>
          </w:p>
        </w:tc>
        <w:tc>
          <w:tcPr>
            <w:tcW w:w="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6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6.8</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220" w:type="dxa"/>
            <w:vAlign w:val="bottom"/>
            <w:gridSpan w:val="2"/>
          </w:tcPr>
          <w:p>
            <w:pPr>
              <w:ind w:left="20"/>
              <w:spacing w:after="0"/>
              <w:rPr>
                <w:sz w:val="20"/>
                <w:szCs w:val="20"/>
                <w:color w:val="auto"/>
              </w:rPr>
            </w:pPr>
            <w:r>
              <w:rPr>
                <w:rFonts w:ascii="Arial" w:cs="Arial" w:eastAsia="Arial" w:hAnsi="Arial"/>
                <w:sz w:val="14"/>
                <w:szCs w:val="14"/>
                <w:color w:val="auto"/>
              </w:rPr>
              <w:t>administrative</w:t>
            </w:r>
          </w:p>
        </w:tc>
        <w:tc>
          <w:tcPr>
            <w:tcW w:w="180" w:type="dxa"/>
            <w:vAlign w:val="bottom"/>
            <w:vMerge w:val="continue"/>
            <w:shd w:val="clear" w:color="auto" w:fill="DBDBDB"/>
          </w:tcPr>
          <w:p>
            <w:pPr>
              <w:spacing w:after="0"/>
              <w:rPr>
                <w:sz w:val="16"/>
                <w:szCs w:val="16"/>
                <w:color w:val="auto"/>
              </w:rPr>
            </w:pPr>
          </w:p>
        </w:tc>
        <w:tc>
          <w:tcPr>
            <w:tcW w:w="68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80" w:type="dxa"/>
            <w:vAlign w:val="bottom"/>
            <w:gridSpan w:val="2"/>
            <w:vMerge w:val="continue"/>
            <w:shd w:val="clear" w:color="auto" w:fill="DBDBDB"/>
          </w:tcPr>
          <w:p>
            <w:pPr>
              <w:spacing w:after="0"/>
              <w:rPr>
                <w:sz w:val="16"/>
                <w:szCs w:val="16"/>
                <w:color w:val="auto"/>
              </w:rPr>
            </w:pPr>
          </w:p>
        </w:tc>
        <w:tc>
          <w:tcPr>
            <w:tcW w:w="96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60" w:type="dxa"/>
            <w:vAlign w:val="bottom"/>
            <w:vMerge w:val="continue"/>
            <w:shd w:val="clear" w:color="auto" w:fill="DBDBDB"/>
          </w:tcPr>
          <w:p>
            <w:pPr>
              <w:spacing w:after="0"/>
              <w:rPr>
                <w:sz w:val="16"/>
                <w:szCs w:val="16"/>
                <w:color w:val="auto"/>
              </w:rPr>
            </w:pPr>
          </w:p>
        </w:tc>
        <w:tc>
          <w:tcPr>
            <w:tcW w:w="600" w:type="dxa"/>
            <w:vAlign w:val="bottom"/>
            <w:vMerge w:val="continue"/>
            <w:shd w:val="clear" w:color="auto" w:fill="DBDBDB"/>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2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14.3</w:t>
            </w: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22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8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(0.7)</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(0.7)</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30.4</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20"/>
        </w:trPr>
        <w:tc>
          <w:tcPr>
            <w:tcW w:w="222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(0.7)</w:t>
            </w:r>
          </w:p>
        </w:tc>
        <w:tc>
          <w:tcPr>
            <w:tcW w:w="4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21.1</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In connection with our acquisition of Reata we assumed responsibility for a single-tenant, build-to-suit building of approximately 327,400 square feet of office and laboratory space located in Plano, Texas, with an initial lease term of 16 years. We do not intend to occupy this building and are evaluating opportunities to sublease the property. For additional information on our acquisition of Reata, please read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to these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Restructuring Reserve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Charges and spending related to workforce reductions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Workforce Reductions</w:t>
            </w:r>
          </w:p>
        </w:tc>
      </w:tr>
      <w:tr>
        <w:trPr>
          <w:trHeight w:val="189"/>
        </w:trPr>
        <w:tc>
          <w:tcPr>
            <w:tcW w:w="9380" w:type="dxa"/>
            <w:vAlign w:val="bottom"/>
            <w:gridSpan w:val="2"/>
          </w:tcPr>
          <w:p>
            <w:pPr>
              <w:ind w:left="20"/>
              <w:spacing w:after="0"/>
              <w:rPr>
                <w:sz w:val="20"/>
                <w:szCs w:val="20"/>
                <w:color w:val="auto"/>
              </w:rPr>
            </w:pPr>
            <w:r>
              <w:rPr>
                <w:rFonts w:ascii="Arial" w:cs="Arial" w:eastAsia="Arial" w:hAnsi="Arial"/>
                <w:sz w:val="14"/>
                <w:szCs w:val="14"/>
                <w:color w:val="auto"/>
              </w:rPr>
              <w:t>Restructuring reserve, December 31, 2023</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75.4</w:t>
            </w:r>
          </w:p>
        </w:tc>
      </w:tr>
      <w:tr>
        <w:trPr>
          <w:trHeight w:val="203"/>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120" w:type="dxa"/>
            <w:vAlign w:val="bottom"/>
            <w:shd w:val="clear" w:color="auto" w:fill="DBDBDB"/>
          </w:tcPr>
          <w:p>
            <w:pPr>
              <w:spacing w:after="0"/>
              <w:rPr>
                <w:sz w:val="17"/>
                <w:szCs w:val="17"/>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30.2</w:t>
            </w:r>
          </w:p>
        </w:tc>
      </w:tr>
      <w:tr>
        <w:trPr>
          <w:trHeight w:val="203"/>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120" w:type="dxa"/>
            <w:vAlign w:val="bottom"/>
            <w:shd w:val="clear" w:color="auto" w:fill="DBDBDB"/>
          </w:tcPr>
          <w:p>
            <w:pPr>
              <w:spacing w:after="0"/>
              <w:rPr>
                <w:sz w:val="17"/>
                <w:szCs w:val="17"/>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(73.8)</w:t>
            </w:r>
          </w:p>
        </w:tc>
      </w:tr>
      <w:tr>
        <w:trPr>
          <w:trHeight w:val="204"/>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120" w:type="dxa"/>
            <w:vAlign w:val="bottom"/>
            <w:tcBorders>
              <w:bottom w:val="single" w:sz="8" w:color="auto"/>
            </w:tcBorders>
            <w:shd w:val="clear" w:color="auto" w:fill="DBDBDB"/>
          </w:tcPr>
          <w:p>
            <w:pPr>
              <w:spacing w:after="0"/>
              <w:rPr>
                <w:sz w:val="17"/>
                <w:szCs w:val="17"/>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0.1</w:t>
            </w:r>
          </w:p>
        </w:tc>
      </w:tr>
      <w:tr>
        <w:trPr>
          <w:trHeight w:val="194"/>
        </w:trPr>
        <w:tc>
          <w:tcPr>
            <w:tcW w:w="9380" w:type="dxa"/>
            <w:vAlign w:val="bottom"/>
            <w:gridSpan w:val="2"/>
          </w:tcPr>
          <w:p>
            <w:pPr>
              <w:ind w:left="20"/>
              <w:spacing w:after="0"/>
              <w:rPr>
                <w:sz w:val="20"/>
                <w:szCs w:val="20"/>
                <w:color w:val="auto"/>
              </w:rPr>
            </w:pPr>
            <w:r>
              <w:rPr>
                <w:rFonts w:ascii="Arial" w:cs="Arial" w:eastAsia="Arial" w:hAnsi="Arial"/>
                <w:sz w:val="14"/>
                <w:szCs w:val="14"/>
                <w:color w:val="auto"/>
              </w:rPr>
              <w:t>Restructuring reserve, December 31, 2024</w:t>
            </w:r>
          </w:p>
        </w:tc>
        <w:tc>
          <w:tcPr>
            <w:tcW w:w="120" w:type="dxa"/>
            <w:vAlign w:val="bottom"/>
            <w:shd w:val="clear" w:color="auto" w:fill="DBDBDB"/>
          </w:tcPr>
          <w:p>
            <w:pPr>
              <w:spacing w:after="0"/>
              <w:rPr>
                <w:sz w:val="16"/>
                <w:szCs w:val="16"/>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31.9</w:t>
            </w:r>
          </w:p>
        </w:tc>
      </w:tr>
      <w:tr>
        <w:trPr>
          <w:trHeight w:val="203"/>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120" w:type="dxa"/>
            <w:vAlign w:val="bottom"/>
            <w:shd w:val="clear" w:color="auto" w:fill="DBDBDB"/>
          </w:tcPr>
          <w:p>
            <w:pPr>
              <w:spacing w:after="0"/>
              <w:rPr>
                <w:sz w:val="17"/>
                <w:szCs w:val="17"/>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48.6</w:t>
            </w:r>
          </w:p>
        </w:tc>
      </w:tr>
      <w:tr>
        <w:trPr>
          <w:trHeight w:val="203"/>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120" w:type="dxa"/>
            <w:vAlign w:val="bottom"/>
            <w:shd w:val="clear" w:color="auto" w:fill="DBDBDB"/>
          </w:tcPr>
          <w:p>
            <w:pPr>
              <w:spacing w:after="0"/>
              <w:rPr>
                <w:sz w:val="17"/>
                <w:szCs w:val="17"/>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(61.5)</w:t>
            </w:r>
          </w:p>
        </w:tc>
      </w:tr>
      <w:tr>
        <w:trPr>
          <w:trHeight w:val="207"/>
        </w:trPr>
        <w:tc>
          <w:tcPr>
            <w:tcW w:w="938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120" w:type="dxa"/>
            <w:vAlign w:val="bottom"/>
            <w:tcBorders>
              <w:bottom w:val="single" w:sz="8" w:color="auto"/>
            </w:tcBorders>
            <w:shd w:val="clear" w:color="auto" w:fill="DBDBDB"/>
          </w:tcPr>
          <w:p>
            <w:pPr>
              <w:spacing w:after="0"/>
              <w:rPr>
                <w:sz w:val="17"/>
                <w:szCs w:val="17"/>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(3.2)</w:t>
            </w:r>
          </w:p>
        </w:tc>
      </w:tr>
      <w:tr>
        <w:trPr>
          <w:trHeight w:val="225"/>
        </w:trPr>
        <w:tc>
          <w:tcPr>
            <w:tcW w:w="9380" w:type="dxa"/>
            <w:vAlign w:val="bottom"/>
            <w:gridSpan w:val="2"/>
          </w:tcPr>
          <w:p>
            <w:pPr>
              <w:ind w:left="20"/>
              <w:spacing w:after="0"/>
              <w:rPr>
                <w:sz w:val="20"/>
                <w:szCs w:val="20"/>
                <w:color w:val="auto"/>
              </w:rPr>
            </w:pPr>
            <w:r>
              <w:rPr>
                <w:rFonts w:ascii="Arial" w:cs="Arial" w:eastAsia="Arial" w:hAnsi="Arial"/>
                <w:sz w:val="14"/>
                <w:szCs w:val="14"/>
                <w:color w:val="auto"/>
              </w:rPr>
              <w:t>Restructuring reserve, December 31, 2025</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15.8</w:t>
            </w:r>
          </w:p>
        </w:tc>
      </w:tr>
      <w:tr>
        <w:trPr>
          <w:trHeight w:val="20"/>
        </w:trPr>
        <w:tc>
          <w:tcPr>
            <w:tcW w:w="9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5:</w:t>
            </w:r>
          </w:p>
        </w:tc>
        <w:tc>
          <w:tcPr>
            <w:tcW w:w="9920" w:type="dxa"/>
            <w:vAlign w:val="bottom"/>
            <w:tcBorders>
              <w:bottom w:val="single" w:sz="8" w:color="0070C0"/>
            </w:tcBorders>
          </w:tcPr>
          <w:p>
            <w:pPr>
              <w:ind w:left="20"/>
              <w:spacing w:after="0"/>
              <w:rPr>
                <w:sz w:val="20"/>
                <w:szCs w:val="20"/>
                <w:color w:val="auto"/>
              </w:rPr>
            </w:pPr>
            <w:r>
              <w:rPr>
                <w:rFonts w:ascii="Arial" w:cs="Arial" w:eastAsia="Arial" w:hAnsi="Arial"/>
                <w:sz w:val="22"/>
                <w:szCs w:val="22"/>
                <w:b w:val="1"/>
                <w:bCs w:val="1"/>
                <w:color w:val="0070C0"/>
              </w:rPr>
              <w:t>Revenue</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Product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spacing w:after="0"/>
              <w:rPr>
                <w:sz w:val="17"/>
                <w:szCs w:val="17"/>
                <w:color w:val="auto"/>
              </w:rPr>
            </w:pP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68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b w:val="1"/>
                <w:bCs w:val="1"/>
                <w:color w:val="2573BA"/>
              </w:rPr>
              <w:t>2025</w:t>
            </w: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200" w:type="dxa"/>
            <w:vAlign w:val="bottom"/>
            <w:tcBorders>
              <w:bottom w:val="single" w:sz="8" w:color="auto"/>
            </w:tcBorders>
            <w:shd w:val="clear" w:color="auto" w:fill="DDDDDD"/>
          </w:tcPr>
          <w:p>
            <w:pPr>
              <w:spacing w:after="0"/>
              <w:rPr>
                <w:sz w:val="17"/>
                <w:szCs w:val="17"/>
                <w:color w:val="auto"/>
              </w:rPr>
            </w:pPr>
          </w:p>
        </w:tc>
        <w:tc>
          <w:tcPr>
            <w:tcW w:w="700" w:type="dxa"/>
            <w:vAlign w:val="bottom"/>
            <w:tcBorders>
              <w:bottom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Rest of</w:t>
            </w:r>
          </w:p>
        </w:tc>
        <w:tc>
          <w:tcPr>
            <w:tcW w:w="18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2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16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TECFIDERA</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168.5</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511.2</w:t>
            </w:r>
          </w:p>
        </w:tc>
        <w:tc>
          <w:tcPr>
            <w:tcW w:w="340" w:type="dxa"/>
            <w:vAlign w:val="bottom"/>
            <w:gridSpan w:val="3"/>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679.7</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169.2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797.9</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967.1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263.1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749.4</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1,012.5</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VUMERITY</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651.2</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95.6</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746.8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628.0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512.1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576.3</w:t>
            </w:r>
          </w:p>
        </w:tc>
        <w:tc>
          <w:tcPr>
            <w:tcW w:w="0" w:type="dxa"/>
            <w:vAlign w:val="bottom"/>
          </w:tcPr>
          <w:p>
            <w:pPr>
              <w:spacing w:after="0"/>
              <w:rPr>
                <w:sz w:val="1"/>
                <w:szCs w:val="1"/>
                <w:color w:val="auto"/>
              </w:rPr>
            </w:pPr>
          </w:p>
        </w:tc>
      </w:tr>
      <w:tr>
        <w:trPr>
          <w:trHeight w:val="194"/>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Total Fumarate</w:t>
            </w:r>
          </w:p>
        </w:tc>
        <w:tc>
          <w:tcPr>
            <w:tcW w:w="16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819.7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606.8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1,426.5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707.8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1,595.1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775.2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813.6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1,588.8</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AVONEX</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482.9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212.6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695.5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256.2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707.5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536.7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274.3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811.0</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PLEGRIDY</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104.9</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145.2</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250.1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294.7</w:t>
            </w:r>
          </w:p>
        </w:tc>
        <w:tc>
          <w:tcPr>
            <w:tcW w:w="0" w:type="dxa"/>
            <w:vAlign w:val="bottom"/>
          </w:tcPr>
          <w:p>
            <w:pPr>
              <w:spacing w:after="0"/>
              <w:rPr>
                <w:sz w:val="1"/>
                <w:szCs w:val="1"/>
                <w:color w:val="auto"/>
              </w:rPr>
            </w:pPr>
          </w:p>
        </w:tc>
      </w:tr>
      <w:tr>
        <w:trPr>
          <w:trHeight w:val="194"/>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Total Interferon</w:t>
            </w:r>
          </w:p>
        </w:tc>
        <w:tc>
          <w:tcPr>
            <w:tcW w:w="16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587.8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357.8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945.6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968.0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662.9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442.8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1,105.7</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TYSABRI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965.0</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700.4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1,665.4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1,715.0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997.9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879.0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1,876.9</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FAMPYRA</w:t>
            </w:r>
            <w:r>
              <w:rPr>
                <w:rFonts w:ascii="Arial" w:cs="Arial" w:eastAsia="Arial" w:hAnsi="Arial"/>
                <w:sz w:val="9"/>
                <w:szCs w:val="9"/>
                <w:color w:val="auto"/>
              </w:rPr>
              <w:t>(1)</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Subtotal: Multiple Sclerosis</w:t>
            </w: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2,372.5</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1,666.4</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spacing w:after="0"/>
              <w:rPr>
                <w:sz w:val="17"/>
                <w:szCs w:val="17"/>
                <w:color w:val="auto"/>
              </w:rPr>
            </w:pP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4,038.9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2,190.5</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2,159.3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4,349.8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2,436.0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2,225.9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4,661.9</w:t>
            </w:r>
          </w:p>
        </w:tc>
        <w:tc>
          <w:tcPr>
            <w:tcW w:w="0" w:type="dxa"/>
            <w:vAlign w:val="bottom"/>
          </w:tcPr>
          <w:p>
            <w:pPr>
              <w:spacing w:after="0"/>
              <w:rPr>
                <w:sz w:val="1"/>
                <w:szCs w:val="1"/>
                <w:color w:val="auto"/>
              </w:rPr>
            </w:pPr>
          </w:p>
        </w:tc>
      </w:tr>
      <w:tr>
        <w:trPr>
          <w:trHeight w:val="235"/>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Rare Disease:</w:t>
            </w:r>
          </w:p>
        </w:tc>
        <w:tc>
          <w:tcPr>
            <w:tcW w:w="16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SPINRAZA</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625.5</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921.3</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1,546.8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1,573.2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610.5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1,130.7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1,741.2</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SKYCLARYS</w:t>
            </w:r>
            <w:r>
              <w:rPr>
                <w:rFonts w:ascii="Arial" w:cs="Arial" w:eastAsia="Arial" w:hAnsi="Arial"/>
                <w:sz w:val="9"/>
                <w:szCs w:val="9"/>
                <w:color w:val="auto"/>
              </w:rPr>
              <w:t>(2)</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310.6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209.9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520.5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382.5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QALSODY</w:t>
            </w:r>
            <w:r>
              <w:rPr>
                <w:rFonts w:ascii="Arial" w:cs="Arial" w:eastAsia="Arial" w:hAnsi="Arial"/>
                <w:sz w:val="9"/>
                <w:szCs w:val="9"/>
                <w:color w:val="auto"/>
              </w:rPr>
              <w:t>(3)</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30.1</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56.8</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86.9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Subtotal: Rare Disease</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966.2</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1,188.0</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2,154.2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1,040.4</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1,988.1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1,130.8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1,803.0</w:t>
            </w:r>
          </w:p>
        </w:tc>
        <w:tc>
          <w:tcPr>
            <w:tcW w:w="0" w:type="dxa"/>
            <w:vAlign w:val="bottom"/>
          </w:tcPr>
          <w:p>
            <w:pPr>
              <w:spacing w:after="0"/>
              <w:rPr>
                <w:sz w:val="1"/>
                <w:szCs w:val="1"/>
                <w:color w:val="auto"/>
              </w:rPr>
            </w:pPr>
          </w:p>
        </w:tc>
      </w:tr>
      <w:tr>
        <w:trPr>
          <w:trHeight w:val="235"/>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6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BENEPALI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453.2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479.1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438.8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438.8</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IMRALDI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190.2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FLIXABI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52.6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BYOOVIZ</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13.0</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TOFIDENCE</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0.7</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Subtotal: Biosimilars</w:t>
            </w: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13.7</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715.4</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auto"/>
            </w:tcBorders>
            <w:shd w:val="clear" w:color="auto" w:fill="DBDBDB"/>
          </w:tcPr>
          <w:p>
            <w:pPr>
              <w:spacing w:after="0"/>
              <w:rPr>
                <w:sz w:val="17"/>
                <w:szCs w:val="17"/>
                <w:color w:val="auto"/>
              </w:rPr>
            </w:pP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729.1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769.0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793.1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740.8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770.0</w:t>
            </w:r>
          </w:p>
        </w:tc>
        <w:tc>
          <w:tcPr>
            <w:tcW w:w="0" w:type="dxa"/>
            <w:vAlign w:val="bottom"/>
          </w:tcPr>
          <w:p>
            <w:pPr>
              <w:spacing w:after="0"/>
              <w:rPr>
                <w:sz w:val="1"/>
                <w:szCs w:val="1"/>
                <w:color w:val="auto"/>
              </w:rPr>
            </w:pPr>
          </w:p>
        </w:tc>
      </w:tr>
      <w:tr>
        <w:trPr>
          <w:trHeight w:val="235"/>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ZURZUVAE</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195.1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195.1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(4)</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0.4</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9"/>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Subtotal: Other</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195.5</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197.2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20"/>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Total product revenue, net</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3,547.9</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3,571.5</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7,119.4</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3,237.3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3,976.2</w:t>
            </w:r>
          </w:p>
        </w:tc>
        <w:tc>
          <w:tcPr>
            <w:tcW w:w="1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7,213.5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3,141.4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4,105.3</w:t>
            </w:r>
          </w:p>
        </w:tc>
        <w:tc>
          <w:tcPr>
            <w:tcW w:w="10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7,246.7</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7774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59" w:lineRule="exact"/>
        <w:rPr>
          <w:sz w:val="20"/>
          <w:szCs w:val="20"/>
          <w:color w:val="auto"/>
        </w:rPr>
      </w:pPr>
    </w:p>
    <w:p>
      <w:pPr>
        <w:ind w:left="160" w:hanging="152"/>
        <w:spacing w:after="0"/>
        <w:tabs>
          <w:tab w:leader="none" w:pos="16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Effective January 1, 2025, our collaboration and license agreement for FAMPYRA global commercialization rights was terminated.</w:t>
      </w:r>
    </w:p>
    <w:p>
      <w:pPr>
        <w:spacing w:after="0" w:line="12"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SKYCLARYS became commercially available in the E.U. during the first quarter of 2024.</w:t>
      </w:r>
    </w:p>
    <w:p>
      <w:pPr>
        <w:spacing w:after="0" w:line="1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09"/>
        </w:numPr>
        <w:rPr>
          <w:rFonts w:ascii="Arial" w:cs="Arial" w:eastAsia="Arial" w:hAnsi="Arial"/>
          <w:sz w:val="18"/>
          <w:szCs w:val="18"/>
          <w:color w:val="auto"/>
          <w:vertAlign w:val="superscript"/>
        </w:rPr>
      </w:pPr>
      <w:r>
        <w:rPr>
          <w:rFonts w:ascii="Arial" w:cs="Arial" w:eastAsia="Arial" w:hAnsi="Arial"/>
          <w:sz w:val="14"/>
          <w:szCs w:val="14"/>
          <w:color w:val="auto"/>
        </w:rPr>
        <w:t>QALSODY became commercially available in the E.U. during the second quarter of 2024.</w:t>
      </w:r>
    </w:p>
    <w:p>
      <w:pPr>
        <w:spacing w:after="0" w:line="1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09"/>
        </w:numPr>
        <w:rPr>
          <w:rFonts w:ascii="Arial" w:cs="Arial" w:eastAsia="Arial" w:hAnsi="Arial"/>
          <w:sz w:val="9"/>
          <w:szCs w:val="9"/>
          <w:color w:val="auto"/>
        </w:rPr>
      </w:pPr>
      <w:r>
        <w:rPr>
          <w:rFonts w:ascii="Arial" w:cs="Arial" w:eastAsia="Arial" w:hAnsi="Arial"/>
          <w:sz w:val="14"/>
          <w:szCs w:val="14"/>
          <w:color w:val="auto"/>
        </w:rPr>
        <w:t>Other includes FUMADERM and ADUHELM.</w:t>
      </w:r>
    </w:p>
    <w:p>
      <w:pPr>
        <w:spacing w:after="0" w:line="15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recognized revenue from two wholesalers accounting for 28.0% and 15.8% of gross product revenue in 2025, 25.9% and 13.4% of gross product revenue in 2024 and 27.0% and 9.9% of gross product revenue in 2023, respectively.</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 of December 31, 2025, two wholesale distributors individually accounted for approximately 25.4% and 15.2% of net accounts receivable associated with our product sales, as compared to 27.2% and 11.7% as of December 31, 2024,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2011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2024</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prior years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2025</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2011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2023</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prior years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2024</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2011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2022</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prior years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2023</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Discounts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Contractual</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Returns</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BDBDB"/>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162.7</w:t>
            </w:r>
          </w:p>
        </w:tc>
        <w:tc>
          <w:tcPr>
            <w:tcW w:w="28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880.8</w:t>
            </w:r>
          </w:p>
        </w:tc>
        <w:tc>
          <w:tcPr>
            <w:tcW w:w="1040" w:type="dxa"/>
            <w:vAlign w:val="bottom"/>
            <w:gridSpan w:val="2"/>
            <w:shd w:val="clear" w:color="auto" w:fill="DBDBDB"/>
          </w:tcPr>
          <w:p>
            <w:pPr>
              <w:jc w:val="right"/>
              <w:ind w:right="768"/>
              <w:spacing w:after="0"/>
              <w:rPr>
                <w:sz w:val="20"/>
                <w:szCs w:val="20"/>
                <w:color w:val="auto"/>
              </w:rPr>
            </w:pPr>
            <w:r>
              <w:rPr>
                <w:rFonts w:ascii="Arial" w:cs="Arial" w:eastAsia="Arial" w:hAnsi="Arial"/>
                <w:sz w:val="14"/>
                <w:szCs w:val="14"/>
                <w:color w:val="2573BA"/>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48.1</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1,091.6</w:t>
            </w:r>
          </w:p>
        </w:tc>
        <w:tc>
          <w:tcPr>
            <w:tcW w:w="0" w:type="dxa"/>
            <w:vAlign w:val="bottom"/>
          </w:tcPr>
          <w:p>
            <w:pPr>
              <w:spacing w:after="0"/>
              <w:rPr>
                <w:sz w:val="1"/>
                <w:szCs w:val="1"/>
                <w:color w:val="auto"/>
              </w:rPr>
            </w:pPr>
          </w:p>
        </w:tc>
      </w:tr>
      <w:tr>
        <w:trPr>
          <w:trHeight w:val="203"/>
        </w:trPr>
        <w:tc>
          <w:tcPr>
            <w:tcW w:w="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832.4</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2,773.1</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31.9</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3,637.4</w:t>
            </w:r>
          </w:p>
        </w:tc>
        <w:tc>
          <w:tcPr>
            <w:tcW w:w="0" w:type="dxa"/>
            <w:vAlign w:val="bottom"/>
          </w:tcPr>
          <w:p>
            <w:pPr>
              <w:spacing w:after="0"/>
              <w:rPr>
                <w:sz w:val="1"/>
                <w:szCs w:val="1"/>
                <w:color w:val="auto"/>
              </w:rPr>
            </w:pPr>
          </w:p>
        </w:tc>
      </w:tr>
      <w:tr>
        <w:trPr>
          <w:trHeight w:val="202"/>
        </w:trPr>
        <w:tc>
          <w:tcPr>
            <w:tcW w:w="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(83.4)</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0.7</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(80.5)</w:t>
            </w:r>
          </w:p>
        </w:tc>
        <w:tc>
          <w:tcPr>
            <w:tcW w:w="0" w:type="dxa"/>
            <w:vAlign w:val="bottom"/>
          </w:tcPr>
          <w:p>
            <w:pPr>
              <w:spacing w:after="0"/>
              <w:rPr>
                <w:sz w:val="1"/>
                <w:szCs w:val="1"/>
                <w:color w:val="auto"/>
              </w:rPr>
            </w:pPr>
          </w:p>
        </w:tc>
      </w:tr>
      <w:tr>
        <w:trPr>
          <w:trHeight w:val="203"/>
        </w:trPr>
        <w:tc>
          <w:tcPr>
            <w:tcW w:w="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(728.3)</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(1,905.8)</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(2,635.8)</w:t>
            </w:r>
          </w:p>
        </w:tc>
        <w:tc>
          <w:tcPr>
            <w:tcW w:w="0" w:type="dxa"/>
            <w:vAlign w:val="bottom"/>
          </w:tcPr>
          <w:p>
            <w:pPr>
              <w:spacing w:after="0"/>
              <w:rPr>
                <w:sz w:val="1"/>
                <w:szCs w:val="1"/>
                <w:color w:val="auto"/>
              </w:rPr>
            </w:pPr>
          </w:p>
        </w:tc>
      </w:tr>
      <w:tr>
        <w:trPr>
          <w:trHeight w:val="207"/>
        </w:trPr>
        <w:tc>
          <w:tcPr>
            <w:tcW w:w="22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(153.3)</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(618.6)</w:t>
            </w:r>
          </w:p>
        </w:tc>
        <w:tc>
          <w:tcPr>
            <w:tcW w:w="1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w w:val="98"/>
              </w:rPr>
              <w:t>(30.0)</w:t>
            </w:r>
          </w:p>
        </w:tc>
        <w:tc>
          <w:tcPr>
            <w:tcW w:w="12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(801.9)</w:t>
            </w:r>
          </w:p>
        </w:tc>
        <w:tc>
          <w:tcPr>
            <w:tcW w:w="0" w:type="dxa"/>
            <w:vAlign w:val="bottom"/>
          </w:tcPr>
          <w:p>
            <w:pPr>
              <w:spacing w:after="0"/>
              <w:rPr>
                <w:sz w:val="1"/>
                <w:szCs w:val="1"/>
                <w:color w:val="auto"/>
              </w:rPr>
            </w:pPr>
          </w:p>
        </w:tc>
      </w:tr>
      <w:tr>
        <w:trPr>
          <w:trHeight w:val="216"/>
        </w:trPr>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115.7</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1,046.1</w:t>
            </w:r>
          </w:p>
        </w:tc>
        <w:tc>
          <w:tcPr>
            <w:tcW w:w="1040" w:type="dxa"/>
            <w:vAlign w:val="bottom"/>
            <w:gridSpan w:val="2"/>
            <w:shd w:val="clear" w:color="auto" w:fill="DBDBDB"/>
          </w:tcPr>
          <w:p>
            <w:pPr>
              <w:jc w:val="right"/>
              <w:ind w:right="768"/>
              <w:spacing w:after="0"/>
              <w:rPr>
                <w:sz w:val="20"/>
                <w:szCs w:val="20"/>
                <w:color w:val="auto"/>
              </w:rPr>
            </w:pPr>
            <w:r>
              <w:rPr>
                <w:rFonts w:ascii="Arial" w:cs="Arial" w:eastAsia="Arial" w:hAnsi="Arial"/>
                <w:sz w:val="14"/>
                <w:szCs w:val="14"/>
                <w:color w:val="2573BA"/>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49.0</w:t>
            </w: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1,210.8</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As of 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Discounts</w:t>
            </w: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rPr>
              <w:t>Contractual</w:t>
            </w: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Returns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857.1</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1,062.0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2,687.5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3,535.3</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(1,989.7)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(2,661.2)</w:t>
            </w:r>
          </w:p>
        </w:tc>
        <w:tc>
          <w:tcPr>
            <w:tcW w:w="0" w:type="dxa"/>
            <w:vAlign w:val="bottom"/>
          </w:tcPr>
          <w:p>
            <w:pPr>
              <w:spacing w:after="0"/>
              <w:rPr>
                <w:sz w:val="1"/>
                <w:szCs w:val="1"/>
                <w:color w:val="auto"/>
              </w:rPr>
            </w:pPr>
          </w:p>
        </w:tc>
      </w:tr>
      <w:tr>
        <w:trPr>
          <w:trHeight w:val="207"/>
        </w:trPr>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(828.0)</w:t>
            </w: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880.8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1,091.6</w:t>
            </w:r>
          </w:p>
        </w:tc>
        <w:tc>
          <w:tcPr>
            <w:tcW w:w="0" w:type="dxa"/>
            <w:vAlign w:val="bottom"/>
          </w:tcPr>
          <w:p>
            <w:pPr>
              <w:spacing w:after="0"/>
              <w:rPr>
                <w:sz w:val="1"/>
                <w:szCs w:val="1"/>
                <w:color w:val="auto"/>
              </w:rPr>
            </w:pPr>
          </w:p>
        </w:tc>
      </w:tr>
      <w:tr>
        <w:trPr>
          <w:trHeight w:val="25"/>
        </w:trPr>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As of December 31,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Discounts</w:t>
            </w: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Contractual</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Returns</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9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857.7</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735.6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2,720.1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3,474.7</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(1,944.8)</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(2,519.8)</w:t>
            </w:r>
          </w:p>
        </w:tc>
        <w:tc>
          <w:tcPr>
            <w:tcW w:w="0" w:type="dxa"/>
            <w:vAlign w:val="bottom"/>
          </w:tcPr>
          <w:p>
            <w:pPr>
              <w:spacing w:after="0"/>
              <w:rPr>
                <w:sz w:val="1"/>
                <w:szCs w:val="1"/>
                <w:color w:val="auto"/>
              </w:rPr>
            </w:pPr>
          </w:p>
        </w:tc>
      </w:tr>
      <w:tr>
        <w:trPr>
          <w:trHeight w:val="207"/>
        </w:trPr>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(737.5)</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(28.0)</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(908.3)</w:t>
            </w: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857.1</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1,062.0</w:t>
            </w:r>
          </w:p>
        </w:tc>
        <w:tc>
          <w:tcPr>
            <w:tcW w:w="0" w:type="dxa"/>
            <w:vAlign w:val="bottom"/>
          </w:tcPr>
          <w:p>
            <w:pPr>
              <w:spacing w:after="0"/>
              <w:rPr>
                <w:sz w:val="1"/>
                <w:szCs w:val="1"/>
                <w:color w:val="auto"/>
              </w:rPr>
            </w:pPr>
          </w:p>
        </w:tc>
      </w:tr>
      <w:tr>
        <w:trPr>
          <w:trHeight w:val="25"/>
        </w:trPr>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760" w:space="720"/>
            <w:col w:w="5760"/>
          </w:cols>
          <w:pgMar w:left="320" w:top="238"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total reserves above, which are included in our consolidated balance sheets,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7"/>
                <w:szCs w:val="17"/>
                <w:color w:val="auto"/>
              </w:rPr>
            </w:pPr>
          </w:p>
        </w:tc>
      </w:tr>
      <w:tr>
        <w:trPr>
          <w:trHeight w:val="197"/>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2024</w:t>
            </w:r>
          </w:p>
        </w:tc>
      </w:tr>
      <w:tr>
        <w:trPr>
          <w:trHeight w:val="189"/>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Reduction of accounts receivable</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210.4</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154.1</w:t>
            </w:r>
          </w:p>
        </w:tc>
      </w:tr>
      <w:tr>
        <w:trPr>
          <w:trHeight w:val="207"/>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Component of accrued expense and other</w:t>
            </w: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1,000.4</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937.5</w:t>
            </w:r>
          </w:p>
        </w:tc>
      </w:tr>
      <w:tr>
        <w:trPr>
          <w:trHeight w:val="220"/>
        </w:trPr>
        <w:tc>
          <w:tcPr>
            <w:tcW w:w="7180" w:type="dxa"/>
            <w:vAlign w:val="bottom"/>
            <w:gridSpan w:val="2"/>
          </w:tcPr>
          <w:p>
            <w:pPr>
              <w:ind w:left="140"/>
              <w:spacing w:after="0"/>
              <w:rPr>
                <w:sz w:val="20"/>
                <w:szCs w:val="20"/>
                <w:color w:val="auto"/>
              </w:rPr>
            </w:pPr>
            <w:r>
              <w:rPr>
                <w:rFonts w:ascii="Arial" w:cs="Arial" w:eastAsia="Arial" w:hAnsi="Arial"/>
                <w:sz w:val="14"/>
                <w:szCs w:val="14"/>
                <w:color w:val="auto"/>
              </w:rPr>
              <w:t>Total revenue-related reserves</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1,210.8</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1,091.6</w:t>
            </w:r>
          </w:p>
        </w:tc>
      </w:tr>
      <w:tr>
        <w:trPr>
          <w:trHeight w:val="20"/>
        </w:trPr>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Revenue from Anti-CD20 Therapeutic Programs</w:t>
      </w:r>
    </w:p>
    <w:p>
      <w:pPr>
        <w:spacing w:after="0" w:line="112"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Revenue from anti-CD20 therapeutic programs is summarized in the table below. For purposes of this footnote, we refer to RITUXAN and RITUXAN HYCELA collectively as RITUXAN.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7"/>
                <w:szCs w:val="17"/>
                <w:color w:val="auto"/>
              </w:rPr>
            </w:pPr>
          </w:p>
        </w:tc>
      </w:tr>
      <w:tr>
        <w:trPr>
          <w:trHeight w:val="197"/>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DDDDD"/>
          </w:tcPr>
          <w:p>
            <w:pPr>
              <w:spacing w:after="0"/>
              <w:rPr>
                <w:sz w:val="17"/>
                <w:szCs w:val="17"/>
                <w:color w:val="auto"/>
              </w:rPr>
            </w:pPr>
          </w:p>
        </w:tc>
        <w:tc>
          <w:tcPr>
            <w:tcW w:w="1100" w:type="dxa"/>
            <w:vAlign w:val="bottom"/>
            <w:tcBorders>
              <w:bottom w:val="single" w:sz="8" w:color="auto"/>
            </w:tcBorders>
            <w:shd w:val="clear" w:color="auto" w:fill="DDDDDD"/>
          </w:tcPr>
          <w:p>
            <w:pPr>
              <w:jc w:val="right"/>
              <w:ind w:right="48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r>
      <w:tr>
        <w:trPr>
          <w:trHeight w:val="189"/>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Royalty revenue on sales of OCREVUS</w:t>
            </w:r>
          </w:p>
        </w:tc>
        <w:tc>
          <w:tcPr>
            <w:tcW w:w="32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w w:val="76"/>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1,414.9</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1,339.5</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1,266.2</w:t>
            </w:r>
          </w:p>
        </w:tc>
      </w:tr>
      <w:tr>
        <w:trPr>
          <w:trHeight w:val="203"/>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420.2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392.0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409.4</w:t>
            </w:r>
          </w:p>
        </w:tc>
      </w:tr>
      <w:tr>
        <w:trPr>
          <w:trHeight w:val="207"/>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25.5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r>
      <w:tr>
        <w:trPr>
          <w:trHeight w:val="220"/>
        </w:trPr>
        <w:tc>
          <w:tcPr>
            <w:tcW w:w="6740" w:type="dxa"/>
            <w:vAlign w:val="bottom"/>
            <w:gridSpan w:val="2"/>
          </w:tcPr>
          <w:p>
            <w:pPr>
              <w:ind w:left="360"/>
              <w:spacing w:after="0"/>
              <w:rPr>
                <w:sz w:val="20"/>
                <w:szCs w:val="20"/>
                <w:color w:val="auto"/>
              </w:rPr>
            </w:pPr>
            <w:r>
              <w:rPr>
                <w:rFonts w:ascii="Arial" w:cs="Arial" w:eastAsia="Arial" w:hAnsi="Arial"/>
                <w:sz w:val="14"/>
                <w:szCs w:val="14"/>
                <w:color w:val="auto"/>
              </w:rPr>
              <w:t>Total revenue from anti-CD20 therapeutic programs</w:t>
            </w:r>
          </w:p>
        </w:tc>
        <w:tc>
          <w:tcPr>
            <w:tcW w:w="32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w w:val="76"/>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1,860.6</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1,749.9</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1,689.6</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2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 xml:space="preserve">Approximately 18.8%, 18.1% and 17.2% of our total revenue in 2025, 2024 and 2023, respectively, was derived from our collaboration arrangements with Genentech. For additional information on our collaboration arrangements with Genentech,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these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Alzheimer's Collaboration Revenue</w:t>
      </w:r>
    </w:p>
    <w:p>
      <w:pPr>
        <w:spacing w:after="0" w:line="12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Alzheimer's collaboration revenue consists of our 50.0% share of LEQEMBI product revenue, net and cost of sales, including royalties, as we are not the principal. We began recognizing Alzheimer's collaboration revenue upon the accelerated approval of LEQEMBI in the U.S. during the first quarter of 2023.</w:t>
      </w:r>
    </w:p>
    <w:p>
      <w:pPr>
        <w:spacing w:after="0" w:line="6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the years ended December 31, 2025 and 2024, we recognized Alzheimer's collaboration revenue of approximately $177.7 million and $59.9 million, respectively, within our consolidated statements of income. For the year ended December 31, 2023, our share of LEQEMBI product revenue, net, was fully offset by our share of cost of sales, including royalties, resulting in a zero net impact to Alzheimer's collaboration revenue within our consolidated statements of income.</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Contract Manufacturing, Royalty and Other Revenue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r>
      <w:tr>
        <w:trPr>
          <w:trHeight w:val="189"/>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679.4</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592.1</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848.2</w:t>
            </w:r>
          </w:p>
        </w:tc>
      </w:tr>
      <w:tr>
        <w:trPr>
          <w:trHeight w:val="207"/>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53.5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r>
      <w:tr>
        <w:trPr>
          <w:trHeight w:val="220"/>
        </w:trPr>
        <w:tc>
          <w:tcPr>
            <w:tcW w:w="6080" w:type="dxa"/>
            <w:vAlign w:val="bottom"/>
            <w:gridSpan w:val="2"/>
          </w:tcPr>
          <w:p>
            <w:pPr>
              <w:ind w:left="240"/>
              <w:spacing w:after="0"/>
              <w:rPr>
                <w:sz w:val="20"/>
                <w:szCs w:val="20"/>
                <w:color w:val="auto"/>
              </w:rPr>
            </w:pPr>
            <w:r>
              <w:rPr>
                <w:rFonts w:ascii="Arial" w:cs="Arial" w:eastAsia="Arial" w:hAnsi="Arial"/>
                <w:sz w:val="14"/>
                <w:szCs w:val="14"/>
                <w:color w:val="auto"/>
              </w:rPr>
              <w:t>Total contract manufacturing, royalty and other revenue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732.9</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652.6</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899.3</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Contract Manufacturing Revenue</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Contract manufacturing revenue primarily reflects amounts earned under contract manufacturing agreements with our strategic customers and batches of LEQEMBI related to our collaboration with Eisai.</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Royalty and Other Revenue</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Royalty and other revenue primarily reflects royalty revenue on biosimilar products from our license arrangements with Samsung Bioepis and royalties we receive from net sales on products related to patents that we have out-licensed.</w:t>
      </w:r>
    </w:p>
    <w:p>
      <w:pPr>
        <w:spacing w:after="0" w:line="4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additional information on our license arrangements with Samsung Bioepis and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6:</w:t>
            </w:r>
          </w:p>
        </w:tc>
        <w:tc>
          <w:tcPr>
            <w:tcW w:w="586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Inventory</w:t>
            </w:r>
          </w:p>
        </w:tc>
        <w:tc>
          <w:tcPr>
            <w:tcW w:w="480" w:type="dxa"/>
            <w:vAlign w:val="bottom"/>
            <w:tcBorders>
              <w:bottom w:val="single" w:sz="8" w:color="0070C0"/>
            </w:tcBorders>
          </w:tcPr>
          <w:p>
            <w:pPr>
              <w:spacing w:after="0"/>
              <w:rPr>
                <w:sz w:val="24"/>
                <w:szCs w:val="24"/>
                <w:color w:val="auto"/>
              </w:rPr>
            </w:pPr>
          </w:p>
        </w:tc>
        <w:tc>
          <w:tcPr>
            <w:tcW w:w="150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720" w:type="dxa"/>
            <w:vAlign w:val="bottom"/>
            <w:tcBorders>
              <w:bottom w:val="single" w:sz="8" w:color="0070C0"/>
            </w:tcBorders>
          </w:tcPr>
          <w:p>
            <w:pPr>
              <w:spacing w:after="0"/>
              <w:rPr>
                <w:sz w:val="24"/>
                <w:szCs w:val="24"/>
                <w:color w:val="auto"/>
              </w:rPr>
            </w:pPr>
          </w:p>
        </w:tc>
        <w:tc>
          <w:tcPr>
            <w:tcW w:w="1260" w:type="dxa"/>
            <w:vAlign w:val="bottom"/>
            <w:tcBorders>
              <w:bottom w:val="single" w:sz="8" w:color="0070C0"/>
            </w:tcBorders>
          </w:tcPr>
          <w:p>
            <w:pPr>
              <w:spacing w:after="0"/>
              <w:rPr>
                <w:sz w:val="24"/>
                <w:szCs w:val="24"/>
                <w:color w:val="auto"/>
              </w:rPr>
            </w:pPr>
          </w:p>
        </w:tc>
      </w:tr>
      <w:tr>
        <w:trPr>
          <w:trHeight w:val="389"/>
        </w:trPr>
        <w:tc>
          <w:tcPr>
            <w:tcW w:w="7180" w:type="dxa"/>
            <w:vAlign w:val="bottom"/>
            <w:gridSpan w:val="3"/>
          </w:tcPr>
          <w:p>
            <w:pPr>
              <w:spacing w:after="0"/>
              <w:rPr>
                <w:sz w:val="20"/>
                <w:szCs w:val="20"/>
                <w:color w:val="auto"/>
              </w:rPr>
            </w:pPr>
            <w:r>
              <w:rPr>
                <w:rFonts w:ascii="Arial" w:cs="Arial" w:eastAsia="Arial" w:hAnsi="Arial"/>
                <w:sz w:val="18"/>
                <w:szCs w:val="18"/>
                <w:color w:val="auto"/>
              </w:rPr>
              <w:t>The components of inventory are summarized as follows:</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3"/>
        </w:trPr>
        <w:tc>
          <w:tcPr>
            <w:tcW w:w="13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9"/>
                <w:szCs w:val="19"/>
                <w:color w:val="auto"/>
              </w:rPr>
            </w:pPr>
          </w:p>
        </w:tc>
      </w:tr>
      <w:tr>
        <w:trPr>
          <w:trHeight w:val="197"/>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2024</w:t>
            </w: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Raw materials</w:t>
            </w:r>
          </w:p>
        </w:tc>
        <w:tc>
          <w:tcPr>
            <w:tcW w:w="5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293.4</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317.8</w:t>
            </w:r>
          </w:p>
        </w:tc>
      </w:tr>
      <w:tr>
        <w:trPr>
          <w:trHeight w:val="203"/>
        </w:trPr>
        <w:tc>
          <w:tcPr>
            <w:tcW w:w="132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1,595.2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1,882.8</w:t>
            </w:r>
          </w:p>
        </w:tc>
      </w:tr>
      <w:tr>
        <w:trPr>
          <w:trHeight w:val="207"/>
        </w:trPr>
        <w:tc>
          <w:tcPr>
            <w:tcW w:w="1320" w:type="dxa"/>
            <w:vAlign w:val="bottom"/>
          </w:tcPr>
          <w:p>
            <w:pPr>
              <w:ind w:left="20"/>
              <w:spacing w:after="0"/>
              <w:rPr>
                <w:sz w:val="20"/>
                <w:szCs w:val="20"/>
                <w:color w:val="auto"/>
              </w:rPr>
            </w:pPr>
            <w:r>
              <w:rPr>
                <w:rFonts w:ascii="Arial" w:cs="Arial" w:eastAsia="Arial" w:hAnsi="Arial"/>
                <w:sz w:val="14"/>
                <w:szCs w:val="14"/>
                <w:color w:val="auto"/>
              </w:rPr>
              <w:t>Finished goods</w:t>
            </w: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424.9</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353.8</w:t>
            </w:r>
          </w:p>
        </w:tc>
      </w:tr>
      <w:tr>
        <w:trPr>
          <w:trHeight w:val="240"/>
        </w:trPr>
        <w:tc>
          <w:tcPr>
            <w:tcW w:w="132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2,313.5</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2,554.4</w:t>
            </w:r>
          </w:p>
        </w:tc>
      </w:tr>
      <w:tr>
        <w:trPr>
          <w:trHeight w:val="418"/>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Balance Sheet Classification:</w:t>
            </w:r>
          </w:p>
        </w:tc>
        <w:tc>
          <w:tcPr>
            <w:tcW w:w="480" w:type="dxa"/>
            <w:vAlign w:val="bottom"/>
            <w:tcBorders>
              <w:top w:val="single" w:sz="8" w:color="auto"/>
            </w:tcBorders>
            <w:shd w:val="clear" w:color="auto" w:fill="DBDBDB"/>
          </w:tcPr>
          <w:p>
            <w:pPr>
              <w:spacing w:after="0"/>
              <w:rPr>
                <w:sz w:val="24"/>
                <w:szCs w:val="24"/>
                <w:color w:val="auto"/>
              </w:rPr>
            </w:pPr>
          </w:p>
        </w:tc>
        <w:tc>
          <w:tcPr>
            <w:tcW w:w="1500" w:type="dxa"/>
            <w:vAlign w:val="bottom"/>
            <w:tcBorders>
              <w:top w:val="single" w:sz="8" w:color="auto"/>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03"/>
        </w:trPr>
        <w:tc>
          <w:tcPr>
            <w:tcW w:w="1320" w:type="dxa"/>
            <w:vAlign w:val="bottom"/>
          </w:tcPr>
          <w:p>
            <w:pPr>
              <w:ind w:left="20"/>
              <w:spacing w:after="0"/>
              <w:rPr>
                <w:sz w:val="20"/>
                <w:szCs w:val="20"/>
                <w:color w:val="auto"/>
              </w:rPr>
            </w:pPr>
            <w:r>
              <w:rPr>
                <w:rFonts w:ascii="Arial" w:cs="Arial" w:eastAsia="Arial" w:hAnsi="Arial"/>
                <w:sz w:val="14"/>
                <w:szCs w:val="14"/>
                <w:color w:val="auto"/>
              </w:rPr>
              <w:t>Inventory</w:t>
            </w: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2,168.1</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2,460.5</w:t>
            </w:r>
          </w:p>
        </w:tc>
      </w:tr>
      <w:tr>
        <w:trPr>
          <w:trHeight w:val="207"/>
        </w:trPr>
        <w:tc>
          <w:tcPr>
            <w:tcW w:w="7180" w:type="dxa"/>
            <w:vAlign w:val="bottom"/>
            <w:gridSpan w:val="3"/>
          </w:tcPr>
          <w:p>
            <w:pPr>
              <w:ind w:left="20"/>
              <w:spacing w:after="0"/>
              <w:rPr>
                <w:sz w:val="20"/>
                <w:szCs w:val="20"/>
                <w:color w:val="auto"/>
              </w:rPr>
            </w:pPr>
            <w:r>
              <w:rPr>
                <w:rFonts w:ascii="Arial" w:cs="Arial" w:eastAsia="Arial" w:hAnsi="Arial"/>
                <w:sz w:val="14"/>
                <w:szCs w:val="14"/>
                <w:color w:val="auto"/>
              </w:rPr>
              <w:t>Investments and other assets</w:t>
            </w: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145.4</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w:t>
            </w:r>
          </w:p>
        </w:tc>
      </w:tr>
      <w:tr>
        <w:trPr>
          <w:trHeight w:val="220"/>
        </w:trPr>
        <w:tc>
          <w:tcPr>
            <w:tcW w:w="132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2,313.5</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2,554.4</w:t>
            </w:r>
          </w:p>
        </w:tc>
      </w:tr>
      <w:tr>
        <w:trPr>
          <w:trHeight w:val="20"/>
        </w:trPr>
        <w:tc>
          <w:tcPr>
            <w:tcW w:w="13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inventory is included in investments and other assets within our consolidated balance sheets.</w:t>
      </w:r>
    </w:p>
    <w:p>
      <w:pPr>
        <w:spacing w:after="0" w:line="10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As a result of our acquisition of Reata in September 2023 we recorded a fair value step-up adjustment related to the acquired inventory of SKYCLARYS of approximately $1.3 billion. This fair value step-up adjustment is being amortized to cost of sales as the inventory is sold or research and development expense as the inventory is used for clinical purposes within our consolidated statements of income. We expect this amount to be fully amortized by the end of 2028. For the years ended December 31, 2025, 2024 and 2023, amortization from the fair value step-up adjustment was approximately $240.8 million, $230.0 million and $31.5 million, respectively. For the years ended December</w:t>
      </w:r>
    </w:p>
    <w:p>
      <w:pPr>
        <w:spacing w:after="0" w:line="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31, 2025 and 2024, amortization from the fair value step-up adjustment includes approximately $23.9 million and $48.5 million, respectively, of inventory used for clinical purposes, which is reflected in research and development expense within our consolidated statements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income.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Write Downs and Other Charges</w:t>
      </w:r>
    </w:p>
    <w:p>
      <w:pPr>
        <w:spacing w:after="0" w:line="11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Inventory amounts written down as a result of excess, obsolescence or unmarketability are charged to cost of sales, and totaled $29.2 million, $101.9 million and $124.4 million for the years ended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31215" cy="3340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1">
                      <a:extLst>
                        <a:ext uri="{28A0092B-C50C-407E-A947-70E740481C1C}"/>
                      </a:extLst>
                    </a:blip>
                    <a:srcRect/>
                    <a:stretch>
                      <a:fillRect/>
                    </a:stretch>
                  </pic:blipFill>
                  <pic:spPr bwMode="auto">
                    <a:xfrm>
                      <a:off x="0" y="0"/>
                      <a:ext cx="831215" cy="33401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7:</w:t>
      </w:r>
      <w:r>
        <w:rPr>
          <w:sz w:val="20"/>
          <w:szCs w:val="20"/>
          <w:color w:val="auto"/>
        </w:rPr>
        <w:tab/>
      </w:r>
      <w:r>
        <w:rPr>
          <w:rFonts w:ascii="Arial" w:cs="Arial" w:eastAsia="Arial" w:hAnsi="Arial"/>
          <w:sz w:val="21"/>
          <w:szCs w:val="21"/>
          <w:b w:val="1"/>
          <w:bCs w:val="1"/>
          <w:color w:val="0070C0"/>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2440" w:type="dxa"/>
            <w:vAlign w:val="bottom"/>
            <w:tcBorders>
              <w:bottom w:val="single" w:sz="8" w:color="auto"/>
            </w:tcBorders>
            <w:gridSpan w:val="7"/>
            <w:shd w:val="clear" w:color="auto" w:fill="DDDDDD"/>
          </w:tcPr>
          <w:p>
            <w:pPr>
              <w:jc w:val="center"/>
              <w:ind w:left="428"/>
              <w:spacing w:after="0"/>
              <w:rPr>
                <w:sz w:val="20"/>
                <w:szCs w:val="20"/>
                <w:color w:val="auto"/>
              </w:rPr>
            </w:pPr>
            <w:r>
              <w:rPr>
                <w:rFonts w:ascii="Arial" w:cs="Arial" w:eastAsia="Arial" w:hAnsi="Arial"/>
                <w:sz w:val="14"/>
                <w:szCs w:val="14"/>
                <w:b w:val="1"/>
                <w:bCs w:val="1"/>
                <w:color w:val="2573BA"/>
              </w:rPr>
              <w:t>As of December 31, 2025</w:t>
            </w:r>
          </w:p>
        </w:tc>
        <w:tc>
          <w:tcPr>
            <w:tcW w:w="720" w:type="dxa"/>
            <w:vAlign w:val="bottom"/>
            <w:tcBorders>
              <w:bottom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center"/>
              <w:ind w:left="448"/>
              <w:spacing w:after="0"/>
              <w:rPr>
                <w:sz w:val="20"/>
                <w:szCs w:val="20"/>
                <w:color w:val="auto"/>
              </w:rPr>
            </w:pPr>
            <w:r>
              <w:rPr>
                <w:rFonts w:ascii="Arial" w:cs="Arial" w:eastAsia="Arial" w:hAnsi="Arial"/>
                <w:sz w:val="14"/>
                <w:szCs w:val="14"/>
                <w:b w:val="1"/>
                <w:bCs w:val="1"/>
                <w:color w:val="auto"/>
              </w:rPr>
              <w:t>As of December 31, 2024</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4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Estimated Life</w:t>
            </w:r>
          </w:p>
        </w:tc>
        <w:tc>
          <w:tcPr>
            <w:tcW w:w="12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7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7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2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Completed technology</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1-30 years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14,067.3</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(6,687.8)</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7,379.5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14,138.4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(6,254.1)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7,884.3</w:t>
            </w:r>
          </w:p>
        </w:tc>
        <w:tc>
          <w:tcPr>
            <w:tcW w:w="0" w:type="dxa"/>
            <w:vAlign w:val="bottom"/>
          </w:tcPr>
          <w:p>
            <w:pPr>
              <w:spacing w:after="0"/>
              <w:rPr>
                <w:sz w:val="1"/>
                <w:szCs w:val="1"/>
                <w:color w:val="auto"/>
              </w:rPr>
            </w:pPr>
          </w:p>
        </w:tc>
      </w:tr>
      <w:tr>
        <w:trPr>
          <w:trHeight w:val="161"/>
        </w:trPr>
        <w:tc>
          <w:tcPr>
            <w:tcW w:w="2760" w:type="dxa"/>
            <w:vAlign w:val="bottom"/>
            <w:gridSpan w:val="2"/>
            <w:vMerge w:val="restart"/>
          </w:tcPr>
          <w:p>
            <w:pPr>
              <w:ind w:left="20"/>
              <w:spacing w:after="0"/>
              <w:rPr>
                <w:sz w:val="20"/>
                <w:szCs w:val="20"/>
                <w:color w:val="auto"/>
              </w:rPr>
            </w:pPr>
            <w:r>
              <w:rPr>
                <w:rFonts w:ascii="Arial" w:cs="Arial" w:eastAsia="Arial" w:hAnsi="Arial"/>
                <w:sz w:val="14"/>
                <w:szCs w:val="14"/>
                <w:color w:val="auto"/>
              </w:rPr>
              <w:t>In-process research and development</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Indefinite until</w:t>
            </w:r>
          </w:p>
        </w:tc>
        <w:tc>
          <w:tcPr>
            <w:tcW w:w="220" w:type="dxa"/>
            <w:vAlign w:val="bottom"/>
            <w:shd w:val="clear" w:color="auto" w:fill="DBDBDB"/>
          </w:tcPr>
          <w:p>
            <w:pPr>
              <w:spacing w:after="0"/>
              <w:rPr>
                <w:sz w:val="13"/>
                <w:szCs w:val="13"/>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1,635.0</w:t>
            </w: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gridSpan w:val="2"/>
            <w:vMerge w:val="restart"/>
            <w:shd w:val="clear" w:color="auto" w:fill="DBDBDB"/>
          </w:tcPr>
          <w:p>
            <w:pPr>
              <w:ind w:left="840"/>
              <w:spacing w:after="0"/>
              <w:rPr>
                <w:sz w:val="20"/>
                <w:szCs w:val="20"/>
                <w:color w:val="auto"/>
              </w:rPr>
            </w:pPr>
            <w:r>
              <w:rPr>
                <w:rFonts w:ascii="Arial" w:cs="Arial" w:eastAsia="Arial" w:hAnsi="Arial"/>
                <w:sz w:val="14"/>
                <w:szCs w:val="14"/>
                <w:color w:val="2573BA"/>
              </w:rPr>
              <w:t>—</w:t>
            </w:r>
          </w:p>
        </w:tc>
        <w:tc>
          <w:tcPr>
            <w:tcW w:w="28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1,635.0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1,642.9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1,642.9</w:t>
            </w:r>
          </w:p>
        </w:tc>
        <w:tc>
          <w:tcPr>
            <w:tcW w:w="0" w:type="dxa"/>
            <w:vAlign w:val="bottom"/>
          </w:tcPr>
          <w:p>
            <w:pPr>
              <w:spacing w:after="0"/>
              <w:rPr>
                <w:sz w:val="1"/>
                <w:szCs w:val="1"/>
                <w:color w:val="auto"/>
              </w:rPr>
            </w:pPr>
          </w:p>
        </w:tc>
      </w:tr>
      <w:tr>
        <w:trPr>
          <w:trHeight w:val="185"/>
        </w:trPr>
        <w:tc>
          <w:tcPr>
            <w:tcW w:w="2760" w:type="dxa"/>
            <w:vAlign w:val="bottom"/>
            <w:gridSpan w:val="2"/>
            <w:vMerge w:val="continue"/>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commercialization</w:t>
            </w:r>
          </w:p>
        </w:tc>
        <w:tc>
          <w:tcPr>
            <w:tcW w:w="22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60" w:type="dxa"/>
            <w:vAlign w:val="bottom"/>
            <w:gridSpan w:val="2"/>
            <w:vMerge w:val="continue"/>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Priority review voucher</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Indefinite</w:t>
            </w:r>
          </w:p>
        </w:tc>
        <w:tc>
          <w:tcPr>
            <w:tcW w:w="22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100.0</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60" w:type="dxa"/>
            <w:vAlign w:val="bottom"/>
            <w:gridSpan w:val="2"/>
            <w:shd w:val="clear" w:color="auto" w:fill="DBDBDB"/>
          </w:tcPr>
          <w:p>
            <w:pPr>
              <w:ind w:left="840"/>
              <w:spacing w:after="0"/>
              <w:rPr>
                <w:sz w:val="20"/>
                <w:szCs w:val="20"/>
                <w:color w:val="auto"/>
              </w:rPr>
            </w:pPr>
            <w:r>
              <w:rPr>
                <w:rFonts w:ascii="Arial" w:cs="Arial" w:eastAsia="Arial" w:hAnsi="Arial"/>
                <w:sz w:val="14"/>
                <w:szCs w:val="14"/>
                <w:color w:val="2573BA"/>
              </w:rPr>
              <w:t>—</w:t>
            </w:r>
          </w:p>
        </w:tc>
        <w:tc>
          <w:tcPr>
            <w:tcW w:w="28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7"/>
        </w:trPr>
        <w:tc>
          <w:tcPr>
            <w:tcW w:w="2760" w:type="dxa"/>
            <w:vAlign w:val="bottom"/>
            <w:gridSpan w:val="2"/>
          </w:tcPr>
          <w:p>
            <w:pPr>
              <w:ind w:left="20"/>
              <w:spacing w:after="0"/>
              <w:rPr>
                <w:sz w:val="20"/>
                <w:szCs w:val="20"/>
                <w:color w:val="auto"/>
              </w:rPr>
            </w:pPr>
            <w:r>
              <w:rPr>
                <w:rFonts w:ascii="Arial" w:cs="Arial" w:eastAsia="Arial" w:hAnsi="Arial"/>
                <w:sz w:val="14"/>
                <w:szCs w:val="14"/>
                <w:color w:val="auto"/>
              </w:rPr>
              <w:t>Trademarks and trade names</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Indefinite</w:t>
            </w:r>
          </w:p>
        </w:tc>
        <w:tc>
          <w:tcPr>
            <w:tcW w:w="22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64.0</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ind w:left="840"/>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64.0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20"/>
        </w:trPr>
        <w:tc>
          <w:tcPr>
            <w:tcW w:w="2760" w:type="dxa"/>
            <w:vAlign w:val="bottom"/>
            <w:gridSpan w:val="2"/>
          </w:tcPr>
          <w:p>
            <w:pPr>
              <w:ind w:left="360"/>
              <w:spacing w:after="0"/>
              <w:rPr>
                <w:sz w:val="20"/>
                <w:szCs w:val="20"/>
                <w:color w:val="auto"/>
              </w:rPr>
            </w:pPr>
            <w:r>
              <w:rPr>
                <w:rFonts w:ascii="Arial" w:cs="Arial" w:eastAsia="Arial" w:hAnsi="Arial"/>
                <w:sz w:val="14"/>
                <w:szCs w:val="14"/>
                <w:color w:val="auto"/>
              </w:rPr>
              <w:t>Total intangible assets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15,866.3</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(6,687.8)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9,178.5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15,945.3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(6,254.1)</w:t>
            </w:r>
          </w:p>
        </w:tc>
        <w:tc>
          <w:tcPr>
            <w:tcW w:w="1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9,691.2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Amortization and Impairments</w:t>
      </w:r>
    </w:p>
    <w:p>
      <w:pPr>
        <w:spacing w:after="0" w:line="11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Amortization and impairment of acquired intangible assets totaled $515.0 million, $446.7 million and $240.6 million for the years ended December 31, 2025, 2024 and 2023, respectively.</w:t>
      </w:r>
    </w:p>
    <w:p>
      <w:pPr>
        <w:spacing w:after="0" w:line="4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Amortization of acquired intangible assets, excluding impairment charges, totaled $507.1 million, $386.5 million and $240.6 million for the years ended December 31, 2025, 2024 and 2023, respectively. The increase in</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42" w:name="page143"/>
    <w:bookmarkEnd w:id="14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amortization of acquired intangible assets, excluding impairment charges, was primarily due to amortization for the acquired intangible assets associated with SKYCLARYS and TYSABRI.</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For the year ended December 31, 2025, amortization and impairment of acquired intangible assets reflects the impact of $7.9 million in impairment charges related to compounds acquired from HI-Bio.</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year ended December 31, 2024, amortization and impairment of acquired intangible assets reflects the impact of a $ 40.0 million impairment charge related to intangible assets from other clinical programs we acquired from Reata, reducing the remaining book value of these IPR&amp;D intangible assets to zero, and a $20.2 million impairment charge related to intangible assets associated with the termination of Samsung Bioepis' commercialization rights during the third quarter of 2024. For the year ended December 31, 2023, we had no impairment charges.</w:t>
      </w:r>
    </w:p>
    <w:p>
      <w:pPr>
        <w:spacing w:after="0" w:line="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monitor events and expectations regarding product performance. If new information indicates that the assumptions underlying our most recent analysis are substantially different than those utilized in our current estimates, our analysis would be updated and may result in a significant change in the anticipated lifetime revenue of the relevant products. The occurrence of an adverse event could substantially increase the amount of amortization expense related to our acquired intangible assets as compared to previous periods or our current expectations, which may result in a significant negative impact on our future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Completed Technology</w:t>
      </w:r>
    </w:p>
    <w:p>
      <w:pPr>
        <w:spacing w:after="0" w:line="11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Completed technology primarily relates to our other marketed products and programs acquired through asset acquisitions, licenses and business combinations. Completed technology intangible assets are amortized over their estimated useful lives, which range between approximately 1 to 30 years, with a remaining weighted average useful life of 12 years, as of December 31,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IPR&amp;D Related to Business Combinations</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IPR&amp;D represents the fair value assigned to research and development assets that we acquired as part of a business combination and had not yet reached technological feasibility at the date of acquisition. We review amounts capitalized as acquired IPR&amp;D for impairment annually, as of October 31, and whenever events or changes in circumstances indicate to us that the carrying value of the assets might not be recoverable.</w:t>
      </w:r>
    </w:p>
    <w:p>
      <w:pPr>
        <w:spacing w:after="0" w:line="6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carrying value associated with our IPR&amp;D assets as of December 31, 2025 and 2024, primarily relates to the IPR&amp;D programs we acquired in connection with our acquisition of HI-Bio in July 2024, with an estimated fair value of approximately $1.6 billion.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Priority Review Voucher</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our acquisition of Reata in September 2023 we acquired a rare pediatric disease PRV which may be used to obtain priority review by the FDA for a future regulatory submission or sold to a third party. We recorded the PRV based on its estimated fair value of $100.0 million as an intangible asset.</w:t>
      </w:r>
    </w:p>
    <w:p>
      <w:pPr>
        <w:spacing w:after="0" w:line="63"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For additional information on our acquisitions of Reata and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Estimated Future Amortization of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finite-lived intangible assets for the next five years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shd w:val="clear" w:color="auto" w:fill="DDDDDD"/>
          </w:tcPr>
          <w:p>
            <w:pPr>
              <w:spacing w:after="0"/>
              <w:rPr>
                <w:sz w:val="17"/>
                <w:szCs w:val="17"/>
                <w:color w:val="auto"/>
              </w:rPr>
            </w:pPr>
          </w:p>
        </w:tc>
        <w:tc>
          <w:tcPr>
            <w:tcW w:w="2000" w:type="dxa"/>
            <w:vAlign w:val="bottom"/>
            <w:shd w:val="clear" w:color="auto" w:fill="DDDDDD"/>
          </w:tcPr>
          <w:p>
            <w:pPr>
              <w:jc w:val="right"/>
              <w:ind w:right="168"/>
              <w:spacing w:after="0"/>
              <w:rPr>
                <w:sz w:val="20"/>
                <w:szCs w:val="20"/>
                <w:color w:val="auto"/>
              </w:rPr>
            </w:pPr>
            <w:r>
              <w:rPr>
                <w:rFonts w:ascii="Arial" w:cs="Arial" w:eastAsia="Arial" w:hAnsi="Arial"/>
                <w:sz w:val="14"/>
                <w:szCs w:val="14"/>
                <w:b w:val="1"/>
                <w:bCs w:val="1"/>
                <w:color w:val="2573BA"/>
              </w:rPr>
              <w:t>As of December 31, 2025</w:t>
            </w:r>
          </w:p>
        </w:tc>
      </w:tr>
      <w:tr>
        <w:trPr>
          <w:trHeight w:val="188"/>
        </w:trPr>
        <w:tc>
          <w:tcPr>
            <w:tcW w:w="8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6"/>
                <w:szCs w:val="16"/>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485.0</w:t>
            </w:r>
          </w:p>
        </w:tc>
      </w:tr>
      <w:tr>
        <w:trPr>
          <w:trHeight w:val="203"/>
        </w:trPr>
        <w:tc>
          <w:tcPr>
            <w:tcW w:w="8980" w:type="dxa"/>
            <w:vAlign w:val="bottom"/>
          </w:tcPr>
          <w:p>
            <w:pPr>
              <w:ind w:left="20"/>
              <w:spacing w:after="0"/>
              <w:rPr>
                <w:sz w:val="20"/>
                <w:szCs w:val="20"/>
                <w:color w:val="auto"/>
              </w:rPr>
            </w:pPr>
            <w:r>
              <w:rPr>
                <w:rFonts w:ascii="Arial" w:cs="Arial" w:eastAsia="Arial" w:hAnsi="Arial"/>
                <w:sz w:val="14"/>
                <w:szCs w:val="14"/>
                <w:color w:val="auto"/>
              </w:rPr>
              <w:t>2027</w:t>
            </w:r>
          </w:p>
        </w:tc>
        <w:tc>
          <w:tcPr>
            <w:tcW w:w="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485.0</w:t>
            </w:r>
          </w:p>
        </w:tc>
      </w:tr>
      <w:tr>
        <w:trPr>
          <w:trHeight w:val="203"/>
        </w:trPr>
        <w:tc>
          <w:tcPr>
            <w:tcW w:w="8980" w:type="dxa"/>
            <w:vAlign w:val="bottom"/>
          </w:tcPr>
          <w:p>
            <w:pPr>
              <w:ind w:left="20"/>
              <w:spacing w:after="0"/>
              <w:rPr>
                <w:sz w:val="20"/>
                <w:szCs w:val="20"/>
                <w:color w:val="auto"/>
              </w:rPr>
            </w:pPr>
            <w:r>
              <w:rPr>
                <w:rFonts w:ascii="Arial" w:cs="Arial" w:eastAsia="Arial" w:hAnsi="Arial"/>
                <w:sz w:val="14"/>
                <w:szCs w:val="14"/>
                <w:color w:val="auto"/>
              </w:rPr>
              <w:t>2028</w:t>
            </w:r>
          </w:p>
        </w:tc>
        <w:tc>
          <w:tcPr>
            <w:tcW w:w="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525.0</w:t>
            </w:r>
          </w:p>
        </w:tc>
      </w:tr>
      <w:tr>
        <w:trPr>
          <w:trHeight w:val="203"/>
        </w:trPr>
        <w:tc>
          <w:tcPr>
            <w:tcW w:w="8980" w:type="dxa"/>
            <w:vAlign w:val="bottom"/>
          </w:tcPr>
          <w:p>
            <w:pPr>
              <w:ind w:left="20"/>
              <w:spacing w:after="0"/>
              <w:rPr>
                <w:sz w:val="20"/>
                <w:szCs w:val="20"/>
                <w:color w:val="auto"/>
              </w:rPr>
            </w:pPr>
            <w:r>
              <w:rPr>
                <w:rFonts w:ascii="Arial" w:cs="Arial" w:eastAsia="Arial" w:hAnsi="Arial"/>
                <w:sz w:val="14"/>
                <w:szCs w:val="14"/>
                <w:color w:val="auto"/>
              </w:rPr>
              <w:t>2029</w:t>
            </w:r>
          </w:p>
        </w:tc>
        <w:tc>
          <w:tcPr>
            <w:tcW w:w="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575.0</w:t>
            </w:r>
          </w:p>
        </w:tc>
      </w:tr>
      <w:tr>
        <w:trPr>
          <w:trHeight w:val="210"/>
        </w:trPr>
        <w:tc>
          <w:tcPr>
            <w:tcW w:w="8980" w:type="dxa"/>
            <w:vAlign w:val="bottom"/>
          </w:tcPr>
          <w:p>
            <w:pPr>
              <w:ind w:left="20"/>
              <w:spacing w:after="0"/>
              <w:rPr>
                <w:sz w:val="20"/>
                <w:szCs w:val="20"/>
                <w:color w:val="auto"/>
              </w:rPr>
            </w:pPr>
            <w:r>
              <w:rPr>
                <w:rFonts w:ascii="Arial" w:cs="Arial" w:eastAsia="Arial" w:hAnsi="Arial"/>
                <w:sz w:val="14"/>
                <w:szCs w:val="14"/>
                <w:color w:val="auto"/>
              </w:rPr>
              <w:t>2030</w:t>
            </w:r>
          </w:p>
        </w:tc>
        <w:tc>
          <w:tcPr>
            <w:tcW w:w="80" w:type="dxa"/>
            <w:vAlign w:val="bottom"/>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645.0</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Goodwill</w:t>
      </w:r>
    </w:p>
    <w:p>
      <w:pPr>
        <w:sectPr>
          <w:pgSz w:w="11900" w:h="16838" w:orient="portrait"/>
          <w:cols w:equalWidth="0" w:num="1">
            <w:col w:w="11240"/>
          </w:cols>
          <w:pgMar w:left="320" w:top="238" w:right="33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roll forward of the changes in our goodwill balance:</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6716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5">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 January 1</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Goodwill resulting from HI-Bio acquisition</w:t>
      </w:r>
      <w:r>
        <w:rPr>
          <w:rFonts w:ascii="Arial" w:cs="Arial" w:eastAsia="Arial" w:hAnsi="Arial"/>
          <w:sz w:val="18"/>
          <w:szCs w:val="18"/>
          <w:color w:val="auto"/>
          <w:vertAlign w:val="superscript"/>
        </w:rPr>
        <w:t>(1)</w:t>
      </w:r>
    </w:p>
    <w:p>
      <w:pPr>
        <w:ind w:left="140"/>
        <w:spacing w:after="0"/>
        <w:rPr>
          <w:sz w:val="20"/>
          <w:szCs w:val="20"/>
          <w:color w:val="auto"/>
        </w:rPr>
      </w:pPr>
      <w:r>
        <w:rPr>
          <w:rFonts w:ascii="Arial" w:cs="Arial" w:eastAsia="Arial" w:hAnsi="Arial"/>
          <w:sz w:val="14"/>
          <w:szCs w:val="14"/>
          <w:color w:val="auto"/>
        </w:rPr>
        <w:t>Goodwill resulting from Reata acquisition</w:t>
      </w:r>
      <w:r>
        <w:rPr>
          <w:rFonts w:ascii="Arial" w:cs="Arial" w:eastAsia="Arial" w:hAnsi="Arial"/>
          <w:sz w:val="18"/>
          <w:szCs w:val="18"/>
          <w:color w:val="auto"/>
          <w:vertAlign w:val="superscript"/>
        </w:rPr>
        <w:t>(2)</w:t>
      </w:r>
    </w:p>
    <w:p>
      <w:pPr>
        <w:ind w:left="14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(3)</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Goodwill,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27774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As of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 w:type="dxa"/>
            <w:vAlign w:val="bottom"/>
            <w:tcBorders>
              <w:top w:val="single" w:sz="8" w:color="auto"/>
              <w:bottom w:val="single" w:sz="8" w:color="auto"/>
            </w:tcBorders>
            <w:shd w:val="clear" w:color="auto" w:fill="DDDDDD"/>
          </w:tcPr>
          <w:p>
            <w:pPr>
              <w:spacing w:after="0"/>
              <w:rPr>
                <w:sz w:val="17"/>
                <w:szCs w:val="17"/>
                <w:color w:val="auto"/>
              </w:rPr>
            </w:pPr>
          </w:p>
        </w:tc>
        <w:tc>
          <w:tcPr>
            <w:tcW w:w="1420" w:type="dxa"/>
            <w:vAlign w:val="bottom"/>
            <w:tcBorders>
              <w:top w:val="single" w:sz="8" w:color="auto"/>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2025</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2024</w:t>
            </w:r>
          </w:p>
        </w:tc>
      </w:tr>
      <w:tr>
        <w:trPr>
          <w:trHeight w:val="189"/>
        </w:trPr>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6,478.9</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6,219.2</w:t>
            </w:r>
          </w:p>
        </w:tc>
      </w:tr>
      <w:tr>
        <w:trPr>
          <w:trHeight w:val="203"/>
        </w:trPr>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256.5</w:t>
            </w:r>
          </w:p>
        </w:tc>
      </w:tr>
      <w:tr>
        <w:trPr>
          <w:trHeight w:val="203"/>
        </w:trPr>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7"/>
        </w:trPr>
        <w:tc>
          <w:tcPr>
            <w:tcW w:w="4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7.7</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16"/>
        </w:trPr>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6,491.1</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6,478.9</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720"/>
            <w:col w:w="3780"/>
          </w:cols>
          <w:pgMar w:left="320" w:top="238" w:right="339" w:bottom="1440" w:gutter="0" w:footer="0" w:header="0"/>
          <w:type w:val="continuous"/>
        </w:sectPr>
      </w:pPr>
    </w:p>
    <w:p>
      <w:pPr>
        <w:spacing w:after="0" w:line="152" w:lineRule="exact"/>
        <w:rPr>
          <w:sz w:val="20"/>
          <w:szCs w:val="20"/>
          <w:color w:val="auto"/>
        </w:rPr>
      </w:pPr>
    </w:p>
    <w:p>
      <w:pPr>
        <w:ind w:left="160" w:hanging="152"/>
        <w:spacing w:after="0"/>
        <w:tabs>
          <w:tab w:leader="none" w:pos="160" w:val="left"/>
        </w:tabs>
        <w:numPr>
          <w:ilvl w:val="0"/>
          <w:numId w:val="110"/>
        </w:numPr>
        <w:rPr>
          <w:rFonts w:ascii="Arial" w:cs="Arial" w:eastAsia="Arial" w:hAnsi="Arial"/>
          <w:sz w:val="18"/>
          <w:szCs w:val="18"/>
          <w:color w:val="auto"/>
          <w:vertAlign w:val="superscript"/>
        </w:rPr>
      </w:pPr>
      <w:r>
        <w:rPr>
          <w:rFonts w:ascii="Arial" w:cs="Arial" w:eastAsia="Arial" w:hAnsi="Arial"/>
          <w:sz w:val="14"/>
          <w:szCs w:val="14"/>
          <w:color w:val="auto"/>
        </w:rPr>
        <w:t>Goodwill resulting from the HI-Bio acquisition for the year ended December 31, 2025, relates to HI-Bio measurement period adjustments recognized during 2025.</w:t>
      </w:r>
    </w:p>
    <w:p>
      <w:pPr>
        <w:spacing w:after="0" w:line="12"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10"/>
        </w:numPr>
        <w:rPr>
          <w:rFonts w:ascii="Arial" w:cs="Arial" w:eastAsia="Arial" w:hAnsi="Arial"/>
          <w:sz w:val="18"/>
          <w:szCs w:val="18"/>
          <w:color w:val="auto"/>
          <w:vertAlign w:val="superscript"/>
        </w:rPr>
      </w:pPr>
      <w:r>
        <w:rPr>
          <w:rFonts w:ascii="Arial" w:cs="Arial" w:eastAsia="Arial" w:hAnsi="Arial"/>
          <w:sz w:val="14"/>
          <w:szCs w:val="14"/>
          <w:color w:val="auto"/>
        </w:rPr>
        <w:t>Goodwill resulting from the Reata acquisition for the year ended December 31, 2024, relates to Reata measurement period adjustments recognized during 2024.</w:t>
      </w:r>
    </w:p>
    <w:p>
      <w:pPr>
        <w:spacing w:after="0" w:line="13"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110"/>
        </w:numPr>
        <w:rPr>
          <w:rFonts w:ascii="Arial" w:cs="Arial" w:eastAsia="Arial" w:hAnsi="Arial"/>
          <w:sz w:val="18"/>
          <w:szCs w:val="18"/>
          <w:color w:val="auto"/>
          <w:vertAlign w:val="superscript"/>
        </w:rPr>
      </w:pPr>
      <w:r>
        <w:rPr>
          <w:rFonts w:ascii="Arial" w:cs="Arial" w:eastAsia="Arial" w:hAnsi="Arial"/>
          <w:sz w:val="14"/>
          <w:szCs w:val="14"/>
          <w:color w:val="auto"/>
        </w:rPr>
        <w:t>Other includes adjustments related to foreign currency exchange rate fluctuations.</w:t>
      </w:r>
    </w:p>
    <w:p>
      <w:pPr>
        <w:spacing w:after="0" w:line="70"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 xml:space="preserve">For additional information on our acquisitions of Reata and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and 2024, we had no accumulated impairment losses related to goodwill.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429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8">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8:</w:t>
      </w:r>
      <w:r>
        <w:rPr>
          <w:sz w:val="20"/>
          <w:szCs w:val="20"/>
          <w:color w:val="auto"/>
        </w:rPr>
        <w:tab/>
      </w:r>
      <w:r>
        <w:rPr>
          <w:rFonts w:ascii="Arial" w:cs="Arial" w:eastAsia="Arial" w:hAnsi="Arial"/>
          <w:sz w:val="21"/>
          <w:szCs w:val="21"/>
          <w:b w:val="1"/>
          <w:bCs w:val="1"/>
          <w:color w:val="0070C0"/>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9">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Fair Value Measurements on a Recurring Basis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3020" w:type="dxa"/>
            <w:vAlign w:val="bottom"/>
            <w:tcBorders>
              <w:bottom w:val="single" w:sz="8" w:color="auto"/>
            </w:tcBorders>
            <w:gridSpan w:val="6"/>
            <w:shd w:val="clear" w:color="auto" w:fill="DBDBDB"/>
          </w:tcPr>
          <w:p>
            <w:pPr>
              <w:jc w:val="center"/>
              <w:ind w:right="260"/>
              <w:spacing w:after="0"/>
              <w:rPr>
                <w:sz w:val="20"/>
                <w:szCs w:val="20"/>
                <w:color w:val="auto"/>
              </w:rPr>
            </w:pPr>
            <w:r>
              <w:rPr>
                <w:rFonts w:ascii="Arial" w:cs="Arial" w:eastAsia="Arial" w:hAnsi="Arial"/>
                <w:sz w:val="14"/>
                <w:szCs w:val="14"/>
                <w:b w:val="1"/>
                <w:bCs w:val="1"/>
                <w:color w:val="0070C0"/>
              </w:rPr>
              <w:t>As of December 31, 2025</w:t>
            </w:r>
          </w:p>
        </w:tc>
        <w:tc>
          <w:tcPr>
            <w:tcW w:w="20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Quoted Prices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3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in Active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32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3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7"/>
        </w:trPr>
        <w:tc>
          <w:tcPr>
            <w:tcW w:w="48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92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40" w:type="dxa"/>
            <w:vAlign w:val="bottom"/>
            <w:shd w:val="clear" w:color="auto" w:fill="DDDDDD"/>
          </w:tcPr>
          <w:p>
            <w:pPr>
              <w:spacing w:after="0"/>
              <w:rPr>
                <w:sz w:val="16"/>
                <w:szCs w:val="16"/>
                <w:color w:val="auto"/>
              </w:rPr>
            </w:pPr>
          </w:p>
        </w:tc>
        <w:tc>
          <w:tcPr>
            <w:tcW w:w="11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3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2,233.2</w:t>
            </w:r>
          </w:p>
        </w:tc>
        <w:tc>
          <w:tcPr>
            <w:tcW w:w="28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2,233.2</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537.6</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537.6</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648.8</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648.8</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52.7</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52.7</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118.1</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118.1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Derivative contracts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Convertible notes</w:t>
            </w:r>
            <w:r>
              <w:rPr>
                <w:rFonts w:ascii="Arial" w:cs="Arial" w:eastAsia="Arial" w:hAnsi="Arial"/>
                <w:sz w:val="18"/>
                <w:szCs w:val="18"/>
                <w:color w:val="auto"/>
                <w:vertAlign w:val="superscript"/>
              </w:rPr>
              <w:t>(1)</w:t>
            </w: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35.0</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35.0</w:t>
            </w:r>
          </w:p>
        </w:tc>
        <w:tc>
          <w:tcPr>
            <w:tcW w:w="0" w:type="dxa"/>
            <w:vAlign w:val="bottom"/>
          </w:tcPr>
          <w:p>
            <w:pPr>
              <w:spacing w:after="0"/>
              <w:rPr>
                <w:sz w:val="1"/>
                <w:szCs w:val="1"/>
                <w:color w:val="auto"/>
              </w:rPr>
            </w:pPr>
          </w:p>
        </w:tc>
      </w:tr>
      <w:tr>
        <w:trPr>
          <w:trHeight w:val="195"/>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Plan assets for deferred compensation</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52.2</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52.2</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7"/>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Derivative contracts</w:t>
            </w: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0.4</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0.4</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40"/>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3,688.0</w:t>
            </w:r>
          </w:p>
        </w:tc>
        <w:tc>
          <w:tcPr>
            <w:tcW w:w="100" w:type="dxa"/>
            <w:vAlign w:val="bottom"/>
            <w:tcBorders>
              <w:bottom w:val="single" w:sz="8" w:color="DBDBDB"/>
            </w:tcBorders>
            <w:shd w:val="clear" w:color="auto" w:fill="DBDBDB"/>
          </w:tcPr>
          <w:p>
            <w:pPr>
              <w:spacing w:after="0"/>
              <w:rPr>
                <w:sz w:val="20"/>
                <w:szCs w:val="20"/>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118.1</w:t>
            </w:r>
          </w:p>
        </w:tc>
        <w:tc>
          <w:tcPr>
            <w:tcW w:w="40" w:type="dxa"/>
            <w:vAlign w:val="bottom"/>
            <w:tcBorders>
              <w:bottom w:val="single" w:sz="8" w:color="auto"/>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3,534.9</w:t>
            </w:r>
          </w:p>
        </w:tc>
        <w:tc>
          <w:tcPr>
            <w:tcW w:w="100" w:type="dxa"/>
            <w:vAlign w:val="bottom"/>
            <w:tcBorders>
              <w:bottom w:val="single" w:sz="8" w:color="DBDBDB"/>
            </w:tcBorders>
            <w:shd w:val="clear" w:color="auto" w:fill="DBDBDB"/>
          </w:tcPr>
          <w:p>
            <w:pPr>
              <w:spacing w:after="0"/>
              <w:rPr>
                <w:sz w:val="20"/>
                <w:szCs w:val="20"/>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35.0</w:t>
            </w:r>
          </w:p>
        </w:tc>
        <w:tc>
          <w:tcPr>
            <w:tcW w:w="0" w:type="dxa"/>
            <w:vAlign w:val="bottom"/>
          </w:tcPr>
          <w:p>
            <w:pPr>
              <w:spacing w:after="0"/>
              <w:rPr>
                <w:sz w:val="1"/>
                <w:szCs w:val="1"/>
                <w:color w:val="auto"/>
              </w:rPr>
            </w:pPr>
          </w:p>
        </w:tc>
      </w:tr>
      <w:tr>
        <w:trPr>
          <w:trHeight w:val="161"/>
        </w:trPr>
        <w:tc>
          <w:tcPr>
            <w:tcW w:w="492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340" w:type="dxa"/>
            <w:vAlign w:val="bottom"/>
            <w:shd w:val="clear" w:color="auto" w:fill="DBDBDB"/>
          </w:tcPr>
          <w:p>
            <w:pPr>
              <w:spacing w:after="0"/>
              <w:rPr>
                <w:sz w:val="14"/>
                <w:szCs w:val="14"/>
                <w:color w:val="auto"/>
              </w:rPr>
            </w:pPr>
          </w:p>
        </w:tc>
        <w:tc>
          <w:tcPr>
            <w:tcW w:w="11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Other current liabilities: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Derivative contracts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56.7</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56.7</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Other non-current liabilities: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Derivative contracts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7"/>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Contingent consideration obligations</w:t>
            </w: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246.4</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246.4</w:t>
            </w:r>
          </w:p>
        </w:tc>
        <w:tc>
          <w:tcPr>
            <w:tcW w:w="0" w:type="dxa"/>
            <w:vAlign w:val="bottom"/>
          </w:tcPr>
          <w:p>
            <w:pPr>
              <w:spacing w:after="0"/>
              <w:rPr>
                <w:sz w:val="1"/>
                <w:szCs w:val="1"/>
                <w:color w:val="auto"/>
              </w:rPr>
            </w:pPr>
          </w:p>
        </w:tc>
      </w:tr>
      <w:tr>
        <w:trPr>
          <w:trHeight w:val="225"/>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305.3</w:t>
            </w:r>
          </w:p>
        </w:tc>
        <w:tc>
          <w:tcPr>
            <w:tcW w:w="10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58.9</w:t>
            </w: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246.4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27774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27" w:lineRule="exact"/>
        <w:rPr>
          <w:sz w:val="20"/>
          <w:szCs w:val="20"/>
          <w:color w:val="auto"/>
        </w:rPr>
      </w:pPr>
    </w:p>
    <w:p>
      <w:pPr>
        <w:ind w:left="140" w:hanging="132"/>
        <w:spacing w:after="0"/>
        <w:tabs>
          <w:tab w:leader="none" w:pos="140" w:val="left"/>
        </w:tabs>
        <w:numPr>
          <w:ilvl w:val="0"/>
          <w:numId w:val="111"/>
        </w:numPr>
        <w:rPr>
          <w:rFonts w:ascii="Arial" w:cs="Arial" w:eastAsia="Arial" w:hAnsi="Arial"/>
          <w:sz w:val="16"/>
          <w:szCs w:val="16"/>
          <w:color w:val="auto"/>
          <w:vertAlign w:val="superscript"/>
        </w:rPr>
      </w:pPr>
      <w:r>
        <w:rPr>
          <w:rFonts w:ascii="Arial" w:cs="Arial" w:eastAsia="Arial" w:hAnsi="Arial"/>
          <w:sz w:val="12"/>
          <w:szCs w:val="12"/>
          <w:color w:val="auto"/>
        </w:rPr>
        <w:t>Convertible notes includes a $30.0 million convertible note we invested in as part of our strategic research arrangement with City Therapeutics during 2025, as well as a</w:t>
      </w:r>
    </w:p>
    <w:p>
      <w:pPr>
        <w:ind w:left="180" w:right="160"/>
        <w:spacing w:after="0" w:line="264" w:lineRule="auto"/>
        <w:rPr>
          <w:sz w:val="20"/>
          <w:szCs w:val="20"/>
          <w:color w:val="auto"/>
        </w:rPr>
      </w:pPr>
      <w:r>
        <w:rPr>
          <w:rFonts w:ascii="Arial" w:cs="Arial" w:eastAsia="Arial" w:hAnsi="Arial"/>
          <w:sz w:val="14"/>
          <w:szCs w:val="14"/>
          <w:color w:val="auto"/>
        </w:rPr>
        <w:t xml:space="preserve">$5.0 million convertible note we invested into Neela Therapeutics, Inc. during 2025. We elected the fair value option for both convertible notes. For additional information on the arrangement with City Therapeutics, please read </w:t>
      </w:r>
      <w:r>
        <w:rPr>
          <w:rFonts w:ascii="Arial" w:cs="Arial" w:eastAsia="Arial" w:hAnsi="Arial"/>
          <w:sz w:val="14"/>
          <w:szCs w:val="14"/>
          <w:i w:val="1"/>
          <w:iCs w:val="1"/>
          <w:color w:val="auto"/>
        </w:rPr>
        <w:t>Note 19, Collaborative and Other Relationships</w:t>
      </w:r>
      <w:r>
        <w:rPr>
          <w:rFonts w:ascii="Arial" w:cs="Arial" w:eastAsia="Arial" w:hAnsi="Arial"/>
          <w:sz w:val="14"/>
          <w:szCs w:val="14"/>
          <w:color w:val="auto"/>
        </w:rPr>
        <w:t>, to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Fair Value Measurements on a Recurring Basis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As of December 31, 2024</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320" w:type="dxa"/>
            <w:vAlign w:val="bottom"/>
          </w:tcPr>
          <w:p>
            <w:pPr>
              <w:jc w:val="center"/>
              <w:ind w:right="108"/>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9"/>
              </w:rPr>
              <w:t>in Active</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32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9"/>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Markets</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32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7"/>
        </w:trPr>
        <w:tc>
          <w:tcPr>
            <w:tcW w:w="48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92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1,664.9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1,664.9</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Derivative contracts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Plan assets for deferred compensation</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1,949.9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1,770.2</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Other current liabilities: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11.7</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Contingent consideration obligations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291.2</w:t>
            </w:r>
          </w:p>
        </w:tc>
        <w:tc>
          <w:tcPr>
            <w:tcW w:w="0" w:type="dxa"/>
            <w:vAlign w:val="bottom"/>
          </w:tcPr>
          <w:p>
            <w:pPr>
              <w:spacing w:after="0"/>
              <w:rPr>
                <w:sz w:val="1"/>
                <w:szCs w:val="1"/>
                <w:color w:val="auto"/>
              </w:rPr>
            </w:pPr>
          </w:p>
        </w:tc>
      </w:tr>
      <w:tr>
        <w:trPr>
          <w:trHeight w:val="203"/>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Other non-current liabilities: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ind w:left="120"/>
              <w:spacing w:after="0"/>
              <w:rPr>
                <w:sz w:val="20"/>
                <w:szCs w:val="20"/>
                <w:color w:val="auto"/>
              </w:rPr>
            </w:pPr>
            <w:r>
              <w:rPr>
                <w:rFonts w:ascii="Arial" w:cs="Arial" w:eastAsia="Arial" w:hAnsi="Arial"/>
                <w:sz w:val="14"/>
                <w:szCs w:val="14"/>
                <w:color w:val="auto"/>
              </w:rPr>
              <w:t>Contingent consideration obligations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00"/>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524.5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512.8</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Our marketable equity securities represent investments in publicly traded equity securities. Our ability to liquidate our investments in Denali may be limited by the size of our interest, the volume of market-related activity, our concentrated level of ownership and potential restrictions resulting from our status as a collaborator. Therefore, we may realize significantly less than the current value of such investments. For additional information on our investments in Denali common stock, please read </w:t>
      </w:r>
      <w:r>
        <w:rPr>
          <w:rFonts w:ascii="Arial" w:cs="Arial" w:eastAsia="Arial" w:hAnsi="Arial"/>
          <w:sz w:val="18"/>
          <w:szCs w:val="18"/>
          <w:i w:val="1"/>
          <w:iCs w:val="1"/>
          <w:color w:val="auto"/>
        </w:rPr>
        <w:t>Note 9, Financial Instruments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18,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 Detail</w:t>
      </w:r>
      <w:r>
        <w:rPr>
          <w:rFonts w:ascii="Arial" w:cs="Arial" w:eastAsia="Arial" w:hAnsi="Arial"/>
          <w:sz w:val="18"/>
          <w:szCs w:val="18"/>
          <w:color w:val="auto"/>
        </w:rPr>
        <w:t>, to these consolidated financial statements.</w:t>
      </w:r>
    </w:p>
    <w:p>
      <w:pPr>
        <w:spacing w:after="0" w:line="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There have been no material impairments of our assets measured and carried at fair value as of December 31, 2025 and 2024. In addition, there have been no changes to our valuation techniques as of December 31, 2025 and 2024.</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 description of our validation procedures related to prices provided by third-party pricing services and our option pricing valuation model, please read </w:t>
      </w:r>
      <w:r>
        <w:rPr>
          <w:rFonts w:ascii="Arial" w:cs="Arial" w:eastAsia="Arial" w:hAnsi="Arial"/>
          <w:sz w:val="18"/>
          <w:szCs w:val="18"/>
          <w:i w:val="1"/>
          <w:iCs w:val="1"/>
          <w:color w:val="auto"/>
        </w:rPr>
        <w:t>Note 1, Summary of Significant Accounting Policies - Fair Value Measurements,</w:t>
      </w:r>
      <w:r>
        <w:rPr>
          <w:rFonts w:ascii="Arial" w:cs="Arial" w:eastAsia="Arial" w:hAnsi="Arial"/>
          <w:sz w:val="18"/>
          <w:szCs w:val="18"/>
          <w:color w:val="auto"/>
        </w:rPr>
        <w:t xml:space="preserve"> to these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Level 3 Assets and Liabilities Held at Fair Value</w:t>
      </w:r>
    </w:p>
    <w:p>
      <w:pPr>
        <w:spacing w:after="0" w:line="112"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tables present quantitative information, as of the dates indicated, about the valuation techniques and significant unobservable inputs used in the valuation of our Level 3 financial assets and liabilities measured at fair value on a recurring basis: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18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740" w:type="dxa"/>
            <w:vAlign w:val="bottom"/>
            <w:tcBorders>
              <w:bottom w:val="single" w:sz="8" w:color="auto"/>
            </w:tcBorders>
            <w:shd w:val="clear" w:color="auto" w:fill="DBDBDB"/>
          </w:tcPr>
          <w:p>
            <w:pPr>
              <w:spacing w:after="0"/>
              <w:rPr>
                <w:sz w:val="17"/>
                <w:szCs w:val="17"/>
                <w:color w:val="auto"/>
              </w:rPr>
            </w:pPr>
          </w:p>
        </w:tc>
        <w:tc>
          <w:tcPr>
            <w:tcW w:w="2220" w:type="dxa"/>
            <w:vAlign w:val="bottom"/>
            <w:tcBorders>
              <w:bottom w:val="single" w:sz="8" w:color="auto"/>
            </w:tcBorders>
            <w:gridSpan w:val="3"/>
            <w:shd w:val="clear" w:color="auto" w:fill="DBDBDB"/>
          </w:tcPr>
          <w:p>
            <w:pPr>
              <w:ind w:left="20"/>
              <w:spacing w:after="0"/>
              <w:rPr>
                <w:sz w:val="20"/>
                <w:szCs w:val="20"/>
                <w:color w:val="auto"/>
              </w:rPr>
            </w:pPr>
            <w:r>
              <w:rPr>
                <w:rFonts w:ascii="Arial" w:cs="Arial" w:eastAsia="Arial" w:hAnsi="Arial"/>
                <w:sz w:val="14"/>
                <w:szCs w:val="14"/>
                <w:b w:val="1"/>
                <w:bCs w:val="1"/>
                <w:color w:val="0070C0"/>
              </w:rPr>
              <w:t>As of December 31, 2025</w:t>
            </w:r>
          </w:p>
        </w:tc>
        <w:tc>
          <w:tcPr>
            <w:tcW w:w="12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1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80" w:type="dxa"/>
            <w:vAlign w:val="bottom"/>
          </w:tcPr>
          <w:p>
            <w:pPr>
              <w:spacing w:after="0"/>
              <w:rPr>
                <w:sz w:val="12"/>
                <w:szCs w:val="12"/>
                <w:color w:val="auto"/>
              </w:rPr>
            </w:pPr>
          </w:p>
        </w:tc>
        <w:tc>
          <w:tcPr>
            <w:tcW w:w="2140" w:type="dxa"/>
            <w:vAlign w:val="bottom"/>
            <w:gridSpan w:val="2"/>
          </w:tcPr>
          <w:p>
            <w:pPr>
              <w:ind w:left="660"/>
              <w:spacing w:after="0" w:line="147" w:lineRule="exact"/>
              <w:rPr>
                <w:sz w:val="20"/>
                <w:szCs w:val="20"/>
                <w:color w:val="auto"/>
              </w:rPr>
            </w:pPr>
            <w:r>
              <w:rPr>
                <w:rFonts w:ascii="Arial" w:cs="Arial" w:eastAsia="Arial" w:hAnsi="Arial"/>
                <w:sz w:val="14"/>
                <w:szCs w:val="14"/>
                <w:b w:val="1"/>
                <w:bCs w:val="1"/>
                <w:color w:val="auto"/>
              </w:rPr>
              <w:t>Significant</w:t>
            </w:r>
          </w:p>
        </w:tc>
        <w:tc>
          <w:tcPr>
            <w:tcW w:w="12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Range</w:t>
            </w:r>
          </w:p>
        </w:tc>
        <w:tc>
          <w:tcPr>
            <w:tcW w:w="100" w:type="dxa"/>
            <w:vAlign w:val="bottom"/>
          </w:tcPr>
          <w:p>
            <w:pPr>
              <w:spacing w:after="0"/>
              <w:rPr>
                <w:sz w:val="12"/>
                <w:szCs w:val="12"/>
                <w:color w:val="auto"/>
              </w:rPr>
            </w:pP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5"/>
        </w:trPr>
        <w:tc>
          <w:tcPr>
            <w:tcW w:w="32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8"/>
        </w:trPr>
        <w:tc>
          <w:tcPr>
            <w:tcW w:w="328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 obligations</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1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246.4</w:t>
            </w:r>
          </w:p>
        </w:tc>
        <w:tc>
          <w:tcPr>
            <w:tcW w:w="80" w:type="dxa"/>
            <w:vAlign w:val="bottom"/>
          </w:tcPr>
          <w:p>
            <w:pPr>
              <w:spacing w:after="0"/>
              <w:rPr>
                <w:sz w:val="18"/>
                <w:szCs w:val="18"/>
                <w:color w:val="auto"/>
              </w:rPr>
            </w:pPr>
          </w:p>
        </w:tc>
        <w:tc>
          <w:tcPr>
            <w:tcW w:w="1740" w:type="dxa"/>
            <w:vAlign w:val="bottom"/>
          </w:tcPr>
          <w:p>
            <w:pPr>
              <w:ind w:left="20"/>
              <w:spacing w:after="0"/>
              <w:rPr>
                <w:sz w:val="20"/>
                <w:szCs w:val="20"/>
                <w:color w:val="auto"/>
              </w:rPr>
            </w:pPr>
            <w:r>
              <w:rPr>
                <w:rFonts w:ascii="Arial" w:cs="Arial" w:eastAsia="Arial" w:hAnsi="Arial"/>
                <w:sz w:val="14"/>
                <w:szCs w:val="14"/>
                <w:color w:val="auto"/>
              </w:rPr>
              <w:t>Discounted cash flow</w:t>
            </w:r>
          </w:p>
        </w:tc>
        <w:tc>
          <w:tcPr>
            <w:tcW w:w="80" w:type="dxa"/>
            <w:vAlign w:val="bottom"/>
          </w:tcPr>
          <w:p>
            <w:pPr>
              <w:spacing w:after="0"/>
              <w:rPr>
                <w:sz w:val="18"/>
                <w:szCs w:val="18"/>
                <w:color w:val="auto"/>
              </w:rPr>
            </w:pPr>
          </w:p>
        </w:tc>
        <w:tc>
          <w:tcPr>
            <w:tcW w:w="214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2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70C0"/>
              </w:rPr>
              <w:t>5.3% - 5.4%</w:t>
            </w:r>
          </w:p>
        </w:tc>
        <w:tc>
          <w:tcPr>
            <w:tcW w:w="100" w:type="dxa"/>
            <w:vAlign w:val="bottom"/>
          </w:tcPr>
          <w:p>
            <w:pPr>
              <w:spacing w:after="0"/>
              <w:rPr>
                <w:sz w:val="18"/>
                <w:szCs w:val="18"/>
                <w:color w:val="auto"/>
              </w:rPr>
            </w:pPr>
          </w:p>
        </w:tc>
        <w:tc>
          <w:tcPr>
            <w:tcW w:w="1300" w:type="dxa"/>
            <w:vAlign w:val="bottom"/>
            <w:shd w:val="clear" w:color="auto" w:fill="DBDBDB"/>
          </w:tcPr>
          <w:p>
            <w:pPr>
              <w:jc w:val="right"/>
              <w:ind w:right="408"/>
              <w:spacing w:after="0"/>
              <w:rPr>
                <w:sz w:val="20"/>
                <w:szCs w:val="20"/>
                <w:color w:val="auto"/>
              </w:rPr>
            </w:pPr>
            <w:r>
              <w:rPr>
                <w:rFonts w:ascii="Arial" w:cs="Arial" w:eastAsia="Arial" w:hAnsi="Arial"/>
                <w:sz w:val="14"/>
                <w:szCs w:val="14"/>
                <w:color w:val="0070C0"/>
              </w:rPr>
              <w:t>5.4%</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Expected timing of</w:t>
            </w:r>
          </w:p>
        </w:tc>
        <w:tc>
          <w:tcPr>
            <w:tcW w:w="122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achievement of development</w:t>
            </w:r>
          </w:p>
        </w:tc>
        <w:tc>
          <w:tcPr>
            <w:tcW w:w="122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color w:val="0070C0"/>
              </w:rPr>
              <w:t>2028 - 2030</w:t>
            </w:r>
          </w:p>
        </w:tc>
        <w:tc>
          <w:tcPr>
            <w:tcW w:w="100" w:type="dxa"/>
            <w:vAlign w:val="bottom"/>
          </w:tcPr>
          <w:p>
            <w:pPr>
              <w:spacing w:after="0"/>
              <w:rPr>
                <w:sz w:val="12"/>
                <w:szCs w:val="12"/>
                <w:color w:val="auto"/>
              </w:rPr>
            </w:pPr>
          </w:p>
        </w:tc>
        <w:tc>
          <w:tcPr>
            <w:tcW w:w="130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0070C0"/>
                <w:w w:val="99"/>
              </w:rPr>
              <w:t>—</w:t>
            </w: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2"/>
          </w:tcPr>
          <w:p>
            <w:pPr>
              <w:ind w:left="20"/>
              <w:spacing w:after="0"/>
              <w:rPr>
                <w:sz w:val="20"/>
                <w:szCs w:val="20"/>
                <w:color w:val="auto"/>
              </w:rPr>
            </w:pPr>
            <w:r>
              <w:rPr>
                <w:rFonts w:ascii="Arial" w:cs="Arial" w:eastAsia="Arial" w:hAnsi="Arial"/>
                <w:sz w:val="14"/>
                <w:szCs w:val="14"/>
                <w:color w:val="auto"/>
              </w:rPr>
              <w:t>milestones</w:t>
            </w:r>
          </w:p>
        </w:tc>
        <w:tc>
          <w:tcPr>
            <w:tcW w:w="122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2"/>
                <w:szCs w:val="12"/>
                <w:color w:val="auto"/>
              </w:rPr>
            </w:pPr>
          </w:p>
        </w:tc>
        <w:tc>
          <w:tcPr>
            <w:tcW w:w="1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80" w:type="dxa"/>
            <w:vAlign w:val="bottom"/>
          </w:tcPr>
          <w:p>
            <w:pPr>
              <w:spacing w:after="0"/>
              <w:rPr>
                <w:sz w:val="12"/>
                <w:szCs w:val="12"/>
                <w:color w:val="auto"/>
              </w:rPr>
            </w:pPr>
          </w:p>
        </w:tc>
        <w:tc>
          <w:tcPr>
            <w:tcW w:w="2140" w:type="dxa"/>
            <w:vAlign w:val="bottom"/>
            <w:gridSpan w:val="2"/>
          </w:tcPr>
          <w:p>
            <w:pPr>
              <w:ind w:left="660"/>
              <w:spacing w:after="0" w:line="147" w:lineRule="exact"/>
              <w:rPr>
                <w:sz w:val="20"/>
                <w:szCs w:val="20"/>
                <w:color w:val="auto"/>
              </w:rPr>
            </w:pPr>
            <w:r>
              <w:rPr>
                <w:rFonts w:ascii="Arial" w:cs="Arial" w:eastAsia="Arial" w:hAnsi="Arial"/>
                <w:sz w:val="14"/>
                <w:szCs w:val="14"/>
                <w:b w:val="1"/>
                <w:bCs w:val="1"/>
                <w:color w:val="auto"/>
              </w:rPr>
              <w:t>Significant</w:t>
            </w:r>
          </w:p>
        </w:tc>
        <w:tc>
          <w:tcPr>
            <w:tcW w:w="12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Range</w:t>
            </w:r>
          </w:p>
        </w:tc>
        <w:tc>
          <w:tcPr>
            <w:tcW w:w="100" w:type="dxa"/>
            <w:vAlign w:val="bottom"/>
            <w:vMerge w:val="restart"/>
          </w:tcPr>
          <w:p>
            <w:pPr>
              <w:spacing w:after="0"/>
              <w:rPr>
                <w:sz w:val="12"/>
                <w:szCs w:val="12"/>
                <w:color w:val="auto"/>
              </w:rPr>
            </w:pP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5"/>
        </w:trPr>
        <w:tc>
          <w:tcPr>
            <w:tcW w:w="32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8"/>
        </w:trPr>
        <w:tc>
          <w:tcPr>
            <w:tcW w:w="328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Contingent consideration obligations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512.8</w:t>
            </w:r>
          </w:p>
        </w:tc>
        <w:tc>
          <w:tcPr>
            <w:tcW w:w="80" w:type="dxa"/>
            <w:vAlign w:val="bottom"/>
          </w:tcPr>
          <w:p>
            <w:pPr>
              <w:spacing w:after="0"/>
              <w:rPr>
                <w:sz w:val="17"/>
                <w:szCs w:val="17"/>
                <w:color w:val="auto"/>
              </w:rPr>
            </w:pPr>
          </w:p>
        </w:tc>
        <w:tc>
          <w:tcPr>
            <w:tcW w:w="1740" w:type="dxa"/>
            <w:vAlign w:val="bottom"/>
          </w:tcPr>
          <w:p>
            <w:pPr>
              <w:ind w:left="20"/>
              <w:spacing w:after="0"/>
              <w:rPr>
                <w:sz w:val="20"/>
                <w:szCs w:val="20"/>
                <w:color w:val="auto"/>
              </w:rPr>
            </w:pPr>
            <w:r>
              <w:rPr>
                <w:rFonts w:ascii="Arial" w:cs="Arial" w:eastAsia="Arial" w:hAnsi="Arial"/>
                <w:sz w:val="14"/>
                <w:szCs w:val="14"/>
                <w:color w:val="auto"/>
              </w:rPr>
              <w:t>Discounted cash flow</w:t>
            </w:r>
          </w:p>
        </w:tc>
        <w:tc>
          <w:tcPr>
            <w:tcW w:w="80" w:type="dxa"/>
            <w:vAlign w:val="bottom"/>
          </w:tcPr>
          <w:p>
            <w:pPr>
              <w:spacing w:after="0"/>
              <w:rPr>
                <w:sz w:val="17"/>
                <w:szCs w:val="17"/>
                <w:color w:val="auto"/>
              </w:rPr>
            </w:pPr>
          </w:p>
        </w:tc>
        <w:tc>
          <w:tcPr>
            <w:tcW w:w="2140" w:type="dxa"/>
            <w:vAlign w:val="bottom"/>
            <w:gridSpan w:val="2"/>
          </w:tcPr>
          <w:p>
            <w:pPr>
              <w:ind w:left="20"/>
              <w:spacing w:after="0"/>
              <w:rPr>
                <w:sz w:val="20"/>
                <w:szCs w:val="20"/>
                <w:color w:val="auto"/>
              </w:rPr>
            </w:pPr>
            <w:r>
              <w:rPr>
                <w:rFonts w:ascii="Arial" w:cs="Arial" w:eastAsia="Arial" w:hAnsi="Arial"/>
                <w:sz w:val="14"/>
                <w:szCs w:val="14"/>
                <w:color w:val="auto"/>
              </w:rPr>
              <w:t>Discount rate</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6.2% - 6.3%</w:t>
            </w:r>
          </w:p>
        </w:tc>
        <w:tc>
          <w:tcPr>
            <w:tcW w:w="100" w:type="dxa"/>
            <w:vAlign w:val="bottom"/>
          </w:tcPr>
          <w:p>
            <w:pPr>
              <w:spacing w:after="0"/>
              <w:rPr>
                <w:sz w:val="17"/>
                <w:szCs w:val="17"/>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gridSpan w:val="2"/>
          </w:tcPr>
          <w:p>
            <w:pPr>
              <w:ind w:left="20"/>
              <w:spacing w:after="0"/>
              <w:rPr>
                <w:sz w:val="20"/>
                <w:szCs w:val="20"/>
                <w:color w:val="auto"/>
              </w:rPr>
            </w:pPr>
            <w:r>
              <w:rPr>
                <w:rFonts w:ascii="Arial" w:cs="Arial" w:eastAsia="Arial" w:hAnsi="Arial"/>
                <w:sz w:val="14"/>
                <w:szCs w:val="14"/>
                <w:color w:val="auto"/>
              </w:rPr>
              <w:t>Expected timing of</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achievement of development</w:t>
            </w:r>
          </w:p>
        </w:tc>
        <w:tc>
          <w:tcPr>
            <w:tcW w:w="1220" w:type="dxa"/>
            <w:vAlign w:val="bottom"/>
            <w:vMerge w:val="restart"/>
          </w:tcPr>
          <w:p>
            <w:pPr>
              <w:jc w:val="right"/>
              <w:ind w:right="148"/>
              <w:spacing w:after="0"/>
              <w:rPr>
                <w:sz w:val="20"/>
                <w:szCs w:val="20"/>
                <w:color w:val="auto"/>
              </w:rPr>
            </w:pPr>
            <w:r>
              <w:rPr>
                <w:rFonts w:ascii="Arial" w:cs="Arial" w:eastAsia="Arial" w:hAnsi="Arial"/>
                <w:sz w:val="14"/>
                <w:szCs w:val="14"/>
                <w:color w:val="auto"/>
              </w:rPr>
              <w:t>2025 - 2030</w:t>
            </w:r>
          </w:p>
        </w:tc>
        <w:tc>
          <w:tcPr>
            <w:tcW w:w="10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2"/>
          </w:tcPr>
          <w:p>
            <w:pPr>
              <w:ind w:left="20"/>
              <w:spacing w:after="0"/>
              <w:rPr>
                <w:sz w:val="20"/>
                <w:szCs w:val="20"/>
                <w:color w:val="auto"/>
              </w:rPr>
            </w:pPr>
            <w:r>
              <w:rPr>
                <w:rFonts w:ascii="Arial" w:cs="Arial" w:eastAsia="Arial" w:hAnsi="Arial"/>
                <w:sz w:val="14"/>
                <w:szCs w:val="14"/>
                <w:color w:val="auto"/>
              </w:rPr>
              <w:t>milestones</w:t>
            </w: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weighted average discount rates were calculated based on the relative fair values of each distinct contingent consideration obligation related to our acquisition of HI-Bio in July 2024. In addition, we apply various probabilities of technological and regulatory success to the valuation models to estimate the fair values of these contingent consideration obligations, which ranged from approximately 70.0% to 95.0% as of December 31,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into or out of Level 3 as of December 31, 2025 and 2024.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Contingent Consideration Obligations</w:t>
      </w:r>
    </w:p>
    <w:p>
      <w:pPr>
        <w:spacing w:after="0" w:line="11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connection with our acquisition of HI-Bio in July 2024 we agreed to make additional payments based upon the achievement of certain milestone events. The following table provides a roll forward of the fair value of our contingent consideration obligations, which were classified as Level 3 measurements: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tcBorders>
              <w:bottom w:val="single" w:sz="8" w:color="auto"/>
            </w:tcBorders>
          </w:tcPr>
          <w:p>
            <w:pPr>
              <w:spacing w:after="0"/>
              <w:rPr>
                <w:sz w:val="17"/>
                <w:szCs w:val="17"/>
                <w:color w:val="auto"/>
              </w:rPr>
            </w:pPr>
          </w:p>
        </w:tc>
      </w:tr>
      <w:tr>
        <w:trPr>
          <w:trHeight w:val="197"/>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500" w:type="dxa"/>
            <w:vAlign w:val="bottom"/>
            <w:tcBorders>
              <w:bottom w:val="single" w:sz="8" w:color="auto"/>
            </w:tcBorders>
            <w:shd w:val="clear" w:color="auto" w:fill="DDDDDD"/>
          </w:tcPr>
          <w:p>
            <w:pPr>
              <w:spacing w:after="0"/>
              <w:rPr>
                <w:sz w:val="17"/>
                <w:szCs w:val="17"/>
                <w:color w:val="auto"/>
              </w:rPr>
            </w:pPr>
          </w:p>
        </w:tc>
        <w:tc>
          <w:tcPr>
            <w:tcW w:w="1660" w:type="dxa"/>
            <w:vAlign w:val="bottom"/>
            <w:tcBorders>
              <w:bottom w:val="single" w:sz="8" w:color="auto"/>
            </w:tcBorders>
            <w:shd w:val="clear" w:color="auto" w:fill="DDDDDD"/>
          </w:tcPr>
          <w:p>
            <w:pPr>
              <w:jc w:val="right"/>
              <w:ind w:right="848"/>
              <w:spacing w:after="0"/>
              <w:rPr>
                <w:sz w:val="20"/>
                <w:szCs w:val="20"/>
                <w:color w:val="auto"/>
              </w:rPr>
            </w:pPr>
            <w:r>
              <w:rPr>
                <w:rFonts w:ascii="Arial" w:cs="Arial" w:eastAsia="Arial" w:hAnsi="Arial"/>
                <w:sz w:val="14"/>
                <w:szCs w:val="14"/>
                <w:b w:val="1"/>
                <w:bCs w:val="1"/>
                <w:color w:val="2573BA"/>
              </w:rPr>
              <w:t>2025</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2024</w:t>
            </w:r>
          </w:p>
        </w:tc>
      </w:tr>
      <w:tr>
        <w:trPr>
          <w:trHeight w:val="189"/>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Fair value, beginning of year</w:t>
            </w:r>
          </w:p>
        </w:tc>
        <w:tc>
          <w:tcPr>
            <w:tcW w:w="50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2573BA"/>
                <w:w w:val="76"/>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512.8</w:t>
            </w:r>
          </w:p>
        </w:tc>
        <w:tc>
          <w:tcPr>
            <w:tcW w:w="8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80" w:type="dxa"/>
            <w:vAlign w:val="bottom"/>
            <w:gridSpan w:val="2"/>
          </w:tcPr>
          <w:p>
            <w:pPr>
              <w:ind w:left="140"/>
              <w:spacing w:after="0"/>
              <w:rPr>
                <w:sz w:val="20"/>
                <w:szCs w:val="20"/>
                <w:color w:val="auto"/>
              </w:rPr>
            </w:pPr>
            <w:r>
              <w:rPr>
                <w:rFonts w:ascii="Arial" w:cs="Arial" w:eastAsia="Arial" w:hAnsi="Arial"/>
                <w:sz w:val="14"/>
                <w:szCs w:val="14"/>
                <w:color w:val="auto"/>
              </w:rPr>
              <w:t>Contingent consideration resulting from HI-Bio acquisition</w:t>
            </w:r>
          </w:p>
        </w:tc>
        <w:tc>
          <w:tcPr>
            <w:tcW w:w="500" w:type="dxa"/>
            <w:vAlign w:val="bottom"/>
            <w:shd w:val="clear" w:color="auto" w:fill="DBDBDB"/>
          </w:tcPr>
          <w:p>
            <w:pPr>
              <w:spacing w:after="0"/>
              <w:rPr>
                <w:sz w:val="17"/>
                <w:szCs w:val="17"/>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485.1</w:t>
            </w:r>
          </w:p>
        </w:tc>
      </w:tr>
      <w:tr>
        <w:trPr>
          <w:trHeight w:val="202"/>
        </w:trPr>
        <w:tc>
          <w:tcPr>
            <w:tcW w:w="6780" w:type="dxa"/>
            <w:vAlign w:val="bottom"/>
            <w:gridSpan w:val="2"/>
          </w:tcPr>
          <w:p>
            <w:pPr>
              <w:ind w:left="140"/>
              <w:spacing w:after="0"/>
              <w:rPr>
                <w:sz w:val="20"/>
                <w:szCs w:val="20"/>
                <w:color w:val="auto"/>
              </w:rPr>
            </w:pPr>
            <w:r>
              <w:rPr>
                <w:rFonts w:ascii="Arial" w:cs="Arial" w:eastAsia="Arial" w:hAnsi="Arial"/>
                <w:sz w:val="14"/>
                <w:szCs w:val="14"/>
                <w:color w:val="auto"/>
              </w:rPr>
              <w:t>Changes in fair value</w:t>
            </w:r>
          </w:p>
        </w:tc>
        <w:tc>
          <w:tcPr>
            <w:tcW w:w="500" w:type="dxa"/>
            <w:vAlign w:val="bottom"/>
            <w:shd w:val="clear" w:color="auto" w:fill="DBDBDB"/>
          </w:tcPr>
          <w:p>
            <w:pPr>
              <w:spacing w:after="0"/>
              <w:rPr>
                <w:sz w:val="17"/>
                <w:szCs w:val="17"/>
                <w:color w:val="auto"/>
              </w:rPr>
            </w:pP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33.6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207"/>
        </w:trPr>
        <w:tc>
          <w:tcPr>
            <w:tcW w:w="6780" w:type="dxa"/>
            <w:vAlign w:val="bottom"/>
            <w:gridSpan w:val="2"/>
          </w:tcPr>
          <w:p>
            <w:pPr>
              <w:ind w:left="140"/>
              <w:spacing w:after="0"/>
              <w:rPr>
                <w:sz w:val="20"/>
                <w:szCs w:val="20"/>
                <w:color w:val="auto"/>
              </w:rPr>
            </w:pPr>
            <w:r>
              <w:rPr>
                <w:rFonts w:ascii="Arial" w:cs="Arial" w:eastAsia="Arial" w:hAnsi="Arial"/>
                <w:sz w:val="14"/>
                <w:szCs w:val="14"/>
                <w:color w:val="auto"/>
              </w:rPr>
              <w:t>Payments</w:t>
            </w:r>
          </w:p>
        </w:tc>
        <w:tc>
          <w:tcPr>
            <w:tcW w:w="500" w:type="dxa"/>
            <w:vAlign w:val="bottom"/>
            <w:tcBorders>
              <w:bottom w:val="single" w:sz="8" w:color="auto"/>
            </w:tcBorders>
            <w:shd w:val="clear" w:color="auto" w:fill="DBDBDB"/>
          </w:tcPr>
          <w:p>
            <w:pPr>
              <w:spacing w:after="0"/>
              <w:rPr>
                <w:sz w:val="17"/>
                <w:szCs w:val="17"/>
                <w:color w:val="auto"/>
              </w:rPr>
            </w:pP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(300.0)</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Fair value, end of year</w:t>
            </w:r>
          </w:p>
        </w:tc>
        <w:tc>
          <w:tcPr>
            <w:tcW w:w="50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2573BA"/>
                <w:w w:val="76"/>
              </w:rPr>
              <w:t>$</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246.4</w:t>
            </w:r>
          </w:p>
        </w:tc>
        <w:tc>
          <w:tcPr>
            <w:tcW w:w="88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512.8</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Changes in the fair values of our contingent consideration obligations, other than changes due to payments, are recognized as a (gain) loss on fair value remeasurement of contingent consideration within our consolidated statements of income. The fair values of the contingent consideration liabilities were based on a probability-adjusted discounted cash flow calculation using Level 3 fair value measurements and inputs. For additional information on the valuation techniques and inputs utilized in the valuation of our financial assets and liabilities,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these consolidated financial statements.</w:t>
      </w:r>
    </w:p>
    <w:p>
      <w:pPr>
        <w:spacing w:after="0" w:line="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of December 31, 2025, the total remaining fair value of our contingent consideration obligations of $246.4 million was classified as long-term and reflected as a component of other long-term liabilities within our consolidated balance sheets.</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December 31, 2024, approximately $291.2 million of the fair value of our total contingent consideration obligations was classified as short-term and reflected as a component of accrued expense and other with the remaining $221.6 million reflected as a component of other long-term liabilities within our consolidated balance sheets.</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the year ended December 31, 2025, changes in the fair value of our contingent consideration obligations were primarily due to changes in interest rates used to revalue our contingent consideration liabilities and the passage of time. For the year ended December 31, 2024, changes in the fair value of our contingent consideration obligations were primarily due to changes in interest rates used to revalue our contingent consideration liabilities, the passage of time and updates to the expected timing of achieving certain milestones which will trigger contingent consideration payments.</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During the second quarter of 2025 the first milestone related to the fourth patient dosed in a Phase 3 clinical trial of felzartamab for AMR was achieved, resulting in a $ 150.0 million milestone payment made to the former shareholders of HI-Bio, which was paid during the third quarter of 2025. In October 2025 the second milestone related to the fourth patient dosed in a Phase 3 clinical trial of felzartamab for IgAN was achieved, resulting in a</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$150.0 million milestone payment made to the former shareholders of HI-Bio, which was paid during the fourth quarter of 2025.</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Financial Instruments Not Carried at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 Financial Instruments</w:t>
      </w:r>
    </w:p>
    <w:p>
      <w:pPr>
        <w:spacing w:after="0" w:line="11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Due to the short-term nature of certain financial instruments, the carrying value reflected in our consolidated balance sheets for current accounts receivable, due from anti-CD20 therapeutic programs, other current assets, accounts payable and accrued expense and other, approximates fair value.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Debt Instruments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debt instruments, which are Level 2 liabilities, are summarized as follows:</w:t>
      </w:r>
    </w:p>
    <w:p>
      <w:pPr>
        <w:spacing w:after="0" w:line="59"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Fair Value</w:t>
      </w:r>
    </w:p>
    <w:p>
      <w:pPr>
        <w:spacing w:after="0" w:line="2"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6350</wp:posOffset>
            </wp:positionV>
            <wp:extent cx="2391410"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4">
                      <a:extLst>
                        <a:ext uri="{28A0092B-C50C-407E-A947-70E740481C1C}"/>
                      </a:extLst>
                    </a:blip>
                    <a:srcRect/>
                    <a:stretch>
                      <a:fillRect/>
                    </a:stretch>
                  </pic:blipFill>
                  <pic:spPr bwMode="auto">
                    <a:xfrm>
                      <a:off x="0" y="0"/>
                      <a:ext cx="2391410" cy="137160"/>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68058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5">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Current portion:</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4.050% Senior Notes due September 15, 2025</w:t>
      </w:r>
      <w:r>
        <w:rPr>
          <w:rFonts w:ascii="Arial" w:cs="Arial" w:eastAsia="Arial" w:hAnsi="Arial"/>
          <w:sz w:val="9"/>
          <w:szCs w:val="9"/>
          <w:color w:val="auto"/>
        </w:rPr>
        <w:t>(1)</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Current portion of notes payable</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Non-current portion:</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2.250% Senior Notes due May 1, 2030</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5.050% Senior Notes due January 15, 2031</w:t>
      </w:r>
      <w:r>
        <w:rPr>
          <w:rFonts w:ascii="Arial" w:cs="Arial" w:eastAsia="Arial" w:hAnsi="Arial"/>
          <w:sz w:val="9"/>
          <w:szCs w:val="9"/>
          <w:color w:val="auto"/>
        </w:rPr>
        <w:t>(1)</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5.750% Senior Notes due May 15, 2035</w:t>
      </w:r>
      <w:r>
        <w:rPr>
          <w:rFonts w:ascii="Arial" w:cs="Arial" w:eastAsia="Arial" w:hAnsi="Arial"/>
          <w:sz w:val="9"/>
          <w:szCs w:val="9"/>
          <w:color w:val="auto"/>
        </w:rPr>
        <w:t>(1)</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5.200% Senior Notes due September 15, 2045</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3.150% Senior Notes due May 1, 2050</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3.250% Senior Notes due February 15, 2051</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6.450% Senior Notes due May 15, 2055</w:t>
      </w:r>
      <w:r>
        <w:rPr>
          <w:rFonts w:ascii="Arial" w:cs="Arial" w:eastAsia="Arial" w:hAnsi="Arial"/>
          <w:sz w:val="9"/>
          <w:szCs w:val="9"/>
          <w:color w:val="auto"/>
        </w:rPr>
        <w:t>(1)</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Non-current portion of notes payable</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27774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729"/>
        <w:spacing w:after="0"/>
        <w:rPr>
          <w:sz w:val="20"/>
          <w:szCs w:val="20"/>
          <w:color w:val="auto"/>
        </w:rPr>
      </w:pPr>
      <w:r>
        <w:rPr>
          <w:rFonts w:ascii="Arial" w:cs="Arial" w:eastAsia="Arial" w:hAnsi="Arial"/>
          <w:sz w:val="14"/>
          <w:szCs w:val="14"/>
          <w:b w:val="1"/>
          <w:bCs w:val="1"/>
          <w:color w:val="2573BA"/>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157605" cy="402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7">
                      <a:extLst>
                        <a:ext uri="{28A0092B-C50C-407E-A947-70E740481C1C}"/>
                      </a:extLst>
                    </a:blip>
                    <a:srcRect/>
                    <a:stretch>
                      <a:fillRect/>
                    </a:stretch>
                  </pic:blipFill>
                  <pic:spPr bwMode="auto">
                    <a:xfrm>
                      <a:off x="0" y="0"/>
                      <a:ext cx="1157605" cy="402590"/>
                    </a:xfrm>
                    <a:prstGeom prst="rect">
                      <a:avLst/>
                    </a:prstGeom>
                    <a:noFill/>
                  </pic:spPr>
                </pic:pic>
              </a:graphicData>
            </a:graphic>
          </wp:anchor>
        </w:drawing>
      </w:r>
    </w:p>
    <w:p>
      <w:pPr>
        <w:spacing w:after="0" w:line="238" w:lineRule="exact"/>
        <w:rPr>
          <w:sz w:val="20"/>
          <w:szCs w:val="20"/>
          <w:color w:val="auto"/>
        </w:rPr>
      </w:pPr>
    </w:p>
    <w:p>
      <w:pPr>
        <w:ind w:left="9"/>
        <w:spacing w:after="0"/>
        <w:tabs>
          <w:tab w:leader="none" w:pos="1568" w:val="left"/>
        </w:tabs>
        <w:rPr>
          <w:sz w:val="20"/>
          <w:szCs w:val="20"/>
          <w:color w:val="auto"/>
        </w:rPr>
      </w:pPr>
      <w:r>
        <w:rPr>
          <w:rFonts w:ascii="Arial" w:cs="Arial" w:eastAsia="Arial" w:hAnsi="Arial"/>
          <w:sz w:val="14"/>
          <w:szCs w:val="14"/>
          <w:color w:val="2573BA"/>
        </w:rPr>
        <w:t>$</w:t>
      </w:r>
      <w:r>
        <w:rPr>
          <w:sz w:val="20"/>
          <w:szCs w:val="20"/>
          <w:color w:val="auto"/>
        </w:rPr>
        <w:tab/>
      </w:r>
      <w:r>
        <w:rPr>
          <w:rFonts w:ascii="Arial" w:cs="Arial" w:eastAsia="Arial" w:hAnsi="Arial"/>
          <w:sz w:val="14"/>
          <w:szCs w:val="14"/>
          <w:color w:val="2573BA"/>
        </w:rPr>
        <w:t>—</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2573B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157605" cy="13544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8">
                      <a:extLst>
                        <a:ext uri="{28A0092B-C50C-407E-A947-70E740481C1C}"/>
                      </a:extLst>
                    </a:blip>
                    <a:srcRect/>
                    <a:stretch>
                      <a:fillRect/>
                    </a:stretch>
                  </pic:blipFill>
                  <pic:spPr bwMode="auto">
                    <a:xfrm>
                      <a:off x="0" y="0"/>
                      <a:ext cx="1157605" cy="1354455"/>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2573BA"/>
        </w:rPr>
        <w:t>1,378.7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2573BA"/>
        </w:rPr>
        <w:t>413.0</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2573BA"/>
        </w:rPr>
        <w:t>684.5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2573BA"/>
        </w:rPr>
        <w:t>1,029.5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2573BA"/>
        </w:rPr>
        <w:t>973.0</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2573BA"/>
        </w:rPr>
        <w:t>461.8</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2573BA"/>
        </w:rPr>
        <w:t>737.6</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2573BA"/>
        </w:rPr>
        <w:t>5,678.1</w:t>
      </w:r>
    </w:p>
    <w:p>
      <w:pPr>
        <w:spacing w:after="0" w:line="55" w:lineRule="exact"/>
        <w:rPr>
          <w:sz w:val="20"/>
          <w:szCs w:val="20"/>
          <w:color w:val="auto"/>
        </w:rPr>
      </w:pPr>
    </w:p>
    <w:p>
      <w:pPr>
        <w:ind w:left="1249" w:hanging="1249"/>
        <w:spacing w:after="0"/>
        <w:tabs>
          <w:tab w:leader="none" w:pos="1249" w:val="left"/>
        </w:tabs>
        <w:numPr>
          <w:ilvl w:val="0"/>
          <w:numId w:val="112"/>
        </w:numPr>
        <w:rPr>
          <w:rFonts w:ascii="Arial" w:cs="Arial" w:eastAsia="Arial" w:hAnsi="Arial"/>
          <w:sz w:val="14"/>
          <w:szCs w:val="14"/>
          <w:color w:val="2573BA"/>
        </w:rPr>
      </w:pPr>
      <w:r>
        <w:rPr>
          <w:rFonts w:ascii="Arial" w:cs="Arial" w:eastAsia="Arial" w:hAnsi="Arial"/>
          <w:sz w:val="14"/>
          <w:szCs w:val="14"/>
          <w:color w:val="2573BA"/>
        </w:rPr>
        <w:t>5,678.1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49530</wp:posOffset>
            </wp:positionV>
            <wp:extent cx="115760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9">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738"/>
        <w:spacing w:after="0"/>
        <w:rPr>
          <w:sz w:val="20"/>
          <w:szCs w:val="20"/>
          <w:color w:val="auto"/>
        </w:rPr>
      </w:pP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1658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8" w:lineRule="exact"/>
        <w:rPr>
          <w:sz w:val="20"/>
          <w:szCs w:val="20"/>
          <w:color w:val="auto"/>
        </w:rPr>
      </w:pPr>
    </w:p>
    <w:p>
      <w:pPr>
        <w:ind w:left="1278" w:hanging="1278"/>
        <w:spacing w:after="0"/>
        <w:tabs>
          <w:tab w:leader="none" w:pos="1278" w:val="left"/>
        </w:tabs>
        <w:numPr>
          <w:ilvl w:val="0"/>
          <w:numId w:val="113"/>
        </w:numPr>
        <w:rPr>
          <w:rFonts w:ascii="Arial" w:cs="Arial" w:eastAsia="Arial" w:hAnsi="Arial"/>
          <w:sz w:val="14"/>
          <w:szCs w:val="14"/>
          <w:color w:val="auto"/>
        </w:rPr>
      </w:pPr>
      <w:r>
        <w:rPr>
          <w:rFonts w:ascii="Arial" w:cs="Arial" w:eastAsia="Arial" w:hAnsi="Arial"/>
          <w:sz w:val="14"/>
          <w:szCs w:val="14"/>
          <w:color w:val="auto"/>
        </w:rPr>
        <w:t>1,741.0</w:t>
      </w:r>
    </w:p>
    <w:p>
      <w:pPr>
        <w:spacing w:after="0" w:line="55" w:lineRule="exact"/>
        <w:rPr>
          <w:rFonts w:ascii="Arial" w:cs="Arial" w:eastAsia="Arial" w:hAnsi="Arial"/>
          <w:sz w:val="14"/>
          <w:szCs w:val="14"/>
          <w:color w:val="auto"/>
        </w:rPr>
      </w:pPr>
    </w:p>
    <w:p>
      <w:pPr>
        <w:ind w:left="1278"/>
        <w:spacing w:after="0"/>
        <w:rPr>
          <w:rFonts w:ascii="Arial" w:cs="Arial" w:eastAsia="Arial" w:hAnsi="Arial"/>
          <w:sz w:val="14"/>
          <w:szCs w:val="14"/>
          <w:color w:val="auto"/>
        </w:rPr>
      </w:pPr>
      <w:r>
        <w:rPr>
          <w:rFonts w:ascii="Arial" w:cs="Arial" w:eastAsia="Arial" w:hAnsi="Arial"/>
          <w:sz w:val="14"/>
          <w:szCs w:val="14"/>
          <w:color w:val="auto"/>
        </w:rPr>
        <w:t>1,741.0</w:t>
      </w:r>
    </w:p>
    <w:p>
      <w:pPr>
        <w:spacing w:after="0" w:line="298" w:lineRule="exact"/>
        <w:rPr>
          <w:rFonts w:ascii="Arial" w:cs="Arial" w:eastAsia="Arial" w:hAnsi="Arial"/>
          <w:sz w:val="14"/>
          <w:szCs w:val="14"/>
          <w:color w:val="auto"/>
        </w:rPr>
      </w:pPr>
    </w:p>
    <w:p>
      <w:pPr>
        <w:ind w:left="1278"/>
        <w:spacing w:after="0"/>
        <w:rPr>
          <w:rFonts w:ascii="Arial" w:cs="Arial" w:eastAsia="Arial" w:hAnsi="Arial"/>
          <w:sz w:val="14"/>
          <w:szCs w:val="14"/>
          <w:color w:val="auto"/>
        </w:rPr>
      </w:pPr>
      <w:r>
        <w:rPr>
          <w:rFonts w:ascii="Arial" w:cs="Arial" w:eastAsia="Arial" w:hAnsi="Arial"/>
          <w:sz w:val="14"/>
          <w:szCs w:val="14"/>
          <w:color w:val="auto"/>
        </w:rPr>
        <w:t>1,295.6</w:t>
      </w:r>
    </w:p>
    <w:p>
      <w:pPr>
        <w:spacing w:after="0" w:line="41" w:lineRule="exact"/>
        <w:rPr>
          <w:rFonts w:ascii="Arial" w:cs="Arial" w:eastAsia="Arial" w:hAnsi="Arial"/>
          <w:sz w:val="14"/>
          <w:szCs w:val="14"/>
          <w:color w:val="auto"/>
        </w:rPr>
      </w:pPr>
    </w:p>
    <w:p>
      <w:pPr>
        <w:ind w:left="1598"/>
        <w:spacing w:after="0"/>
        <w:rPr>
          <w:rFonts w:ascii="Arial" w:cs="Arial" w:eastAsia="Arial" w:hAnsi="Arial"/>
          <w:sz w:val="14"/>
          <w:szCs w:val="14"/>
          <w:color w:val="auto"/>
        </w:rPr>
      </w:pPr>
      <w:r>
        <w:rPr>
          <w:rFonts w:ascii="Arial" w:cs="Arial" w:eastAsia="Arial" w:hAnsi="Arial"/>
          <w:sz w:val="14"/>
          <w:szCs w:val="14"/>
          <w:color w:val="auto"/>
        </w:rPr>
        <w:t>—</w:t>
      </w:r>
    </w:p>
    <w:p>
      <w:pPr>
        <w:spacing w:after="0" w:line="41" w:lineRule="exact"/>
        <w:rPr>
          <w:rFonts w:ascii="Arial" w:cs="Arial" w:eastAsia="Arial" w:hAnsi="Arial"/>
          <w:sz w:val="14"/>
          <w:szCs w:val="14"/>
          <w:color w:val="auto"/>
        </w:rPr>
      </w:pPr>
    </w:p>
    <w:p>
      <w:pPr>
        <w:ind w:left="1598"/>
        <w:spacing w:after="0"/>
        <w:rPr>
          <w:rFonts w:ascii="Arial" w:cs="Arial" w:eastAsia="Arial" w:hAnsi="Arial"/>
          <w:sz w:val="14"/>
          <w:szCs w:val="14"/>
          <w:color w:val="auto"/>
        </w:rPr>
      </w:pPr>
      <w:r>
        <w:rPr>
          <w:rFonts w:ascii="Arial" w:cs="Arial" w:eastAsia="Arial" w:hAnsi="Arial"/>
          <w:sz w:val="14"/>
          <w:szCs w:val="14"/>
          <w:color w:val="auto"/>
        </w:rPr>
        <w:t>—</w:t>
      </w:r>
    </w:p>
    <w:p>
      <w:pPr>
        <w:spacing w:after="0" w:line="41" w:lineRule="exact"/>
        <w:rPr>
          <w:rFonts w:ascii="Arial" w:cs="Arial" w:eastAsia="Arial" w:hAnsi="Arial"/>
          <w:sz w:val="14"/>
          <w:szCs w:val="14"/>
          <w:color w:val="auto"/>
        </w:rPr>
      </w:pPr>
    </w:p>
    <w:p>
      <w:pPr>
        <w:ind w:left="1278"/>
        <w:spacing w:after="0"/>
        <w:rPr>
          <w:rFonts w:ascii="Arial" w:cs="Arial" w:eastAsia="Arial" w:hAnsi="Arial"/>
          <w:sz w:val="14"/>
          <w:szCs w:val="14"/>
          <w:color w:val="auto"/>
        </w:rPr>
      </w:pPr>
      <w:r>
        <w:rPr>
          <w:rFonts w:ascii="Arial" w:cs="Arial" w:eastAsia="Arial" w:hAnsi="Arial"/>
          <w:sz w:val="14"/>
          <w:szCs w:val="14"/>
          <w:color w:val="auto"/>
        </w:rPr>
        <w:t>1,008.0</w:t>
      </w:r>
    </w:p>
    <w:p>
      <w:pPr>
        <w:spacing w:after="0" w:line="41" w:lineRule="exact"/>
        <w:rPr>
          <w:rFonts w:ascii="Arial" w:cs="Arial" w:eastAsia="Arial" w:hAnsi="Arial"/>
          <w:sz w:val="14"/>
          <w:szCs w:val="14"/>
          <w:color w:val="auto"/>
        </w:rPr>
      </w:pPr>
    </w:p>
    <w:p>
      <w:pPr>
        <w:ind w:left="1398"/>
        <w:spacing w:after="0"/>
        <w:rPr>
          <w:rFonts w:ascii="Arial" w:cs="Arial" w:eastAsia="Arial" w:hAnsi="Arial"/>
          <w:sz w:val="14"/>
          <w:szCs w:val="14"/>
          <w:color w:val="auto"/>
        </w:rPr>
      </w:pPr>
      <w:r>
        <w:rPr>
          <w:rFonts w:ascii="Arial" w:cs="Arial" w:eastAsia="Arial" w:hAnsi="Arial"/>
          <w:sz w:val="14"/>
          <w:szCs w:val="14"/>
          <w:color w:val="auto"/>
        </w:rPr>
        <w:t>943.7</w:t>
      </w:r>
    </w:p>
    <w:p>
      <w:pPr>
        <w:spacing w:after="0" w:line="41" w:lineRule="exact"/>
        <w:rPr>
          <w:rFonts w:ascii="Arial" w:cs="Arial" w:eastAsia="Arial" w:hAnsi="Arial"/>
          <w:sz w:val="14"/>
          <w:szCs w:val="14"/>
          <w:color w:val="auto"/>
        </w:rPr>
      </w:pPr>
    </w:p>
    <w:p>
      <w:pPr>
        <w:ind w:left="1398"/>
        <w:spacing w:after="0"/>
        <w:rPr>
          <w:rFonts w:ascii="Arial" w:cs="Arial" w:eastAsia="Arial" w:hAnsi="Arial"/>
          <w:sz w:val="14"/>
          <w:szCs w:val="14"/>
          <w:color w:val="auto"/>
        </w:rPr>
      </w:pPr>
      <w:r>
        <w:rPr>
          <w:rFonts w:ascii="Arial" w:cs="Arial" w:eastAsia="Arial" w:hAnsi="Arial"/>
          <w:sz w:val="14"/>
          <w:szCs w:val="14"/>
          <w:color w:val="auto"/>
        </w:rPr>
        <w:t>448.9</w:t>
      </w:r>
    </w:p>
    <w:p>
      <w:pPr>
        <w:spacing w:after="0" w:line="41" w:lineRule="exact"/>
        <w:rPr>
          <w:rFonts w:ascii="Arial" w:cs="Arial" w:eastAsia="Arial" w:hAnsi="Arial"/>
          <w:sz w:val="14"/>
          <w:szCs w:val="14"/>
          <w:color w:val="auto"/>
        </w:rPr>
      </w:pPr>
    </w:p>
    <w:p>
      <w:pPr>
        <w:ind w:left="1598"/>
        <w:spacing w:after="0"/>
        <w:rPr>
          <w:rFonts w:ascii="Arial" w:cs="Arial" w:eastAsia="Arial" w:hAnsi="Arial"/>
          <w:sz w:val="14"/>
          <w:szCs w:val="14"/>
          <w:color w:val="auto"/>
        </w:rPr>
      </w:pPr>
      <w:r>
        <w:rPr>
          <w:rFonts w:ascii="Arial" w:cs="Arial" w:eastAsia="Arial" w:hAnsi="Arial"/>
          <w:sz w:val="14"/>
          <w:szCs w:val="14"/>
          <w:color w:val="auto"/>
        </w:rPr>
        <w:t>—</w:t>
      </w:r>
    </w:p>
    <w:p>
      <w:pPr>
        <w:spacing w:after="0" w:line="55" w:lineRule="exact"/>
        <w:rPr>
          <w:rFonts w:ascii="Arial" w:cs="Arial" w:eastAsia="Arial" w:hAnsi="Arial"/>
          <w:sz w:val="14"/>
          <w:szCs w:val="14"/>
          <w:color w:val="auto"/>
        </w:rPr>
      </w:pPr>
    </w:p>
    <w:p>
      <w:pPr>
        <w:ind w:left="1278"/>
        <w:spacing w:after="0"/>
        <w:rPr>
          <w:rFonts w:ascii="Arial" w:cs="Arial" w:eastAsia="Arial" w:hAnsi="Arial"/>
          <w:sz w:val="14"/>
          <w:szCs w:val="14"/>
          <w:color w:val="auto"/>
        </w:rPr>
      </w:pPr>
      <w:r>
        <w:rPr>
          <w:rFonts w:ascii="Arial" w:cs="Arial" w:eastAsia="Arial" w:hAnsi="Arial"/>
          <w:sz w:val="14"/>
          <w:szCs w:val="14"/>
          <w:color w:val="auto"/>
        </w:rPr>
        <w:t>3,696.2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1658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1">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-113030</wp:posOffset>
            </wp:positionV>
            <wp:extent cx="11658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2">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-1176020</wp:posOffset>
            </wp:positionV>
            <wp:extent cx="11658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3">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-1313180</wp:posOffset>
            </wp:positionV>
            <wp:extent cx="11658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35" w:lineRule="exact"/>
        <w:rPr>
          <w:sz w:val="20"/>
          <w:szCs w:val="20"/>
          <w:color w:val="auto"/>
        </w:rPr>
      </w:pPr>
    </w:p>
    <w:p>
      <w:pPr>
        <w:ind w:left="1278" w:hanging="1278"/>
        <w:spacing w:after="0"/>
        <w:tabs>
          <w:tab w:leader="none" w:pos="1278" w:val="left"/>
        </w:tabs>
        <w:numPr>
          <w:ilvl w:val="0"/>
          <w:numId w:val="114"/>
        </w:numPr>
        <w:rPr>
          <w:rFonts w:ascii="Arial" w:cs="Arial" w:eastAsia="Arial" w:hAnsi="Arial"/>
          <w:sz w:val="14"/>
          <w:szCs w:val="14"/>
          <w:color w:val="auto"/>
        </w:rPr>
      </w:pPr>
      <w:r>
        <w:rPr>
          <w:rFonts w:ascii="Arial" w:cs="Arial" w:eastAsia="Arial" w:hAnsi="Arial"/>
          <w:sz w:val="14"/>
          <w:szCs w:val="14"/>
          <w:color w:val="auto"/>
        </w:rPr>
        <w:t>5,437.2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1658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5">
                      <a:extLst>
                        <a:ext uri="{28A0092B-C50C-407E-A947-70E740481C1C}"/>
                      </a:extLst>
                    </a:blip>
                    <a:srcRect/>
                    <a:stretch>
                      <a:fillRect/>
                    </a:stretch>
                  </pic:blipFill>
                  <pic:spPr bwMode="auto">
                    <a:xfrm>
                      <a:off x="0" y="0"/>
                      <a:ext cx="116586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49530</wp:posOffset>
            </wp:positionV>
            <wp:extent cx="11658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3">
            <w:col w:w="6771" w:space="720"/>
            <w:col w:w="1729" w:space="202"/>
            <w:col w:w="1798"/>
          </w:cols>
          <w:pgMar w:left="320" w:top="238" w:right="359" w:bottom="1440" w:gutter="0" w:footer="0" w:header="0"/>
          <w:type w:val="continuous"/>
        </w:sectPr>
      </w:pPr>
    </w:p>
    <w:p>
      <w:pPr>
        <w:spacing w:after="0" w:line="247" w:lineRule="exact"/>
        <w:rPr>
          <w:sz w:val="20"/>
          <w:szCs w:val="20"/>
          <w:color w:val="auto"/>
        </w:rPr>
      </w:pPr>
    </w:p>
    <w:p>
      <w:pPr>
        <w:ind w:left="180" w:right="260" w:hanging="172"/>
        <w:spacing w:after="0" w:line="234" w:lineRule="auto"/>
        <w:tabs>
          <w:tab w:leader="none" w:pos="172"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 xml:space="preserve">In May 2025 we issued our 2025 Senior Notes for an aggregate principal amount of $1.75 billion. In June 2025 we used the net proceeds from the sale of our 2025 Senior Notes to redeem in full our 4.050% Senior Notes due September 15, 2025, prior to maturity. For additional information, please read </w:t>
      </w:r>
      <w:r>
        <w:rPr>
          <w:rFonts w:ascii="Arial" w:cs="Arial" w:eastAsia="Arial" w:hAnsi="Arial"/>
          <w:sz w:val="14"/>
          <w:szCs w:val="14"/>
          <w:i w:val="1"/>
          <w:iCs w:val="1"/>
          <w:color w:val="auto"/>
        </w:rPr>
        <w:t>Note 13, Indebtedness</w:t>
      </w:r>
      <w:r>
        <w:rPr>
          <w:rFonts w:ascii="Arial" w:cs="Arial" w:eastAsia="Arial" w:hAnsi="Arial"/>
          <w:sz w:val="14"/>
          <w:szCs w:val="14"/>
          <w:color w:val="auto"/>
        </w:rPr>
        <w:t>, to these consolidated financial statements.</w:t>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fair values of each of our series of Senior Notes were determined through market, observable and corroborated sources. The changes in the fair values of our Senior Notes as of December 31, 2025, compared to 2024, are primarily related to decreases in credit spreads used to value our Senior Notes since December 31, 2024. For additional information related to our Senior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831215" cy="3429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7">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9:</w:t>
      </w:r>
      <w:r>
        <w:rPr>
          <w:sz w:val="20"/>
          <w:szCs w:val="20"/>
          <w:color w:val="auto"/>
        </w:rPr>
        <w:tab/>
      </w:r>
      <w:r>
        <w:rPr>
          <w:rFonts w:ascii="Arial" w:cs="Arial" w:eastAsia="Arial" w:hAnsi="Arial"/>
          <w:sz w:val="21"/>
          <w:szCs w:val="21"/>
          <w:b w:val="1"/>
          <w:bCs w:val="1"/>
          <w:color w:val="0070C0"/>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8">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182"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in cash and cash equivalents in our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7"/>
                <w:szCs w:val="17"/>
                <w:color w:val="auto"/>
              </w:rPr>
            </w:pPr>
          </w:p>
        </w:tc>
      </w:tr>
      <w:tr>
        <w:trPr>
          <w:trHeight w:val="197"/>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6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2024</w:t>
            </w:r>
          </w:p>
        </w:tc>
      </w:tr>
      <w:tr>
        <w:trPr>
          <w:trHeight w:val="189"/>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2,027.7</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1,664.9</w:t>
            </w:r>
          </w:p>
        </w:tc>
      </w:tr>
      <w:tr>
        <w:trPr>
          <w:trHeight w:val="203"/>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Overnight reverse repurchase agreements</w:t>
            </w:r>
          </w:p>
        </w:tc>
        <w:tc>
          <w:tcPr>
            <w:tcW w:w="46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70.0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3"/>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Short-term debt securities</w:t>
            </w:r>
          </w:p>
        </w:tc>
        <w:tc>
          <w:tcPr>
            <w:tcW w:w="46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46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120.1</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20"/>
        </w:trPr>
        <w:tc>
          <w:tcPr>
            <w:tcW w:w="718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2,233.2</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1,664.9</w:t>
            </w:r>
          </w:p>
        </w:tc>
      </w:tr>
      <w:tr>
        <w:trPr>
          <w:trHeight w:val="20"/>
        </w:trPr>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carrying value of our money market funds, overnight reverse repurchase agreements, short-term debt securities and commercial paper, including accrued interest, approximates fair value due to their short-term maturities.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marketable equity securities gains (losses) are recorded in other (income) expense, net in our consolidated statements of income. The following tables summarize our marketable debt and equity securities, classified as available-for-sale: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3240" w:type="dxa"/>
            <w:vAlign w:val="bottom"/>
            <w:tcBorders>
              <w:bottom w:val="single" w:sz="8" w:color="auto"/>
            </w:tcBorders>
            <w:gridSpan w:val="5"/>
            <w:shd w:val="clear" w:color="auto" w:fill="DBDBDB"/>
          </w:tcPr>
          <w:p>
            <w:pPr>
              <w:ind w:left="660"/>
              <w:spacing w:after="0"/>
              <w:rPr>
                <w:sz w:val="20"/>
                <w:szCs w:val="20"/>
                <w:color w:val="auto"/>
              </w:rPr>
            </w:pPr>
            <w:r>
              <w:rPr>
                <w:rFonts w:ascii="Arial" w:cs="Arial" w:eastAsia="Arial" w:hAnsi="Arial"/>
                <w:sz w:val="14"/>
                <w:szCs w:val="14"/>
                <w:b w:val="1"/>
                <w:bCs w:val="1"/>
                <w:color w:val="0070C0"/>
              </w:rPr>
              <w:t>As of December 31, 2025</w:t>
            </w:r>
          </w:p>
        </w:tc>
        <w:tc>
          <w:tcPr>
            <w:tcW w:w="34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4"/>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DDDDD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DDDDD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Marketable debt securities:</w:t>
            </w:r>
          </w:p>
        </w:tc>
        <w:tc>
          <w:tcPr>
            <w:tcW w:w="10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00" w:type="dxa"/>
            <w:vAlign w:val="bottom"/>
            <w:shd w:val="clear" w:color="auto" w:fill="DDDDDD"/>
          </w:tcPr>
          <w:p>
            <w:pPr>
              <w:spacing w:after="0"/>
              <w:rPr>
                <w:sz w:val="17"/>
                <w:szCs w:val="17"/>
                <w:color w:val="auto"/>
              </w:rPr>
            </w:pPr>
          </w:p>
        </w:tc>
        <w:tc>
          <w:tcPr>
            <w:tcW w:w="14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4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122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246.8</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420" w:type="dxa"/>
            <w:vAlign w:val="bottom"/>
            <w:gridSpan w:val="2"/>
            <w:shd w:val="clear" w:color="auto" w:fill="DBDBDB"/>
          </w:tcPr>
          <w:p>
            <w:pPr>
              <w:ind w:left="110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246.8</w:t>
            </w:r>
          </w:p>
        </w:tc>
        <w:tc>
          <w:tcPr>
            <w:tcW w:w="0" w:type="dxa"/>
            <w:vAlign w:val="bottom"/>
          </w:tcPr>
          <w:p>
            <w:pPr>
              <w:spacing w:after="0"/>
              <w:rPr>
                <w:sz w:val="1"/>
                <w:szCs w:val="1"/>
                <w:color w:val="auto"/>
              </w:rPr>
            </w:pPr>
          </w:p>
        </w:tc>
      </w:tr>
      <w:tr>
        <w:trPr>
          <w:trHeight w:val="203"/>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290.6</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0.2</w:t>
            </w: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ind w:left="110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290.8</w:t>
            </w:r>
          </w:p>
        </w:tc>
        <w:tc>
          <w:tcPr>
            <w:tcW w:w="0" w:type="dxa"/>
            <w:vAlign w:val="bottom"/>
          </w:tcPr>
          <w:p>
            <w:pPr>
              <w:spacing w:after="0"/>
              <w:rPr>
                <w:sz w:val="1"/>
                <w:szCs w:val="1"/>
                <w:color w:val="auto"/>
              </w:rPr>
            </w:pPr>
          </w:p>
        </w:tc>
      </w:tr>
      <w:tr>
        <w:trPr>
          <w:trHeight w:val="20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560.4</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ind w:left="110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560.4</w:t>
            </w:r>
          </w:p>
        </w:tc>
        <w:tc>
          <w:tcPr>
            <w:tcW w:w="0" w:type="dxa"/>
            <w:vAlign w:val="bottom"/>
          </w:tcPr>
          <w:p>
            <w:pPr>
              <w:spacing w:after="0"/>
              <w:rPr>
                <w:sz w:val="1"/>
                <w:szCs w:val="1"/>
                <w:color w:val="auto"/>
              </w:rPr>
            </w:pPr>
          </w:p>
        </w:tc>
      </w:tr>
      <w:tr>
        <w:trPr>
          <w:trHeight w:val="203"/>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88.4</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ind w:left="110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88.4</w:t>
            </w:r>
          </w:p>
        </w:tc>
        <w:tc>
          <w:tcPr>
            <w:tcW w:w="0" w:type="dxa"/>
            <w:vAlign w:val="bottom"/>
          </w:tcPr>
          <w:p>
            <w:pPr>
              <w:spacing w:after="0"/>
              <w:rPr>
                <w:sz w:val="1"/>
                <w:szCs w:val="1"/>
                <w:color w:val="auto"/>
              </w:rPr>
            </w:pPr>
          </w:p>
        </w:tc>
      </w:tr>
      <w:tr>
        <w:trPr>
          <w:trHeight w:val="20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10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52.7</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ind w:left="1100"/>
              <w:spacing w:after="0"/>
              <w:rPr>
                <w:sz w:val="20"/>
                <w:szCs w:val="20"/>
                <w:color w:val="auto"/>
              </w:rPr>
            </w:pPr>
            <w:r>
              <w:rPr>
                <w:rFonts w:ascii="Arial" w:cs="Arial" w:eastAsia="Arial" w:hAnsi="Arial"/>
                <w:sz w:val="14"/>
                <w:szCs w:val="14"/>
                <w:color w:val="2573BA"/>
              </w:rPr>
              <w:t>—</w:t>
            </w:r>
          </w:p>
        </w:tc>
        <w:tc>
          <w:tcPr>
            <w:tcW w:w="12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52.7</w:t>
            </w:r>
          </w:p>
        </w:tc>
        <w:tc>
          <w:tcPr>
            <w:tcW w:w="0" w:type="dxa"/>
            <w:vAlign w:val="bottom"/>
          </w:tcPr>
          <w:p>
            <w:pPr>
              <w:spacing w:after="0"/>
              <w:rPr>
                <w:sz w:val="1"/>
                <w:szCs w:val="1"/>
                <w:color w:val="auto"/>
              </w:rPr>
            </w:pPr>
          </w:p>
        </w:tc>
      </w:tr>
      <w:tr>
        <w:trPr>
          <w:trHeight w:val="240"/>
        </w:trPr>
        <w:tc>
          <w:tcPr>
            <w:tcW w:w="4660" w:type="dxa"/>
            <w:vAlign w:val="bottom"/>
            <w:gridSpan w:val="2"/>
          </w:tcPr>
          <w:p>
            <w:pPr>
              <w:ind w:left="220"/>
              <w:spacing w:after="0"/>
              <w:rPr>
                <w:sz w:val="20"/>
                <w:szCs w:val="20"/>
                <w:color w:val="auto"/>
              </w:rPr>
            </w:pPr>
            <w:r>
              <w:rPr>
                <w:rFonts w:ascii="Arial" w:cs="Arial" w:eastAsia="Arial" w:hAnsi="Arial"/>
                <w:sz w:val="14"/>
                <w:szCs w:val="14"/>
                <w:color w:val="auto"/>
              </w:rPr>
              <w:t>Total marketable debt securities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1,238.9</w:t>
            </w: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0.2</w:t>
            </w:r>
          </w:p>
        </w:tc>
        <w:tc>
          <w:tcPr>
            <w:tcW w:w="100" w:type="dxa"/>
            <w:vAlign w:val="bottom"/>
            <w:shd w:val="clear" w:color="auto" w:fill="DBDBDB"/>
          </w:tcPr>
          <w:p>
            <w:pPr>
              <w:spacing w:after="0"/>
              <w:rPr>
                <w:sz w:val="20"/>
                <w:szCs w:val="20"/>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420" w:type="dxa"/>
            <w:vAlign w:val="bottom"/>
            <w:gridSpan w:val="2"/>
            <w:shd w:val="clear" w:color="auto" w:fill="DBDBDB"/>
          </w:tcPr>
          <w:p>
            <w:pPr>
              <w:ind w:left="110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1,239.1</w:t>
            </w:r>
          </w:p>
        </w:tc>
        <w:tc>
          <w:tcPr>
            <w:tcW w:w="0" w:type="dxa"/>
            <w:vAlign w:val="bottom"/>
          </w:tcPr>
          <w:p>
            <w:pPr>
              <w:spacing w:after="0"/>
              <w:rPr>
                <w:sz w:val="1"/>
                <w:szCs w:val="1"/>
                <w:color w:val="auto"/>
              </w:rPr>
            </w:pPr>
          </w:p>
        </w:tc>
      </w:tr>
      <w:tr>
        <w:trPr>
          <w:trHeight w:val="418"/>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Marketable equity securities:</w:t>
            </w:r>
          </w:p>
        </w:tc>
        <w:tc>
          <w:tcPr>
            <w:tcW w:w="100" w:type="dxa"/>
            <w:vAlign w:val="bottom"/>
            <w:tcBorders>
              <w:top w:val="single" w:sz="8" w:color="auto"/>
            </w:tcBorders>
            <w:shd w:val="clear" w:color="auto" w:fill="DBDBDB"/>
          </w:tcPr>
          <w:p>
            <w:pPr>
              <w:spacing w:after="0"/>
              <w:rPr>
                <w:sz w:val="24"/>
                <w:szCs w:val="24"/>
                <w:color w:val="auto"/>
              </w:rPr>
            </w:pPr>
          </w:p>
        </w:tc>
        <w:tc>
          <w:tcPr>
            <w:tcW w:w="146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120" w:type="dxa"/>
            <w:vAlign w:val="bottom"/>
            <w:tcBorders>
              <w:top w:val="single" w:sz="8" w:color="auto"/>
            </w:tcBorders>
            <w:shd w:val="clear" w:color="auto" w:fill="DBDBDB"/>
          </w:tcPr>
          <w:p>
            <w:pPr>
              <w:spacing w:after="0"/>
              <w:rPr>
                <w:sz w:val="24"/>
                <w:szCs w:val="24"/>
                <w:color w:val="auto"/>
              </w:rPr>
            </w:pPr>
          </w:p>
        </w:tc>
        <w:tc>
          <w:tcPr>
            <w:tcW w:w="146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260" w:type="dxa"/>
            <w:vAlign w:val="bottom"/>
            <w:tcBorders>
              <w:top w:val="single" w:sz="8" w:color="auto"/>
            </w:tcBorders>
            <w:shd w:val="clear" w:color="auto" w:fill="DBDBDB"/>
          </w:tcPr>
          <w:p>
            <w:pPr>
              <w:spacing w:after="0"/>
              <w:rPr>
                <w:sz w:val="24"/>
                <w:szCs w:val="24"/>
                <w:color w:val="auto"/>
              </w:rPr>
            </w:pPr>
          </w:p>
        </w:tc>
        <w:tc>
          <w:tcPr>
            <w:tcW w:w="1300" w:type="dxa"/>
            <w:vAlign w:val="bottom"/>
            <w:tcBorders>
              <w:top w:val="single" w:sz="8" w:color="auto"/>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340" w:type="dxa"/>
            <w:vAlign w:val="bottom"/>
            <w:tcBorders>
              <w:top w:val="single" w:sz="8" w:color="auto"/>
            </w:tcBorders>
            <w:shd w:val="clear" w:color="auto" w:fill="DBDBDB"/>
          </w:tcPr>
          <w:p>
            <w:pPr>
              <w:spacing w:after="0"/>
              <w:rPr>
                <w:sz w:val="24"/>
                <w:szCs w:val="24"/>
                <w:color w:val="auto"/>
              </w:rPr>
            </w:pPr>
          </w:p>
        </w:tc>
        <w:tc>
          <w:tcPr>
            <w:tcW w:w="1220" w:type="dxa"/>
            <w:vAlign w:val="bottom"/>
            <w:tcBorders>
              <w:top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227.7</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tcBorders>
              <w:bottom w:val="single" w:sz="8" w:color="auto"/>
            </w:tcBorders>
            <w:shd w:val="clear" w:color="auto" w:fill="DBDBDB"/>
          </w:tcPr>
          <w:p>
            <w:pPr>
              <w:ind w:left="820"/>
              <w:spacing w:after="0"/>
              <w:rPr>
                <w:sz w:val="20"/>
                <w:szCs w:val="20"/>
                <w:color w:val="auto"/>
              </w:rPr>
            </w:pPr>
            <w:r>
              <w:rPr>
                <w:rFonts w:ascii="Arial" w:cs="Arial" w:eastAsia="Arial" w:hAnsi="Arial"/>
                <w:sz w:val="14"/>
                <w:szCs w:val="14"/>
                <w:color w:val="2573BA"/>
              </w:rPr>
              <w:t>(109.6)</w:t>
            </w:r>
          </w:p>
        </w:tc>
        <w:tc>
          <w:tcPr>
            <w:tcW w:w="12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118.1</w:t>
            </w:r>
          </w:p>
        </w:tc>
        <w:tc>
          <w:tcPr>
            <w:tcW w:w="0" w:type="dxa"/>
            <w:vAlign w:val="bottom"/>
          </w:tcPr>
          <w:p>
            <w:pPr>
              <w:spacing w:after="0"/>
              <w:rPr>
                <w:sz w:val="1"/>
                <w:szCs w:val="1"/>
                <w:color w:val="auto"/>
              </w:rPr>
            </w:pPr>
          </w:p>
        </w:tc>
      </w:tr>
      <w:tr>
        <w:trPr>
          <w:trHeight w:val="22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Total marketable equity securities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227.7</w:t>
            </w: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tcBorders>
              <w:bottom w:val="single" w:sz="8" w:color="auto"/>
            </w:tcBorders>
            <w:shd w:val="clear" w:color="auto" w:fill="DBDBDB"/>
          </w:tcPr>
          <w:p>
            <w:pPr>
              <w:ind w:left="820"/>
              <w:spacing w:after="0"/>
              <w:rPr>
                <w:sz w:val="20"/>
                <w:szCs w:val="20"/>
                <w:color w:val="auto"/>
              </w:rPr>
            </w:pPr>
            <w:r>
              <w:rPr>
                <w:rFonts w:ascii="Arial" w:cs="Arial" w:eastAsia="Arial" w:hAnsi="Arial"/>
                <w:sz w:val="14"/>
                <w:szCs w:val="14"/>
                <w:color w:val="2573BA"/>
              </w:rPr>
              <w:t>(109.6)</w:t>
            </w:r>
          </w:p>
        </w:tc>
        <w:tc>
          <w:tcPr>
            <w:tcW w:w="12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118.1</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8"/>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As of December 31, 2024</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2"/>
                <w:szCs w:val="12"/>
                <w:color w:val="auto"/>
              </w:rPr>
            </w:pPr>
          </w:p>
        </w:tc>
        <w:tc>
          <w:tcPr>
            <w:tcW w:w="1220" w:type="dxa"/>
            <w:vAlign w:val="bottom"/>
            <w:vMerge w:val="restart"/>
          </w:tcPr>
          <w:p>
            <w:pPr>
              <w:jc w:val="center"/>
              <w:ind w:right="2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Marketable equity securities:</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(489.0)</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20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Total marketable equity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668.7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ind w:left="820"/>
              <w:spacing w:after="0"/>
              <w:rPr>
                <w:sz w:val="20"/>
                <w:szCs w:val="20"/>
                <w:color w:val="auto"/>
              </w:rPr>
            </w:pPr>
            <w:r>
              <w:rPr>
                <w:rFonts w:ascii="Arial" w:cs="Arial" w:eastAsia="Arial" w:hAnsi="Arial"/>
                <w:sz w:val="14"/>
                <w:szCs w:val="14"/>
                <w:color w:val="auto"/>
              </w:rPr>
              <w:t>(489.0)</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Summary of Contractual Maturities: Available-for-Sale Debt Securities</w:t>
      </w:r>
    </w:p>
    <w:p>
      <w:pPr>
        <w:spacing w:after="0" w:line="180"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estimated fair value and amortized cost of our marketable debt securities classified as available-for-sale by contractual maturity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92075</wp:posOffset>
            </wp:positionV>
            <wp:extent cx="2888615"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0">
                      <a:extLst>
                        <a:ext uri="{28A0092B-C50C-407E-A947-70E740481C1C}"/>
                      </a:extLst>
                    </a:blip>
                    <a:srcRect/>
                    <a:stretch>
                      <a:fillRect/>
                    </a:stretch>
                  </pic:blipFill>
                  <pic:spPr bwMode="auto">
                    <a:xfrm>
                      <a:off x="0" y="0"/>
                      <a:ext cx="2888615" cy="1289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1833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1">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in one year or less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after one year through five years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after five years</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marketable debt securities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0070C0"/>
        </w:rPr>
        <w:t>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right"/>
              <w:ind w:right="708"/>
              <w:spacing w:after="0" w:line="149" w:lineRule="exact"/>
              <w:rPr>
                <w:sz w:val="20"/>
                <w:szCs w:val="20"/>
                <w:color w:val="auto"/>
              </w:rPr>
            </w:pPr>
            <w:r>
              <w:rPr>
                <w:rFonts w:ascii="Arial" w:cs="Arial" w:eastAsia="Arial" w:hAnsi="Arial"/>
                <w:sz w:val="14"/>
                <w:szCs w:val="14"/>
                <w:b w:val="1"/>
                <w:bCs w:val="1"/>
                <w:color w:val="auto"/>
              </w:rPr>
              <w:t>Estimated</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right"/>
              <w:ind w:right="688"/>
              <w:spacing w:after="0" w:line="149" w:lineRule="exact"/>
              <w:rPr>
                <w:sz w:val="20"/>
                <w:szCs w:val="20"/>
                <w:color w:val="auto"/>
              </w:rPr>
            </w:pPr>
            <w:r>
              <w:rPr>
                <w:rFonts w:ascii="Arial" w:cs="Arial" w:eastAsia="Arial" w:hAnsi="Arial"/>
                <w:sz w:val="14"/>
                <w:szCs w:val="14"/>
                <w:b w:val="1"/>
                <w:bCs w:val="1"/>
                <w:color w:val="auto"/>
              </w:rPr>
              <w:t>Amortized</w:t>
            </w:r>
          </w:p>
        </w:tc>
      </w:tr>
      <w:tr>
        <w:trPr>
          <w:trHeight w:val="185"/>
        </w:trPr>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Cost</w:t>
            </w:r>
          </w:p>
        </w:tc>
      </w:tr>
      <w:tr>
        <w:trPr>
          <w:trHeight w:val="188"/>
        </w:trPr>
        <w:tc>
          <w:tcPr>
            <w:tcW w:w="42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0070C0"/>
                <w:w w:val="76"/>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807.2</w:t>
            </w:r>
          </w:p>
        </w:tc>
        <w:tc>
          <w:tcPr>
            <w:tcW w:w="100" w:type="dxa"/>
            <w:vAlign w:val="bottom"/>
          </w:tcPr>
          <w:p>
            <w:pPr>
              <w:spacing w:after="0"/>
              <w:rPr>
                <w:sz w:val="16"/>
                <w:szCs w:val="16"/>
                <w:color w:val="auto"/>
              </w:rPr>
            </w:pP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070C0"/>
              </w:rPr>
              <w:t>$</w:t>
            </w:r>
          </w:p>
        </w:tc>
        <w:tc>
          <w:tcPr>
            <w:tcW w:w="1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807.2</w:t>
            </w:r>
          </w:p>
        </w:tc>
      </w:tr>
      <w:tr>
        <w:trPr>
          <w:trHeight w:val="203"/>
        </w:trPr>
        <w:tc>
          <w:tcPr>
            <w:tcW w:w="420" w:type="dxa"/>
            <w:vAlign w:val="bottom"/>
            <w:shd w:val="clear" w:color="auto" w:fill="DBDBDB"/>
          </w:tcPr>
          <w:p>
            <w:pPr>
              <w:spacing w:after="0"/>
              <w:rPr>
                <w:sz w:val="17"/>
                <w:szCs w:val="17"/>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419.5</w:t>
            </w:r>
          </w:p>
        </w:tc>
        <w:tc>
          <w:tcPr>
            <w:tcW w:w="100" w:type="dxa"/>
            <w:vAlign w:val="bottom"/>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8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419.3</w:t>
            </w:r>
          </w:p>
        </w:tc>
      </w:tr>
      <w:tr>
        <w:trPr>
          <w:trHeight w:val="207"/>
        </w:trPr>
        <w:tc>
          <w:tcPr>
            <w:tcW w:w="420" w:type="dxa"/>
            <w:vAlign w:val="bottom"/>
            <w:tcBorders>
              <w:bottom w:val="single" w:sz="8" w:color="auto"/>
            </w:tcBorders>
            <w:shd w:val="clear" w:color="auto" w:fill="DBDBDB"/>
          </w:tcPr>
          <w:p>
            <w:pPr>
              <w:spacing w:after="0"/>
              <w:rPr>
                <w:sz w:val="17"/>
                <w:szCs w:val="17"/>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12.4</w:t>
            </w:r>
          </w:p>
        </w:tc>
        <w:tc>
          <w:tcPr>
            <w:tcW w:w="100" w:type="dxa"/>
            <w:vAlign w:val="bottom"/>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12.4</w:t>
            </w:r>
          </w:p>
        </w:tc>
      </w:tr>
      <w:tr>
        <w:trPr>
          <w:trHeight w:val="221"/>
        </w:trPr>
        <w:tc>
          <w:tcPr>
            <w:tcW w:w="42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color w:val="0070C0"/>
                <w:w w:val="76"/>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1,239.1</w:t>
            </w:r>
          </w:p>
        </w:tc>
        <w:tc>
          <w:tcPr>
            <w:tcW w:w="100" w:type="dxa"/>
            <w:vAlign w:val="bottom"/>
          </w:tcPr>
          <w:p>
            <w:pPr>
              <w:spacing w:after="0"/>
              <w:rPr>
                <w:sz w:val="18"/>
                <w:szCs w:val="18"/>
                <w:color w:val="auto"/>
              </w:rPr>
            </w:pPr>
          </w:p>
        </w:tc>
        <w:tc>
          <w:tcPr>
            <w:tcW w:w="42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color w:val="0070C0"/>
              </w:rPr>
              <w:t>$</w:t>
            </w:r>
          </w:p>
        </w:tc>
        <w:tc>
          <w:tcPr>
            <w:tcW w:w="1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1,238.9</w:t>
            </w:r>
          </w:p>
        </w:tc>
      </w:tr>
      <w:tr>
        <w:trPr>
          <w:trHeight w:val="20"/>
        </w:trPr>
        <w:tc>
          <w:tcPr>
            <w:tcW w:w="42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800" w:type="dxa"/>
            <w:vAlign w:val="bottom"/>
            <w:tcBorders>
              <w:top w:val="single" w:sz="8" w:color="DBDBDB"/>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5980" w:space="720"/>
            <w:col w:w="4540"/>
          </w:cols>
          <w:pgMar w:left="320" w:top="238" w:right="339" w:bottom="1440" w:gutter="0" w:footer="0" w:header="0"/>
          <w:type w:val="continuous"/>
        </w:sectPr>
      </w:pPr>
    </w:p>
    <w:p>
      <w:pPr>
        <w:ind w:right="620"/>
        <w:spacing w:after="0" w:line="287" w:lineRule="auto"/>
        <w:rPr>
          <w:sz w:val="20"/>
          <w:szCs w:val="20"/>
          <w:color w:val="auto"/>
        </w:rPr>
      </w:pPr>
      <w:r>
        <w:rPr>
          <w:rFonts w:ascii="Arial" w:cs="Arial" w:eastAsia="Arial" w:hAnsi="Arial"/>
          <w:sz w:val="18"/>
          <w:szCs w:val="18"/>
          <w:color w:val="auto"/>
        </w:rPr>
        <w:t>The average maturity of our marketable debt securities classified as available-for-sale as of December 31, 2025, was approximately 5 months.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Proceeds from Marketable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maturities and sales of marketable debt securities and resulting realized gains and losses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6"/>
          </w:tcPr>
          <w:p>
            <w:pPr>
              <w:jc w:val="center"/>
              <w:ind w:left="808"/>
              <w:spacing w:after="0"/>
              <w:rPr>
                <w:sz w:val="20"/>
                <w:szCs w:val="20"/>
                <w:color w:val="auto"/>
              </w:rPr>
            </w:pPr>
            <w:r>
              <w:rPr>
                <w:rFonts w:ascii="Arial" w:cs="Arial" w:eastAsia="Arial" w:hAnsi="Arial"/>
                <w:sz w:val="14"/>
                <w:szCs w:val="14"/>
                <w:b w:val="1"/>
                <w:bCs w:val="1"/>
                <w:color w:val="auto"/>
              </w:rPr>
              <w:t>For the Years Ended December 31,</w:t>
            </w:r>
          </w:p>
        </w:tc>
        <w:tc>
          <w:tcPr>
            <w:tcW w:w="1300" w:type="dxa"/>
            <w:vAlign w:val="bottom"/>
            <w:tcBorders>
              <w:bottom w:val="single" w:sz="8" w:color="auto"/>
            </w:tcBorders>
          </w:tcPr>
          <w:p>
            <w:pPr>
              <w:spacing w:after="0"/>
              <w:rPr>
                <w:sz w:val="17"/>
                <w:szCs w:val="17"/>
                <w:color w:val="auto"/>
              </w:rPr>
            </w:pPr>
          </w:p>
        </w:tc>
      </w:tr>
      <w:tr>
        <w:trPr>
          <w:trHeight w:val="197"/>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4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2023</w:t>
            </w:r>
          </w:p>
        </w:tc>
      </w:tr>
      <w:tr>
        <w:trPr>
          <w:trHeight w:val="189"/>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Proceeds from maturities and sales</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23.0</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920" w:type="dxa"/>
            <w:vAlign w:val="bottom"/>
            <w:gridSpan w:val="3"/>
          </w:tcPr>
          <w:p>
            <w:pPr>
              <w:ind w:left="1140"/>
              <w:spacing w:after="0"/>
              <w:rPr>
                <w:sz w:val="20"/>
                <w:szCs w:val="20"/>
                <w:color w:val="auto"/>
              </w:rPr>
            </w:pPr>
            <w:r>
              <w:rPr>
                <w:rFonts w:ascii="Arial" w:cs="Arial" w:eastAsia="Arial" w:hAnsi="Arial"/>
                <w:sz w:val="14"/>
                <w:szCs w:val="14"/>
                <w:color w:val="auto"/>
              </w:rPr>
              <w:t>—   $</w:t>
            </w:r>
          </w:p>
        </w:tc>
        <w:tc>
          <w:tcPr>
            <w:tcW w:w="1300" w:type="dxa"/>
            <w:vAlign w:val="bottom"/>
          </w:tcPr>
          <w:p>
            <w:pPr>
              <w:jc w:val="right"/>
              <w:spacing w:after="0"/>
              <w:rPr>
                <w:sz w:val="20"/>
                <w:szCs w:val="20"/>
                <w:color w:val="auto"/>
              </w:rPr>
            </w:pPr>
            <w:r>
              <w:rPr>
                <w:rFonts w:ascii="Arial" w:cs="Arial" w:eastAsia="Arial" w:hAnsi="Arial"/>
                <w:sz w:val="14"/>
                <w:szCs w:val="14"/>
                <w:color w:val="auto"/>
              </w:rPr>
              <w:t>7,380.8</w:t>
            </w:r>
          </w:p>
        </w:tc>
      </w:tr>
      <w:tr>
        <w:trPr>
          <w:trHeight w:val="203"/>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Realized gains</w:t>
            </w:r>
          </w:p>
        </w:tc>
        <w:tc>
          <w:tcPr>
            <w:tcW w:w="4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11"/>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Realized losses</w:t>
            </w: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3"/>
          </w:tcPr>
          <w:p>
            <w:pPr>
              <w:ind w:left="11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18.4</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Realized losses for the year ended December 31, 2023, primarily relate to sales of U.S. treasuries and corporate bonds.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Strategic Investments</w:t>
      </w:r>
    </w:p>
    <w:p>
      <w:pPr>
        <w:spacing w:after="0" w:line="11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 xml:space="preserve">Our strategic investment portfolio includes investments in equity securities of certain biotechnology companies, which are reflected within our disclosures included in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to these consolidated financial statements, as well as venture capital funds where the underlying investments are in equity securities of certain biotechnology companies and non-marketable equity securities.</w:t>
      </w:r>
    </w:p>
    <w:p>
      <w:pPr>
        <w:spacing w:after="0" w:line="6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As of December 31, 2025 and 2024, our strategic investment portfolio was comprised of investments totaling $186.6 million and $226.7 million, respectively, which are included in investments and other assets within our consolidated balance sheets.</w:t>
      </w:r>
    </w:p>
    <w:p>
      <w:pPr>
        <w:spacing w:after="0" w:line="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decrease in our strategic investment portfolio as of December 31, 2025, compared to 2024, was primarily due to the decrease in the fair value of our investment in Denali common stock as well as the sale of our remaining investment in Sage common stock during the third quarter of 2025.</w:t>
      </w:r>
    </w:p>
    <w:p>
      <w:pPr>
        <w:spacing w:after="0" w:line="6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 xml:space="preserve">For additional information on our investments in Denali and Sage common stock, please read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18, Other Consolidated Financial Statement Detail</w:t>
      </w:r>
      <w:r>
        <w:rPr>
          <w:rFonts w:ascii="Arial" w:cs="Arial" w:eastAsia="Arial" w:hAnsi="Arial"/>
          <w:sz w:val="18"/>
          <w:szCs w:val="18"/>
          <w:color w:val="auto"/>
        </w:rPr>
        <w:t>,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831215" cy="3429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3">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6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10:</w:t>
      </w:r>
      <w:r>
        <w:rPr>
          <w:sz w:val="20"/>
          <w:szCs w:val="20"/>
          <w:color w:val="auto"/>
        </w:rPr>
        <w:tab/>
      </w:r>
      <w:r>
        <w:rPr>
          <w:rFonts w:ascii="Arial" w:cs="Arial" w:eastAsia="Arial" w:hAnsi="Arial"/>
          <w:sz w:val="21"/>
          <w:szCs w:val="21"/>
          <w:b w:val="1"/>
          <w:bCs w:val="1"/>
          <w:color w:val="0070C0"/>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4">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Foreign Currency Forward Contracts - Hedging Instruments</w:t>
      </w:r>
    </w:p>
    <w:p>
      <w:pPr>
        <w:spacing w:after="0" w:line="12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We enter into foreign currency forward contracts and foreign currency options with financial institutions with the primary objective to mitigate the impact of foreign currency exchange rate fluctuations on our international revenue and operating expense.</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Foreign currency forward contracts and foreign currency options in effect as of December 31, 2025 and 2024, had durations of 1 to 21 months and 1 to 12 months, respectively. These contracts have been designated as cash flow hedges and unrealized gains and losses on the portion of these foreign currency forward contracts and foreign currency options that are included in the effectiveness test are reported in AOCI. Realized gains and losses of such contracts and options are recognized in revenue when the sale of product in the currency being hedged is recognized and in operating expense when the expense in the currency being hedged is recorded. We recognize all cash flow hedge reclassifications from AOCI and fair value changes of excluded portions in the same line item in our consolidated statements of income that have been impacted by the hedged item.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notional amount of foreign currency forward contracts and foreign currency options that were entered into to hedge forecasted revenue and operating expense is summarized as follows:</w:t>
      </w:r>
    </w:p>
    <w:tbl>
      <w:tblPr>
        <w:tblLayout w:type="fixed"/>
        <w:tblInd w:w="0" w:type="dxa"/>
        <w:tblCellMar>
          <w:top w:w="0" w:type="dxa"/>
          <w:left w:w="0" w:type="dxa"/>
          <w:bottom w:w="0" w:type="dxa"/>
          <w:right w:w="0" w:type="dxa"/>
        </w:tblCellMar>
      </w:tblPr>
      <w:tr>
        <w:trPr>
          <w:trHeight w:val="149"/>
        </w:trPr>
        <w:tc>
          <w:tcPr>
            <w:tcW w:w="7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Notional Amount</w:t>
            </w:r>
          </w:p>
        </w:tc>
        <w:tc>
          <w:tcPr>
            <w:tcW w:w="1100" w:type="dxa"/>
            <w:vAlign w:val="bottom"/>
          </w:tcPr>
          <w:p>
            <w:pPr>
              <w:spacing w:after="0"/>
              <w:rPr>
                <w:sz w:val="12"/>
                <w:szCs w:val="12"/>
                <w:color w:val="auto"/>
              </w:rPr>
            </w:pPr>
          </w:p>
        </w:tc>
      </w:tr>
      <w:tr>
        <w:trPr>
          <w:trHeight w:val="185"/>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6"/>
                <w:szCs w:val="16"/>
                <w:color w:val="auto"/>
              </w:rPr>
            </w:pPr>
          </w:p>
        </w:tc>
      </w:tr>
      <w:tr>
        <w:trPr>
          <w:trHeight w:val="195"/>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42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2024</w:t>
            </w:r>
          </w:p>
        </w:tc>
      </w:tr>
      <w:tr>
        <w:trPr>
          <w:trHeight w:val="189"/>
        </w:trPr>
        <w:tc>
          <w:tcPr>
            <w:tcW w:w="758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1,531.0</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1,062.6</w:t>
            </w:r>
          </w:p>
        </w:tc>
      </w:tr>
      <w:tr>
        <w:trPr>
          <w:trHeight w:val="203"/>
        </w:trPr>
        <w:tc>
          <w:tcPr>
            <w:tcW w:w="7580" w:type="dxa"/>
            <w:vAlign w:val="bottom"/>
            <w:gridSpan w:val="2"/>
          </w:tcPr>
          <w:p>
            <w:pPr>
              <w:ind w:left="20"/>
              <w:spacing w:after="0"/>
              <w:rPr>
                <w:sz w:val="20"/>
                <w:szCs w:val="20"/>
                <w:color w:val="auto"/>
              </w:rPr>
            </w:pPr>
            <w:r>
              <w:rPr>
                <w:rFonts w:ascii="Arial" w:cs="Arial" w:eastAsia="Arial" w:hAnsi="Arial"/>
                <w:sz w:val="14"/>
                <w:szCs w:val="14"/>
                <w:color w:val="auto"/>
              </w:rPr>
              <w:t>British pound</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133.8</w:t>
            </w:r>
          </w:p>
        </w:tc>
      </w:tr>
      <w:tr>
        <w:trPr>
          <w:trHeight w:val="207"/>
        </w:trPr>
        <w:tc>
          <w:tcPr>
            <w:tcW w:w="7580" w:type="dxa"/>
            <w:vAlign w:val="bottom"/>
            <w:gridSpan w:val="2"/>
          </w:tcPr>
          <w:p>
            <w:pPr>
              <w:ind w:left="20"/>
              <w:spacing w:after="0"/>
              <w:rPr>
                <w:sz w:val="20"/>
                <w:szCs w:val="20"/>
                <w:color w:val="auto"/>
              </w:rPr>
            </w:pPr>
            <w:r>
              <w:rPr>
                <w:rFonts w:ascii="Arial" w:cs="Arial" w:eastAsia="Arial" w:hAnsi="Arial"/>
                <w:sz w:val="14"/>
                <w:szCs w:val="14"/>
                <w:color w:val="auto"/>
              </w:rPr>
              <w:t>Canadian dollar</w:t>
            </w: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w:t>
            </w:r>
          </w:p>
        </w:tc>
      </w:tr>
      <w:tr>
        <w:trPr>
          <w:trHeight w:val="220"/>
        </w:trPr>
        <w:tc>
          <w:tcPr>
            <w:tcW w:w="7580" w:type="dxa"/>
            <w:vAlign w:val="bottom"/>
            <w:gridSpan w:val="2"/>
          </w:tcPr>
          <w:p>
            <w:pPr>
              <w:ind w:left="140"/>
              <w:spacing w:after="0"/>
              <w:rPr>
                <w:sz w:val="20"/>
                <w:szCs w:val="20"/>
                <w:color w:val="auto"/>
              </w:rPr>
            </w:pPr>
            <w:r>
              <w:rPr>
                <w:rFonts w:ascii="Arial" w:cs="Arial" w:eastAsia="Arial" w:hAnsi="Arial"/>
                <w:sz w:val="14"/>
                <w:szCs w:val="14"/>
                <w:color w:val="auto"/>
              </w:rPr>
              <w:t>Total foreign currency forward contracts and options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1,531.0</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1,235.0</w:t>
            </w: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auto"/>
        </w:rPr>
        <w:t>The pre-tax portion of the fair value of these foreign currency forward contracts and foreign currency options that were included in AOCI in total equity is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540" w:type="dxa"/>
            <w:vAlign w:val="bottom"/>
            <w:tcBorders>
              <w:bottom w:val="single" w:sz="8" w:color="auto"/>
            </w:tcBorders>
            <w:shd w:val="clear" w:color="auto" w:fill="DDDDDD"/>
          </w:tcPr>
          <w:p>
            <w:pPr>
              <w:spacing w:after="0"/>
              <w:rPr>
                <w:sz w:val="17"/>
                <w:szCs w:val="17"/>
                <w:color w:val="auto"/>
              </w:rPr>
            </w:pPr>
          </w:p>
        </w:tc>
        <w:tc>
          <w:tcPr>
            <w:tcW w:w="1700" w:type="dxa"/>
            <w:vAlign w:val="bottom"/>
            <w:tcBorders>
              <w:bottom w:val="single" w:sz="8" w:color="auto"/>
            </w:tcBorders>
            <w:shd w:val="clear" w:color="auto" w:fill="DDDDDD"/>
          </w:tcPr>
          <w:p>
            <w:pPr>
              <w:jc w:val="right"/>
              <w:ind w:right="88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2023</w:t>
            </w: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Unrealized gains</w:t>
            </w:r>
          </w:p>
        </w:tc>
        <w:tc>
          <w:tcPr>
            <w:tcW w:w="540" w:type="dxa"/>
            <w:vAlign w:val="bottom"/>
            <w:shd w:val="clear" w:color="auto" w:fill="DBDBDB"/>
          </w:tcPr>
          <w:p>
            <w:pPr>
              <w:jc w:val="right"/>
              <w:ind w:right="368"/>
              <w:spacing w:after="0"/>
              <w:rPr>
                <w:sz w:val="20"/>
                <w:szCs w:val="20"/>
                <w:color w:val="auto"/>
              </w:rPr>
            </w:pPr>
            <w:r>
              <w:rPr>
                <w:rFonts w:ascii="Arial" w:cs="Arial" w:eastAsia="Arial" w:hAnsi="Arial"/>
                <w:sz w:val="14"/>
                <w:szCs w:val="14"/>
                <w:color w:val="026DCE"/>
              </w:rPr>
              <w:t>$</w:t>
            </w:r>
          </w:p>
        </w:tc>
        <w:tc>
          <w:tcPr>
            <w:tcW w:w="1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Unrealized (losses)</w:t>
            </w:r>
          </w:p>
        </w:tc>
        <w:tc>
          <w:tcPr>
            <w:tcW w:w="540" w:type="dxa"/>
            <w:vAlign w:val="bottom"/>
            <w:tcBorders>
              <w:bottom w:val="single" w:sz="8" w:color="auto"/>
            </w:tcBorders>
            <w:shd w:val="clear" w:color="auto" w:fill="DBDBDB"/>
          </w:tcPr>
          <w:p>
            <w:pPr>
              <w:spacing w:after="0"/>
              <w:rPr>
                <w:sz w:val="17"/>
                <w:szCs w:val="17"/>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(73.3)</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r>
      <w:tr>
        <w:trPr>
          <w:trHeight w:val="220"/>
        </w:trPr>
        <w:tc>
          <w:tcPr>
            <w:tcW w:w="436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w:t>
            </w:r>
          </w:p>
        </w:tc>
        <w:tc>
          <w:tcPr>
            <w:tcW w:w="540" w:type="dxa"/>
            <w:vAlign w:val="bottom"/>
            <w:shd w:val="clear" w:color="auto" w:fill="DBDBDB"/>
          </w:tcPr>
          <w:p>
            <w:pPr>
              <w:jc w:val="right"/>
              <w:ind w:right="368"/>
              <w:spacing w:after="0"/>
              <w:rPr>
                <w:sz w:val="20"/>
                <w:szCs w:val="20"/>
                <w:color w:val="auto"/>
              </w:rPr>
            </w:pPr>
            <w:r>
              <w:rPr>
                <w:rFonts w:ascii="Arial" w:cs="Arial" w:eastAsia="Arial" w:hAnsi="Arial"/>
                <w:sz w:val="14"/>
                <w:szCs w:val="14"/>
                <w:color w:val="026DCE"/>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(73.3)</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9"/>
                <w:szCs w:val="19"/>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(34.8)</w:t>
            </w: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expect the net unrealized losses of approximately $73.3 million to be settled over the next 15 months, of which approximately $ 68.5 million of these net unrealized losses are expected to be settled over the next 12 months, with any amounts in AOCI to be reported as an adjustment to revenue or operating expense. We consider the impact of our and our counterparties’ credit risk on the fair value of the contracts as well as the ability of each party to execute its contractual obligations. As of December 31, 2025 and 2024, credit risk did not materially change the fair value of our foreign currency forward contracts and forward currency options.</w:t>
      </w:r>
    </w:p>
    <w:p>
      <w:pPr>
        <w:spacing w:after="0" w:line="58" w:lineRule="exact"/>
        <w:rPr>
          <w:sz w:val="20"/>
          <w:szCs w:val="20"/>
          <w:color w:val="auto"/>
        </w:rPr>
      </w:pPr>
    </w:p>
    <w:p>
      <w:pPr>
        <w:ind w:right="720"/>
        <w:spacing w:after="0" w:line="279" w:lineRule="auto"/>
        <w:rPr>
          <w:sz w:val="20"/>
          <w:szCs w:val="20"/>
          <w:color w:val="auto"/>
        </w:rPr>
      </w:pPr>
      <w:r>
        <w:rPr>
          <w:rFonts w:ascii="Arial" w:cs="Arial" w:eastAsia="Arial" w:hAnsi="Arial"/>
          <w:sz w:val="18"/>
          <w:szCs w:val="18"/>
          <w:color w:val="auto"/>
        </w:rPr>
        <w:t>The following table summarizes the effect of foreign currency forward contracts and forward currency options designated as hedging instruments in our consolidated statements of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6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center"/>
              <w:ind w:left="348"/>
              <w:spacing w:after="0" w:line="149" w:lineRule="exact"/>
              <w:rPr>
                <w:sz w:val="20"/>
                <w:szCs w:val="20"/>
                <w:color w:val="auto"/>
              </w:rPr>
            </w:pPr>
            <w:r>
              <w:rPr>
                <w:rFonts w:ascii="Arial" w:cs="Arial" w:eastAsia="Arial" w:hAnsi="Arial"/>
                <w:sz w:val="14"/>
                <w:szCs w:val="14"/>
                <w:b w:val="1"/>
                <w:bCs w:val="1"/>
                <w:color w:val="auto"/>
              </w:rPr>
              <w:t>Net Gains/(Losses)</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80" w:type="dxa"/>
            <w:vAlign w:val="bottom"/>
            <w:tcBorders>
              <w:top w:val="single" w:sz="8" w:color="auto"/>
            </w:tcBorders>
            <w:gridSpan w:val="10"/>
          </w:tcPr>
          <w:p>
            <w:pPr>
              <w:jc w:val="center"/>
              <w:ind w:left="628"/>
              <w:spacing w:after="0" w:line="149" w:lineRule="exact"/>
              <w:rPr>
                <w:sz w:val="20"/>
                <w:szCs w:val="20"/>
                <w:color w:val="auto"/>
              </w:rPr>
            </w:pPr>
            <w:r>
              <w:rPr>
                <w:rFonts w:ascii="Arial" w:cs="Arial" w:eastAsia="Arial" w:hAnsi="Arial"/>
                <w:sz w:val="14"/>
                <w:szCs w:val="14"/>
                <w:b w:val="1"/>
                <w:bCs w:val="1"/>
                <w:color w:val="auto"/>
              </w:rPr>
              <w:t>Net Gains/(Losses) Excluded from Effectiveness Testing and</w:t>
            </w:r>
          </w:p>
        </w:tc>
        <w:tc>
          <w:tcPr>
            <w:tcW w:w="700" w:type="dxa"/>
            <w:vAlign w:val="bottom"/>
            <w:tcBorders>
              <w:top w:val="single" w:sz="8" w:color="auto"/>
            </w:tcBorders>
          </w:tcPr>
          <w:p>
            <w:pPr>
              <w:spacing w:after="0"/>
              <w:rPr>
                <w:sz w:val="12"/>
                <w:szCs w:val="12"/>
                <w:color w:val="auto"/>
              </w:rPr>
            </w:pPr>
          </w:p>
        </w:tc>
      </w:tr>
      <w:tr>
        <w:trPr>
          <w:trHeight w:val="185"/>
        </w:trPr>
        <w:tc>
          <w:tcPr>
            <w:tcW w:w="4840" w:type="dxa"/>
            <w:vAlign w:val="bottom"/>
            <w:tcBorders>
              <w:bottom w:val="single" w:sz="8" w:color="auto"/>
            </w:tcBorders>
            <w:gridSpan w:val="10"/>
          </w:tcPr>
          <w:p>
            <w:pPr>
              <w:jc w:val="center"/>
              <w:ind w:left="648"/>
              <w:spacing w:after="0"/>
              <w:rPr>
                <w:sz w:val="20"/>
                <w:szCs w:val="20"/>
                <w:color w:val="auto"/>
              </w:rPr>
            </w:pPr>
            <w:r>
              <w:rPr>
                <w:rFonts w:ascii="Arial" w:cs="Arial" w:eastAsia="Arial" w:hAnsi="Arial"/>
                <w:sz w:val="14"/>
                <w:szCs w:val="14"/>
                <w:b w:val="1"/>
                <w:bCs w:val="1"/>
                <w:color w:val="auto"/>
              </w:rPr>
              <w:t>Reclassified from AOCI into Operating Income (in millions)</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rPr>
              <w:t>Recognized in Operating Income (in millions)</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95"/>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760" w:type="dxa"/>
            <w:vAlign w:val="bottom"/>
            <w:tcBorders>
              <w:bottom w:val="single" w:sz="8" w:color="auto"/>
            </w:tcBorders>
            <w:shd w:val="clear" w:color="auto" w:fill="DDDDDD"/>
          </w:tcPr>
          <w:p>
            <w:pPr>
              <w:jc w:val="right"/>
              <w:ind w:right="24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780" w:type="dxa"/>
            <w:vAlign w:val="bottom"/>
            <w:tcBorders>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2573BA"/>
              </w:rPr>
              <w:t>2025</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color w:val="auto"/>
              </w:rPr>
              <w:t>Revenue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Revenue</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9.7</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11"/>
        </w:trPr>
        <w:tc>
          <w:tcPr>
            <w:tcW w:w="168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4"/>
                <w:szCs w:val="14"/>
                <w:color w:val="auto"/>
              </w:rPr>
              <w:t>Operating expense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Foreign Currency Forward Contracts - Other Derivative Instruments</w:t>
      </w:r>
    </w:p>
    <w:p>
      <w:pPr>
        <w:spacing w:after="0" w:line="11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45"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aggregate notional amount of these outstanding foreign currency forward contracts was $1,193.7 million and $738.7 million as of December 31, 2025 and 2024, respectively. Net gains of $33.5 million, net losses of $49.7 million and net gains of $3.8 million related to these contracts were recorded as a component of other (income) expense, net for the years ended December 31, 2025, 2024 and 2023,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Summary of Derivative Instruments</w:t>
      </w:r>
    </w:p>
    <w:p>
      <w:pPr>
        <w:spacing w:after="0" w:line="1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While certain of our derivative instruments are subject to netting arrangements with our counterparties, we do not offset derivative assets and liabilities in our consolidated balance sheets. The amounts in the table below would not be substantially different if the derivative assets and liabilities were offset.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80"/>
        <w:spacing w:after="0" w:line="279" w:lineRule="auto"/>
        <w:rPr>
          <w:sz w:val="20"/>
          <w:szCs w:val="20"/>
          <w:color w:val="auto"/>
        </w:rPr>
      </w:pPr>
      <w:r>
        <w:rPr>
          <w:rFonts w:ascii="Arial" w:cs="Arial" w:eastAsia="Arial" w:hAnsi="Arial"/>
          <w:sz w:val="18"/>
          <w:szCs w:val="18"/>
          <w:color w:val="auto"/>
        </w:rPr>
        <w:t>The following table summarizes the fair value and presentation in our consolidated balance sheets of our outstanding derivative instruments, including those designated as hedging instruments: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tcBorders>
              <w:bottom w:val="single" w:sz="8" w:color="auto"/>
            </w:tcBorders>
          </w:tcPr>
          <w:p>
            <w:pPr>
              <w:spacing w:after="0"/>
              <w:rPr>
                <w:sz w:val="17"/>
                <w:szCs w:val="17"/>
                <w:color w:val="auto"/>
              </w:rPr>
            </w:pPr>
          </w:p>
        </w:tc>
      </w:tr>
      <w:tr>
        <w:trPr>
          <w:trHeight w:val="197"/>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3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1720" w:type="dxa"/>
            <w:vAlign w:val="bottom"/>
            <w:tcBorders>
              <w:bottom w:val="single" w:sz="8" w:color="auto"/>
            </w:tcBorders>
            <w:shd w:val="clear" w:color="auto" w:fill="DBDBDB"/>
          </w:tcPr>
          <w:p>
            <w:pPr>
              <w:jc w:val="right"/>
              <w:ind w:right="888"/>
              <w:spacing w:after="0"/>
              <w:rPr>
                <w:sz w:val="20"/>
                <w:szCs w:val="20"/>
                <w:color w:val="auto"/>
              </w:rPr>
            </w:pPr>
            <w:r>
              <w:rPr>
                <w:rFonts w:ascii="Arial" w:cs="Arial" w:eastAsia="Arial" w:hAnsi="Arial"/>
                <w:sz w:val="14"/>
                <w:szCs w:val="14"/>
                <w:b w:val="1"/>
                <w:bCs w:val="1"/>
                <w:color w:val="026DCE"/>
              </w:rPr>
              <w:t>2025</w:t>
            </w: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2024</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Cash Flow Hedging Instruments:</w:t>
            </w:r>
          </w:p>
        </w:tc>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7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3"/>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48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2573BA"/>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86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58.4</w:t>
            </w:r>
          </w:p>
        </w:tc>
      </w:tr>
      <w:tr>
        <w:trPr>
          <w:trHeight w:val="203"/>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ind w:left="20"/>
              <w:spacing w:after="0"/>
              <w:rPr>
                <w:sz w:val="20"/>
                <w:szCs w:val="20"/>
                <w:color w:val="auto"/>
              </w:rPr>
            </w:pPr>
            <w:r>
              <w:rPr>
                <w:rFonts w:ascii="Arial" w:cs="Arial" w:eastAsia="Arial" w:hAnsi="Arial"/>
                <w:sz w:val="14"/>
                <w:szCs w:val="14"/>
                <w:color w:val="auto"/>
              </w:rPr>
              <w:t>Investments and other assets</w:t>
            </w:r>
          </w:p>
        </w:tc>
        <w:tc>
          <w:tcPr>
            <w:tcW w:w="52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48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52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54.0</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3"/>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52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7"/>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Other Derivative Instruments:</w:t>
            </w:r>
          </w:p>
        </w:tc>
        <w:tc>
          <w:tcPr>
            <w:tcW w:w="3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720" w:type="dxa"/>
            <w:vAlign w:val="bottom"/>
            <w:shd w:val="clear" w:color="auto" w:fill="DBDBDB"/>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03"/>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48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11"/>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48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52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831215" cy="3429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7">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11:</w:t>
      </w:r>
      <w:r>
        <w:rPr>
          <w:sz w:val="20"/>
          <w:szCs w:val="20"/>
          <w:color w:val="auto"/>
        </w:rPr>
        <w:tab/>
      </w:r>
      <w:r>
        <w:rPr>
          <w:rFonts w:ascii="Arial" w:cs="Arial" w:eastAsia="Arial" w:hAnsi="Arial"/>
          <w:sz w:val="21"/>
          <w:szCs w:val="21"/>
          <w:b w:val="1"/>
          <w:bCs w:val="1"/>
          <w:color w:val="0070C0"/>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8">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96" w:lineRule="exact"/>
        <w:rPr>
          <w:sz w:val="20"/>
          <w:szCs w:val="20"/>
          <w:color w:val="auto"/>
        </w:rPr>
      </w:pPr>
    </w:p>
    <w:p>
      <w:pPr>
        <w:ind w:right="920"/>
        <w:spacing w:after="0" w:line="279" w:lineRule="auto"/>
        <w:rPr>
          <w:sz w:val="20"/>
          <w:szCs w:val="20"/>
          <w:color w:val="auto"/>
        </w:rPr>
      </w:pPr>
      <w:r>
        <w:rPr>
          <w:rFonts w:ascii="Arial" w:cs="Arial" w:eastAsia="Arial" w:hAnsi="Arial"/>
          <w:sz w:val="18"/>
          <w:szCs w:val="18"/>
          <w:color w:val="auto"/>
        </w:rPr>
        <w:t>Property, plant and equipment are recorded at historical cost, net of accumulated depreciation. Components of property, plant and equipment, net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7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4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2024</w:t>
            </w:r>
          </w:p>
        </w:tc>
      </w:tr>
      <w:tr>
        <w:trPr>
          <w:trHeight w:val="189"/>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Land</w:t>
            </w:r>
          </w:p>
        </w:tc>
        <w:tc>
          <w:tcPr>
            <w:tcW w:w="44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216.7</w:t>
            </w:r>
          </w:p>
        </w:tc>
        <w:tc>
          <w:tcPr>
            <w:tcW w:w="7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202.4</w:t>
            </w:r>
          </w:p>
        </w:tc>
      </w:tr>
      <w:tr>
        <w:trPr>
          <w:trHeight w:val="203"/>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Buildings</w:t>
            </w:r>
          </w:p>
        </w:tc>
        <w:tc>
          <w:tcPr>
            <w:tcW w:w="44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2,140.3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1,963.7</w:t>
            </w:r>
          </w:p>
        </w:tc>
      </w:tr>
      <w:tr>
        <w:trPr>
          <w:trHeight w:val="203"/>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Leasehold improvements</w:t>
            </w:r>
          </w:p>
        </w:tc>
        <w:tc>
          <w:tcPr>
            <w:tcW w:w="44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143.5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137.8</w:t>
            </w:r>
          </w:p>
        </w:tc>
      </w:tr>
      <w:tr>
        <w:trPr>
          <w:trHeight w:val="203"/>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Machinery and equipment</w:t>
            </w:r>
          </w:p>
        </w:tc>
        <w:tc>
          <w:tcPr>
            <w:tcW w:w="44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2,167.4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2,109.8</w:t>
            </w:r>
          </w:p>
        </w:tc>
      </w:tr>
      <w:tr>
        <w:trPr>
          <w:trHeight w:val="202"/>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Computer software and hardware</w:t>
            </w:r>
          </w:p>
        </w:tc>
        <w:tc>
          <w:tcPr>
            <w:tcW w:w="44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1,093.5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1,070.5</w:t>
            </w:r>
          </w:p>
        </w:tc>
      </w:tr>
      <w:tr>
        <w:trPr>
          <w:trHeight w:val="203"/>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Furniture and fixtures</w:t>
            </w:r>
          </w:p>
        </w:tc>
        <w:tc>
          <w:tcPr>
            <w:tcW w:w="44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62.1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59.5</w:t>
            </w:r>
          </w:p>
        </w:tc>
      </w:tr>
      <w:tr>
        <w:trPr>
          <w:trHeight w:val="204"/>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Construction in progress</w:t>
            </w:r>
          </w:p>
        </w:tc>
        <w:tc>
          <w:tcPr>
            <w:tcW w:w="44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163.1</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308.4</w:t>
            </w:r>
          </w:p>
        </w:tc>
      </w:tr>
      <w:tr>
        <w:trPr>
          <w:trHeight w:val="203"/>
        </w:trPr>
        <w:tc>
          <w:tcPr>
            <w:tcW w:w="7440" w:type="dxa"/>
            <w:vAlign w:val="bottom"/>
            <w:gridSpan w:val="3"/>
          </w:tcPr>
          <w:p>
            <w:pPr>
              <w:ind w:left="140"/>
              <w:spacing w:after="0" w:line="202" w:lineRule="exact"/>
              <w:rPr>
                <w:sz w:val="20"/>
                <w:szCs w:val="20"/>
                <w:color w:val="auto"/>
              </w:rPr>
            </w:pPr>
            <w:r>
              <w:rPr>
                <w:rFonts w:ascii="Arial" w:cs="Arial" w:eastAsia="Arial" w:hAnsi="Arial"/>
                <w:sz w:val="14"/>
                <w:szCs w:val="14"/>
                <w:color w:val="auto"/>
              </w:rPr>
              <w:t>Total cost</w:t>
            </w:r>
            <w:r>
              <w:rPr>
                <w:rFonts w:ascii="Arial" w:cs="Arial" w:eastAsia="Arial" w:hAnsi="Arial"/>
                <w:sz w:val="18"/>
                <w:szCs w:val="18"/>
                <w:color w:val="auto"/>
                <w:vertAlign w:val="superscript"/>
              </w:rPr>
              <w:t>(1)</w:t>
            </w:r>
          </w:p>
        </w:tc>
        <w:tc>
          <w:tcPr>
            <w:tcW w:w="44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5,986.6</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5,852.1</w:t>
            </w:r>
          </w:p>
        </w:tc>
      </w:tr>
      <w:tr>
        <w:trPr>
          <w:trHeight w:val="192"/>
        </w:trPr>
        <w:tc>
          <w:tcPr>
            <w:tcW w:w="7440" w:type="dxa"/>
            <w:vAlign w:val="bottom"/>
            <w:gridSpan w:val="3"/>
          </w:tcPr>
          <w:p>
            <w:pPr>
              <w:ind w:left="20"/>
              <w:spacing w:after="0"/>
              <w:rPr>
                <w:sz w:val="20"/>
                <w:szCs w:val="20"/>
                <w:color w:val="auto"/>
              </w:rPr>
            </w:pPr>
            <w:r>
              <w:rPr>
                <w:rFonts w:ascii="Arial" w:cs="Arial" w:eastAsia="Arial" w:hAnsi="Arial"/>
                <w:sz w:val="14"/>
                <w:szCs w:val="14"/>
                <w:color w:val="auto"/>
              </w:rPr>
              <w:t>Less: accumulated depreciation</w:t>
            </w:r>
          </w:p>
        </w:tc>
        <w:tc>
          <w:tcPr>
            <w:tcW w:w="44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(2,931.2)</w:t>
            </w: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(2,670.8)</w:t>
            </w:r>
          </w:p>
        </w:tc>
      </w:tr>
      <w:tr>
        <w:trPr>
          <w:trHeight w:val="220"/>
        </w:trPr>
        <w:tc>
          <w:tcPr>
            <w:tcW w:w="7440" w:type="dxa"/>
            <w:vAlign w:val="bottom"/>
            <w:gridSpan w:val="3"/>
          </w:tcPr>
          <w:p>
            <w:pPr>
              <w:ind w:left="140"/>
              <w:spacing w:after="0"/>
              <w:rPr>
                <w:sz w:val="20"/>
                <w:szCs w:val="20"/>
                <w:color w:val="auto"/>
              </w:rPr>
            </w:pPr>
            <w:r>
              <w:rPr>
                <w:rFonts w:ascii="Arial" w:cs="Arial" w:eastAsia="Arial" w:hAnsi="Arial"/>
                <w:sz w:val="14"/>
                <w:szCs w:val="14"/>
                <w:color w:val="auto"/>
              </w:rPr>
              <w:t>Total property, plant and equipment, net</w:t>
            </w:r>
          </w:p>
        </w:tc>
        <w:tc>
          <w:tcPr>
            <w:tcW w:w="44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3,055.4</w:t>
            </w:r>
          </w:p>
        </w:tc>
        <w:tc>
          <w:tcPr>
            <w:tcW w:w="78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3,181.3</w:t>
            </w:r>
          </w:p>
        </w:tc>
      </w:tr>
      <w:tr>
        <w:trPr>
          <w:trHeight w:val="20"/>
        </w:trPr>
        <w:tc>
          <w:tcPr>
            <w:tcW w:w="4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72" w:lineRule="exact"/>
        <w:rPr>
          <w:sz w:val="20"/>
          <w:szCs w:val="20"/>
          <w:color w:val="auto"/>
        </w:rPr>
      </w:pPr>
    </w:p>
    <w:p>
      <w:pPr>
        <w:ind w:left="180" w:right="320" w:hanging="172"/>
        <w:spacing w:after="0" w:line="305" w:lineRule="auto"/>
        <w:tabs>
          <w:tab w:leader="none" w:pos="172" w:val="left"/>
        </w:tabs>
        <w:numPr>
          <w:ilvl w:val="0"/>
          <w:numId w:val="116"/>
        </w:numPr>
        <w:rPr>
          <w:rFonts w:ascii="Arial" w:cs="Arial" w:eastAsia="Arial" w:hAnsi="Arial"/>
          <w:sz w:val="9"/>
          <w:szCs w:val="9"/>
          <w:color w:val="auto"/>
        </w:rPr>
      </w:pPr>
      <w:r>
        <w:rPr>
          <w:rFonts w:ascii="Arial" w:cs="Arial" w:eastAsia="Arial" w:hAnsi="Arial"/>
          <w:sz w:val="14"/>
          <w:szCs w:val="14"/>
          <w:color w:val="auto"/>
        </w:rPr>
        <w:t>During the first quarter of 2024 the second manufacturing suite at our Solothurn, Switzerland facility become operational, resulting in approximately $717.3 million of fixed assets being placed into service.</w:t>
      </w:r>
    </w:p>
    <w:p>
      <w:pPr>
        <w:spacing w:after="0" w:line="9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Depreciation expense totaled $272.8 million, $286.7 million and $254.2 million for the years ended December 31, 2025, 2024 and 2023, respectively.</w:t>
      </w:r>
    </w:p>
    <w:p>
      <w:pPr>
        <w:spacing w:after="0" w:line="45"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For the years ended December 31, 2025, 2024 and 2023, we capitalized interest costs related to construction in progress totaling approximately $3.4 million, $3.2 million and $21.7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31215" cy="3429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9">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12:</w:t>
      </w:r>
      <w:r>
        <w:rPr>
          <w:sz w:val="20"/>
          <w:szCs w:val="20"/>
          <w:color w:val="auto"/>
        </w:rPr>
        <w:tab/>
      </w:r>
      <w:r>
        <w:rPr>
          <w:rFonts w:ascii="Arial" w:cs="Arial" w:eastAsia="Arial" w:hAnsi="Arial"/>
          <w:sz w:val="21"/>
          <w:szCs w:val="21"/>
          <w:b w:val="1"/>
          <w:bCs w:val="1"/>
          <w:color w:val="0070C0"/>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0">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lease real estate, including laboratory and office space, and certain equipment.</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Our leases have remaining lease terms ranging from less than one year to twenty-two years. Certain leases include one or more options to renew, exercised at our sole discretion, with renewal terms that can extend the lease term from less than one year to fifteen years.</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addition, we sublease certain real estate to third parties. Our sublease portfolio consists of operating leases, with remaining lease terms ranging from three years to four years.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480"/>
        <w:spacing w:after="0" w:line="279" w:lineRule="auto"/>
        <w:rPr>
          <w:sz w:val="20"/>
          <w:szCs w:val="20"/>
          <w:color w:val="auto"/>
        </w:rPr>
      </w:pPr>
      <w:r>
        <w:rPr>
          <w:rFonts w:ascii="Arial" w:cs="Arial" w:eastAsia="Arial" w:hAnsi="Arial"/>
          <w:sz w:val="18"/>
          <w:szCs w:val="18"/>
          <w:color w:val="auto"/>
        </w:rPr>
        <w:t>All of our leases qualify as operating leases. The following table summarizes the presentation in our consolidated balance sheets of our operating leases: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tcBorders>
              <w:bottom w:val="single" w:sz="8" w:color="auto"/>
            </w:tcBorders>
          </w:tcPr>
          <w:p>
            <w:pPr>
              <w:spacing w:after="0"/>
              <w:rPr>
                <w:sz w:val="17"/>
                <w:szCs w:val="17"/>
                <w:color w:val="auto"/>
              </w:rPr>
            </w:pPr>
          </w:p>
        </w:tc>
      </w:tr>
      <w:tr>
        <w:trPr>
          <w:trHeight w:val="197"/>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18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shd w:val="clear" w:color="auto" w:fill="DDDDDD"/>
          </w:tcPr>
          <w:p>
            <w:pPr>
              <w:spacing w:after="0"/>
              <w:rPr>
                <w:sz w:val="17"/>
                <w:szCs w:val="17"/>
                <w:color w:val="auto"/>
              </w:rPr>
            </w:pPr>
          </w:p>
        </w:tc>
        <w:tc>
          <w:tcPr>
            <w:tcW w:w="1500" w:type="dxa"/>
            <w:vAlign w:val="bottom"/>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2025</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jc w:val="right"/>
              <w:ind w:right="748"/>
              <w:spacing w:after="0"/>
              <w:rPr>
                <w:sz w:val="20"/>
                <w:szCs w:val="20"/>
                <w:color w:val="auto"/>
              </w:rPr>
            </w:pPr>
            <w:r>
              <w:rPr>
                <w:rFonts w:ascii="Arial" w:cs="Arial" w:eastAsia="Arial" w:hAnsi="Arial"/>
                <w:sz w:val="14"/>
                <w:szCs w:val="14"/>
                <w:b w:val="1"/>
                <w:bCs w:val="1"/>
                <w:color w:val="auto"/>
              </w:rPr>
              <w:t>2024</w:t>
            </w:r>
          </w:p>
        </w:tc>
      </w:tr>
      <w:tr>
        <w:trPr>
          <w:trHeight w:val="193"/>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Assets:</w:t>
            </w:r>
          </w:p>
        </w:tc>
        <w:tc>
          <w:tcPr>
            <w:tcW w:w="4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shd w:val="clear" w:color="auto" w:fill="DDDDDD"/>
          </w:tcPr>
          <w:p>
            <w:pPr>
              <w:spacing w:after="0"/>
              <w:rPr>
                <w:sz w:val="16"/>
                <w:szCs w:val="16"/>
                <w:color w:val="auto"/>
              </w:rPr>
            </w:pPr>
          </w:p>
        </w:tc>
        <w:tc>
          <w:tcPr>
            <w:tcW w:w="1500" w:type="dxa"/>
            <w:vAlign w:val="bottom"/>
            <w:tcBorders>
              <w:top w:val="single" w:sz="8" w:color="auto"/>
            </w:tcBorders>
            <w:shd w:val="clear" w:color="auto" w:fill="DDDDDD"/>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7"/>
        </w:trPr>
        <w:tc>
          <w:tcPr>
            <w:tcW w:w="3040" w:type="dxa"/>
            <w:vAlign w:val="bottom"/>
          </w:tcPr>
          <w:p>
            <w:pPr>
              <w:ind w:left="140"/>
              <w:spacing w:after="0"/>
              <w:rPr>
                <w:sz w:val="20"/>
                <w:szCs w:val="20"/>
                <w:color w:val="auto"/>
              </w:rPr>
            </w:pPr>
            <w:r>
              <w:rPr>
                <w:rFonts w:ascii="Arial" w:cs="Arial" w:eastAsia="Arial" w:hAnsi="Arial"/>
                <w:sz w:val="14"/>
                <w:szCs w:val="14"/>
                <w:color w:val="auto"/>
              </w:rPr>
              <w:t>Operating lease assets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Operating lease assets</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265.4</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356.4</w:t>
            </w:r>
          </w:p>
        </w:tc>
      </w:tr>
      <w:tr>
        <w:trPr>
          <w:trHeight w:val="215"/>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Liabilities</w:t>
            </w: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shd w:val="clear" w:color="auto" w:fill="DBDBDB"/>
          </w:tcPr>
          <w:p>
            <w:pPr>
              <w:spacing w:after="0"/>
              <w:rPr>
                <w:sz w:val="18"/>
                <w:szCs w:val="18"/>
                <w:color w:val="auto"/>
              </w:rPr>
            </w:pPr>
          </w:p>
        </w:tc>
        <w:tc>
          <w:tcPr>
            <w:tcW w:w="1500" w:type="dxa"/>
            <w:vAlign w:val="bottom"/>
            <w:tcBorders>
              <w:top w:val="single" w:sz="8" w:color="auto"/>
            </w:tcBorders>
            <w:shd w:val="clear" w:color="auto" w:fill="DBDBDB"/>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03"/>
        </w:trPr>
        <w:tc>
          <w:tcPr>
            <w:tcW w:w="304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Accrued expense and other</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80.4</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86.4</w:t>
            </w:r>
          </w:p>
        </w:tc>
      </w:tr>
      <w:tr>
        <w:trPr>
          <w:trHeight w:val="207"/>
        </w:trPr>
        <w:tc>
          <w:tcPr>
            <w:tcW w:w="3040" w:type="dxa"/>
            <w:vAlign w:val="bottom"/>
          </w:tcPr>
          <w:p>
            <w:pPr>
              <w:ind w:left="140"/>
              <w:spacing w:after="0"/>
              <w:rPr>
                <w:sz w:val="20"/>
                <w:szCs w:val="20"/>
                <w:color w:val="auto"/>
              </w:rPr>
            </w:pPr>
            <w:r>
              <w:rPr>
                <w:rFonts w:ascii="Arial" w:cs="Arial" w:eastAsia="Arial" w:hAnsi="Arial"/>
                <w:sz w:val="14"/>
                <w:szCs w:val="14"/>
                <w:color w:val="auto"/>
              </w:rPr>
              <w:t>Non-current operating lease liabilities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Long-term operating lease liabilities</w:t>
            </w:r>
          </w:p>
        </w:tc>
        <w:tc>
          <w:tcPr>
            <w:tcW w:w="46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290.4</w:t>
            </w: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334.5</w:t>
            </w:r>
          </w:p>
        </w:tc>
      </w:tr>
      <w:tr>
        <w:trPr>
          <w:trHeight w:val="220"/>
        </w:trPr>
        <w:tc>
          <w:tcPr>
            <w:tcW w:w="304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370.8</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420.9</w:t>
            </w:r>
          </w:p>
        </w:tc>
      </w:tr>
      <w:tr>
        <w:trPr>
          <w:trHeight w:val="20"/>
        </w:trPr>
        <w:tc>
          <w:tcPr>
            <w:tcW w:w="30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lease costs in our consolidated statements of income:</w:t>
      </w:r>
    </w:p>
    <w:p>
      <w:pPr>
        <w:sectPr>
          <w:pgSz w:w="11900" w:h="16838" w:orient="portrait"/>
          <w:cols w:equalWidth="0" w:num="1">
            <w:col w:w="11240"/>
          </w:cols>
          <w:pgMar w:left="320" w:top="238" w:right="339" w:bottom="1440" w:gutter="0" w:footer="0" w:header="0"/>
        </w:sect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Operating lease cost</w:t>
            </w:r>
          </w:p>
        </w:tc>
        <w:tc>
          <w:tcPr>
            <w:tcW w:w="35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r>
      <w:tr>
        <w:trPr>
          <w:trHeight w:val="203"/>
        </w:trPr>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r>
      <w:tr>
        <w:trPr>
          <w:trHeight w:val="203"/>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Variable lease cost</w:t>
            </w:r>
          </w:p>
        </w:tc>
        <w:tc>
          <w:tcPr>
            <w:tcW w:w="35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r>
      <w:tr>
        <w:trPr>
          <w:trHeight w:val="203"/>
        </w:trPr>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r>
      <w:tr>
        <w:trPr>
          <w:trHeight w:val="203"/>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Sublease income</w:t>
            </w:r>
          </w:p>
        </w:tc>
        <w:tc>
          <w:tcPr>
            <w:tcW w:w="35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r>
      <w:tr>
        <w:trPr>
          <w:trHeight w:val="203"/>
        </w:trPr>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4"/>
                <w:szCs w:val="14"/>
                <w:color w:val="auto"/>
              </w:rPr>
              <w:t>Net lease cost</w:t>
            </w:r>
          </w:p>
        </w:tc>
        <w:tc>
          <w:tcPr>
            <w:tcW w:w="35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1180" w:type="dxa"/>
            <w:vAlign w:val="bottom"/>
            <w:tcBorders>
              <w:top w:val="single" w:sz="8" w:color="auto"/>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ACB"/>
              </w:rPr>
              <w:t>2025</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r>
      <w:tr>
        <w:trPr>
          <w:trHeight w:val="189"/>
        </w:trPr>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0.9</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100.7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128.1</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34.5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37.3</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(23.5)</w:t>
            </w:r>
          </w:p>
        </w:tc>
      </w:tr>
      <w:tr>
        <w:trPr>
          <w:trHeight w:val="207"/>
        </w:trPr>
        <w:tc>
          <w:tcPr>
            <w:tcW w:w="34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(4.0)</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216"/>
        </w:trPr>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122.6</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125.3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140.3</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00" w:space="100"/>
            <w:col w:w="4740"/>
          </w:cols>
          <w:pgMar w:left="320" w:top="238" w:right="339" w:bottom="1440" w:gutter="0" w:footer="0" w:header="0"/>
          <w:type w:val="continuous"/>
        </w:sectPr>
      </w:pPr>
    </w:p>
    <w:p>
      <w:pPr>
        <w:spacing w:after="0" w:line="2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Variable lease cost primarily related to operating expense, taxes and insurance associated with our operating leases. As these costs are generally variable in nature, they are not included in the measurement of the operating lease asset and related lease liability.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minimum lease payments for the next five years and thereafter are expected to be as follows:</w:t>
      </w:r>
    </w:p>
    <w:p>
      <w:pPr>
        <w:sectPr>
          <w:pgSz w:w="11900" w:h="16838" w:orient="portrait"/>
          <w:cols w:equalWidth="0" w:num="1">
            <w:col w:w="11240"/>
          </w:cols>
          <w:pgMar w:left="320" w:top="238" w:right="339" w:bottom="1440" w:gutter="0" w:footer="0" w:header="0"/>
          <w:type w:val="continuous"/>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34924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2027</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2028</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2029</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2030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Thereafter</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lease payments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interest</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Present value of operating lease liabilities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7"/>
        </w:trPr>
        <w:tc>
          <w:tcPr>
            <w:tcW w:w="320" w:type="dxa"/>
            <w:vAlign w:val="bottom"/>
            <w:tcBorders>
              <w:bottom w:val="single" w:sz="8" w:color="auto"/>
            </w:tcBorders>
            <w:shd w:val="clear" w:color="auto" w:fill="DDDDDD"/>
          </w:tcPr>
          <w:p>
            <w:pPr>
              <w:spacing w:after="0"/>
              <w:rPr>
                <w:sz w:val="24"/>
                <w:szCs w:val="24"/>
                <w:color w:val="auto"/>
              </w:rPr>
            </w:pPr>
          </w:p>
        </w:tc>
        <w:tc>
          <w:tcPr>
            <w:tcW w:w="240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As of December 31, 2025</w:t>
            </w:r>
          </w:p>
        </w:tc>
      </w:tr>
      <w:tr>
        <w:trPr>
          <w:trHeight w:val="189"/>
        </w:trPr>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94.1</w:t>
            </w:r>
          </w:p>
        </w:tc>
      </w:tr>
      <w:tr>
        <w:trPr>
          <w:trHeight w:val="203"/>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97.5</w:t>
            </w:r>
          </w:p>
        </w:tc>
      </w:tr>
      <w:tr>
        <w:trPr>
          <w:trHeight w:val="203"/>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56.4</w:t>
            </w:r>
          </w:p>
        </w:tc>
      </w:tr>
      <w:tr>
        <w:trPr>
          <w:trHeight w:val="203"/>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26.1</w:t>
            </w:r>
          </w:p>
        </w:tc>
      </w:tr>
      <w:tr>
        <w:trPr>
          <w:trHeight w:val="203"/>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23.1</w:t>
            </w:r>
          </w:p>
        </w:tc>
      </w:tr>
      <w:tr>
        <w:trPr>
          <w:trHeight w:val="207"/>
        </w:trPr>
        <w:tc>
          <w:tcPr>
            <w:tcW w:w="320" w:type="dxa"/>
            <w:vAlign w:val="bottom"/>
            <w:tcBorders>
              <w:bottom w:val="single" w:sz="8" w:color="auto"/>
            </w:tcBorders>
            <w:shd w:val="clear" w:color="auto" w:fill="DBDBDB"/>
          </w:tcPr>
          <w:p>
            <w:pPr>
              <w:spacing w:after="0"/>
              <w:rPr>
                <w:sz w:val="17"/>
                <w:szCs w:val="17"/>
                <w:color w:val="auto"/>
              </w:rPr>
            </w:pP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148.3</w:t>
            </w:r>
          </w:p>
        </w:tc>
      </w:tr>
      <w:tr>
        <w:trPr>
          <w:trHeight w:val="192"/>
        </w:trPr>
        <w:tc>
          <w:tcPr>
            <w:tcW w:w="320" w:type="dxa"/>
            <w:vAlign w:val="bottom"/>
            <w:shd w:val="clear" w:color="auto" w:fill="DBDBDB"/>
          </w:tcPr>
          <w:p>
            <w:pPr>
              <w:spacing w:after="0"/>
              <w:rPr>
                <w:sz w:val="16"/>
                <w:szCs w:val="16"/>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445.5</w:t>
            </w:r>
          </w:p>
        </w:tc>
      </w:tr>
      <w:tr>
        <w:trPr>
          <w:trHeight w:val="207"/>
        </w:trPr>
        <w:tc>
          <w:tcPr>
            <w:tcW w:w="320" w:type="dxa"/>
            <w:vAlign w:val="bottom"/>
            <w:tcBorders>
              <w:bottom w:val="single" w:sz="8" w:color="auto"/>
            </w:tcBorders>
            <w:shd w:val="clear" w:color="auto" w:fill="DBDBDB"/>
          </w:tcPr>
          <w:p>
            <w:pPr>
              <w:spacing w:after="0"/>
              <w:rPr>
                <w:sz w:val="17"/>
                <w:szCs w:val="17"/>
                <w:color w:val="auto"/>
              </w:rPr>
            </w:pP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74.7</w:t>
            </w:r>
          </w:p>
        </w:tc>
      </w:tr>
      <w:tr>
        <w:trPr>
          <w:trHeight w:val="221"/>
        </w:trPr>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370.8</w:t>
            </w:r>
          </w:p>
        </w:tc>
      </w:tr>
      <w:tr>
        <w:trPr>
          <w:trHeight w:val="20"/>
        </w:trPr>
        <w:tc>
          <w:tcPr>
            <w:tcW w:w="320" w:type="dxa"/>
            <w:vAlign w:val="bottom"/>
            <w:tcBorders>
              <w:top w:val="single" w:sz="8" w:color="DBDBDB"/>
              <w:bottom w:val="single" w:sz="8" w:color="auto"/>
            </w:tcBorders>
          </w:tcPr>
          <w:p>
            <w:pPr>
              <w:spacing w:after="0" w:line="20" w:lineRule="exact"/>
              <w:rPr>
                <w:sz w:val="1"/>
                <w:szCs w:val="1"/>
                <w:color w:val="auto"/>
              </w:rPr>
            </w:pPr>
          </w:p>
        </w:tc>
        <w:tc>
          <w:tcPr>
            <w:tcW w:w="24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00" w:space="720"/>
            <w:col w:w="2720"/>
          </w:cols>
          <w:pgMar w:left="320" w:top="238"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and weighted average discount rate of our operating leases are as follows:</w:t>
      </w:r>
    </w:p>
    <w:p>
      <w:pPr>
        <w:spacing w:after="0" w:line="59"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As of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257ACB"/>
              </w:rPr>
              <w:t>2025</w:t>
            </w:r>
          </w:p>
        </w:tc>
        <w:tc>
          <w:tcPr>
            <w:tcW w:w="640" w:type="dxa"/>
            <w:vAlign w:val="bottom"/>
            <w:tcBorders>
              <w:top w:val="single" w:sz="8" w:color="auto"/>
              <w:bottom w:val="single" w:sz="8" w:color="auto"/>
            </w:tcBorders>
            <w:shd w:val="clear" w:color="auto" w:fill="DDDDDD"/>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2024</w:t>
            </w:r>
          </w:p>
        </w:tc>
      </w:tr>
      <w:tr>
        <w:trPr>
          <w:trHeight w:val="189"/>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142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7.11</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7.20</w:t>
            </w:r>
          </w:p>
        </w:tc>
      </w:tr>
      <w:tr>
        <w:trPr>
          <w:trHeight w:val="210"/>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Weighted average discount rate</w:t>
            </w:r>
          </w:p>
        </w:tc>
        <w:tc>
          <w:tcPr>
            <w:tcW w:w="142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4.6 %</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Supplemental disclosure of cash flow information related to our operating leases included in cash flow provided by operating activities in our consolidated statements of cash flow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b w:val="1"/>
                <w:bCs w:val="1"/>
                <w:color w:val="257ACB"/>
              </w:rPr>
              <w:t>2025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r>
      <w:tr>
        <w:trPr>
          <w:trHeight w:val="189"/>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110.7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116.4</w:t>
            </w:r>
          </w:p>
        </w:tc>
      </w:tr>
      <w:tr>
        <w:trPr>
          <w:trHeight w:val="211"/>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Operating lease assets obtained in exchange for lease obligations</w:t>
            </w: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146.0</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New Corporate Headquarters Lease</w:t>
      </w:r>
    </w:p>
    <w:p>
      <w:pPr>
        <w:spacing w:after="0" w:line="11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March 2025 we entered into a lease agreement with MIT Investment Management Company and BioMed Realty for the lease of approximately 580,000 square feet of office and research and development space located at 75 Broadway, Cambridge, Massachusetts, which will be used as our new global corporate headquarters, as well as integrating our research and development and technical operations teams alongside our North American commercial organization. As part of a multi-year real estate consolidation plan that is expected to result in a reduction of approximately 40% of our real estate footprint in Massachusetts, this new lease is intended to replace two existing leases, both in Cambridge, Massachusetts, including our current corporate headquarters. We expect the initial lease term of approximately 15.5 years to commence on May 31, 2028. The estimated minimum lease payments as a result of the new lease total approximately $1.5 billion over the initial lease term. We have an option to extend the lease for three extension periods of five years each and one six-month short-term extension, at then market-based rates. We will account for this lease as a right-of-use asset and lease liability upon the lease commencement date.</w:t>
      </w:r>
    </w:p>
    <w:p>
      <w:pPr>
        <w:spacing w:after="0" w:line="7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 xml:space="preserve">For additional information on our accounting policies relating to leases, please read </w:t>
      </w:r>
      <w:r>
        <w:rPr>
          <w:rFonts w:ascii="Arial" w:cs="Arial" w:eastAsia="Arial" w:hAnsi="Arial"/>
          <w:sz w:val="18"/>
          <w:szCs w:val="18"/>
          <w:i w:val="1"/>
          <w:iCs w:val="1"/>
          <w:color w:val="auto"/>
        </w:rPr>
        <w:t>Note 1, Summary of Significant Accounting Policies -</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to these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Reata Lease</w:t>
      </w:r>
    </w:p>
    <w:p>
      <w:pPr>
        <w:spacing w:after="0" w:line="12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part of our acquisition of Reata, we assumed responsibility for a single-tenant, build-to-suit building of approximately 327,400 square feet of office and laboratory space located in Plano, Texas, with an initial lease term of 16 years. We recorded a lease liability of approximately $151.8 million, with a corresponding right-of-use asset of approximately $121.2 million. We are continuing to evaluate opportunities to sublease the property.</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fourth quarter of 2025 we performed an impairment assessment for this right-of use asset. This assessment involved estimating undiscounted future cash flows, including potential sublease income and remaining lease obligations. Given the carrying value exceeded the estimated undiscounted cash flows, primarily as the result of lower expected sublease income, we determined fair value using market data for similar properties and a probability-adjusted discounted cash flow calculation using a discount rate of 5.0%. As a result of this impairment assessment, we recorded an impairment charge of approximately $52.9 million related to this Reata lease, which is included in impairment of ROU asset within our consolidated statements of income for the year ended December 31, 2025. This fair value measurement was based on significant inputs that are not observable in the market and thus represent a Level 3 fair value measurement.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gridSpan w:val="2"/>
            <w:shd w:val="clear" w:color="auto" w:fill="0070C0"/>
          </w:tcPr>
          <w:p>
            <w:pPr>
              <w:ind w:left="20"/>
              <w:spacing w:after="0"/>
              <w:rPr>
                <w:sz w:val="20"/>
                <w:szCs w:val="20"/>
                <w:color w:val="auto"/>
              </w:rPr>
            </w:pPr>
            <w:r>
              <w:rPr>
                <w:rFonts w:ascii="Arial" w:cs="Arial" w:eastAsia="Arial" w:hAnsi="Arial"/>
                <w:sz w:val="22"/>
                <w:szCs w:val="22"/>
                <w:b w:val="1"/>
                <w:bCs w:val="1"/>
                <w:color w:val="FFFFFF"/>
              </w:rPr>
              <w:t>Note 13:</w:t>
            </w:r>
          </w:p>
        </w:tc>
        <w:tc>
          <w:tcPr>
            <w:tcW w:w="586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Indebtedness</w:t>
            </w:r>
          </w:p>
        </w:tc>
        <w:tc>
          <w:tcPr>
            <w:tcW w:w="120" w:type="dxa"/>
            <w:vAlign w:val="bottom"/>
            <w:tcBorders>
              <w:bottom w:val="single" w:sz="8" w:color="0070C0"/>
            </w:tcBorders>
          </w:tcPr>
          <w:p>
            <w:pPr>
              <w:spacing w:after="0"/>
              <w:rPr>
                <w:sz w:val="24"/>
                <w:szCs w:val="24"/>
                <w:color w:val="auto"/>
              </w:rPr>
            </w:pPr>
          </w:p>
        </w:tc>
        <w:tc>
          <w:tcPr>
            <w:tcW w:w="186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720" w:type="dxa"/>
            <w:vAlign w:val="bottom"/>
            <w:tcBorders>
              <w:bottom w:val="single" w:sz="8" w:color="0070C0"/>
            </w:tcBorders>
          </w:tcPr>
          <w:p>
            <w:pPr>
              <w:spacing w:after="0"/>
              <w:rPr>
                <w:sz w:val="24"/>
                <w:szCs w:val="24"/>
                <w:color w:val="auto"/>
              </w:rPr>
            </w:pPr>
          </w:p>
        </w:tc>
        <w:tc>
          <w:tcPr>
            <w:tcW w:w="1260" w:type="dxa"/>
            <w:vAlign w:val="bottom"/>
            <w:tcBorders>
              <w:bottom w:val="single" w:sz="8" w:color="0070C0"/>
            </w:tcBorders>
          </w:tcPr>
          <w:p>
            <w:pPr>
              <w:spacing w:after="0"/>
              <w:rPr>
                <w:sz w:val="24"/>
                <w:szCs w:val="24"/>
                <w:color w:val="auto"/>
              </w:rPr>
            </w:pPr>
          </w:p>
        </w:tc>
      </w:tr>
      <w:tr>
        <w:trPr>
          <w:trHeight w:val="389"/>
        </w:trPr>
        <w:tc>
          <w:tcPr>
            <w:tcW w:w="7180" w:type="dxa"/>
            <w:vAlign w:val="bottom"/>
            <w:gridSpan w:val="4"/>
          </w:tcPr>
          <w:p>
            <w:pPr>
              <w:spacing w:after="0"/>
              <w:rPr>
                <w:sz w:val="20"/>
                <w:szCs w:val="20"/>
                <w:color w:val="auto"/>
              </w:rPr>
            </w:pPr>
            <w:r>
              <w:rPr>
                <w:rFonts w:ascii="Arial" w:cs="Arial" w:eastAsia="Arial" w:hAnsi="Arial"/>
                <w:sz w:val="18"/>
                <w:szCs w:val="18"/>
                <w:color w:val="auto"/>
              </w:rPr>
              <w:t>Our indebtedness is summarized as follows:</w:t>
            </w: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3"/>
        </w:trPr>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9"/>
                <w:szCs w:val="19"/>
                <w:color w:val="auto"/>
              </w:rPr>
            </w:pPr>
          </w:p>
        </w:tc>
      </w:tr>
      <w:tr>
        <w:trPr>
          <w:trHeight w:val="197"/>
        </w:trPr>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5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86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2024</w:t>
            </w:r>
          </w:p>
        </w:tc>
      </w:tr>
      <w:tr>
        <w:trPr>
          <w:trHeight w:val="189"/>
        </w:trPr>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Current portion:</w:t>
            </w:r>
          </w:p>
        </w:tc>
        <w:tc>
          <w:tcPr>
            <w:tcW w:w="5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8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7"/>
        </w:trPr>
        <w:tc>
          <w:tcPr>
            <w:tcW w:w="740" w:type="dxa"/>
            <w:vAlign w:val="bottom"/>
          </w:tcPr>
          <w:p>
            <w:pPr>
              <w:jc w:val="right"/>
              <w:spacing w:after="0"/>
              <w:rPr>
                <w:sz w:val="20"/>
                <w:szCs w:val="20"/>
                <w:color w:val="auto"/>
              </w:rPr>
            </w:pPr>
            <w:r>
              <w:rPr>
                <w:rFonts w:ascii="Arial" w:cs="Arial" w:eastAsia="Arial" w:hAnsi="Arial"/>
                <w:sz w:val="14"/>
                <w:szCs w:val="14"/>
                <w:color w:val="auto"/>
              </w:rPr>
              <w:t>4.050%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September 15, 2025</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1,748.6</w:t>
            </w:r>
          </w:p>
        </w:tc>
      </w:tr>
      <w:tr>
        <w:trPr>
          <w:trHeight w:val="240"/>
        </w:trPr>
        <w:tc>
          <w:tcPr>
            <w:tcW w:w="7180" w:type="dxa"/>
            <w:vAlign w:val="bottom"/>
            <w:gridSpan w:val="4"/>
          </w:tcPr>
          <w:p>
            <w:pPr>
              <w:ind w:left="360"/>
              <w:spacing w:after="0"/>
              <w:rPr>
                <w:sz w:val="20"/>
                <w:szCs w:val="20"/>
                <w:color w:val="auto"/>
              </w:rPr>
            </w:pPr>
            <w:r>
              <w:rPr>
                <w:rFonts w:ascii="Arial" w:cs="Arial" w:eastAsia="Arial" w:hAnsi="Arial"/>
                <w:sz w:val="14"/>
                <w:szCs w:val="14"/>
                <w:color w:val="auto"/>
              </w:rPr>
              <w:t>Current portion of notes payable</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1,748.6</w:t>
            </w:r>
          </w:p>
        </w:tc>
      </w:tr>
      <w:tr>
        <w:trPr>
          <w:trHeight w:val="161"/>
        </w:trPr>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Non-current portion:</w:t>
            </w: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shd w:val="clear" w:color="auto" w:fill="DBDBDB"/>
          </w:tcPr>
          <w:p>
            <w:pPr>
              <w:spacing w:after="0"/>
              <w:rPr>
                <w:sz w:val="14"/>
                <w:szCs w:val="14"/>
                <w:color w:val="auto"/>
              </w:rPr>
            </w:pPr>
          </w:p>
        </w:tc>
        <w:tc>
          <w:tcPr>
            <w:tcW w:w="18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203"/>
        </w:trPr>
        <w:tc>
          <w:tcPr>
            <w:tcW w:w="740" w:type="dxa"/>
            <w:vAlign w:val="bottom"/>
          </w:tcPr>
          <w:p>
            <w:pPr>
              <w:jc w:val="right"/>
              <w:spacing w:after="0"/>
              <w:rPr>
                <w:sz w:val="20"/>
                <w:szCs w:val="20"/>
                <w:color w:val="auto"/>
              </w:rPr>
            </w:pPr>
            <w:r>
              <w:rPr>
                <w:rFonts w:ascii="Arial" w:cs="Arial" w:eastAsia="Arial" w:hAnsi="Arial"/>
                <w:sz w:val="14"/>
                <w:szCs w:val="14"/>
                <w:color w:val="auto"/>
              </w:rPr>
              <w:t>2.250%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May 1, 2030</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1,495.7</w:t>
            </w:r>
          </w:p>
        </w:tc>
        <w:tc>
          <w:tcPr>
            <w:tcW w:w="8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1,494.7</w:t>
            </w:r>
          </w:p>
        </w:tc>
      </w:tr>
      <w:tr>
        <w:trPr>
          <w:trHeight w:val="203"/>
        </w:trPr>
        <w:tc>
          <w:tcPr>
            <w:tcW w:w="740" w:type="dxa"/>
            <w:vAlign w:val="bottom"/>
          </w:tcPr>
          <w:p>
            <w:pPr>
              <w:jc w:val="right"/>
              <w:spacing w:after="0"/>
              <w:rPr>
                <w:sz w:val="20"/>
                <w:szCs w:val="20"/>
                <w:color w:val="auto"/>
              </w:rPr>
            </w:pPr>
            <w:r>
              <w:rPr>
                <w:rFonts w:ascii="Arial" w:cs="Arial" w:eastAsia="Arial" w:hAnsi="Arial"/>
                <w:sz w:val="14"/>
                <w:szCs w:val="14"/>
                <w:color w:val="auto"/>
              </w:rPr>
              <w:t>5.050%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January 15, 2031</w:t>
            </w: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398.0</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40" w:type="dxa"/>
            <w:vAlign w:val="bottom"/>
          </w:tcPr>
          <w:p>
            <w:pPr>
              <w:jc w:val="right"/>
              <w:spacing w:after="0"/>
              <w:rPr>
                <w:sz w:val="20"/>
                <w:szCs w:val="20"/>
                <w:color w:val="auto"/>
              </w:rPr>
            </w:pPr>
            <w:r>
              <w:rPr>
                <w:rFonts w:ascii="Arial" w:cs="Arial" w:eastAsia="Arial" w:hAnsi="Arial"/>
                <w:sz w:val="14"/>
                <w:szCs w:val="14"/>
                <w:color w:val="auto"/>
              </w:rPr>
              <w:t>5.750%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May 15, 2035</w:t>
            </w: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645.5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740" w:type="dxa"/>
            <w:vAlign w:val="bottom"/>
          </w:tcPr>
          <w:p>
            <w:pPr>
              <w:jc w:val="right"/>
              <w:spacing w:after="0"/>
              <w:rPr>
                <w:sz w:val="20"/>
                <w:szCs w:val="20"/>
                <w:color w:val="auto"/>
              </w:rPr>
            </w:pPr>
            <w:r>
              <w:rPr>
                <w:rFonts w:ascii="Arial" w:cs="Arial" w:eastAsia="Arial" w:hAnsi="Arial"/>
                <w:sz w:val="14"/>
                <w:szCs w:val="14"/>
                <w:color w:val="auto"/>
              </w:rPr>
              <w:t>5.200%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September 15, 2045</w:t>
            </w: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1,101.5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1,101.1</w:t>
            </w:r>
          </w:p>
        </w:tc>
      </w:tr>
      <w:tr>
        <w:trPr>
          <w:trHeight w:val="203"/>
        </w:trPr>
        <w:tc>
          <w:tcPr>
            <w:tcW w:w="740" w:type="dxa"/>
            <w:vAlign w:val="bottom"/>
          </w:tcPr>
          <w:p>
            <w:pPr>
              <w:jc w:val="right"/>
              <w:spacing w:after="0"/>
              <w:rPr>
                <w:sz w:val="20"/>
                <w:szCs w:val="20"/>
                <w:color w:val="auto"/>
              </w:rPr>
            </w:pPr>
            <w:r>
              <w:rPr>
                <w:rFonts w:ascii="Arial" w:cs="Arial" w:eastAsia="Arial" w:hAnsi="Arial"/>
                <w:sz w:val="14"/>
                <w:szCs w:val="14"/>
                <w:color w:val="auto"/>
              </w:rPr>
              <w:t>3.150%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May 1, 2050</w:t>
            </w: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1,475.6</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1,475.0</w:t>
            </w:r>
          </w:p>
        </w:tc>
      </w:tr>
      <w:tr>
        <w:trPr>
          <w:trHeight w:val="203"/>
        </w:trPr>
        <w:tc>
          <w:tcPr>
            <w:tcW w:w="740" w:type="dxa"/>
            <w:vAlign w:val="bottom"/>
          </w:tcPr>
          <w:p>
            <w:pPr>
              <w:jc w:val="right"/>
              <w:spacing w:after="0"/>
              <w:rPr>
                <w:sz w:val="20"/>
                <w:szCs w:val="20"/>
                <w:color w:val="auto"/>
              </w:rPr>
            </w:pPr>
            <w:r>
              <w:rPr>
                <w:rFonts w:ascii="Arial" w:cs="Arial" w:eastAsia="Arial" w:hAnsi="Arial"/>
                <w:sz w:val="14"/>
                <w:szCs w:val="14"/>
                <w:color w:val="auto"/>
              </w:rPr>
              <w:t>3.250%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February 15, 2051</w:t>
            </w: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480.3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476.4</w:t>
            </w:r>
          </w:p>
        </w:tc>
      </w:tr>
      <w:tr>
        <w:trPr>
          <w:trHeight w:val="207"/>
        </w:trPr>
        <w:tc>
          <w:tcPr>
            <w:tcW w:w="740" w:type="dxa"/>
            <w:vAlign w:val="bottom"/>
          </w:tcPr>
          <w:p>
            <w:pPr>
              <w:jc w:val="right"/>
              <w:spacing w:after="0"/>
              <w:rPr>
                <w:sz w:val="20"/>
                <w:szCs w:val="20"/>
                <w:color w:val="auto"/>
              </w:rPr>
            </w:pPr>
            <w:r>
              <w:rPr>
                <w:rFonts w:ascii="Arial" w:cs="Arial" w:eastAsia="Arial" w:hAnsi="Arial"/>
                <w:sz w:val="14"/>
                <w:szCs w:val="14"/>
                <w:color w:val="auto"/>
              </w:rPr>
              <w:t>6.450%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May 15, 2055</w:t>
            </w:r>
          </w:p>
        </w:tc>
        <w:tc>
          <w:tcPr>
            <w:tcW w:w="12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690.2</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180" w:type="dxa"/>
            <w:vAlign w:val="bottom"/>
            <w:gridSpan w:val="4"/>
          </w:tcPr>
          <w:p>
            <w:pPr>
              <w:ind w:left="360"/>
              <w:spacing w:after="0"/>
              <w:rPr>
                <w:sz w:val="20"/>
                <w:szCs w:val="20"/>
                <w:color w:val="auto"/>
              </w:rPr>
            </w:pPr>
            <w:r>
              <w:rPr>
                <w:rFonts w:ascii="Arial" w:cs="Arial" w:eastAsia="Arial" w:hAnsi="Arial"/>
                <w:sz w:val="14"/>
                <w:szCs w:val="14"/>
                <w:color w:val="auto"/>
              </w:rPr>
              <w:t>Non-current portion of notes payable</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6,286.8</w:t>
            </w:r>
          </w:p>
        </w:tc>
        <w:tc>
          <w:tcPr>
            <w:tcW w:w="8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4,547.2</w:t>
            </w:r>
          </w:p>
        </w:tc>
      </w:tr>
      <w:tr>
        <w:trPr>
          <w:trHeight w:val="20"/>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we were in compliance with our senior note covenants.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2025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On May 12, 2025, we issued senior unsecured notes for an aggregate principal amount of $1.75 billion, consisting of the following:</w:t>
      </w:r>
    </w:p>
    <w:p>
      <w:pPr>
        <w:spacing w:after="0" w:line="117" w:lineRule="exact"/>
        <w:rPr>
          <w:sz w:val="20"/>
          <w:szCs w:val="20"/>
          <w:color w:val="auto"/>
        </w:rPr>
      </w:pPr>
    </w:p>
    <w:p>
      <w:pPr>
        <w:ind w:left="620" w:hanging="288"/>
        <w:spacing w:after="0"/>
        <w:tabs>
          <w:tab w:leader="none" w:pos="620" w:val="left"/>
        </w:tabs>
        <w:numPr>
          <w:ilvl w:val="0"/>
          <w:numId w:val="117"/>
        </w:numPr>
        <w:rPr>
          <w:rFonts w:ascii="Arial" w:cs="Arial" w:eastAsia="Arial" w:hAnsi="Arial"/>
          <w:sz w:val="18"/>
          <w:szCs w:val="18"/>
          <w:color w:val="0070C0"/>
        </w:rPr>
      </w:pPr>
      <w:r>
        <w:rPr>
          <w:rFonts w:ascii="Arial" w:cs="Arial" w:eastAsia="Arial" w:hAnsi="Arial"/>
          <w:sz w:val="18"/>
          <w:szCs w:val="18"/>
          <w:color w:val="auto"/>
        </w:rPr>
        <w:t>$400.0 million of 5.050% Senior Notes due January 15, 2031, valued at 99.981% of par;</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117"/>
        </w:numPr>
        <w:rPr>
          <w:rFonts w:ascii="Arial" w:cs="Arial" w:eastAsia="Arial" w:hAnsi="Arial"/>
          <w:sz w:val="18"/>
          <w:szCs w:val="18"/>
          <w:color w:val="0070C0"/>
        </w:rPr>
      </w:pPr>
      <w:r>
        <w:rPr>
          <w:rFonts w:ascii="Arial" w:cs="Arial" w:eastAsia="Arial" w:hAnsi="Arial"/>
          <w:sz w:val="18"/>
          <w:szCs w:val="18"/>
          <w:color w:val="auto"/>
        </w:rPr>
        <w:t>$650.0 million of 5.750% Senior Notes due May 15, 2035, valued at 99.924% of par; and</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117"/>
        </w:numPr>
        <w:rPr>
          <w:rFonts w:ascii="Arial" w:cs="Arial" w:eastAsia="Arial" w:hAnsi="Arial"/>
          <w:sz w:val="18"/>
          <w:szCs w:val="18"/>
          <w:color w:val="0070C0"/>
        </w:rPr>
      </w:pPr>
      <w:r>
        <w:rPr>
          <w:rFonts w:ascii="Arial" w:cs="Arial" w:eastAsia="Arial" w:hAnsi="Arial"/>
          <w:sz w:val="18"/>
          <w:szCs w:val="18"/>
          <w:color w:val="auto"/>
        </w:rPr>
        <w:t>$700.0 million of 6.450% Senior Notes due May 15, 2055, valued at 99.657% of par.</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2025 Senior Notes are senior unsecured obligations and may be redeemed at our option at any time at 100% of the principal amount plus accrued interest and, until a specified period before maturity, a specified make-whole amount. Our 2025 Senior Notes contain a change-of-control provision that, under certain circumstances, may require us to purchase our 2025 Senior Notes at a price equal to 101% of the principal amount plus accrued and unpaid interest to the date of repurchase.</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incurred approximately $13.9 million of costs associated with this offering which have been recorded as a reduction to the carrying amount of the debt on our consolidated balance sheets. These costs will be amortized as additional interest expense using the effective interest rate method over the period from issuance through maturity. The discounts will be amortized as additional interest expense over the period from issuance through maturity using the effective interest rate method.</w:t>
      </w:r>
    </w:p>
    <w:p>
      <w:pPr>
        <w:spacing w:after="0" w:line="6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Interest on our 2031 Senior Notes is payable January 15 and July 15 of each year, commencing January 15, 2026. Interest on our 2035 Senior Notes and 2055 Senior Notes is payable May 15 and November 15 of each year, commencing on November 15, 2025.</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2023 Term Loan Credit Agreement</w:t>
      </w:r>
    </w:p>
    <w:p>
      <w:pPr>
        <w:spacing w:after="0" w:line="1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our acquisition of Reata in September 2023 we entered into a $ 1.5 billion term loan credit agreement. On the closing date of the Reata acquisition we drew $1.0 billion from the 2023 Term Loan, comprised of a $500.0 million floating rate 364-day tranche and a $500.0 million floating rate three-year tranche. The remaining unused commitment of $500.0 million was terminated. As of December 31, 2023, we repaid $350.0 million of the 364-day tranche. The remaining $150.0 million portion of the 364-day tranche was repaid during the first quarter of 2024.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Additionally, during the first quarter of 2024 we repaid $250.0 million of the three-year tranche, with the remaining $ 250.0 million portion being subsequently repaid in full during the second quarter of 2024. For additional information on our acquisition of Reata,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2, Acquisitions</w:t>
      </w:r>
      <w:r>
        <w:rPr>
          <w:rFonts w:ascii="Arial" w:cs="Arial" w:eastAsia="Arial" w:hAnsi="Arial"/>
          <w:sz w:val="18"/>
          <w:szCs w:val="18"/>
          <w:color w:val="auto"/>
        </w:rPr>
        <w:t>, to these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2021 Exchange Offer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currently outstanding senior unsecured notes issued in 2021 as part of our Exchange Offer (the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Exchange Offer Senior Notes), consisting of the following:</w:t>
      </w:r>
    </w:p>
    <w:p>
      <w:pPr>
        <w:spacing w:after="0" w:line="99" w:lineRule="exact"/>
        <w:rPr>
          <w:sz w:val="20"/>
          <w:szCs w:val="20"/>
          <w:color w:val="auto"/>
        </w:rPr>
      </w:pPr>
    </w:p>
    <w:p>
      <w:pPr>
        <w:ind w:left="440" w:hanging="270"/>
        <w:spacing w:after="0"/>
        <w:tabs>
          <w:tab w:leader="none" w:pos="4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$700.7 million aggregate principal amount of 3.25% Senior Notes due February 15, 2051, valued at 99.298% of par.</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Our 2021 Exchange Offer Senior Notes are senior unsecured obligations and may be redeemed at our option at any time at 100.0% of the principal amount plus accrued interest and a specified make-whole amount. Our 2021 Exchange Offer Senior Notes contain a change of control provision that may require us to purchase the notes at a price equal to 101.0% of the principal amount plus accrued and unpaid interest to the date of purchase under certain circumstances.</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costs associated with this exchange offer of approximately $ 5.4 million have been recorded as a reduction to the carrying amount of the debt in our consolidated balance sheets. These costs along with the discounts will be amortized as additional interest expense using the effective interest rate method over the period from issuance through maturity. Interest on our 2021 Exchange Offer Senior Notes is payable February 15 and August 15 of each year, commencing August 15, 2021.</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2020 Senior Notes</w:t>
      </w:r>
    </w:p>
    <w:p>
      <w:pPr>
        <w:spacing w:after="0" w:line="112"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The following is a summary of our currently outstanding senior unsecured notes issued in 2020 (2020 Senior Notes), consisting of the following:</w:t>
      </w:r>
    </w:p>
    <w:p>
      <w:pPr>
        <w:spacing w:after="0" w:line="45" w:lineRule="exact"/>
        <w:rPr>
          <w:sz w:val="20"/>
          <w:szCs w:val="20"/>
          <w:color w:val="auto"/>
        </w:rPr>
      </w:pPr>
    </w:p>
    <w:p>
      <w:pPr>
        <w:ind w:left="440" w:hanging="270"/>
        <w:spacing w:after="0"/>
        <w:tabs>
          <w:tab w:leader="none" w:pos="440" w:val="left"/>
        </w:tabs>
        <w:numPr>
          <w:ilvl w:val="0"/>
          <w:numId w:val="119"/>
        </w:numPr>
        <w:rPr>
          <w:rFonts w:ascii="Arial" w:cs="Arial" w:eastAsia="Arial" w:hAnsi="Arial"/>
          <w:sz w:val="18"/>
          <w:szCs w:val="18"/>
          <w:color w:val="0070C0"/>
        </w:rPr>
      </w:pPr>
      <w:r>
        <w:rPr>
          <w:rFonts w:ascii="Arial" w:cs="Arial" w:eastAsia="Arial" w:hAnsi="Arial"/>
          <w:sz w:val="18"/>
          <w:szCs w:val="18"/>
          <w:color w:val="auto"/>
        </w:rPr>
        <w:t>$1.5 billion aggregate principal amount of 2.250% Senior Notes due May 1, 2030, valued at 99.973% of par; and</w:t>
      </w:r>
    </w:p>
    <w:p>
      <w:pPr>
        <w:spacing w:after="0" w:line="117" w:lineRule="exact"/>
        <w:rPr>
          <w:rFonts w:ascii="Arial" w:cs="Arial" w:eastAsia="Arial" w:hAnsi="Arial"/>
          <w:sz w:val="18"/>
          <w:szCs w:val="18"/>
          <w:color w:val="0070C0"/>
        </w:rPr>
      </w:pPr>
    </w:p>
    <w:p>
      <w:pPr>
        <w:ind w:left="440" w:hanging="270"/>
        <w:spacing w:after="0"/>
        <w:tabs>
          <w:tab w:leader="none" w:pos="440" w:val="left"/>
        </w:tabs>
        <w:numPr>
          <w:ilvl w:val="0"/>
          <w:numId w:val="119"/>
        </w:numPr>
        <w:rPr>
          <w:rFonts w:ascii="Arial" w:cs="Arial" w:eastAsia="Arial" w:hAnsi="Arial"/>
          <w:sz w:val="18"/>
          <w:szCs w:val="18"/>
          <w:color w:val="0070C0"/>
        </w:rPr>
      </w:pPr>
      <w:r>
        <w:rPr>
          <w:rFonts w:ascii="Arial" w:cs="Arial" w:eastAsia="Arial" w:hAnsi="Arial"/>
          <w:sz w:val="18"/>
          <w:szCs w:val="18"/>
          <w:color w:val="auto"/>
        </w:rPr>
        <w:t>$1.5 billion aggregate principal amount of 3.150% Senior Notes due May 1, 2050, valued at 99.174% of par.</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2020 Senior Notes are senior unsecured obligations and may be redeemed at our option at any time at 100.0% of the principal amount plus accrued interest and, until a specified period before maturity, a specified make-whole amount. Our 2020 Senior Notes contain a change-of-control provision that, under certain circumstances, may require us to purchase our 2020 Senior Notes at a price equal to 101.0% of the principal amount plus accrued and unpaid interest to the date of repurchase.</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original costs associated with this offering of approximately $24.4 million have been recorded as a reduction to the carrying amount of the debt in our consolidated balance sheets. These costs along with the discounts will be amortized as additional interest expense using the effective interest rate method over the period from issuance through maturity. Interest on our 2020 Senior Notes is payable May 1 and November 1 of each year, commencing November 1, 2020.</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2015 Senior Notes</w:t>
      </w:r>
    </w:p>
    <w:p>
      <w:pPr>
        <w:spacing w:after="0" w:line="12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following is a summary of our currently outstanding senior unsecured notes issued in 2015 (the 2015 Senior Notes), consisting of the following:</w:t>
      </w:r>
    </w:p>
    <w:p>
      <w:pPr>
        <w:spacing w:after="0" w:line="45" w:lineRule="exact"/>
        <w:rPr>
          <w:sz w:val="20"/>
          <w:szCs w:val="20"/>
          <w:color w:val="auto"/>
        </w:rPr>
      </w:pPr>
    </w:p>
    <w:p>
      <w:pPr>
        <w:ind w:left="440" w:hanging="270"/>
        <w:spacing w:after="0"/>
        <w:tabs>
          <w:tab w:leader="none" w:pos="440" w:val="left"/>
        </w:tabs>
        <w:numPr>
          <w:ilvl w:val="0"/>
          <w:numId w:val="120"/>
        </w:numPr>
        <w:rPr>
          <w:rFonts w:ascii="Arial" w:cs="Arial" w:eastAsia="Arial" w:hAnsi="Arial"/>
          <w:sz w:val="18"/>
          <w:szCs w:val="18"/>
          <w:color w:val="0070C0"/>
        </w:rPr>
      </w:pPr>
      <w:r>
        <w:rPr>
          <w:rFonts w:ascii="Arial" w:cs="Arial" w:eastAsia="Arial" w:hAnsi="Arial"/>
          <w:sz w:val="18"/>
          <w:szCs w:val="18"/>
          <w:color w:val="auto"/>
        </w:rPr>
        <w:t>$1.12 billion aggregate principal amount of 5.200% Senior Notes due September 15, 2045, valued at 99.294% of par.</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2015 Senior Notes are senior unsecured obligations and may be redeemed at our option at any time at 100.0% of the principal amount plus accrued interest and a specified make-whole amount. Our 2015 Senior Notes contain a change of control provision that may require us to purchase the notes at a price equal to 101.0% of the principal amount plus accrued and unpaid interest to the date of purchase under certain circumstances.</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original costs associated with this offering of approximately $47.5 million, of which approximately $10.7 million pertains to our currently outstanding notes, have been recorded as a reduction to the carrying amount of the debt in our consolidated balance sheets. These costs along with the discounts will be amortized as additional interest expense using the effective interest rate method over the period from issuance through maturity. Interest on our 2015 Senior Notes is payable March 15 and September 15 of each year, commencing March 15, 2016.</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4.050% Senior Notes due September 15, 2025</w:t>
      </w:r>
    </w:p>
    <w:p>
      <w:pPr>
        <w:spacing w:after="0" w:line="11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On September 15, 2015, we issued $1.75 billion aggregate principal amount of 4.050% Senior Notes due September 15, 2025, at 99.764% of par. In June 2025 we used the net proceeds from the sale of our 2025 Senior Notes to redeem our 4.050% Senior Notes due September 15, 2025, prior to maturity. No gain or loss was recognized upon redemption.</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2024 Revolving Credit Facility</w:t>
      </w:r>
    </w:p>
    <w:p>
      <w:pPr>
        <w:spacing w:after="0" w:line="126"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In August 2024 we entered into a $1.5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This revolving credit facility replaced the revolving credit facility that we entered into in January 2020. As of December 31, 2025, we had no outstanding borrowings and were in compliance with all covenants under this facility.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Debt Maturity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total gross principal payments due under our debt arrangements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34925</wp:posOffset>
            </wp:positionV>
            <wp:extent cx="1388745"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7">
                      <a:extLst>
                        <a:ext uri="{28A0092B-C50C-407E-A947-70E740481C1C}"/>
                      </a:extLst>
                    </a:blip>
                    <a:srcRect/>
                    <a:stretch>
                      <a:fillRect/>
                    </a:stretch>
                  </pic:blipFill>
                  <pic:spPr bwMode="auto">
                    <a:xfrm>
                      <a:off x="0" y="0"/>
                      <a:ext cx="1388745" cy="1289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9752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8">
                      <a:extLst>
                        <a:ext uri="{28A0092B-C50C-407E-A947-70E740481C1C}"/>
                      </a:extLst>
                    </a:blip>
                    <a:srcRect/>
                    <a:stretch>
                      <a:fillRect/>
                    </a:stretch>
                  </pic:blipFill>
                  <pic:spPr bwMode="auto">
                    <a:xfrm>
                      <a:off x="0" y="0"/>
                      <a:ext cx="559752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2027</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2028</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2029</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2030</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2031 and thereafter</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and non-current debt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debt discount and issuance fees</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and non-current debt, net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2573BA"/>
        </w:rPr>
        <w:t>As of 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Borders>
              <w:top w:val="single" w:sz="8" w:color="auto"/>
            </w:tcBorders>
            <w:shd w:val="clear" w:color="auto" w:fill="DBDBDB"/>
          </w:tcPr>
          <w:p>
            <w:pPr>
              <w:jc w:val="right"/>
              <w:ind w:right="688"/>
              <w:spacing w:after="0"/>
              <w:rPr>
                <w:sz w:val="20"/>
                <w:szCs w:val="20"/>
                <w:color w:val="auto"/>
              </w:rPr>
            </w:pPr>
            <w:r>
              <w:rPr>
                <w:rFonts w:ascii="Arial" w:cs="Arial" w:eastAsia="Arial" w:hAnsi="Arial"/>
                <w:sz w:val="14"/>
                <w:szCs w:val="14"/>
                <w:color w:val="2573BA"/>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2"/>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3"/>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3"/>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3"/>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1,500.0</w:t>
            </w:r>
          </w:p>
        </w:tc>
      </w:tr>
      <w:tr>
        <w:trPr>
          <w:trHeight w:val="207"/>
        </w:trPr>
        <w:tc>
          <w:tcPr>
            <w:tcW w:w="86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5,067.3</w:t>
            </w:r>
          </w:p>
        </w:tc>
      </w:tr>
      <w:tr>
        <w:trPr>
          <w:trHeight w:val="192"/>
        </w:trPr>
        <w:tc>
          <w:tcPr>
            <w:tcW w:w="86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6,567.3</w:t>
            </w:r>
          </w:p>
        </w:tc>
      </w:tr>
      <w:tr>
        <w:trPr>
          <w:trHeight w:val="206"/>
        </w:trPr>
        <w:tc>
          <w:tcPr>
            <w:tcW w:w="86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(280.5)</w:t>
            </w:r>
          </w:p>
        </w:tc>
      </w:tr>
      <w:tr>
        <w:trPr>
          <w:trHeight w:val="221"/>
        </w:trPr>
        <w:tc>
          <w:tcPr>
            <w:tcW w:w="860" w:type="dxa"/>
            <w:vAlign w:val="bottom"/>
            <w:tcBorders>
              <w:bottom w:val="single" w:sz="8" w:color="auto"/>
            </w:tcBorders>
            <w:shd w:val="clear" w:color="auto" w:fill="DBDBDB"/>
          </w:tcPr>
          <w:p>
            <w:pPr>
              <w:jc w:val="right"/>
              <w:ind w:right="688"/>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6,286.8</w:t>
            </w:r>
          </w:p>
        </w:tc>
      </w:tr>
      <w:tr>
        <w:trPr>
          <w:trHeight w:val="20"/>
        </w:trPr>
        <w:tc>
          <w:tcPr>
            <w:tcW w:w="8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8200" w:space="720"/>
            <w:col w:w="2320"/>
          </w:cols>
          <w:pgMar w:left="320" w:top="238" w:right="33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The fair value of our debt is disclosed in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xml:space="preserve">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831215" cy="3429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9">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14:</w:t>
      </w:r>
      <w:r>
        <w:rPr>
          <w:sz w:val="20"/>
          <w:szCs w:val="20"/>
          <w:color w:val="auto"/>
        </w:rPr>
        <w:tab/>
      </w:r>
      <w:r>
        <w:rPr>
          <w:rFonts w:ascii="Arial" w:cs="Arial" w:eastAsia="Arial" w:hAnsi="Arial"/>
          <w:sz w:val="21"/>
          <w:szCs w:val="21"/>
          <w:b w:val="1"/>
          <w:bCs w:val="1"/>
          <w:color w:val="0070C0"/>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0">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Preferred Stock</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8.0 million shares of Preferred Stock authorized, of which 1.75 million shares are authorized as Series A, 1.0 million shares are authorized as Series X junior participating and 5.25 million shares are undesignated. Shares may be issued without a vote or action of shareholders from time to time in classes or series with the designations, powers, preferences and the relative, participating, optional or other special rights of the shares of each such class or series and any qualifications, limitations or restrictions thereon as set forth in the instruments governing such shares. Any such Preferred Stock may rank prior to common stock as to dividend rights, liquidation preference or both, and may have full or limited voting rights and may be convertible into shares of common stock. No shares of Preferred Stock were issued and outstanding during 2025, 2024 and 2023.</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Common Stock</w:t>
      </w:r>
    </w:p>
    <w:p>
      <w:pPr>
        <w:spacing w:after="0" w:line="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describes the number of shares authorized, issued and outstanding of our common stock as of December 31, 2025, 2024 and 2023:</w:t>
      </w:r>
    </w:p>
    <w:tbl>
      <w:tblPr>
        <w:tblLayout w:type="fixed"/>
        <w:tblInd w:w="0" w:type="dxa"/>
        <w:tblCellMar>
          <w:top w:w="0" w:type="dxa"/>
          <w:left w:w="0" w:type="dxa"/>
          <w:bottom w:w="0" w:type="dxa"/>
          <w:right w:w="0" w:type="dxa"/>
        </w:tblCellMar>
      </w:tblPr>
      <w:tr>
        <w:trPr>
          <w:trHeight w:val="203"/>
        </w:trPr>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Borders>
              <w:bottom w:val="single" w:sz="8" w:color="auto"/>
            </w:tcBorders>
            <w:gridSpan w:val="5"/>
            <w:shd w:val="clear" w:color="auto" w:fill="DDDDDD"/>
          </w:tcPr>
          <w:p>
            <w:pPr>
              <w:jc w:val="right"/>
              <w:ind w:right="628"/>
              <w:spacing w:after="0"/>
              <w:rPr>
                <w:sz w:val="20"/>
                <w:szCs w:val="20"/>
                <w:color w:val="auto"/>
              </w:rPr>
            </w:pPr>
            <w:r>
              <w:rPr>
                <w:rFonts w:ascii="Arial" w:cs="Arial" w:eastAsia="Arial" w:hAnsi="Arial"/>
                <w:sz w:val="14"/>
                <w:szCs w:val="14"/>
                <w:b w:val="1"/>
                <w:bCs w:val="1"/>
                <w:color w:val="2573BA"/>
              </w:rPr>
              <w:t>As of December 31, 2025</w:t>
            </w:r>
          </w:p>
        </w:tc>
        <w:tc>
          <w:tcPr>
            <w:tcW w:w="100" w:type="dxa"/>
            <w:vAlign w:val="bottom"/>
          </w:tcPr>
          <w:p>
            <w:pPr>
              <w:spacing w:after="0"/>
              <w:rPr>
                <w:sz w:val="17"/>
                <w:szCs w:val="17"/>
                <w:color w:val="auto"/>
              </w:rPr>
            </w:pPr>
          </w:p>
        </w:tc>
        <w:tc>
          <w:tcPr>
            <w:tcW w:w="308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As of December 31, 2024</w:t>
            </w:r>
          </w:p>
        </w:tc>
        <w:tc>
          <w:tcPr>
            <w:tcW w:w="10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As of December 31, 2023</w:t>
            </w:r>
          </w:p>
        </w:tc>
      </w:tr>
      <w:tr>
        <w:trPr>
          <w:trHeight w:val="195"/>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Borders>
              <w:bottom w:val="single" w:sz="8" w:color="DBDBDB"/>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Issued</w:t>
            </w:r>
          </w:p>
        </w:tc>
        <w:tc>
          <w:tcPr>
            <w:tcW w:w="100" w:type="dxa"/>
            <w:vAlign w:val="bottom"/>
            <w:tcBorders>
              <w:bottom w:val="single" w:sz="8" w:color="DBDBDB"/>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Authorized</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Issued</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Outstanding</w:t>
            </w:r>
          </w:p>
        </w:tc>
      </w:tr>
      <w:tr>
        <w:trPr>
          <w:trHeight w:val="197"/>
        </w:trPr>
        <w:tc>
          <w:tcPr>
            <w:tcW w:w="1740" w:type="dxa"/>
            <w:vAlign w:val="bottom"/>
            <w:gridSpan w:val="2"/>
          </w:tcPr>
          <w:p>
            <w:pPr>
              <w:ind w:left="20"/>
              <w:spacing w:after="0"/>
              <w:rPr>
                <w:sz w:val="20"/>
                <w:szCs w:val="20"/>
                <w:color w:val="auto"/>
              </w:rPr>
            </w:pPr>
            <w:r>
              <w:rPr>
                <w:rFonts w:ascii="Arial" w:cs="Arial" w:eastAsia="Arial" w:hAnsi="Arial"/>
                <w:sz w:val="14"/>
                <w:szCs w:val="14"/>
                <w:color w:val="auto"/>
              </w:rPr>
              <w:t>Common stock</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1,000.0</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170.5</w:t>
            </w:r>
          </w:p>
        </w:tc>
        <w:tc>
          <w:tcPr>
            <w:tcW w:w="10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146.8</w:t>
            </w:r>
          </w:p>
        </w:tc>
        <w:tc>
          <w:tcPr>
            <w:tcW w:w="1100" w:type="dxa"/>
            <w:vAlign w:val="bottom"/>
            <w:gridSpan w:val="2"/>
          </w:tcPr>
          <w:p>
            <w:pPr>
              <w:jc w:val="right"/>
              <w:ind w:right="8"/>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169.5</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168.7</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144.9</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 Repurchases</w:t>
      </w:r>
    </w:p>
    <w:p>
      <w:pPr>
        <w:spacing w:after="0" w:line="12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shares repurchased under our 2020 Share Repurchase Program were retired. There were no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repurchases of our common stock during the years ended December 31, 2025, 2024 and 2023. Approximately $2.1 billion remained available under our 2020 Share Repurchase Program as of December 31, 2025.</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Amounts paid to repurchase shares in excess of their par value are allocated between additional paid-in-capital and retained earnings, with payments in excess of our additional paid-in-capital balance recorded as a reduction to retained earnings.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Accumulated Other Comprehensive Income (Loss)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AOCI, net of tax by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34925</wp:posOffset>
            </wp:positionV>
            <wp:extent cx="5074920" cy="1289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2">
                      <a:extLst>
                        <a:ext uri="{28A0092B-C50C-407E-A947-70E740481C1C}"/>
                      </a:extLst>
                    </a:blip>
                    <a:srcRect/>
                    <a:stretch>
                      <a:fillRect/>
                    </a:stretch>
                  </pic:blipFill>
                  <pic:spPr bwMode="auto">
                    <a:xfrm>
                      <a:off x="0" y="0"/>
                      <a:ext cx="5074920" cy="1289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99707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2024</w:t>
      </w:r>
    </w:p>
    <w:p>
      <w:pPr>
        <w:spacing w:after="0" w:line="42" w:lineRule="exact"/>
        <w:rPr>
          <w:sz w:val="20"/>
          <w:szCs w:val="20"/>
          <w:color w:val="auto"/>
        </w:rPr>
      </w:pPr>
    </w:p>
    <w:p>
      <w:pPr>
        <w:ind w:left="220"/>
        <w:spacing w:after="0" w:line="252"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40" w:lineRule="exact"/>
        <w:rPr>
          <w:sz w:val="20"/>
          <w:szCs w:val="20"/>
          <w:color w:val="auto"/>
        </w:rPr>
      </w:pPr>
    </w:p>
    <w:p>
      <w:pPr>
        <w:ind w:left="140" w:right="260"/>
        <w:spacing w:after="0" w:line="264" w:lineRule="auto"/>
        <w:rPr>
          <w:sz w:val="20"/>
          <w:szCs w:val="20"/>
          <w:color w:val="auto"/>
        </w:rPr>
      </w:pPr>
      <w:r>
        <w:rPr>
          <w:rFonts w:ascii="Arial" w:cs="Arial" w:eastAsia="Arial" w:hAnsi="Arial"/>
          <w:sz w:val="14"/>
          <w:szCs w:val="14"/>
          <w:color w:val="auto"/>
        </w:rPr>
        <w:t>Net current period other comprehensive income (loss)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0142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4">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2023</w:t>
      </w:r>
    </w:p>
    <w:p>
      <w:pPr>
        <w:spacing w:after="0" w:line="42" w:lineRule="exact"/>
        <w:rPr>
          <w:sz w:val="20"/>
          <w:szCs w:val="20"/>
          <w:color w:val="auto"/>
        </w:rPr>
      </w:pPr>
    </w:p>
    <w:p>
      <w:pPr>
        <w:ind w:left="220"/>
        <w:spacing w:after="0" w:line="252"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40" w:lineRule="exact"/>
        <w:rPr>
          <w:sz w:val="20"/>
          <w:szCs w:val="20"/>
          <w:color w:val="auto"/>
        </w:rPr>
      </w:pPr>
    </w:p>
    <w:p>
      <w:pPr>
        <w:ind w:left="140" w:right="260"/>
        <w:spacing w:after="0" w:line="264" w:lineRule="auto"/>
        <w:rPr>
          <w:sz w:val="20"/>
          <w:szCs w:val="20"/>
          <w:color w:val="auto"/>
        </w:rPr>
      </w:pPr>
      <w:r>
        <w:rPr>
          <w:rFonts w:ascii="Arial" w:cs="Arial" w:eastAsia="Arial" w:hAnsi="Arial"/>
          <w:sz w:val="14"/>
          <w:szCs w:val="14"/>
          <w:color w:val="auto"/>
        </w:rPr>
        <w:t>Net current period other comprehensive income (loss)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99707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5">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2022</w:t>
      </w:r>
    </w:p>
    <w:p>
      <w:pPr>
        <w:spacing w:after="0" w:line="42" w:lineRule="exact"/>
        <w:rPr>
          <w:sz w:val="20"/>
          <w:szCs w:val="20"/>
          <w:color w:val="auto"/>
        </w:rPr>
      </w:pPr>
    </w:p>
    <w:p>
      <w:pPr>
        <w:ind w:left="220"/>
        <w:spacing w:after="0" w:line="244" w:lineRule="auto"/>
        <w:rPr>
          <w:sz w:val="20"/>
          <w:szCs w:val="20"/>
          <w:color w:val="auto"/>
        </w:rPr>
      </w:pPr>
      <w:r>
        <w:rPr>
          <w:rFonts w:ascii="Arial" w:cs="Arial" w:eastAsia="Arial" w:hAnsi="Arial"/>
          <w:sz w:val="14"/>
          <w:szCs w:val="14"/>
          <w:color w:val="auto"/>
        </w:rPr>
        <w:t>Other comprehensive income (loss) before reclassifications</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42" w:lineRule="exact"/>
        <w:rPr>
          <w:sz w:val="20"/>
          <w:szCs w:val="20"/>
          <w:color w:val="auto"/>
        </w:rPr>
      </w:pPr>
    </w:p>
    <w:p>
      <w:pPr>
        <w:ind w:left="140" w:right="260"/>
        <w:spacing w:after="0" w:line="244" w:lineRule="auto"/>
        <w:rPr>
          <w:sz w:val="20"/>
          <w:szCs w:val="20"/>
          <w:color w:val="auto"/>
        </w:rPr>
      </w:pPr>
      <w:r>
        <w:rPr>
          <w:rFonts w:ascii="Arial" w:cs="Arial" w:eastAsia="Arial" w:hAnsi="Arial"/>
          <w:sz w:val="14"/>
          <w:szCs w:val="14"/>
          <w:color w:val="auto"/>
        </w:rPr>
        <w:t>Net current period other comprehensive income (loss)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2023</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70C0"/>
        </w:rPr>
        <w:t>December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Unrealized Gains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Gains (Losses)</w:t>
            </w:r>
          </w:p>
        </w:tc>
        <w:tc>
          <w:tcPr>
            <w:tcW w:w="1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Unrealized Gains</w:t>
            </w: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Currency</w:t>
            </w: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(Losses) 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(Losses) on Pension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Securities Available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on Cash Flow Hedges,</w:t>
            </w:r>
          </w:p>
        </w:tc>
        <w:tc>
          <w:tcPr>
            <w:tcW w:w="120" w:type="dxa"/>
            <w:vAlign w:val="bottom"/>
          </w:tcPr>
          <w:p>
            <w:pPr>
              <w:spacing w:after="0"/>
              <w:rPr>
                <w:sz w:val="12"/>
                <w:szCs w:val="12"/>
                <w:color w:val="auto"/>
              </w:rPr>
            </w:pPr>
          </w:p>
        </w:tc>
        <w:tc>
          <w:tcPr>
            <w:tcW w:w="1700" w:type="dxa"/>
            <w:vAlign w:val="bottom"/>
            <w:gridSpan w:val="2"/>
          </w:tcPr>
          <w:p>
            <w:pPr>
              <w:ind w:left="80"/>
              <w:spacing w:after="0" w:line="145" w:lineRule="exact"/>
              <w:rPr>
                <w:sz w:val="20"/>
                <w:szCs w:val="20"/>
                <w:color w:val="auto"/>
              </w:rPr>
            </w:pPr>
            <w:r>
              <w:rPr>
                <w:rFonts w:ascii="Arial" w:cs="Arial" w:eastAsia="Arial" w:hAnsi="Arial"/>
                <w:sz w:val="14"/>
                <w:szCs w:val="14"/>
                <w:b w:val="1"/>
                <w:bCs w:val="1"/>
                <w:color w:val="auto"/>
              </w:rPr>
              <w:t>Benefit Obligation,</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2"/>
                <w:szCs w:val="12"/>
                <w:color w:val="auto"/>
              </w:rPr>
            </w:pPr>
          </w:p>
        </w:tc>
        <w:tc>
          <w:tcPr>
            <w:tcW w:w="9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Sale, Net of Tax</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51.6</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(16.6)</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(171.2)</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w w:val="76"/>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(136.2)</w:t>
            </w:r>
          </w:p>
        </w:tc>
        <w:tc>
          <w:tcPr>
            <w:tcW w:w="0" w:type="dxa"/>
            <w:vAlign w:val="bottom"/>
          </w:tcPr>
          <w:p>
            <w:pPr>
              <w:spacing w:after="0"/>
              <w:rPr>
                <w:sz w:val="1"/>
                <w:szCs w:val="1"/>
                <w:color w:val="auto"/>
              </w:rPr>
            </w:pPr>
          </w:p>
        </w:tc>
      </w:tr>
      <w:tr>
        <w:trPr>
          <w:trHeight w:val="338"/>
        </w:trPr>
        <w:tc>
          <w:tcPr>
            <w:tcW w:w="100" w:type="dxa"/>
            <w:vAlign w:val="bottom"/>
            <w:shd w:val="clear" w:color="auto" w:fill="DBDBDB"/>
          </w:tcPr>
          <w:p>
            <w:pPr>
              <w:spacing w:after="0"/>
              <w:rPr>
                <w:sz w:val="24"/>
                <w:szCs w:val="24"/>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0.2</w:t>
            </w:r>
          </w:p>
        </w:tc>
        <w:tc>
          <w:tcPr>
            <w:tcW w:w="40" w:type="dxa"/>
            <w:vAlign w:val="bottom"/>
            <w:shd w:val="clear" w:color="auto" w:fill="DBDBDB"/>
          </w:tcPr>
          <w:p>
            <w:pPr>
              <w:spacing w:after="0"/>
              <w:rPr>
                <w:sz w:val="24"/>
                <w:szCs w:val="24"/>
                <w:color w:val="auto"/>
              </w:rPr>
            </w:pP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(156.4)</w:t>
            </w:r>
          </w:p>
        </w:tc>
        <w:tc>
          <w:tcPr>
            <w:tcW w:w="10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w:t>
            </w:r>
          </w:p>
        </w:tc>
        <w:tc>
          <w:tcPr>
            <w:tcW w:w="10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1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57.3</w:t>
            </w:r>
          </w:p>
        </w:tc>
        <w:tc>
          <w:tcPr>
            <w:tcW w:w="100" w:type="dxa"/>
            <w:vAlign w:val="bottom"/>
            <w:shd w:val="clear" w:color="auto" w:fill="DBDBDB"/>
          </w:tcPr>
          <w:p>
            <w:pPr>
              <w:spacing w:after="0"/>
              <w:rPr>
                <w:sz w:val="24"/>
                <w:szCs w:val="24"/>
                <w:color w:val="auto"/>
              </w:rPr>
            </w:pPr>
          </w:p>
        </w:tc>
        <w:tc>
          <w:tcPr>
            <w:tcW w:w="280" w:type="dxa"/>
            <w:vAlign w:val="bottom"/>
            <w:shd w:val="clear" w:color="auto" w:fill="DBDBDB"/>
          </w:tcPr>
          <w:p>
            <w:pPr>
              <w:spacing w:after="0"/>
              <w:rPr>
                <w:sz w:val="24"/>
                <w:szCs w:val="24"/>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(91.7)</w:t>
            </w:r>
          </w:p>
        </w:tc>
        <w:tc>
          <w:tcPr>
            <w:tcW w:w="0" w:type="dxa"/>
            <w:vAlign w:val="bottom"/>
          </w:tcPr>
          <w:p>
            <w:pPr>
              <w:spacing w:after="0"/>
              <w:rPr>
                <w:sz w:val="1"/>
                <w:szCs w:val="1"/>
                <w:color w:val="auto"/>
              </w:rPr>
            </w:pPr>
          </w:p>
        </w:tc>
      </w:tr>
      <w:tr>
        <w:trPr>
          <w:trHeight w:val="207"/>
        </w:trPr>
        <w:tc>
          <w:tcPr>
            <w:tcW w:w="1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45.9</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7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120" w:type="dxa"/>
            <w:vAlign w:val="bottom"/>
            <w:shd w:val="clear" w:color="auto" w:fill="DBDBDB"/>
          </w:tcPr>
          <w:p>
            <w:pPr>
              <w:spacing w:after="0"/>
              <w:rPr>
                <w:sz w:val="17"/>
                <w:szCs w:val="17"/>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45.9</w:t>
            </w:r>
          </w:p>
        </w:tc>
        <w:tc>
          <w:tcPr>
            <w:tcW w:w="0" w:type="dxa"/>
            <w:vAlign w:val="bottom"/>
          </w:tcPr>
          <w:p>
            <w:pPr>
              <w:spacing w:after="0"/>
              <w:rPr>
                <w:sz w:val="1"/>
                <w:szCs w:val="1"/>
                <w:color w:val="auto"/>
              </w:rPr>
            </w:pPr>
          </w:p>
        </w:tc>
      </w:tr>
      <w:tr>
        <w:trPr>
          <w:trHeight w:val="318"/>
        </w:trPr>
        <w:tc>
          <w:tcPr>
            <w:tcW w:w="100" w:type="dxa"/>
            <w:vAlign w:val="bottom"/>
            <w:tcBorders>
              <w:top w:val="single" w:sz="8" w:color="auto"/>
              <w:bottom w:val="single" w:sz="8" w:color="auto"/>
            </w:tcBorders>
            <w:shd w:val="clear" w:color="auto" w:fill="DBDBDB"/>
          </w:tcPr>
          <w:p>
            <w:pPr>
              <w:spacing w:after="0"/>
              <w:rPr>
                <w:sz w:val="24"/>
                <w:szCs w:val="24"/>
                <w:color w:val="auto"/>
              </w:rPr>
            </w:pPr>
          </w:p>
        </w:tc>
        <w:tc>
          <w:tcPr>
            <w:tcW w:w="1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0.2</w:t>
            </w:r>
          </w:p>
        </w:tc>
        <w:tc>
          <w:tcPr>
            <w:tcW w:w="40" w:type="dxa"/>
            <w:vAlign w:val="bottom"/>
            <w:tcBorders>
              <w:top w:val="single" w:sz="8" w:color="auto"/>
              <w:bottom w:val="single" w:sz="8" w:color="auto"/>
            </w:tcBorders>
            <w:shd w:val="clear" w:color="auto" w:fill="DBDBDB"/>
          </w:tcPr>
          <w:p>
            <w:pPr>
              <w:spacing w:after="0"/>
              <w:rPr>
                <w:sz w:val="24"/>
                <w:szCs w:val="24"/>
                <w:color w:val="auto"/>
              </w:rPr>
            </w:pP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140" w:type="dxa"/>
            <w:vAlign w:val="bottom"/>
            <w:tcBorders>
              <w:top w:val="single" w:sz="8" w:color="auto"/>
              <w:bottom w:val="single" w:sz="8" w:color="auto"/>
            </w:tcBorders>
            <w:shd w:val="clear" w:color="auto" w:fill="DBDBDB"/>
          </w:tcPr>
          <w:p>
            <w:pPr>
              <w:spacing w:after="0"/>
              <w:rPr>
                <w:sz w:val="24"/>
                <w:szCs w:val="24"/>
                <w:color w:val="auto"/>
              </w:rPr>
            </w:pPr>
          </w:p>
        </w:tc>
        <w:tc>
          <w:tcPr>
            <w:tcW w:w="17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(110.5)</w:t>
            </w: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120" w:type="dxa"/>
            <w:vAlign w:val="bottom"/>
            <w:tcBorders>
              <w:top w:val="single" w:sz="8" w:color="auto"/>
              <w:bottom w:val="single" w:sz="8" w:color="auto"/>
            </w:tcBorders>
            <w:shd w:val="clear" w:color="auto" w:fill="DBDBDB"/>
          </w:tcPr>
          <w:p>
            <w:pPr>
              <w:spacing w:after="0"/>
              <w:rPr>
                <w:sz w:val="24"/>
                <w:szCs w:val="24"/>
                <w:color w:val="auto"/>
              </w:rPr>
            </w:pPr>
          </w:p>
        </w:tc>
        <w:tc>
          <w:tcPr>
            <w:tcW w:w="1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7.2</w:t>
            </w: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120" w:type="dxa"/>
            <w:vAlign w:val="bottom"/>
            <w:tcBorders>
              <w:top w:val="single" w:sz="8" w:color="auto"/>
              <w:bottom w:val="single" w:sz="8" w:color="auto"/>
            </w:tcBorders>
            <w:shd w:val="clear" w:color="auto" w:fill="DBDBDB"/>
          </w:tcPr>
          <w:p>
            <w:pPr>
              <w:spacing w:after="0"/>
              <w:rPr>
                <w:sz w:val="24"/>
                <w:szCs w:val="24"/>
                <w:color w:val="auto"/>
              </w:rPr>
            </w:pPr>
          </w:p>
        </w:tc>
        <w:tc>
          <w:tcPr>
            <w:tcW w:w="112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57.3</w:t>
            </w: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280" w:type="dxa"/>
            <w:vAlign w:val="bottom"/>
            <w:tcBorders>
              <w:top w:val="single" w:sz="8" w:color="auto"/>
              <w:bottom w:val="single" w:sz="8" w:color="auto"/>
            </w:tcBorders>
            <w:shd w:val="clear" w:color="auto" w:fill="DBDBDB"/>
          </w:tcPr>
          <w:p>
            <w:pPr>
              <w:spacing w:after="0"/>
              <w:rPr>
                <w:sz w:val="24"/>
                <w:szCs w:val="24"/>
                <w:color w:val="auto"/>
              </w:rPr>
            </w:pP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(45.8)</w:t>
            </w:r>
          </w:p>
        </w:tc>
        <w:tc>
          <w:tcPr>
            <w:tcW w:w="0" w:type="dxa"/>
            <w:vAlign w:val="bottom"/>
          </w:tcPr>
          <w:p>
            <w:pPr>
              <w:spacing w:after="0"/>
              <w:rPr>
                <w:sz w:val="1"/>
                <w:szCs w:val="1"/>
                <w:color w:val="auto"/>
              </w:rPr>
            </w:pPr>
          </w:p>
        </w:tc>
      </w:tr>
      <w:tr>
        <w:trPr>
          <w:trHeight w:val="221"/>
        </w:trPr>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0.2</w:t>
            </w:r>
          </w:p>
        </w:tc>
        <w:tc>
          <w:tcPr>
            <w:tcW w:w="4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(58.9)</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(9.4)</w:t>
            </w:r>
          </w:p>
        </w:tc>
        <w:tc>
          <w:tcPr>
            <w:tcW w:w="10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(113.9)</w:t>
            </w:r>
          </w:p>
        </w:tc>
        <w:tc>
          <w:tcPr>
            <w:tcW w:w="10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2573BA"/>
                <w:w w:val="76"/>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(182.0)</w:t>
            </w:r>
          </w:p>
        </w:tc>
        <w:tc>
          <w:tcPr>
            <w:tcW w:w="0" w:type="dxa"/>
            <w:vAlign w:val="bottom"/>
          </w:tcPr>
          <w:p>
            <w:pPr>
              <w:spacing w:after="0"/>
              <w:rPr>
                <w:sz w:val="1"/>
                <w:szCs w:val="1"/>
                <w:color w:val="auto"/>
              </w:rPr>
            </w:pPr>
          </w:p>
        </w:tc>
      </w:tr>
      <w:tr>
        <w:trPr>
          <w:trHeight w:val="20"/>
        </w:trPr>
        <w:tc>
          <w:tcPr>
            <w:tcW w:w="1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7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December 31,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0" w:type="dxa"/>
            <w:vAlign w:val="bottom"/>
          </w:tcPr>
          <w:p>
            <w:pPr>
              <w:spacing w:after="0"/>
              <w:rPr>
                <w:sz w:val="12"/>
                <w:szCs w:val="12"/>
                <w:color w:val="auto"/>
              </w:rPr>
            </w:pPr>
          </w:p>
        </w:tc>
        <w:tc>
          <w:tcPr>
            <w:tcW w:w="1940" w:type="dxa"/>
            <w:vAlign w:val="bottom"/>
            <w:tcBorders>
              <w:top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rPr>
              <w:t>Unrealized Gains (Losses)</w:t>
            </w:r>
          </w:p>
        </w:tc>
        <w:tc>
          <w:tcPr>
            <w:tcW w:w="10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Unrealized Gains (Losses)</w:t>
            </w:r>
          </w:p>
        </w:tc>
        <w:tc>
          <w:tcPr>
            <w:tcW w:w="1940" w:type="dxa"/>
            <w:vAlign w:val="bottom"/>
            <w:tcBorders>
              <w:top w:val="single" w:sz="8" w:color="auto"/>
            </w:tcBorders>
            <w:gridSpan w:val="4"/>
            <w:vMerge w:val="restart"/>
          </w:tcPr>
          <w:p>
            <w:pPr>
              <w:jc w:val="center"/>
              <w:spacing w:after="0"/>
              <w:rPr>
                <w:sz w:val="20"/>
                <w:szCs w:val="20"/>
                <w:color w:val="auto"/>
              </w:rPr>
            </w:pPr>
            <w:r>
              <w:rPr>
                <w:rFonts w:ascii="Arial" w:cs="Arial" w:eastAsia="Arial" w:hAnsi="Arial"/>
                <w:sz w:val="14"/>
                <w:szCs w:val="14"/>
                <w:b w:val="1"/>
                <w:bCs w:val="1"/>
                <w:color w:val="auto"/>
              </w:rPr>
              <w:t>Currency Translation</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4"/>
          </w:tcPr>
          <w:p>
            <w:pPr>
              <w:jc w:val="center"/>
              <w:ind w:right="100"/>
              <w:spacing w:after="0" w:line="145" w:lineRule="exact"/>
              <w:rPr>
                <w:sz w:val="20"/>
                <w:szCs w:val="20"/>
                <w:color w:val="auto"/>
              </w:rPr>
            </w:pPr>
            <w:r>
              <w:rPr>
                <w:rFonts w:ascii="Arial" w:cs="Arial" w:eastAsia="Arial" w:hAnsi="Arial"/>
                <w:sz w:val="14"/>
                <w:szCs w:val="14"/>
                <w:b w:val="1"/>
                <w:bCs w:val="1"/>
                <w:color w:val="auto"/>
              </w:rPr>
              <w:t>on Pension Benefit</w:t>
            </w:r>
          </w:p>
        </w:tc>
        <w:tc>
          <w:tcPr>
            <w:tcW w:w="19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48"/>
              <w:spacing w:after="0" w:line="149" w:lineRule="exact"/>
              <w:rPr>
                <w:sz w:val="20"/>
                <w:szCs w:val="20"/>
                <w:color w:val="auto"/>
              </w:rPr>
            </w:pPr>
            <w:r>
              <w:rPr>
                <w:rFonts w:ascii="Arial" w:cs="Arial" w:eastAsia="Arial" w:hAnsi="Arial"/>
                <w:sz w:val="14"/>
                <w:szCs w:val="14"/>
                <w:b w:val="1"/>
                <w:bCs w:val="1"/>
                <w:color w:val="auto"/>
              </w:rPr>
              <w:t>on Cash Flow Hedges,</w:t>
            </w:r>
          </w:p>
        </w:tc>
        <w:tc>
          <w:tcPr>
            <w:tcW w:w="100" w:type="dxa"/>
            <w:vAlign w:val="bottom"/>
          </w:tcPr>
          <w:p>
            <w:pPr>
              <w:spacing w:after="0"/>
              <w:rPr>
                <w:sz w:val="12"/>
                <w:szCs w:val="12"/>
                <w:color w:val="auto"/>
              </w:rPr>
            </w:pPr>
          </w:p>
        </w:tc>
        <w:tc>
          <w:tcPr>
            <w:tcW w:w="20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rPr>
              <w:t>Obligation,</w:t>
            </w:r>
          </w:p>
        </w:tc>
        <w:tc>
          <w:tcPr>
            <w:tcW w:w="1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54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(25.0)</w:t>
            </w: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(126.1)</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left="708"/>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318"/>
        </w:trPr>
        <w:tc>
          <w:tcPr>
            <w:tcW w:w="4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color w:val="auto"/>
              </w:rPr>
              <w:t>76.6</w:t>
            </w:r>
          </w:p>
        </w:tc>
        <w:tc>
          <w:tcPr>
            <w:tcW w:w="100" w:type="dxa"/>
            <w:vAlign w:val="bottom"/>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6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51.6</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left="708"/>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0"/>
        </w:trPr>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88"/>
              <w:spacing w:after="0" w:line="143"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Pr>
          <w:p>
            <w:pPr>
              <w:spacing w:after="0"/>
              <w:rPr>
                <w:sz w:val="12"/>
                <w:szCs w:val="12"/>
                <w:color w:val="auto"/>
              </w:rPr>
            </w:pPr>
          </w:p>
        </w:tc>
        <w:tc>
          <w:tcPr>
            <w:tcW w:w="16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Gains</w:t>
            </w:r>
          </w:p>
        </w:tc>
        <w:tc>
          <w:tcPr>
            <w:tcW w:w="15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Unrealized Gains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(Losses) on</w:t>
            </w:r>
          </w:p>
        </w:tc>
        <w:tc>
          <w:tcPr>
            <w:tcW w:w="100" w:type="dxa"/>
            <w:vAlign w:val="bottom"/>
          </w:tcPr>
          <w:p>
            <w:pPr>
              <w:spacing w:after="0"/>
              <w:rPr>
                <w:sz w:val="11"/>
                <w:szCs w:val="11"/>
                <w:color w:val="auto"/>
              </w:rPr>
            </w:pPr>
          </w:p>
        </w:tc>
        <w:tc>
          <w:tcPr>
            <w:tcW w:w="1600" w:type="dxa"/>
            <w:vAlign w:val="bottom"/>
            <w:gridSpan w:val="4"/>
            <w:vMerge w:val="continue"/>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Currency Translation</w:t>
            </w: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Securities Available</w:t>
            </w:r>
          </w:p>
        </w:tc>
        <w:tc>
          <w:tcPr>
            <w:tcW w:w="100" w:type="dxa"/>
            <w:vAlign w:val="bottom"/>
          </w:tcPr>
          <w:p>
            <w:pPr>
              <w:spacing w:after="0"/>
              <w:rPr>
                <w:sz w:val="12"/>
                <w:szCs w:val="12"/>
                <w:color w:val="auto"/>
              </w:rPr>
            </w:pPr>
          </w:p>
        </w:tc>
        <w:tc>
          <w:tcPr>
            <w:tcW w:w="16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rPr>
              <w:t>(Losses) on Cash</w:t>
            </w: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(Losses) on Pension</w:t>
            </w:r>
          </w:p>
        </w:tc>
        <w:tc>
          <w:tcPr>
            <w:tcW w:w="80" w:type="dxa"/>
            <w:vAlign w:val="bottom"/>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for Sale,</w:t>
            </w:r>
          </w:p>
        </w:tc>
        <w:tc>
          <w:tcPr>
            <w:tcW w:w="100" w:type="dxa"/>
            <w:vAlign w:val="bottom"/>
          </w:tcPr>
          <w:p>
            <w:pPr>
              <w:spacing w:after="0"/>
              <w:rPr>
                <w:sz w:val="12"/>
                <w:szCs w:val="12"/>
                <w:color w:val="auto"/>
              </w:rPr>
            </w:pPr>
          </w:p>
        </w:tc>
        <w:tc>
          <w:tcPr>
            <w:tcW w:w="16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Flow Hedges,</w:t>
            </w: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Benefit Obligation,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Pr>
          <w:p>
            <w:pPr>
              <w:spacing w:after="0"/>
              <w:rPr>
                <w:sz w:val="16"/>
                <w:szCs w:val="16"/>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Net of Tax</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Net of Tax</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(15.7)</w:t>
            </w: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6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(163.2)</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center"/>
              <w:ind w:left="64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center"/>
              <w:ind w:left="748"/>
              <w:spacing w:after="0"/>
              <w:rPr>
                <w:sz w:val="20"/>
                <w:szCs w:val="20"/>
                <w:color w:val="auto"/>
              </w:rPr>
            </w:pPr>
            <w:r>
              <w:rPr>
                <w:rFonts w:ascii="Arial" w:cs="Arial" w:eastAsia="Arial" w:hAnsi="Arial"/>
                <w:sz w:val="14"/>
                <w:szCs w:val="14"/>
                <w:color w:val="auto"/>
              </w:rPr>
              <w:t>11.1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gridSpan w:val="2"/>
          </w:tcPr>
          <w:p>
            <w:pPr>
              <w:jc w:val="center"/>
              <w:ind w:left="6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Arial" w:cs="Arial" w:eastAsia="Arial" w:hAnsi="Arial"/>
                <w:sz w:val="14"/>
                <w:szCs w:val="14"/>
                <w:color w:val="auto"/>
              </w:rPr>
              <w:t>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center"/>
              <w:ind w:left="748"/>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center"/>
              <w:ind w:left="6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940" w:space="300"/>
            <w:col w:w="8000"/>
          </w:cols>
          <w:pgMar w:left="320" w:top="238" w:right="33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58" w:name="page159"/>
    <w:bookmarkEnd w:id="15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reclassified from AOCI:</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Amounts Reclassified from AOCI</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195"/>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tcPr>
          <w:p>
            <w:pPr>
              <w:spacing w:after="0"/>
              <w:rPr>
                <w:sz w:val="16"/>
                <w:szCs w:val="16"/>
                <w:color w:val="auto"/>
              </w:rPr>
            </w:pPr>
          </w:p>
        </w:tc>
      </w:tr>
      <w:tr>
        <w:trPr>
          <w:trHeight w:val="197"/>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28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Gains (losses) on securities available for sale</w:t>
            </w:r>
          </w:p>
        </w:tc>
        <w:tc>
          <w:tcPr>
            <w:tcW w:w="2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w w:val="76"/>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r>
      <w:tr>
        <w:trPr>
          <w:trHeight w:val="257"/>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Gains (losses) on cash flow hedges</w:t>
            </w:r>
          </w:p>
        </w:tc>
        <w:tc>
          <w:tcPr>
            <w:tcW w:w="280" w:type="dxa"/>
            <w:vAlign w:val="bottom"/>
            <w:shd w:val="clear" w:color="auto" w:fill="DBDBDB"/>
          </w:tcPr>
          <w:p>
            <w:pPr>
              <w:spacing w:after="0"/>
              <w:rPr>
                <w:sz w:val="22"/>
                <w:szCs w:val="22"/>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Revenue</w:t>
            </w: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Operating expense</w:t>
            </w:r>
          </w:p>
        </w:tc>
      </w:tr>
      <w:tr>
        <w:trPr>
          <w:trHeight w:val="203"/>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207"/>
        </w:trPr>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r>
      <w:tr>
        <w:trPr>
          <w:trHeight w:val="220"/>
        </w:trPr>
        <w:tc>
          <w:tcPr>
            <w:tcW w:w="4000" w:type="dxa"/>
            <w:vAlign w:val="bottom"/>
            <w:gridSpan w:val="2"/>
          </w:tcPr>
          <w:p>
            <w:pPr>
              <w:ind w:left="140"/>
              <w:spacing w:after="0"/>
              <w:rPr>
                <w:sz w:val="20"/>
                <w:szCs w:val="20"/>
                <w:color w:val="auto"/>
              </w:rPr>
            </w:pPr>
            <w:r>
              <w:rPr>
                <w:rFonts w:ascii="Arial" w:cs="Arial" w:eastAsia="Arial" w:hAnsi="Arial"/>
                <w:sz w:val="14"/>
                <w:szCs w:val="14"/>
                <w:color w:val="auto"/>
              </w:rPr>
              <w:t>Total reclassifications, net of tax</w:t>
            </w:r>
          </w:p>
        </w:tc>
        <w:tc>
          <w:tcPr>
            <w:tcW w:w="28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w w:val="76"/>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9"/>
                <w:szCs w:val="19"/>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15:</w:t>
            </w:r>
          </w:p>
        </w:tc>
        <w:tc>
          <w:tcPr>
            <w:tcW w:w="468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Earnings per Share</w:t>
            </w:r>
          </w:p>
        </w:tc>
        <w:tc>
          <w:tcPr>
            <w:tcW w:w="400" w:type="dxa"/>
            <w:vAlign w:val="bottom"/>
            <w:tcBorders>
              <w:bottom w:val="single" w:sz="8" w:color="0070C0"/>
            </w:tcBorders>
          </w:tcPr>
          <w:p>
            <w:pPr>
              <w:spacing w:after="0"/>
              <w:rPr>
                <w:sz w:val="24"/>
                <w:szCs w:val="24"/>
                <w:color w:val="auto"/>
              </w:rPr>
            </w:pPr>
          </w:p>
        </w:tc>
        <w:tc>
          <w:tcPr>
            <w:tcW w:w="1280" w:type="dxa"/>
            <w:vAlign w:val="bottom"/>
            <w:tcBorders>
              <w:bottom w:val="single" w:sz="8" w:color="0070C0"/>
            </w:tcBorders>
          </w:tcPr>
          <w:p>
            <w:pPr>
              <w:spacing w:after="0"/>
              <w:rPr>
                <w:sz w:val="24"/>
                <w:szCs w:val="24"/>
                <w:color w:val="auto"/>
              </w:rPr>
            </w:pPr>
          </w:p>
        </w:tc>
        <w:tc>
          <w:tcPr>
            <w:tcW w:w="120" w:type="dxa"/>
            <w:vAlign w:val="bottom"/>
            <w:tcBorders>
              <w:bottom w:val="single" w:sz="8" w:color="0070C0"/>
            </w:tcBorders>
          </w:tcPr>
          <w:p>
            <w:pPr>
              <w:spacing w:after="0"/>
              <w:rPr>
                <w:sz w:val="24"/>
                <w:szCs w:val="24"/>
                <w:color w:val="auto"/>
              </w:rPr>
            </w:pPr>
          </w:p>
        </w:tc>
        <w:tc>
          <w:tcPr>
            <w:tcW w:w="640" w:type="dxa"/>
            <w:vAlign w:val="bottom"/>
            <w:tcBorders>
              <w:bottom w:val="single" w:sz="8" w:color="0070C0"/>
            </w:tcBorders>
          </w:tcPr>
          <w:p>
            <w:pPr>
              <w:spacing w:after="0"/>
              <w:rPr>
                <w:sz w:val="24"/>
                <w:szCs w:val="24"/>
                <w:color w:val="auto"/>
              </w:rPr>
            </w:pPr>
          </w:p>
        </w:tc>
        <w:tc>
          <w:tcPr>
            <w:tcW w:w="1000" w:type="dxa"/>
            <w:vAlign w:val="bottom"/>
            <w:tcBorders>
              <w:bottom w:val="single" w:sz="8" w:color="0070C0"/>
            </w:tcBorders>
          </w:tcPr>
          <w:p>
            <w:pPr>
              <w:spacing w:after="0"/>
              <w:rPr>
                <w:sz w:val="24"/>
                <w:szCs w:val="24"/>
                <w:color w:val="auto"/>
              </w:rPr>
            </w:pPr>
          </w:p>
        </w:tc>
        <w:tc>
          <w:tcPr>
            <w:tcW w:w="120" w:type="dxa"/>
            <w:vAlign w:val="bottom"/>
            <w:tcBorders>
              <w:bottom w:val="single" w:sz="8" w:color="0070C0"/>
            </w:tcBorders>
          </w:tcPr>
          <w:p>
            <w:pPr>
              <w:spacing w:after="0"/>
              <w:rPr>
                <w:sz w:val="24"/>
                <w:szCs w:val="24"/>
                <w:color w:val="auto"/>
              </w:rPr>
            </w:pPr>
          </w:p>
        </w:tc>
        <w:tc>
          <w:tcPr>
            <w:tcW w:w="660" w:type="dxa"/>
            <w:vAlign w:val="bottom"/>
            <w:tcBorders>
              <w:bottom w:val="single" w:sz="8" w:color="0070C0"/>
            </w:tcBorders>
          </w:tcPr>
          <w:p>
            <w:pPr>
              <w:spacing w:after="0"/>
              <w:rPr>
                <w:sz w:val="24"/>
                <w:szCs w:val="24"/>
                <w:color w:val="auto"/>
              </w:rPr>
            </w:pPr>
          </w:p>
        </w:tc>
        <w:tc>
          <w:tcPr>
            <w:tcW w:w="1020" w:type="dxa"/>
            <w:vAlign w:val="bottom"/>
            <w:tcBorders>
              <w:bottom w:val="single" w:sz="8" w:color="0070C0"/>
            </w:tcBorders>
          </w:tcPr>
          <w:p>
            <w:pPr>
              <w:spacing w:after="0"/>
              <w:rPr>
                <w:sz w:val="24"/>
                <w:szCs w:val="24"/>
                <w:color w:val="auto"/>
              </w:rPr>
            </w:pPr>
          </w:p>
        </w:tc>
      </w:tr>
      <w:tr>
        <w:trPr>
          <w:trHeight w:val="389"/>
        </w:trPr>
        <w:tc>
          <w:tcPr>
            <w:tcW w:w="8440" w:type="dxa"/>
            <w:vAlign w:val="bottom"/>
            <w:gridSpan w:val="7"/>
          </w:tcPr>
          <w:p>
            <w:pPr>
              <w:spacing w:after="0"/>
              <w:rPr>
                <w:sz w:val="20"/>
                <w:szCs w:val="20"/>
                <w:color w:val="auto"/>
              </w:rPr>
            </w:pPr>
            <w:r>
              <w:rPr>
                <w:rFonts w:ascii="Arial" w:cs="Arial" w:eastAsia="Arial" w:hAnsi="Arial"/>
                <w:sz w:val="18"/>
                <w:szCs w:val="18"/>
                <w:color w:val="auto"/>
              </w:rPr>
              <w:t>Basic and diluted shares outstanding used in our earnings per share calculation are calculated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3"/>
        </w:trPr>
        <w:tc>
          <w:tcPr>
            <w:tcW w:w="13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6"/>
          </w:tcPr>
          <w:p>
            <w:pPr>
              <w:jc w:val="right"/>
              <w:ind w:right="348"/>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9"/>
                <w:szCs w:val="19"/>
                <w:color w:val="auto"/>
              </w:rPr>
            </w:pPr>
          </w:p>
        </w:tc>
      </w:tr>
      <w:tr>
        <w:trPr>
          <w:trHeight w:val="197"/>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28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2025</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r>
      <w:tr>
        <w:trPr>
          <w:trHeight w:val="193"/>
        </w:trPr>
        <w:tc>
          <w:tcPr>
            <w:tcW w:w="1320" w:type="dxa"/>
            <w:vAlign w:val="bottom"/>
          </w:tcPr>
          <w:p>
            <w:pPr>
              <w:ind w:left="20"/>
              <w:spacing w:after="0"/>
              <w:rPr>
                <w:sz w:val="20"/>
                <w:szCs w:val="20"/>
                <w:color w:val="auto"/>
              </w:rPr>
            </w:pPr>
            <w:r>
              <w:rPr>
                <w:rFonts w:ascii="Arial" w:cs="Arial" w:eastAsia="Arial" w:hAnsi="Arial"/>
                <w:sz w:val="14"/>
                <w:szCs w:val="14"/>
                <w:i w:val="1"/>
                <w:iCs w:val="1"/>
                <w:color w:val="auto"/>
              </w:rPr>
              <w:t>Numerator:</w:t>
            </w: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7"/>
        </w:trPr>
        <w:tc>
          <w:tcPr>
            <w:tcW w:w="6000" w:type="dxa"/>
            <w:vAlign w:val="bottom"/>
            <w:gridSpan w:val="3"/>
          </w:tcPr>
          <w:p>
            <w:pPr>
              <w:ind w:left="140"/>
              <w:spacing w:after="0"/>
              <w:rPr>
                <w:sz w:val="20"/>
                <w:szCs w:val="20"/>
                <w:color w:val="auto"/>
              </w:rPr>
            </w:pPr>
            <w:r>
              <w:rPr>
                <w:rFonts w:ascii="Arial" w:cs="Arial" w:eastAsia="Arial" w:hAnsi="Arial"/>
                <w:sz w:val="14"/>
                <w:szCs w:val="14"/>
                <w:color w:val="auto"/>
              </w:rPr>
              <w:t>Net income attributable to Biogen Inc.</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1,292.9</w:t>
            </w:r>
          </w:p>
        </w:tc>
        <w:tc>
          <w:tcPr>
            <w:tcW w:w="7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1,632.2</w:t>
            </w:r>
          </w:p>
        </w:tc>
        <w:tc>
          <w:tcPr>
            <w:tcW w:w="120" w:type="dxa"/>
            <w:vAlign w:val="bottom"/>
          </w:tcPr>
          <w:p>
            <w:pPr>
              <w:spacing w:after="0"/>
              <w:rPr>
                <w:sz w:val="21"/>
                <w:szCs w:val="21"/>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1,161.1</w:t>
            </w:r>
          </w:p>
        </w:tc>
      </w:tr>
      <w:tr>
        <w:trPr>
          <w:trHeight w:val="161"/>
        </w:trPr>
        <w:tc>
          <w:tcPr>
            <w:tcW w:w="1320" w:type="dxa"/>
            <w:vAlign w:val="bottom"/>
          </w:tcPr>
          <w:p>
            <w:pPr>
              <w:ind w:left="20"/>
              <w:spacing w:after="0"/>
              <w:rPr>
                <w:sz w:val="20"/>
                <w:szCs w:val="20"/>
                <w:color w:val="auto"/>
              </w:rPr>
            </w:pPr>
            <w:r>
              <w:rPr>
                <w:rFonts w:ascii="Arial" w:cs="Arial" w:eastAsia="Arial" w:hAnsi="Arial"/>
                <w:sz w:val="14"/>
                <w:szCs w:val="14"/>
                <w:i w:val="1"/>
                <w:iCs w:val="1"/>
                <w:color w:val="auto"/>
              </w:rPr>
              <w:t>Denominator:</w:t>
            </w: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shd w:val="clear" w:color="auto" w:fill="DBDBDB"/>
          </w:tcPr>
          <w:p>
            <w:pPr>
              <w:spacing w:after="0"/>
              <w:rPr>
                <w:sz w:val="14"/>
                <w:szCs w:val="14"/>
                <w:color w:val="auto"/>
              </w:rPr>
            </w:pPr>
          </w:p>
        </w:tc>
        <w:tc>
          <w:tcPr>
            <w:tcW w:w="1280" w:type="dxa"/>
            <w:vAlign w:val="bottom"/>
            <w:tcBorders>
              <w:top w:val="single" w:sz="8" w:color="auto"/>
            </w:tcBorders>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03"/>
        </w:trPr>
        <w:tc>
          <w:tcPr>
            <w:tcW w:w="6000" w:type="dxa"/>
            <w:vAlign w:val="bottom"/>
            <w:gridSpan w:val="3"/>
          </w:tcPr>
          <w:p>
            <w:pPr>
              <w:ind w:left="140"/>
              <w:spacing w:after="0"/>
              <w:rPr>
                <w:sz w:val="20"/>
                <w:szCs w:val="20"/>
                <w:color w:val="auto"/>
              </w:rPr>
            </w:pPr>
            <w:r>
              <w:rPr>
                <w:rFonts w:ascii="Arial" w:cs="Arial" w:eastAsia="Arial" w:hAnsi="Arial"/>
                <w:sz w:val="14"/>
                <w:szCs w:val="14"/>
                <w:color w:val="auto"/>
              </w:rPr>
              <w:t>Weighted-average number of common shares outstanding</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146.5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144.7</w:t>
            </w:r>
          </w:p>
        </w:tc>
      </w:tr>
      <w:tr>
        <w:trPr>
          <w:trHeight w:val="203"/>
        </w:trPr>
        <w:tc>
          <w:tcPr>
            <w:tcW w:w="6000" w:type="dxa"/>
            <w:vAlign w:val="bottom"/>
            <w:gridSpan w:val="3"/>
          </w:tcPr>
          <w:p>
            <w:pPr>
              <w:ind w:left="20"/>
              <w:spacing w:after="0"/>
              <w:rPr>
                <w:sz w:val="20"/>
                <w:szCs w:val="20"/>
                <w:color w:val="auto"/>
              </w:rPr>
            </w:pPr>
            <w:r>
              <w:rPr>
                <w:rFonts w:ascii="Arial" w:cs="Arial" w:eastAsia="Arial" w:hAnsi="Arial"/>
                <w:sz w:val="14"/>
                <w:szCs w:val="14"/>
                <w:color w:val="auto"/>
              </w:rPr>
              <w:t>Effect of dilutive securities:</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6000" w:type="dxa"/>
            <w:vAlign w:val="bottom"/>
            <w:gridSpan w:val="3"/>
          </w:tcPr>
          <w:p>
            <w:pPr>
              <w:ind w:left="140"/>
              <w:spacing w:after="0"/>
              <w:rPr>
                <w:sz w:val="20"/>
                <w:szCs w:val="20"/>
                <w:color w:val="auto"/>
              </w:rPr>
            </w:pPr>
            <w:r>
              <w:rPr>
                <w:rFonts w:ascii="Arial" w:cs="Arial" w:eastAsia="Arial" w:hAnsi="Arial"/>
                <w:sz w:val="14"/>
                <w:szCs w:val="14"/>
                <w:color w:val="auto"/>
              </w:rPr>
              <w:t>Time-vested restricted stock units</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04"/>
        </w:trPr>
        <w:tc>
          <w:tcPr>
            <w:tcW w:w="6000" w:type="dxa"/>
            <w:vAlign w:val="bottom"/>
            <w:gridSpan w:val="3"/>
          </w:tcPr>
          <w:p>
            <w:pPr>
              <w:ind w:left="140"/>
              <w:spacing w:after="0"/>
              <w:rPr>
                <w:sz w:val="20"/>
                <w:szCs w:val="20"/>
                <w:color w:val="auto"/>
              </w:rPr>
            </w:pPr>
            <w:r>
              <w:rPr>
                <w:rFonts w:ascii="Arial" w:cs="Arial" w:eastAsia="Arial" w:hAnsi="Arial"/>
                <w:sz w:val="14"/>
                <w:szCs w:val="14"/>
                <w:color w:val="auto"/>
              </w:rPr>
              <w:t>Performance stock units settled in stock</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98"/>
        </w:trPr>
        <w:tc>
          <w:tcPr>
            <w:tcW w:w="6000" w:type="dxa"/>
            <w:vAlign w:val="bottom"/>
            <w:gridSpan w:val="3"/>
          </w:tcPr>
          <w:p>
            <w:pPr>
              <w:ind w:left="20"/>
              <w:spacing w:after="0"/>
              <w:rPr>
                <w:sz w:val="20"/>
                <w:szCs w:val="20"/>
                <w:color w:val="auto"/>
              </w:rPr>
            </w:pPr>
            <w:r>
              <w:rPr>
                <w:rFonts w:ascii="Arial" w:cs="Arial" w:eastAsia="Arial" w:hAnsi="Arial"/>
                <w:sz w:val="14"/>
                <w:szCs w:val="14"/>
                <w:color w:val="auto"/>
              </w:rPr>
              <w:t>Dilutive potential common shares</w:t>
            </w:r>
          </w:p>
        </w:tc>
        <w:tc>
          <w:tcPr>
            <w:tcW w:w="400" w:type="dxa"/>
            <w:vAlign w:val="bottom"/>
            <w:tcBorders>
              <w:top w:val="single" w:sz="8" w:color="auto"/>
              <w:bottom w:val="single" w:sz="8" w:color="auto"/>
            </w:tcBorders>
            <w:shd w:val="clear" w:color="auto" w:fill="DBDBDB"/>
          </w:tcPr>
          <w:p>
            <w:pPr>
              <w:spacing w:after="0"/>
              <w:rPr>
                <w:sz w:val="17"/>
                <w:szCs w:val="17"/>
                <w:color w:val="auto"/>
              </w:rPr>
            </w:pP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0.6</w:t>
            </w:r>
          </w:p>
        </w:tc>
        <w:tc>
          <w:tcPr>
            <w:tcW w:w="120" w:type="dxa"/>
            <w:vAlign w:val="bottom"/>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220"/>
        </w:trPr>
        <w:tc>
          <w:tcPr>
            <w:tcW w:w="6000" w:type="dxa"/>
            <w:vAlign w:val="bottom"/>
            <w:gridSpan w:val="3"/>
          </w:tcPr>
          <w:p>
            <w:pPr>
              <w:jc w:val="right"/>
              <w:ind w:right="2260"/>
              <w:spacing w:after="0"/>
              <w:rPr>
                <w:sz w:val="20"/>
                <w:szCs w:val="20"/>
                <w:color w:val="auto"/>
              </w:rPr>
            </w:pPr>
            <w:r>
              <w:rPr>
                <w:rFonts w:ascii="Arial" w:cs="Arial" w:eastAsia="Arial" w:hAnsi="Arial"/>
                <w:sz w:val="14"/>
                <w:szCs w:val="14"/>
                <w:color w:val="auto"/>
              </w:rPr>
              <w:t>Shares used in calculating diluted earnings per share</w:t>
            </w:r>
          </w:p>
        </w:tc>
        <w:tc>
          <w:tcPr>
            <w:tcW w:w="4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147.1</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145.9</w:t>
            </w: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145.6</w:t>
            </w:r>
          </w:p>
        </w:tc>
      </w:tr>
      <w:tr>
        <w:trPr>
          <w:trHeight w:val="20"/>
        </w:trPr>
        <w:tc>
          <w:tcPr>
            <w:tcW w:w="5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6"/>
        </w:trPr>
        <w:tc>
          <w:tcPr>
            <w:tcW w:w="10220" w:type="dxa"/>
            <w:vAlign w:val="bottom"/>
            <w:gridSpan w:val="10"/>
          </w:tcPr>
          <w:p>
            <w:pPr>
              <w:spacing w:after="0"/>
              <w:rPr>
                <w:sz w:val="20"/>
                <w:szCs w:val="20"/>
                <w:color w:val="auto"/>
              </w:rPr>
            </w:pPr>
            <w:r>
              <w:rPr>
                <w:rFonts w:ascii="Arial" w:cs="Arial" w:eastAsia="Arial" w:hAnsi="Arial"/>
                <w:sz w:val="18"/>
                <w:szCs w:val="18"/>
                <w:color w:val="auto"/>
                <w:w w:val="99"/>
              </w:rPr>
              <w:t>Amounts excluded from the calculation of net income per diluted share because their effects were anti-dilutive were insignificant.</w:t>
            </w:r>
          </w:p>
        </w:tc>
        <w:tc>
          <w:tcPr>
            <w:tcW w:w="1020" w:type="dxa"/>
            <w:vAlign w:val="bottom"/>
          </w:tcPr>
          <w:p>
            <w:pPr>
              <w:spacing w:after="0"/>
              <w:rPr>
                <w:sz w:val="24"/>
                <w:szCs w:val="24"/>
                <w:color w:val="auto"/>
              </w:rPr>
            </w:pPr>
          </w:p>
        </w:tc>
      </w:tr>
      <w:tr>
        <w:trPr>
          <w:trHeight w:val="185"/>
        </w:trPr>
        <w:tc>
          <w:tcPr>
            <w:tcW w:w="1320" w:type="dxa"/>
            <w:vAlign w:val="bottom"/>
          </w:tcPr>
          <w:p>
            <w:pPr>
              <w:spacing w:after="0"/>
              <w:rPr>
                <w:sz w:val="16"/>
                <w:szCs w:val="16"/>
                <w:color w:val="auto"/>
              </w:rPr>
            </w:pPr>
          </w:p>
        </w:tc>
        <w:tc>
          <w:tcPr>
            <w:tcW w:w="468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16:</w:t>
            </w:r>
          </w:p>
        </w:tc>
        <w:tc>
          <w:tcPr>
            <w:tcW w:w="4680" w:type="dxa"/>
            <w:vAlign w:val="bottom"/>
            <w:tcBorders>
              <w:bottom w:val="single" w:sz="8" w:color="0070C0"/>
            </w:tcBorders>
            <w:gridSpan w:val="2"/>
          </w:tcPr>
          <w:p>
            <w:pPr>
              <w:jc w:val="right"/>
              <w:ind w:right="2260"/>
              <w:spacing w:after="0"/>
              <w:rPr>
                <w:sz w:val="20"/>
                <w:szCs w:val="20"/>
                <w:color w:val="auto"/>
              </w:rPr>
            </w:pPr>
            <w:r>
              <w:rPr>
                <w:rFonts w:ascii="Arial" w:cs="Arial" w:eastAsia="Arial" w:hAnsi="Arial"/>
                <w:sz w:val="22"/>
                <w:szCs w:val="22"/>
                <w:b w:val="1"/>
                <w:bCs w:val="1"/>
                <w:color w:val="0070C0"/>
                <w:w w:val="98"/>
              </w:rPr>
              <w:t>Share-Based Payments</w:t>
            </w:r>
          </w:p>
        </w:tc>
        <w:tc>
          <w:tcPr>
            <w:tcW w:w="400" w:type="dxa"/>
            <w:vAlign w:val="bottom"/>
            <w:tcBorders>
              <w:bottom w:val="single" w:sz="8" w:color="0070C0"/>
            </w:tcBorders>
          </w:tcPr>
          <w:p>
            <w:pPr>
              <w:spacing w:after="0"/>
              <w:rPr>
                <w:sz w:val="24"/>
                <w:szCs w:val="24"/>
                <w:color w:val="auto"/>
              </w:rPr>
            </w:pPr>
          </w:p>
        </w:tc>
        <w:tc>
          <w:tcPr>
            <w:tcW w:w="1280" w:type="dxa"/>
            <w:vAlign w:val="bottom"/>
            <w:tcBorders>
              <w:bottom w:val="single" w:sz="8" w:color="0070C0"/>
            </w:tcBorders>
          </w:tcPr>
          <w:p>
            <w:pPr>
              <w:spacing w:after="0"/>
              <w:rPr>
                <w:sz w:val="24"/>
                <w:szCs w:val="24"/>
                <w:color w:val="auto"/>
              </w:rPr>
            </w:pPr>
          </w:p>
        </w:tc>
        <w:tc>
          <w:tcPr>
            <w:tcW w:w="120" w:type="dxa"/>
            <w:vAlign w:val="bottom"/>
            <w:tcBorders>
              <w:bottom w:val="single" w:sz="8" w:color="0070C0"/>
            </w:tcBorders>
          </w:tcPr>
          <w:p>
            <w:pPr>
              <w:spacing w:after="0"/>
              <w:rPr>
                <w:sz w:val="24"/>
                <w:szCs w:val="24"/>
                <w:color w:val="auto"/>
              </w:rPr>
            </w:pPr>
          </w:p>
        </w:tc>
        <w:tc>
          <w:tcPr>
            <w:tcW w:w="640" w:type="dxa"/>
            <w:vAlign w:val="bottom"/>
            <w:tcBorders>
              <w:bottom w:val="single" w:sz="8" w:color="0070C0"/>
            </w:tcBorders>
          </w:tcPr>
          <w:p>
            <w:pPr>
              <w:spacing w:after="0"/>
              <w:rPr>
                <w:sz w:val="24"/>
                <w:szCs w:val="24"/>
                <w:color w:val="auto"/>
              </w:rPr>
            </w:pPr>
          </w:p>
        </w:tc>
        <w:tc>
          <w:tcPr>
            <w:tcW w:w="1000" w:type="dxa"/>
            <w:vAlign w:val="bottom"/>
            <w:tcBorders>
              <w:bottom w:val="single" w:sz="8" w:color="0070C0"/>
            </w:tcBorders>
          </w:tcPr>
          <w:p>
            <w:pPr>
              <w:spacing w:after="0"/>
              <w:rPr>
                <w:sz w:val="24"/>
                <w:szCs w:val="24"/>
                <w:color w:val="auto"/>
              </w:rPr>
            </w:pPr>
          </w:p>
        </w:tc>
        <w:tc>
          <w:tcPr>
            <w:tcW w:w="120" w:type="dxa"/>
            <w:vAlign w:val="bottom"/>
            <w:tcBorders>
              <w:bottom w:val="single" w:sz="8" w:color="0070C0"/>
            </w:tcBorders>
          </w:tcPr>
          <w:p>
            <w:pPr>
              <w:spacing w:after="0"/>
              <w:rPr>
                <w:sz w:val="24"/>
                <w:szCs w:val="24"/>
                <w:color w:val="auto"/>
              </w:rPr>
            </w:pPr>
          </w:p>
        </w:tc>
        <w:tc>
          <w:tcPr>
            <w:tcW w:w="660" w:type="dxa"/>
            <w:vAlign w:val="bottom"/>
            <w:tcBorders>
              <w:bottom w:val="single" w:sz="8" w:color="0070C0"/>
            </w:tcBorders>
          </w:tcPr>
          <w:p>
            <w:pPr>
              <w:spacing w:after="0"/>
              <w:rPr>
                <w:sz w:val="24"/>
                <w:szCs w:val="24"/>
                <w:color w:val="auto"/>
              </w:rPr>
            </w:pPr>
          </w:p>
        </w:tc>
        <w:tc>
          <w:tcPr>
            <w:tcW w:w="1020" w:type="dxa"/>
            <w:vAlign w:val="bottom"/>
            <w:tcBorders>
              <w:bottom w:val="single" w:sz="8" w:color="0070C0"/>
            </w:tcBorders>
          </w:tcPr>
          <w:p>
            <w:pPr>
              <w:spacing w:after="0"/>
              <w:rPr>
                <w:sz w:val="24"/>
                <w:szCs w:val="24"/>
                <w:color w:val="auto"/>
              </w:rPr>
            </w:pPr>
          </w:p>
        </w:tc>
      </w:tr>
      <w:tr>
        <w:trPr>
          <w:trHeight w:val="500"/>
        </w:trPr>
        <w:tc>
          <w:tcPr>
            <w:tcW w:w="6000" w:type="dxa"/>
            <w:vAlign w:val="bottom"/>
            <w:gridSpan w:val="3"/>
          </w:tcPr>
          <w:p>
            <w:pPr>
              <w:spacing w:after="0"/>
              <w:rPr>
                <w:sz w:val="20"/>
                <w:szCs w:val="20"/>
                <w:color w:val="auto"/>
              </w:rPr>
            </w:pPr>
            <w:r>
              <w:rPr>
                <w:rFonts w:ascii="Arial" w:cs="Arial" w:eastAsia="Arial" w:hAnsi="Arial"/>
                <w:sz w:val="20"/>
                <w:szCs w:val="20"/>
                <w:b w:val="1"/>
                <w:bCs w:val="1"/>
                <w:color w:val="0070C0"/>
              </w:rPr>
              <w:t>Share-Based Compensation Expense</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included in our consolidated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ind w:right="58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115.7</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296.7</w:t>
            </w:r>
          </w:p>
        </w:tc>
      </w:tr>
      <w:tr>
        <w:trPr>
          <w:trHeight w:val="204"/>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187.8</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198.6</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371.7</w:t>
            </w:r>
          </w:p>
        </w:tc>
      </w:tr>
      <w:tr>
        <w:trPr>
          <w:trHeight w:val="194"/>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303.5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352.7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668.4</w:t>
            </w:r>
          </w:p>
        </w:tc>
      </w:tr>
      <w:tr>
        <w:trPr>
          <w:trHeight w:val="204"/>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194"/>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291.1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658.2</w:t>
            </w:r>
          </w:p>
        </w:tc>
      </w:tr>
      <w:tr>
        <w:trPr>
          <w:trHeight w:val="207"/>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Income tax effect</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(57.0)</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w:t>
            </w:r>
          </w:p>
        </w:tc>
      </w:tr>
      <w:tr>
        <w:trPr>
          <w:trHeight w:val="220"/>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net income attributable to Biogen Inc.</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234.1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279.0</w:t>
            </w:r>
          </w:p>
        </w:tc>
        <w:tc>
          <w:tcPr>
            <w:tcW w:w="100" w:type="dxa"/>
            <w:vAlign w:val="bottom"/>
          </w:tcPr>
          <w:p>
            <w:pPr>
              <w:spacing w:after="0"/>
              <w:rPr>
                <w:sz w:val="19"/>
                <w:szCs w:val="19"/>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525.6</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our acquisition of HI-Bio in July 2024 we recognized HI-Bio equity-based compensation expense, inclusive of employer taxes, of approximately $56.4 million attributable to the post-acquisition service period, of which $42.5 million was recognized as a charge to research and development expense with the remaining $13.9 million as a charge to selling, general and administrative expense within our consolidated statements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income for the year ended December 31, 2024. These amounts were associated with the accelerated vesting of stock options and RSUs previously granted to HI-Bio employees and required no future services to vest.</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our acquisition of Reata in September 2023 we recognized Reata equity-based compensation expense, inclusive of employer taxes, of approximately $393.4 million attributable to the post-acquisition service period, of which $196.4 million was recognized as a charge to selling, general and administrative expense with the remaining $197.0 million as a charge to research and development expense within our consolidated statements of income for the year ended December 31, 2023. These amounts were associated with the accelerated vesting of stock options and RSUs previously granted to Reata employees that required no future services to vest.</w:t>
      </w:r>
    </w:p>
    <w:p>
      <w:pPr>
        <w:spacing w:after="0" w:line="71"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For additional information on our acquisitions of HI-Bio and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associated with each of our share-based compensation programs: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4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r>
      <w:tr>
        <w:trPr>
          <w:trHeight w:val="189"/>
        </w:trPr>
        <w:tc>
          <w:tcPr>
            <w:tcW w:w="20" w:type="dxa"/>
            <w:vAlign w:val="bottom"/>
          </w:tcPr>
          <w:p>
            <w:pPr>
              <w:spacing w:after="0"/>
              <w:rPr>
                <w:sz w:val="16"/>
                <w:szCs w:val="16"/>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Time-vested restricted stock units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249.3</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236.4</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220.0</w:t>
            </w:r>
          </w:p>
        </w:tc>
      </w:tr>
      <w:tr>
        <w:trPr>
          <w:trHeight w:val="203"/>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Performance stock units settled in stock</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35.5</w:t>
            </w:r>
          </w:p>
        </w:tc>
      </w:tr>
      <w:tr>
        <w:trPr>
          <w:trHeight w:val="203"/>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Performance stock units settled in cash</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203"/>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Employee stock purchase plan</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03"/>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Stock options</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03"/>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Market stock units</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12"/>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Reata equity awards</w:t>
            </w:r>
            <w:r>
              <w:rPr>
                <w:rFonts w:ascii="Arial" w:cs="Arial" w:eastAsia="Arial" w:hAnsi="Arial"/>
                <w:sz w:val="18"/>
                <w:szCs w:val="18"/>
                <w:color w:val="auto"/>
                <w:vertAlign w:val="superscript"/>
              </w:rPr>
              <w:t>(1)</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387.0</w:t>
            </w:r>
          </w:p>
        </w:tc>
      </w:tr>
      <w:tr>
        <w:trPr>
          <w:trHeight w:val="201"/>
        </w:trPr>
        <w:tc>
          <w:tcPr>
            <w:tcW w:w="20" w:type="dxa"/>
            <w:vAlign w:val="bottom"/>
          </w:tcPr>
          <w:p>
            <w:pPr>
              <w:spacing w:after="0"/>
              <w:rPr>
                <w:sz w:val="17"/>
                <w:szCs w:val="17"/>
                <w:color w:val="auto"/>
              </w:rPr>
            </w:pPr>
          </w:p>
        </w:tc>
        <w:tc>
          <w:tcPr>
            <w:tcW w:w="6140" w:type="dxa"/>
            <w:vAlign w:val="bottom"/>
            <w:gridSpan w:val="3"/>
          </w:tcPr>
          <w:p>
            <w:pPr>
              <w:spacing w:after="0" w:line="201" w:lineRule="exact"/>
              <w:rPr>
                <w:sz w:val="20"/>
                <w:szCs w:val="20"/>
                <w:color w:val="auto"/>
              </w:rPr>
            </w:pPr>
            <w:r>
              <w:rPr>
                <w:rFonts w:ascii="Arial" w:cs="Arial" w:eastAsia="Arial" w:hAnsi="Arial"/>
                <w:sz w:val="14"/>
                <w:szCs w:val="14"/>
                <w:color w:val="auto"/>
              </w:rPr>
              <w:t>HI-Bio equity awards</w:t>
            </w:r>
            <w:r>
              <w:rPr>
                <w:rFonts w:ascii="Arial" w:cs="Arial" w:eastAsia="Arial" w:hAnsi="Arial"/>
                <w:sz w:val="18"/>
                <w:szCs w:val="18"/>
                <w:color w:val="auto"/>
                <w:vertAlign w:val="superscript"/>
              </w:rPr>
              <w:t>(1)</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0" w:type="dxa"/>
            <w:vAlign w:val="bottom"/>
          </w:tcPr>
          <w:p>
            <w:pPr>
              <w:spacing w:after="0"/>
              <w:rPr>
                <w:sz w:val="16"/>
                <w:szCs w:val="16"/>
                <w:color w:val="auto"/>
              </w:rPr>
            </w:pPr>
          </w:p>
        </w:tc>
        <w:tc>
          <w:tcPr>
            <w:tcW w:w="6140" w:type="dxa"/>
            <w:vAlign w:val="bottom"/>
            <w:gridSpan w:val="3"/>
          </w:tcPr>
          <w:p>
            <w:pPr>
              <w:ind w:left="120"/>
              <w:spacing w:after="0"/>
              <w:rPr>
                <w:sz w:val="20"/>
                <w:szCs w:val="20"/>
                <w:color w:val="auto"/>
              </w:rPr>
            </w:pPr>
            <w:r>
              <w:rPr>
                <w:rFonts w:ascii="Arial" w:cs="Arial" w:eastAsia="Arial" w:hAnsi="Arial"/>
                <w:sz w:val="14"/>
                <w:szCs w:val="14"/>
                <w:color w:val="auto"/>
              </w:rPr>
              <w:t>Subtotal</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303.5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352.7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668.4</w:t>
            </w:r>
          </w:p>
        </w:tc>
      </w:tr>
      <w:tr>
        <w:trPr>
          <w:trHeight w:val="207"/>
        </w:trPr>
        <w:tc>
          <w:tcPr>
            <w:tcW w:w="20" w:type="dxa"/>
            <w:vAlign w:val="bottom"/>
          </w:tcPr>
          <w:p>
            <w:pPr>
              <w:spacing w:after="0"/>
              <w:rPr>
                <w:sz w:val="17"/>
                <w:szCs w:val="17"/>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Capitalized share-based compensation costs</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r>
        <w:trPr>
          <w:trHeight w:val="220"/>
        </w:trPr>
        <w:tc>
          <w:tcPr>
            <w:tcW w:w="20" w:type="dxa"/>
            <w:vAlign w:val="bottom"/>
          </w:tcPr>
          <w:p>
            <w:pPr>
              <w:spacing w:after="0"/>
              <w:rPr>
                <w:sz w:val="19"/>
                <w:szCs w:val="19"/>
                <w:color w:val="auto"/>
              </w:rPr>
            </w:pPr>
          </w:p>
        </w:tc>
        <w:tc>
          <w:tcPr>
            <w:tcW w:w="6140" w:type="dxa"/>
            <w:vAlign w:val="bottom"/>
            <w:gridSpan w:val="3"/>
          </w:tcPr>
          <w:p>
            <w:pPr>
              <w:ind w:left="12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291.1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342.4</w:t>
            </w:r>
          </w:p>
        </w:tc>
        <w:tc>
          <w:tcPr>
            <w:tcW w:w="100" w:type="dxa"/>
            <w:vAlign w:val="bottom"/>
          </w:tcPr>
          <w:p>
            <w:pPr>
              <w:spacing w:after="0"/>
              <w:rPr>
                <w:sz w:val="19"/>
                <w:szCs w:val="19"/>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658.2</w:t>
            </w: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4380" w:type="dxa"/>
            <w:vAlign w:val="bottom"/>
            <w:tcBorders>
              <w:bottom w:val="single" w:sz="8" w:color="auto"/>
            </w:tcBorders>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r>
    </w:tbl>
    <w:p>
      <w:pPr>
        <w:spacing w:after="0" w:line="99" w:lineRule="exact"/>
        <w:rPr>
          <w:sz w:val="20"/>
          <w:szCs w:val="20"/>
          <w:color w:val="auto"/>
        </w:rPr>
      </w:pPr>
    </w:p>
    <w:p>
      <w:pPr>
        <w:ind w:left="180" w:right="140" w:hanging="172"/>
        <w:spacing w:after="0" w:line="239" w:lineRule="auto"/>
        <w:tabs>
          <w:tab w:leader="none" w:pos="158" w:val="left"/>
        </w:tabs>
        <w:numPr>
          <w:ilvl w:val="0"/>
          <w:numId w:val="121"/>
        </w:numPr>
        <w:rPr>
          <w:rFonts w:ascii="Arial" w:cs="Arial" w:eastAsia="Arial" w:hAnsi="Arial"/>
          <w:sz w:val="18"/>
          <w:szCs w:val="18"/>
          <w:color w:val="auto"/>
          <w:vertAlign w:val="superscript"/>
        </w:rPr>
      </w:pPr>
      <w:r>
        <w:rPr>
          <w:rFonts w:ascii="Arial" w:cs="Arial" w:eastAsia="Arial" w:hAnsi="Arial"/>
          <w:sz w:val="14"/>
          <w:szCs w:val="14"/>
          <w:color w:val="auto"/>
        </w:rPr>
        <w:t xml:space="preserve">Relates to the Reata and HI-Bio equity-based compensation expense attributable to the post-acquisition service period, associated with the accelerated vesting of stock options and RSUs previously granted to Reata and HI-Bio employees that required no future services to vest. For additional information on our acquisitions of Reata and HI-Bio, please read </w:t>
      </w:r>
      <w:r>
        <w:rPr>
          <w:rFonts w:ascii="Arial" w:cs="Arial" w:eastAsia="Arial" w:hAnsi="Arial"/>
          <w:sz w:val="14"/>
          <w:szCs w:val="14"/>
          <w:i w:val="1"/>
          <w:iCs w:val="1"/>
          <w:color w:val="auto"/>
        </w:rPr>
        <w:t>Note 2, Acquisitions</w:t>
      </w:r>
      <w:r>
        <w:rPr>
          <w:rFonts w:ascii="Arial" w:cs="Arial" w:eastAsia="Arial" w:hAnsi="Arial"/>
          <w:sz w:val="14"/>
          <w:szCs w:val="14"/>
          <w:color w:val="auto"/>
        </w:rPr>
        <w:t>, to these consolidated financial statements.</w:t>
      </w:r>
    </w:p>
    <w:p>
      <w:pPr>
        <w:spacing w:after="0" w:line="139"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color w:val="auto"/>
        </w:rPr>
        <w:t>As of December 31, 2025, unrecognized compensation cost related to unvested share-based compensation was approximately $292.6 million, net of estimated forfeitures. We expect to recognize the cost of these unvested awards over a weighted-average period of 1.9 years.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Share-Based Compensation Plans</w:t>
      </w:r>
    </w:p>
    <w:p>
      <w:pPr>
        <w:spacing w:after="0" w:line="12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have two share-based compensation plans pursuant to which awards are currently being made: (i) the Biogen Inc. 2024 Omnibus Equity Plan (2024 Omnibus Equity Plan); and (ii) the Biogen Inc. 2024 Employee Stock Purchase Plan (2024 ESPP).</w:t>
      </w:r>
    </w:p>
    <w:p>
      <w:pPr>
        <w:spacing w:after="0" w:line="4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We have three share-based compensation plans pursuant to which outstanding awards have been made, but from which no further awards can or will be made: (i) the Biogen Inc. 2006 Non-Employee Directors Equity Plan (2006 Directors Plan); (ii) the Biogen Inc. 2017 Omnibus Equity Plan (2017 Omnibus Equity Plan); and (iii) the Biogen Inc. 2015 Employee Stock Purchase Plan (2015 ESPP).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2024 Omnibus Equity Plan</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2024 our shareholders approved the 2024 Omnibus Equity Plan for share-based awards to our prospective and current employees, non-employee directors, officers or consultants. Awards granted from the 2024 Omnibus Equity Plan may include stock options, shares of restricted stock, restricted stock units, performance shares, stock appreciation rights and other awards in such amounts and with such terms and conditions as may be determined by a committee of our Board of Directors, subject to the provisions of the plan. Shares of common stock available for grant under the 2024 Omnibus Equity Plan consist of 3.7 million shares reserved for this purpose, plus shares of common stock that remained available for grant under our 2017 Omnibus Equity Plan (including shares available by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reason of a predecessor plan) on the date that our shareholders approved the 2024 Omnibus Equity Plan, plus shares that were subject to awards under the 2017 Omnibus Equity Plan (including shares available by reason of a predecessor plan) that remain unissued upon the cancellation, surrender, exchange, termination or forfeiture of such awards. The 2024 Omnibus Equity Plan provides that awards other than stock options and stock appreciation rights will be counted against the total number of shares available under the plan in a 1.5-to-1 ratio.</w:t>
      </w:r>
    </w:p>
    <w:p>
      <w:pPr>
        <w:spacing w:after="0" w:line="53"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color w:val="auto"/>
        </w:rPr>
        <w:t>We have not made any awards pursuant to the 2017 Omnibus Equity Plan or the Directors Plan since our shareholders approved the 2024 Omnibus Equity Plan, and do not intend to make any awards pursuant to the 2017 Omnibus Equity Plan or the Directors Plan in the future, except that unused shares under the 2017 Omnibus Equity Plan have been carried over for use under the 2024 Omnibus Equity Plan.</w:t>
      </w:r>
    </w:p>
    <w:p>
      <w:pPr>
        <w:spacing w:after="0" w:line="1"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color w:val="auto"/>
        </w:rPr>
        <w:t>Awards outstanding under the 2017 Omnibus Equity Plan and the Directors Plan as of the date our shareholders approved the 2024 Omnibus Equity Plan will remain outstanding and subject to the terms and conditions of the 2017 Omnibus Equity Plan and the Directors Plan, as applicable, and the relevant award agreements.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Stock Options</w:t>
      </w:r>
    </w:p>
    <w:p>
      <w:pPr>
        <w:spacing w:after="0" w:line="12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2022 we granted approximately 81,000 stock options to our CEO (2022 CEO Grant) under the 2017 Omnibus Plan with a grant date fair value of $139.10 per option for a total of approximately $ 11.2 million. The fair value of the stock option grant is estimated as of the date of grant using a Black-Scholes option valuation model. The estimated fair value of the stock option is then expensed over the options' vesting periods. The 2022 CEO Grant is eligible to vest in equal annual installments over a three-year period from the grant date, subject to the CEO’s continued employment. The outstanding stock option has a 10-year term and is exercisable at a price per share not less than the fair market value of the underlying common stock on the date of grant.</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5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2160" w:type="dxa"/>
            <w:vAlign w:val="bottom"/>
            <w:tcBorders>
              <w:bottom w:val="single" w:sz="8" w:color="auto"/>
            </w:tcBorders>
            <w:gridSpan w:val="3"/>
            <w:shd w:val="clear" w:color="auto" w:fill="DBDBDB"/>
          </w:tcPr>
          <w:p>
            <w:pPr>
              <w:ind w:left="400"/>
              <w:spacing w:after="0"/>
              <w:rPr>
                <w:sz w:val="20"/>
                <w:szCs w:val="20"/>
                <w:color w:val="auto"/>
              </w:rPr>
            </w:pPr>
            <w:r>
              <w:rPr>
                <w:rFonts w:ascii="Arial" w:cs="Arial" w:eastAsia="Arial" w:hAnsi="Arial"/>
                <w:sz w:val="14"/>
                <w:szCs w:val="14"/>
                <w:b w:val="1"/>
                <w:bCs w:val="1"/>
                <w:color w:val="0070C0"/>
              </w:rPr>
              <w:t>December 31, 2025</w:t>
            </w:r>
          </w:p>
        </w:tc>
        <w:tc>
          <w:tcPr>
            <w:tcW w:w="234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150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rPr>
              <w:t>Weighted Average</w:t>
            </w:r>
          </w:p>
        </w:tc>
        <w:tc>
          <w:tcPr>
            <w:tcW w:w="2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Exercise Price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20"/>
                <w:szCs w:val="20"/>
                <w:color w:val="auto"/>
              </w:rPr>
            </w:pPr>
            <w:r>
              <w:rPr>
                <w:rFonts w:ascii="Arial" w:cs="Arial" w:eastAsia="Arial" w:hAnsi="Arial"/>
                <w:sz w:val="14"/>
                <w:szCs w:val="14"/>
                <w:color w:val="auto"/>
              </w:rPr>
              <w:t>Outstanding at December 31, 2024</w:t>
            </w:r>
          </w:p>
        </w:tc>
        <w:tc>
          <w:tcPr>
            <w:tcW w:w="150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81,000</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52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301.85</w:t>
            </w:r>
          </w:p>
        </w:tc>
        <w:tc>
          <w:tcPr>
            <w:tcW w:w="100" w:type="dxa"/>
            <w:vAlign w:val="bottom"/>
            <w:shd w:val="clear" w:color="auto" w:fill="DBDBDB"/>
          </w:tcPr>
          <w:p>
            <w:pPr>
              <w:spacing w:after="0"/>
              <w:rPr>
                <w:sz w:val="16"/>
                <w:szCs w:val="16"/>
                <w:color w:val="auto"/>
              </w:rPr>
            </w:pPr>
          </w:p>
        </w:tc>
        <w:tc>
          <w:tcPr>
            <w:tcW w:w="2340" w:type="dxa"/>
            <w:vAlign w:val="bottom"/>
            <w:shd w:val="clear" w:color="auto" w:fill="DBDBDB"/>
          </w:tcPr>
          <w:p>
            <w:pPr>
              <w:ind w:left="1740"/>
              <w:spacing w:after="0"/>
              <w:rPr>
                <w:sz w:val="20"/>
                <w:szCs w:val="20"/>
                <w:color w:val="auto"/>
              </w:rPr>
            </w:pPr>
            <w:r>
              <w:rPr>
                <w:rFonts w:ascii="Arial" w:cs="Arial" w:eastAsia="Arial" w:hAnsi="Arial"/>
                <w:sz w:val="14"/>
                <w:szCs w:val="14"/>
                <w:color w:val="2573BA"/>
              </w:rPr>
              <w:t>7.9 years</w:t>
            </w:r>
          </w:p>
        </w:tc>
        <w:tc>
          <w:tcPr>
            <w:tcW w:w="0" w:type="dxa"/>
            <w:vAlign w:val="bottom"/>
          </w:tcPr>
          <w:p>
            <w:pPr>
              <w:spacing w:after="0"/>
              <w:rPr>
                <w:sz w:val="1"/>
                <w:szCs w:val="1"/>
                <w:color w:val="auto"/>
              </w:rPr>
            </w:pPr>
          </w:p>
        </w:tc>
      </w:tr>
      <w:tr>
        <w:trPr>
          <w:trHeight w:val="203"/>
        </w:trPr>
        <w:tc>
          <w:tcPr>
            <w:tcW w:w="4340" w:type="dxa"/>
            <w:vAlign w:val="bottom"/>
          </w:tcPr>
          <w:p>
            <w:pPr>
              <w:ind w:left="12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20"/>
              <w:spacing w:after="0"/>
              <w:rPr>
                <w:sz w:val="20"/>
                <w:szCs w:val="20"/>
                <w:color w:val="auto"/>
              </w:rPr>
            </w:pPr>
            <w:r>
              <w:rPr>
                <w:rFonts w:ascii="Arial" w:cs="Arial" w:eastAsia="Arial" w:hAnsi="Arial"/>
                <w:sz w:val="14"/>
                <w:szCs w:val="14"/>
                <w:color w:val="auto"/>
              </w:rPr>
              <w:t>Exercised</w:t>
            </w:r>
          </w:p>
        </w:tc>
        <w:tc>
          <w:tcPr>
            <w:tcW w:w="15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4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34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40" w:type="dxa"/>
            <w:vAlign w:val="bottom"/>
          </w:tcPr>
          <w:p>
            <w:pPr>
              <w:spacing w:after="0"/>
              <w:rPr>
                <w:sz w:val="20"/>
                <w:szCs w:val="20"/>
                <w:color w:val="auto"/>
              </w:rPr>
            </w:pPr>
            <w:r>
              <w:rPr>
                <w:rFonts w:ascii="Arial" w:cs="Arial" w:eastAsia="Arial" w:hAnsi="Arial"/>
                <w:sz w:val="14"/>
                <w:szCs w:val="14"/>
                <w:color w:val="auto"/>
              </w:rPr>
              <w:t>Outstanding at December 31, 2025</w:t>
            </w:r>
          </w:p>
        </w:tc>
        <w:tc>
          <w:tcPr>
            <w:tcW w:w="150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81,000</w:t>
            </w:r>
          </w:p>
        </w:tc>
        <w:tc>
          <w:tcPr>
            <w:tcW w:w="20" w:type="dxa"/>
            <w:vAlign w:val="bottom"/>
            <w:tcBorders>
              <w:bottom w:val="single" w:sz="8" w:color="auto"/>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520" w:type="dxa"/>
            <w:vAlign w:val="bottom"/>
            <w:tcBorders>
              <w:bottom w:val="single" w:sz="8" w:color="DBDBDB"/>
            </w:tcBorders>
            <w:shd w:val="clear" w:color="auto" w:fill="DBDBDB"/>
          </w:tcPr>
          <w:p>
            <w:pPr>
              <w:spacing w:after="0"/>
              <w:rPr>
                <w:sz w:val="20"/>
                <w:szCs w:val="20"/>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301.85</w:t>
            </w:r>
          </w:p>
        </w:tc>
        <w:tc>
          <w:tcPr>
            <w:tcW w:w="100" w:type="dxa"/>
            <w:vAlign w:val="bottom"/>
            <w:tcBorders>
              <w:bottom w:val="single" w:sz="8" w:color="DBDBDB"/>
            </w:tcBorders>
            <w:shd w:val="clear" w:color="auto" w:fill="DBDBDB"/>
          </w:tcPr>
          <w:p>
            <w:pPr>
              <w:spacing w:after="0"/>
              <w:rPr>
                <w:sz w:val="20"/>
                <w:szCs w:val="20"/>
                <w:color w:val="auto"/>
              </w:rPr>
            </w:pPr>
          </w:p>
        </w:tc>
        <w:tc>
          <w:tcPr>
            <w:tcW w:w="2340" w:type="dxa"/>
            <w:vAlign w:val="bottom"/>
            <w:tcBorders>
              <w:bottom w:val="single" w:sz="8" w:color="DBDBDB"/>
            </w:tcBorders>
            <w:shd w:val="clear" w:color="auto" w:fill="DBDBDB"/>
          </w:tcPr>
          <w:p>
            <w:pPr>
              <w:ind w:left="1740"/>
              <w:spacing w:after="0"/>
              <w:rPr>
                <w:sz w:val="20"/>
                <w:szCs w:val="20"/>
                <w:color w:val="auto"/>
              </w:rPr>
            </w:pPr>
            <w:r>
              <w:rPr>
                <w:rFonts w:ascii="Arial" w:cs="Arial" w:eastAsia="Arial" w:hAnsi="Arial"/>
                <w:sz w:val="14"/>
                <w:szCs w:val="14"/>
                <w:color w:val="2573BA"/>
              </w:rPr>
              <w:t>6.9 years</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20"/>
                <w:szCs w:val="20"/>
                <w:color w:val="auto"/>
              </w:rPr>
            </w:pPr>
            <w:r>
              <w:rPr>
                <w:rFonts w:ascii="Arial" w:cs="Arial" w:eastAsia="Arial" w:hAnsi="Arial"/>
                <w:sz w:val="14"/>
                <w:szCs w:val="14"/>
                <w:color w:val="auto"/>
              </w:rPr>
              <w:t>Exercisable at December 31, 2025</w:t>
            </w:r>
          </w:p>
        </w:tc>
        <w:tc>
          <w:tcPr>
            <w:tcW w:w="15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81,000</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52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301.85</w:t>
            </w:r>
          </w:p>
        </w:tc>
        <w:tc>
          <w:tcPr>
            <w:tcW w:w="100" w:type="dxa"/>
            <w:vAlign w:val="bottom"/>
            <w:shd w:val="clear" w:color="auto" w:fill="DBDBDB"/>
          </w:tcPr>
          <w:p>
            <w:pPr>
              <w:spacing w:after="0"/>
              <w:rPr>
                <w:sz w:val="17"/>
                <w:szCs w:val="17"/>
                <w:color w:val="auto"/>
              </w:rPr>
            </w:pPr>
          </w:p>
        </w:tc>
        <w:tc>
          <w:tcPr>
            <w:tcW w:w="2340" w:type="dxa"/>
            <w:vAlign w:val="bottom"/>
            <w:shd w:val="clear" w:color="auto" w:fill="DBDBDB"/>
          </w:tcPr>
          <w:p>
            <w:pPr>
              <w:ind w:left="1740"/>
              <w:spacing w:after="0"/>
              <w:rPr>
                <w:sz w:val="20"/>
                <w:szCs w:val="20"/>
                <w:color w:val="auto"/>
              </w:rPr>
            </w:pPr>
            <w:r>
              <w:rPr>
                <w:rFonts w:ascii="Arial" w:cs="Arial" w:eastAsia="Arial" w:hAnsi="Arial"/>
                <w:sz w:val="14"/>
                <w:szCs w:val="14"/>
                <w:color w:val="2573BA"/>
              </w:rPr>
              <w:t>6.9 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Market Stock Units</w:t>
      </w:r>
    </w:p>
    <w:p>
      <w:pPr>
        <w:spacing w:after="0" w:line="12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MSUs awarded to employees in 2014 and thereafter vested in three equal annual increments beginning on the first anniversary of the grant date, and participants could ultimately earn between zero and 200.0% of the target number of units granted based on actual stock performance. The vesting of these awards was subject to the respective employee’s continued employment.</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Beginning in 2022 we no longer grant MSUs as part of our long term incentive program and have replaced with granting performance-vested RSUs. The fair values of the remaining MSUs vested in 2024 and 2023 totaled $6.3 million and $20.7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Performance Stock Units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PSUs Settled in Stock</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quarter of 2018 we began granting awards for performance-vested RSUs that will settle in stock. PSUs awarded to employees have a three-year performance period and vest on the third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Participants may ultimately earn between zero and 200.0% of the target number of PSUs granted based on the degree of achievement of the applicable performance metric. Accordingly, additional PSUs may be issued or currently outstanding PSUs may be cancelled upon final determination of the number of units earned.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Beginning in 2022 we no longer grant MSUs as part of our long term incentive program and have replaced with granting PSUs with a performance metric based on a three-year cumulative relative total shareholder return (rTSR) metric.</w:t>
      </w:r>
    </w:p>
    <w:p>
      <w:pPr>
        <w:spacing w:after="0" w:line="4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Beginning in 2024 we began granting PSUs with a performance metric based on the three-year cumulative aggregate growth rate of our earnings per share during the performance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PSUs that settle in stock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40" w:type="dxa"/>
            <w:vAlign w:val="bottom"/>
            <w:tcBorders>
              <w:bottom w:val="single" w:sz="8" w:color="auto"/>
            </w:tcBorders>
            <w:shd w:val="clear" w:color="auto" w:fill="DBDBDB"/>
          </w:tcPr>
          <w:p>
            <w:pPr>
              <w:spacing w:after="0"/>
              <w:rPr>
                <w:sz w:val="17"/>
                <w:szCs w:val="17"/>
                <w:color w:val="auto"/>
              </w:rPr>
            </w:pPr>
          </w:p>
        </w:tc>
        <w:tc>
          <w:tcPr>
            <w:tcW w:w="3040" w:type="dxa"/>
            <w:vAlign w:val="bottom"/>
            <w:tcBorders>
              <w:bottom w:val="single" w:sz="8" w:color="auto"/>
            </w:tcBorders>
            <w:gridSpan w:val="4"/>
            <w:shd w:val="clear" w:color="auto" w:fill="DBDBDB"/>
          </w:tcPr>
          <w:p>
            <w:pPr>
              <w:jc w:val="right"/>
              <w:ind w:right="1528"/>
              <w:spacing w:after="0"/>
              <w:rPr>
                <w:sz w:val="20"/>
                <w:szCs w:val="20"/>
                <w:color w:val="auto"/>
              </w:rPr>
            </w:pPr>
            <w:r>
              <w:rPr>
                <w:rFonts w:ascii="Arial" w:cs="Arial" w:eastAsia="Arial" w:hAnsi="Arial"/>
                <w:sz w:val="14"/>
                <w:szCs w:val="14"/>
                <w:b w:val="1"/>
                <w:bCs w:val="1"/>
                <w:color w:val="0070C0"/>
              </w:rPr>
              <w:t>December 31, 2025</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right"/>
              <w:ind w:right="388"/>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2024</w:t>
            </w:r>
          </w:p>
        </w:tc>
        <w:tc>
          <w:tcPr>
            <w:tcW w:w="144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550,000</w:t>
            </w:r>
          </w:p>
        </w:tc>
        <w:tc>
          <w:tcPr>
            <w:tcW w:w="34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310.61</w:t>
            </w:r>
          </w:p>
        </w:tc>
        <w:tc>
          <w:tcPr>
            <w:tcW w:w="0" w:type="dxa"/>
            <w:vAlign w:val="bottom"/>
          </w:tcPr>
          <w:p>
            <w:pPr>
              <w:spacing w:after="0"/>
              <w:rPr>
                <w:sz w:val="1"/>
                <w:szCs w:val="1"/>
                <w:color w:val="auto"/>
              </w:rPr>
            </w:pPr>
          </w:p>
        </w:tc>
      </w:tr>
      <w:tr>
        <w:trPr>
          <w:trHeight w:val="210"/>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Granted</w:t>
            </w:r>
            <w:r>
              <w:rPr>
                <w:rFonts w:ascii="Arial" w:cs="Arial" w:eastAsia="Arial" w:hAnsi="Arial"/>
                <w:sz w:val="18"/>
                <w:szCs w:val="18"/>
                <w:color w:val="auto"/>
                <w:vertAlign w:val="superscript"/>
              </w:rPr>
              <w:t>(1)</w:t>
            </w:r>
          </w:p>
        </w:tc>
        <w:tc>
          <w:tcPr>
            <w:tcW w:w="1440" w:type="dxa"/>
            <w:vAlign w:val="bottom"/>
            <w:shd w:val="clear" w:color="auto" w:fill="DBDBDB"/>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477,000</w:t>
            </w: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161.28</w:t>
            </w:r>
          </w:p>
        </w:tc>
        <w:tc>
          <w:tcPr>
            <w:tcW w:w="0" w:type="dxa"/>
            <w:vAlign w:val="bottom"/>
          </w:tcPr>
          <w:p>
            <w:pPr>
              <w:spacing w:after="0"/>
              <w:rPr>
                <w:sz w:val="1"/>
                <w:szCs w:val="1"/>
                <w:color w:val="auto"/>
              </w:rPr>
            </w:pPr>
          </w:p>
        </w:tc>
      </w:tr>
      <w:tr>
        <w:trPr>
          <w:trHeight w:val="195"/>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7"/>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(222,000)</w:t>
            </w: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176.41</w:t>
            </w:r>
          </w:p>
        </w:tc>
        <w:tc>
          <w:tcPr>
            <w:tcW w:w="0" w:type="dxa"/>
            <w:vAlign w:val="bottom"/>
          </w:tcPr>
          <w:p>
            <w:pPr>
              <w:spacing w:after="0"/>
              <w:rPr>
                <w:sz w:val="1"/>
                <w:szCs w:val="1"/>
                <w:color w:val="auto"/>
              </w:rPr>
            </w:pPr>
          </w:p>
        </w:tc>
      </w:tr>
      <w:tr>
        <w:trPr>
          <w:trHeight w:val="225"/>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2025</w:t>
            </w:r>
          </w:p>
        </w:tc>
        <w:tc>
          <w:tcPr>
            <w:tcW w:w="144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805,000</w:t>
            </w:r>
          </w:p>
        </w:tc>
        <w:tc>
          <w:tcPr>
            <w:tcW w:w="12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227.39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9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80" w:right="120" w:hanging="172"/>
        <w:spacing w:after="0" w:line="231" w:lineRule="auto"/>
        <w:tabs>
          <w:tab w:leader="none" w:pos="172" w:val="left"/>
        </w:tabs>
        <w:numPr>
          <w:ilvl w:val="0"/>
          <w:numId w:val="122"/>
        </w:numPr>
        <w:rPr>
          <w:rFonts w:ascii="Arial" w:cs="Arial" w:eastAsia="Arial" w:hAnsi="Arial"/>
          <w:sz w:val="19"/>
          <w:szCs w:val="19"/>
          <w:color w:val="auto"/>
          <w:vertAlign w:val="superscript"/>
        </w:rPr>
      </w:pPr>
      <w:r>
        <w:rPr>
          <w:rFonts w:ascii="Arial" w:cs="Arial" w:eastAsia="Arial" w:hAnsi="Arial"/>
          <w:sz w:val="14"/>
          <w:szCs w:val="14"/>
          <w:color w:val="auto"/>
        </w:rPr>
        <w:t>PSUs settled in stock granted in 2025 include awards granted in conjunction with our annual awards made in February 2025 and PSUs granted in conjunction with the hiring of employees. These grants reflect the target number of shares eligible to be earned at the time of grant.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PSUs settled in stock granted in 2024 and 2023 had weighted average grant date fair values of $280.60 and $383.61, respectively.</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value grants of PSUs with a performance metric based on a three-year cumulative rTSR metric using a lattice model with a Monte Carlo simulation. This valuation methodology utilizes several key assumptions, the 30 calendar day average closing stock price on the date of grant for PSUs, expected volatility of our stock price, risk-free rates of return and expected dividend yield.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our valuation are summarized as follows: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For the Years Ended December 31,</w:t>
            </w:r>
          </w:p>
        </w:tc>
        <w:tc>
          <w:tcPr>
            <w:tcW w:w="2020" w:type="dxa"/>
            <w:vAlign w:val="bottom"/>
            <w:tcBorders>
              <w:bottom w:val="single" w:sz="8" w:color="auto"/>
            </w:tcBorders>
          </w:tcPr>
          <w:p>
            <w:pPr>
              <w:spacing w:after="0"/>
              <w:rPr>
                <w:sz w:val="17"/>
                <w:szCs w:val="17"/>
                <w:color w:val="auto"/>
              </w:rPr>
            </w:pPr>
          </w:p>
        </w:tc>
      </w:tr>
      <w:tr>
        <w:trPr>
          <w:trHeight w:val="195"/>
        </w:trPr>
        <w:tc>
          <w:tcPr>
            <w:tcW w:w="4780" w:type="dxa"/>
            <w:vAlign w:val="bottom"/>
          </w:tcPr>
          <w:p>
            <w:pPr>
              <w:spacing w:after="0"/>
              <w:rPr>
                <w:sz w:val="16"/>
                <w:szCs w:val="16"/>
                <w:color w:val="auto"/>
              </w:rPr>
            </w:pPr>
          </w:p>
        </w:tc>
        <w:tc>
          <w:tcPr>
            <w:tcW w:w="1700" w:type="dxa"/>
            <w:vAlign w:val="bottom"/>
            <w:tcBorders>
              <w:bottom w:val="single" w:sz="8" w:color="auto"/>
            </w:tcBorders>
            <w:shd w:val="clear" w:color="auto" w:fill="DDDDDD"/>
          </w:tcPr>
          <w:p>
            <w:pPr>
              <w:jc w:val="center"/>
              <w:ind w:left="388"/>
              <w:spacing w:after="0"/>
              <w:rPr>
                <w:sz w:val="20"/>
                <w:szCs w:val="20"/>
                <w:color w:val="auto"/>
              </w:rPr>
            </w:pPr>
            <w:r>
              <w:rPr>
                <w:rFonts w:ascii="Arial" w:cs="Arial" w:eastAsia="Arial" w:hAnsi="Arial"/>
                <w:sz w:val="14"/>
                <w:szCs w:val="14"/>
                <w:b w:val="1"/>
                <w:bCs w:val="1"/>
                <w:color w:val="2573BA"/>
              </w:rPr>
              <w:t>2025</w:t>
            </w:r>
          </w:p>
        </w:tc>
        <w:tc>
          <w:tcPr>
            <w:tcW w:w="48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190"/>
        </w:trPr>
        <w:tc>
          <w:tcPr>
            <w:tcW w:w="478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1700" w:type="dxa"/>
            <w:vAlign w:val="bottom"/>
            <w:shd w:val="clear" w:color="auto" w:fill="DBDBDB"/>
          </w:tcPr>
          <w:p>
            <w:pPr>
              <w:jc w:val="center"/>
              <w:ind w:left="408"/>
              <w:spacing w:after="0"/>
              <w:rPr>
                <w:sz w:val="20"/>
                <w:szCs w:val="20"/>
                <w:color w:val="auto"/>
              </w:rPr>
            </w:pPr>
            <w:r>
              <w:rPr>
                <w:rFonts w:ascii="Arial" w:cs="Arial" w:eastAsia="Arial" w:hAnsi="Arial"/>
                <w:sz w:val="14"/>
                <w:szCs w:val="14"/>
                <w:color w:val="2573BA"/>
                <w:w w:val="98"/>
              </w:rPr>
              <w:t>—%</w:t>
            </w:r>
          </w:p>
        </w:tc>
        <w:tc>
          <w:tcPr>
            <w:tcW w:w="4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2020" w:type="dxa"/>
            <w:vAlign w:val="bottom"/>
          </w:tcPr>
          <w:p>
            <w:pPr>
              <w:jc w:val="center"/>
              <w:spacing w:after="0"/>
              <w:rPr>
                <w:sz w:val="20"/>
                <w:szCs w:val="20"/>
                <w:color w:val="auto"/>
              </w:rPr>
            </w:pPr>
            <w:r>
              <w:rPr>
                <w:rFonts w:ascii="Arial" w:cs="Arial" w:eastAsia="Arial" w:hAnsi="Arial"/>
                <w:sz w:val="14"/>
                <w:szCs w:val="14"/>
                <w:color w:val="auto"/>
                <w:w w:val="98"/>
              </w:rPr>
              <w:t>—%</w:t>
            </w:r>
          </w:p>
        </w:tc>
      </w:tr>
      <w:tr>
        <w:trPr>
          <w:trHeight w:val="203"/>
        </w:trPr>
        <w:tc>
          <w:tcPr>
            <w:tcW w:w="4780" w:type="dxa"/>
            <w:vAlign w:val="bottom"/>
          </w:tcPr>
          <w:p>
            <w:pPr>
              <w:spacing w:after="0"/>
              <w:rPr>
                <w:sz w:val="20"/>
                <w:szCs w:val="20"/>
                <w:color w:val="auto"/>
              </w:rPr>
            </w:pPr>
            <w:r>
              <w:rPr>
                <w:rFonts w:ascii="Arial" w:cs="Arial" w:eastAsia="Arial" w:hAnsi="Arial"/>
                <w:sz w:val="14"/>
                <w:szCs w:val="14"/>
                <w:color w:val="auto"/>
              </w:rPr>
              <w:t>Range of expected stock price volatility</w:t>
            </w:r>
          </w:p>
        </w:tc>
        <w:tc>
          <w:tcPr>
            <w:tcW w:w="1700" w:type="dxa"/>
            <w:vAlign w:val="bottom"/>
            <w:shd w:val="clear" w:color="auto" w:fill="DBDBDB"/>
          </w:tcPr>
          <w:p>
            <w:pPr>
              <w:jc w:val="center"/>
              <w:ind w:left="408"/>
              <w:spacing w:after="0"/>
              <w:rPr>
                <w:sz w:val="20"/>
                <w:szCs w:val="20"/>
                <w:color w:val="auto"/>
              </w:rPr>
            </w:pPr>
            <w:r>
              <w:rPr>
                <w:rFonts w:ascii="Arial" w:cs="Arial" w:eastAsia="Arial" w:hAnsi="Arial"/>
                <w:sz w:val="14"/>
                <w:szCs w:val="14"/>
                <w:color w:val="2573BA"/>
              </w:rPr>
              <w:t>34.5%</w:t>
            </w:r>
          </w:p>
        </w:tc>
        <w:tc>
          <w:tcPr>
            <w:tcW w:w="480" w:type="dxa"/>
            <w:vAlign w:val="bottom"/>
            <w:shd w:val="clear" w:color="auto" w:fill="DBDBDB"/>
          </w:tcPr>
          <w:p>
            <w:pPr>
              <w:spacing w:after="0"/>
              <w:rPr>
                <w:sz w:val="17"/>
                <w:szCs w:val="17"/>
                <w:color w:val="auto"/>
              </w:rPr>
            </w:pPr>
          </w:p>
        </w:tc>
        <w:tc>
          <w:tcPr>
            <w:tcW w:w="2120" w:type="dxa"/>
            <w:vAlign w:val="bottom"/>
            <w:gridSpan w:val="2"/>
          </w:tcPr>
          <w:p>
            <w:pPr>
              <w:jc w:val="center"/>
              <w:ind w:left="48"/>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44.7%</w:t>
            </w:r>
          </w:p>
        </w:tc>
      </w:tr>
      <w:tr>
        <w:trPr>
          <w:trHeight w:val="203"/>
        </w:trPr>
        <w:tc>
          <w:tcPr>
            <w:tcW w:w="4780" w:type="dxa"/>
            <w:vAlign w:val="bottom"/>
          </w:tcPr>
          <w:p>
            <w:pPr>
              <w:spacing w:after="0"/>
              <w:rPr>
                <w:sz w:val="20"/>
                <w:szCs w:val="20"/>
                <w:color w:val="auto"/>
              </w:rPr>
            </w:pPr>
            <w:r>
              <w:rPr>
                <w:rFonts w:ascii="Arial" w:cs="Arial" w:eastAsia="Arial" w:hAnsi="Arial"/>
                <w:sz w:val="14"/>
                <w:szCs w:val="14"/>
                <w:color w:val="auto"/>
              </w:rPr>
              <w:t>Range of risk-free interest rates</w:t>
            </w:r>
          </w:p>
        </w:tc>
        <w:tc>
          <w:tcPr>
            <w:tcW w:w="1700" w:type="dxa"/>
            <w:vAlign w:val="bottom"/>
            <w:shd w:val="clear" w:color="auto" w:fill="DBDBDB"/>
          </w:tcPr>
          <w:p>
            <w:pPr>
              <w:jc w:val="center"/>
              <w:ind w:left="408"/>
              <w:spacing w:after="0"/>
              <w:rPr>
                <w:sz w:val="20"/>
                <w:szCs w:val="20"/>
                <w:color w:val="auto"/>
              </w:rPr>
            </w:pPr>
            <w:r>
              <w:rPr>
                <w:rFonts w:ascii="Arial" w:cs="Arial" w:eastAsia="Arial" w:hAnsi="Arial"/>
                <w:sz w:val="14"/>
                <w:szCs w:val="14"/>
                <w:color w:val="2573BA"/>
              </w:rPr>
              <w:t>4.2%</w:t>
            </w:r>
          </w:p>
        </w:tc>
        <w:tc>
          <w:tcPr>
            <w:tcW w:w="480" w:type="dxa"/>
            <w:vAlign w:val="bottom"/>
            <w:shd w:val="clear" w:color="auto" w:fill="DBDBDB"/>
          </w:tcPr>
          <w:p>
            <w:pPr>
              <w:spacing w:after="0"/>
              <w:rPr>
                <w:sz w:val="17"/>
                <w:szCs w:val="17"/>
                <w:color w:val="auto"/>
              </w:rPr>
            </w:pPr>
          </w:p>
        </w:tc>
        <w:tc>
          <w:tcPr>
            <w:tcW w:w="2120" w:type="dxa"/>
            <w:vAlign w:val="bottom"/>
            <w:gridSpan w:val="2"/>
          </w:tcPr>
          <w:p>
            <w:pPr>
              <w:jc w:val="center"/>
              <w:ind w:lef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4.1%</w:t>
            </w:r>
          </w:p>
        </w:tc>
      </w:tr>
      <w:tr>
        <w:trPr>
          <w:trHeight w:val="203"/>
        </w:trPr>
        <w:tc>
          <w:tcPr>
            <w:tcW w:w="4780" w:type="dxa"/>
            <w:vAlign w:val="bottom"/>
          </w:tcPr>
          <w:p>
            <w:pPr>
              <w:spacing w:after="0"/>
              <w:rPr>
                <w:sz w:val="20"/>
                <w:szCs w:val="20"/>
                <w:color w:val="auto"/>
              </w:rPr>
            </w:pPr>
            <w:r>
              <w:rPr>
                <w:rFonts w:ascii="Arial" w:cs="Arial" w:eastAsia="Arial" w:hAnsi="Arial"/>
                <w:sz w:val="14"/>
                <w:szCs w:val="14"/>
                <w:color w:val="auto"/>
              </w:rPr>
              <w:t>30 calendar day average stock price on grant date</w:t>
            </w:r>
          </w:p>
        </w:tc>
        <w:tc>
          <w:tcPr>
            <w:tcW w:w="1700" w:type="dxa"/>
            <w:vAlign w:val="bottom"/>
            <w:shd w:val="clear" w:color="auto" w:fill="DBDBDB"/>
          </w:tcPr>
          <w:p>
            <w:pPr>
              <w:jc w:val="center"/>
              <w:ind w:left="388"/>
              <w:spacing w:after="0"/>
              <w:rPr>
                <w:sz w:val="20"/>
                <w:szCs w:val="20"/>
                <w:color w:val="auto"/>
              </w:rPr>
            </w:pPr>
            <w:r>
              <w:rPr>
                <w:rFonts w:ascii="Arial" w:cs="Arial" w:eastAsia="Arial" w:hAnsi="Arial"/>
                <w:sz w:val="14"/>
                <w:szCs w:val="14"/>
                <w:color w:val="2573BA"/>
              </w:rPr>
              <w:t>$146.46</w:t>
            </w:r>
          </w:p>
        </w:tc>
        <w:tc>
          <w:tcPr>
            <w:tcW w:w="480" w:type="dxa"/>
            <w:vAlign w:val="bottom"/>
            <w:shd w:val="clear" w:color="auto" w:fill="DBDBDB"/>
          </w:tcPr>
          <w:p>
            <w:pPr>
              <w:spacing w:after="0"/>
              <w:rPr>
                <w:sz w:val="17"/>
                <w:szCs w:val="17"/>
                <w:color w:val="auto"/>
              </w:rPr>
            </w:pPr>
          </w:p>
        </w:tc>
        <w:tc>
          <w:tcPr>
            <w:tcW w:w="2120" w:type="dxa"/>
            <w:vAlign w:val="bottom"/>
            <w:gridSpan w:val="2"/>
          </w:tcPr>
          <w:p>
            <w:pPr>
              <w:jc w:val="center"/>
              <w:ind w:left="48"/>
              <w:spacing w:after="0"/>
              <w:rPr>
                <w:sz w:val="20"/>
                <w:szCs w:val="20"/>
                <w:color w:val="auto"/>
              </w:rPr>
            </w:pPr>
            <w:r>
              <w:rPr>
                <w:rFonts w:ascii="Arial" w:cs="Arial" w:eastAsia="Arial" w:hAnsi="Arial"/>
                <w:sz w:val="14"/>
                <w:szCs w:val="14"/>
                <w:color w:val="auto"/>
              </w:rPr>
              <w:t>$251.69</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$283.93</w:t>
            </w:r>
          </w:p>
        </w:tc>
      </w:tr>
      <w:tr>
        <w:trPr>
          <w:trHeight w:val="211"/>
        </w:trPr>
        <w:tc>
          <w:tcPr>
            <w:tcW w:w="4780" w:type="dxa"/>
            <w:vAlign w:val="bottom"/>
          </w:tcPr>
          <w:p>
            <w:pPr>
              <w:spacing w:after="0"/>
              <w:rPr>
                <w:sz w:val="20"/>
                <w:szCs w:val="20"/>
                <w:color w:val="auto"/>
              </w:rPr>
            </w:pPr>
            <w:r>
              <w:rPr>
                <w:rFonts w:ascii="Arial" w:cs="Arial" w:eastAsia="Arial" w:hAnsi="Arial"/>
                <w:sz w:val="14"/>
                <w:szCs w:val="14"/>
                <w:color w:val="auto"/>
              </w:rPr>
              <w:t>Weighted-average per share grant date fair value</w:t>
            </w:r>
          </w:p>
        </w:tc>
        <w:tc>
          <w:tcPr>
            <w:tcW w:w="1700" w:type="dxa"/>
            <w:vAlign w:val="bottom"/>
            <w:shd w:val="clear" w:color="auto" w:fill="DBDBDB"/>
          </w:tcPr>
          <w:p>
            <w:pPr>
              <w:jc w:val="center"/>
              <w:ind w:left="388"/>
              <w:spacing w:after="0"/>
              <w:rPr>
                <w:sz w:val="20"/>
                <w:szCs w:val="20"/>
                <w:color w:val="auto"/>
              </w:rPr>
            </w:pPr>
            <w:r>
              <w:rPr>
                <w:rFonts w:ascii="Arial" w:cs="Arial" w:eastAsia="Arial" w:hAnsi="Arial"/>
                <w:sz w:val="14"/>
                <w:szCs w:val="14"/>
                <w:color w:val="2573BA"/>
              </w:rPr>
              <w:t>$196.13</w:t>
            </w:r>
          </w:p>
        </w:tc>
        <w:tc>
          <w:tcPr>
            <w:tcW w:w="480" w:type="dxa"/>
            <w:vAlign w:val="bottom"/>
            <w:shd w:val="clear" w:color="auto" w:fill="DBDBDB"/>
          </w:tcPr>
          <w:p>
            <w:pPr>
              <w:spacing w:after="0"/>
              <w:rPr>
                <w:sz w:val="18"/>
                <w:szCs w:val="18"/>
                <w:color w:val="auto"/>
              </w:rPr>
            </w:pPr>
          </w:p>
        </w:tc>
        <w:tc>
          <w:tcPr>
            <w:tcW w:w="2120" w:type="dxa"/>
            <w:vAlign w:val="bottom"/>
            <w:gridSpan w:val="2"/>
          </w:tcPr>
          <w:p>
            <w:pPr>
              <w:jc w:val="center"/>
              <w:ind w:left="48"/>
              <w:spacing w:after="0"/>
              <w:rPr>
                <w:sz w:val="20"/>
                <w:szCs w:val="20"/>
                <w:color w:val="auto"/>
              </w:rPr>
            </w:pPr>
            <w:r>
              <w:rPr>
                <w:rFonts w:ascii="Arial" w:cs="Arial" w:eastAsia="Arial" w:hAnsi="Arial"/>
                <w:sz w:val="14"/>
                <w:szCs w:val="14"/>
                <w:color w:val="auto"/>
              </w:rPr>
              <w:t>$280.60</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$383.61</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PSUs settled in stock that vested in 2024 and 2023 totaled $13.2 million and $28.6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PSUs Settled in Cash</w:t>
      </w:r>
    </w:p>
    <w:p>
      <w:pPr>
        <w:spacing w:after="0" w:line="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first quarter of 2018 we began granting awards for performance-vested restricted stock units that would settle in cash. PSUs awarded to employees had three performance periods and vested on the third anniversary of the grant date. The vesting of these awards was subject to the respective employee’s continued employment. PSUs were classified as liability awards and were settled in cash based on the 30 calendar day average closing stock price through the vesting date, once the actual vested and earned number of PSUs was determined. Since no shares were issued, these awards did not dilute equity.</w:t>
      </w:r>
    </w:p>
    <w:p>
      <w:pPr>
        <w:spacing w:after="0" w:line="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Beginning in 2022 we no longer grant PSUs settled in cash as part of our long term incentive program and have replaced with granting time-vested RSUs. The fair values of the remaining PSUs settled in cash that vested in 2024 and 2023 totaled $9.5 million and $11.7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Time-Vested Restricted Stock Units</w:t>
      </w:r>
    </w:p>
    <w:p>
      <w:pPr>
        <w:spacing w:after="0" w:line="12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RSUs awarded to directors for service 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Board of Directors vest on the first anniversary of the date of grant, provided in each case that the director continues to serve on our Board of Directors through the vesting date. Shares of our common stock will be delivered to the director upon vesting and are not subject to any withholding 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RSU activity: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right"/>
              <w:ind w:right="38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2024</w:t>
            </w:r>
          </w:p>
        </w:tc>
        <w:tc>
          <w:tcPr>
            <w:tcW w:w="14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2,051,000</w:t>
            </w:r>
          </w:p>
        </w:tc>
        <w:tc>
          <w:tcPr>
            <w:tcW w:w="34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246.22</w:t>
            </w:r>
          </w:p>
        </w:tc>
        <w:tc>
          <w:tcPr>
            <w:tcW w:w="0" w:type="dxa"/>
            <w:vAlign w:val="bottom"/>
          </w:tcPr>
          <w:p>
            <w:pPr>
              <w:spacing w:after="0"/>
              <w:rPr>
                <w:sz w:val="1"/>
                <w:szCs w:val="1"/>
                <w:color w:val="auto"/>
              </w:rPr>
            </w:pPr>
          </w:p>
        </w:tc>
      </w:tr>
      <w:tr>
        <w:trPr>
          <w:trHeight w:val="211"/>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Granted</w:t>
            </w:r>
            <w:r>
              <w:rPr>
                <w:rFonts w:ascii="Arial" w:cs="Arial" w:eastAsia="Arial" w:hAnsi="Arial"/>
                <w:sz w:val="18"/>
                <w:szCs w:val="18"/>
                <w:color w:val="auto"/>
                <w:vertAlign w:val="superscript"/>
              </w:rPr>
              <w:t>(1)</w:t>
            </w:r>
          </w:p>
        </w:tc>
        <w:tc>
          <w:tcPr>
            <w:tcW w:w="140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2,385,000</w:t>
            </w: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141.71</w:t>
            </w:r>
          </w:p>
        </w:tc>
        <w:tc>
          <w:tcPr>
            <w:tcW w:w="0" w:type="dxa"/>
            <w:vAlign w:val="bottom"/>
          </w:tcPr>
          <w:p>
            <w:pPr>
              <w:spacing w:after="0"/>
              <w:rPr>
                <w:sz w:val="1"/>
                <w:szCs w:val="1"/>
                <w:color w:val="auto"/>
              </w:rPr>
            </w:pPr>
          </w:p>
        </w:tc>
      </w:tr>
      <w:tr>
        <w:trPr>
          <w:trHeight w:val="194"/>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4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(997,000)</w:t>
            </w: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243.92</w:t>
            </w:r>
          </w:p>
        </w:tc>
        <w:tc>
          <w:tcPr>
            <w:tcW w:w="0" w:type="dxa"/>
            <w:vAlign w:val="bottom"/>
          </w:tcPr>
          <w:p>
            <w:pPr>
              <w:spacing w:after="0"/>
              <w:rPr>
                <w:sz w:val="1"/>
                <w:szCs w:val="1"/>
                <w:color w:val="auto"/>
              </w:rPr>
            </w:pPr>
          </w:p>
        </w:tc>
      </w:tr>
      <w:tr>
        <w:trPr>
          <w:trHeight w:val="207"/>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140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(363,000)</w:t>
            </w: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188.28</w:t>
            </w:r>
          </w:p>
        </w:tc>
        <w:tc>
          <w:tcPr>
            <w:tcW w:w="0" w:type="dxa"/>
            <w:vAlign w:val="bottom"/>
          </w:tcPr>
          <w:p>
            <w:pPr>
              <w:spacing w:after="0"/>
              <w:rPr>
                <w:sz w:val="1"/>
                <w:szCs w:val="1"/>
                <w:color w:val="auto"/>
              </w:rPr>
            </w:pPr>
          </w:p>
        </w:tc>
      </w:tr>
      <w:tr>
        <w:trPr>
          <w:trHeight w:val="225"/>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2025</w:t>
            </w:r>
          </w:p>
        </w:tc>
        <w:tc>
          <w:tcPr>
            <w:tcW w:w="140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3,076,000</w:t>
            </w:r>
          </w:p>
        </w:tc>
        <w:tc>
          <w:tcPr>
            <w:tcW w:w="12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172.75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9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2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80" w:right="20" w:hanging="172"/>
        <w:spacing w:after="0" w:line="305" w:lineRule="auto"/>
        <w:tabs>
          <w:tab w:leader="none" w:pos="172" w:val="left"/>
        </w:tabs>
        <w:numPr>
          <w:ilvl w:val="0"/>
          <w:numId w:val="123"/>
        </w:numPr>
        <w:rPr>
          <w:rFonts w:ascii="Arial" w:cs="Arial" w:eastAsia="Arial" w:hAnsi="Arial"/>
          <w:sz w:val="9"/>
          <w:szCs w:val="9"/>
          <w:color w:val="auto"/>
        </w:rPr>
      </w:pPr>
      <w:r>
        <w:rPr>
          <w:rFonts w:ascii="Arial" w:cs="Arial" w:eastAsia="Arial" w:hAnsi="Arial"/>
          <w:sz w:val="14"/>
          <w:szCs w:val="14"/>
          <w:color w:val="auto"/>
        </w:rPr>
        <w:t>RSUs granted in 2025 primarily represent RSUs granted in conjunction with our annual awards made in February 2025 and awards made in conjunction with the hiring of new employees. RSUs granted in 2025 also include approximately 24,500 RSUs granted to our Board of Directors.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RSUs granted in 2024 and 2023 had weighted average grant date fair values of $235.82 and $282.92,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RSUs vested in 2025, 2024 and 2023 totaled $141.6 million, $193.6 million and $232.1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Employee Stock Purchase Plan</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i w:val="1"/>
          <w:iCs w:val="1"/>
          <w:color w:val="2573BA"/>
        </w:rPr>
        <w:t>2024 Employee Stock Purchase Plan</w:t>
      </w:r>
    </w:p>
    <w:p>
      <w:pPr>
        <w:spacing w:after="0" w:line="12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June 2024 our shareholders approved the 2024 ESPP. The 2024 ESPP, which became effective on July 1, 2024, replaced the 2015 ESPP, which expired on June 30, 2024. The maximum number of shares of our common stock that may be purchased under the 2024 ESPP is 2.5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ESPP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7"/>
                <w:szCs w:val="17"/>
                <w:color w:val="auto"/>
              </w:rPr>
            </w:pPr>
          </w:p>
        </w:tc>
      </w:tr>
      <w:tr>
        <w:trPr>
          <w:trHeight w:val="197"/>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560" w:type="dxa"/>
            <w:vAlign w:val="bottom"/>
            <w:tcBorders>
              <w:bottom w:val="single" w:sz="8" w:color="auto"/>
            </w:tcBorders>
            <w:shd w:val="clear" w:color="auto" w:fill="DBDBDB"/>
          </w:tcPr>
          <w:p>
            <w:pPr>
              <w:jc w:val="right"/>
              <w:ind w:right="588"/>
              <w:spacing w:after="0"/>
              <w:rPr>
                <w:sz w:val="20"/>
                <w:szCs w:val="20"/>
                <w:color w:val="auto"/>
              </w:rPr>
            </w:pPr>
            <w:r>
              <w:rPr>
                <w:rFonts w:ascii="Arial" w:cs="Arial" w:eastAsia="Arial" w:hAnsi="Arial"/>
                <w:sz w:val="14"/>
                <w:szCs w:val="14"/>
                <w:b w:val="1"/>
                <w:bCs w:val="1"/>
                <w:color w:val="2573BA"/>
              </w:rPr>
              <w:t>2025</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r>
      <w:tr>
        <w:trPr>
          <w:trHeight w:val="189"/>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Shares issued under the 2024 ESPP</w:t>
            </w:r>
          </w:p>
        </w:tc>
        <w:tc>
          <w:tcPr>
            <w:tcW w:w="100" w:type="dxa"/>
            <w:vAlign w:val="bottom"/>
            <w:shd w:val="clear" w:color="auto" w:fill="DBDBDB"/>
          </w:tcPr>
          <w:p>
            <w:pPr>
              <w:spacing w:after="0"/>
              <w:rPr>
                <w:sz w:val="16"/>
                <w:szCs w:val="16"/>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295,000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Shares issued under the 2015 ESPP</w:t>
            </w:r>
          </w:p>
        </w:tc>
        <w:tc>
          <w:tcPr>
            <w:tcW w:w="10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175,000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199,000</w:t>
            </w:r>
          </w:p>
        </w:tc>
      </w:tr>
      <w:tr>
        <w:trPr>
          <w:trHeight w:val="203"/>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Cash received under the 2024 ESPP</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34.0</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Cash received under the 2015 ESPP</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8"/>
                <w:szCs w:val="18"/>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45.1</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429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2">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17:</w:t>
      </w:r>
      <w:r>
        <w:rPr>
          <w:sz w:val="20"/>
          <w:szCs w:val="20"/>
          <w:color w:val="auto"/>
        </w:rPr>
        <w:tab/>
      </w:r>
      <w:r>
        <w:rPr>
          <w:rFonts w:ascii="Arial" w:cs="Arial" w:eastAsia="Arial" w:hAnsi="Arial"/>
          <w:sz w:val="21"/>
          <w:szCs w:val="21"/>
          <w:b w:val="1"/>
          <w:bCs w:val="1"/>
          <w:color w:val="0070C0"/>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3">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Income Tax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 (benefit) expense and the income tax (benefit) expense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200" w:type="dxa"/>
            <w:vAlign w:val="bottom"/>
            <w:tcBorders>
              <w:bottom w:val="single" w:sz="8" w:color="auto"/>
            </w:tcBorders>
          </w:tcPr>
          <w:p>
            <w:pPr>
              <w:spacing w:after="0"/>
              <w:rPr>
                <w:sz w:val="17"/>
                <w:szCs w:val="17"/>
                <w:color w:val="auto"/>
              </w:rPr>
            </w:pPr>
          </w:p>
        </w:tc>
      </w:tr>
      <w:tr>
        <w:trPr>
          <w:trHeight w:val="197"/>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r>
      <w:tr>
        <w:trPr>
          <w:trHeight w:val="189"/>
        </w:trPr>
        <w:tc>
          <w:tcPr>
            <w:tcW w:w="6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Income before income tax (benefit) expense:</w:t>
            </w:r>
          </w:p>
        </w:tc>
        <w:tc>
          <w:tcPr>
            <w:tcW w:w="38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Domestic</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1,225.2</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853.4</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192.4</w:t>
            </w:r>
          </w:p>
        </w:tc>
      </w:tr>
      <w:tr>
        <w:trPr>
          <w:trHeight w:val="207"/>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331.3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1,052.6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1,104.4</w:t>
            </w:r>
          </w:p>
        </w:tc>
      </w:tr>
      <w:tr>
        <w:trPr>
          <w:trHeight w:val="241"/>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 income before income tax (benefit) expense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1,556.5</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1,906.0</w:t>
            </w:r>
          </w:p>
        </w:tc>
        <w:tc>
          <w:tcPr>
            <w:tcW w:w="100" w:type="dxa"/>
            <w:vAlign w:val="bottom"/>
          </w:tcPr>
          <w:p>
            <w:pPr>
              <w:spacing w:after="0"/>
              <w:rPr>
                <w:sz w:val="20"/>
                <w:szCs w:val="20"/>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1,296.8</w:t>
            </w:r>
          </w:p>
        </w:tc>
      </w:tr>
      <w:tr>
        <w:trPr>
          <w:trHeight w:val="161"/>
        </w:trPr>
        <w:tc>
          <w:tcPr>
            <w:tcW w:w="6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Income tax (benefit) expense:</w:t>
            </w:r>
          </w:p>
        </w:tc>
        <w:tc>
          <w:tcPr>
            <w:tcW w:w="380" w:type="dxa"/>
            <w:vAlign w:val="bottom"/>
            <w:tcBorders>
              <w:top w:val="single" w:sz="8" w:color="auto"/>
            </w:tcBorders>
            <w:shd w:val="clear" w:color="auto" w:fill="DBDBDB"/>
          </w:tcPr>
          <w:p>
            <w:pPr>
              <w:spacing w:after="0"/>
              <w:rPr>
                <w:sz w:val="14"/>
                <w:szCs w:val="14"/>
                <w:color w:val="auto"/>
              </w:rPr>
            </w:pPr>
          </w:p>
        </w:tc>
        <w:tc>
          <w:tcPr>
            <w:tcW w:w="1260" w:type="dxa"/>
            <w:vAlign w:val="bottom"/>
            <w:tcBorders>
              <w:top w:val="single" w:sz="8" w:color="auto"/>
            </w:tcBorders>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03"/>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10.1</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448.9</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377.6</w:t>
            </w: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47.3</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04"/>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(155.4)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r>
      <w:tr>
        <w:trPr>
          <w:trHeight w:val="196"/>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 current</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(98.0)</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441.1</w:t>
            </w:r>
          </w:p>
        </w:tc>
      </w:tr>
      <w:tr>
        <w:trPr>
          <w:trHeight w:val="181"/>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Deferred:</w:t>
            </w:r>
          </w:p>
        </w:tc>
        <w:tc>
          <w:tcPr>
            <w:tcW w:w="38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346.1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(154.5)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(587.4)</w:t>
            </w: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04"/>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40.6</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294.3</w:t>
            </w:r>
          </w:p>
        </w:tc>
      </w:tr>
      <w:tr>
        <w:trPr>
          <w:trHeight w:val="198"/>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 deferred</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361.6</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(305.8)</w:t>
            </w:r>
          </w:p>
        </w:tc>
      </w:tr>
      <w:tr>
        <w:trPr>
          <w:trHeight w:val="220"/>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Total income tax (benefit) expense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263.6</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273.8</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135.3</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lower Federal current provision in 2025 reflects the impact of a tax deduction for certain previously deferred capitalized research and development expenditures under the OBBBA and the impact of recording a capital loss on our sale of Sage common stock.</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Foreign current benefit reflects the non-cash benefit of current year valuation allowance changes.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Transition Toll Tax</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Tax Cuts and Jobs Act of 2017 eliminated the deferral of U.S. income tax on the historical unrepatriated earnings by imposing the one-time mandatory deemed repatriation tax on accumulated foreign subsidiaries' previously untaxed foreign earnings. The Transition Toll Tax was assessed on our share of our foreign corporations' accumulated foreign earnings that were not previously taxed. Earnings in the form of cash and cash equivalents were taxed at a rate of 15.5% and all other earnings were taxed at a rate of 8.0%.</w:t>
      </w:r>
    </w:p>
    <w:p>
      <w:pPr>
        <w:spacing w:after="0" w:line="68"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As of December 31, 2024, we accrued income tax liabilities of approximately $234.0 million under the Transition Toll Tax, which was subsequently paid in full in April 2025.</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Unremitted Earnings</w:t>
      </w:r>
    </w:p>
    <w:p>
      <w:pPr>
        <w:spacing w:after="0" w:line="9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December 31, 2025, we considered our earnings not to be permanently reinvested outside the U.S. and therefore recorded deferred tax liabilities associated with an estimate of the total withholding taxes expected as a result of our repatriation of earnings. Other than for earnings, we are permanently reinvested for book/tax basis differences, primarily arising through the impacts of purchase accounting. These permanently reinvested basis differences could reverse through sales of the foreign subsidiaries, as well as various other events, none of which were considered probable as of December 31, 2025. The residual U.S. tax liability, if these differences reverse, would be between $300.0 million and $400.0 million as of December 31, 2025.</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Deferred Tax Assets and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our deferred tax assets and liabilities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7"/>
                <w:szCs w:val="17"/>
                <w:color w:val="auto"/>
              </w:rPr>
            </w:pPr>
          </w:p>
        </w:tc>
      </w:tr>
      <w:tr>
        <w:trPr>
          <w:trHeight w:val="197"/>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20" w:type="dxa"/>
            <w:vAlign w:val="bottom"/>
            <w:tcBorders>
              <w:bottom w:val="single" w:sz="8" w:color="auto"/>
            </w:tcBorders>
            <w:shd w:val="clear" w:color="auto" w:fill="DDDDDD"/>
          </w:tcPr>
          <w:p>
            <w:pPr>
              <w:spacing w:after="0"/>
              <w:rPr>
                <w:sz w:val="17"/>
                <w:szCs w:val="17"/>
                <w:color w:val="auto"/>
              </w:rPr>
            </w:pPr>
          </w:p>
        </w:tc>
        <w:tc>
          <w:tcPr>
            <w:tcW w:w="13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2024</w:t>
            </w:r>
          </w:p>
        </w:tc>
      </w:tr>
      <w:tr>
        <w:trPr>
          <w:trHeight w:val="189"/>
        </w:trPr>
        <w:tc>
          <w:tcPr>
            <w:tcW w:w="7560" w:type="dxa"/>
            <w:vAlign w:val="bottom"/>
            <w:gridSpan w:val="2"/>
          </w:tcPr>
          <w:p>
            <w:pPr>
              <w:ind w:left="20"/>
              <w:spacing w:after="0"/>
              <w:rPr>
                <w:sz w:val="20"/>
                <w:szCs w:val="20"/>
                <w:color w:val="auto"/>
              </w:rPr>
            </w:pPr>
            <w:r>
              <w:rPr>
                <w:rFonts w:ascii="Arial" w:cs="Arial" w:eastAsia="Arial" w:hAnsi="Arial"/>
                <w:sz w:val="14"/>
                <w:szCs w:val="14"/>
                <w:i w:val="1"/>
                <w:iCs w:val="1"/>
                <w:color w:val="auto"/>
              </w:rPr>
              <w:t>Deferred tax assets:</w:t>
            </w:r>
          </w:p>
        </w:tc>
        <w:tc>
          <w:tcPr>
            <w:tcW w:w="420" w:type="dxa"/>
            <w:vAlign w:val="bottom"/>
            <w:shd w:val="clear" w:color="auto" w:fill="DDDDDD"/>
          </w:tcPr>
          <w:p>
            <w:pPr>
              <w:spacing w:after="0"/>
              <w:rPr>
                <w:sz w:val="16"/>
                <w:szCs w:val="16"/>
                <w:color w:val="auto"/>
              </w:rPr>
            </w:pPr>
          </w:p>
        </w:tc>
        <w:tc>
          <w:tcPr>
            <w:tcW w:w="13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Tax credits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286.1</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294.0</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Inventory, other reserves and accruals</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246.9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219.2</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Intangibles, net</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886.5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989.6</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Capitalized research and development</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457.2</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733.9</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Net operating loss</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1,082.8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1,357.2</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36.1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34.4</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141.7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318.4</w:t>
            </w:r>
          </w:p>
        </w:tc>
      </w:tr>
      <w:tr>
        <w:trPr>
          <w:trHeight w:val="207"/>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Valuation allowance</w:t>
            </w: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(832.2)</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(1,013.7)</w:t>
            </w:r>
          </w:p>
        </w:tc>
      </w:tr>
      <w:tr>
        <w:trPr>
          <w:trHeight w:val="241"/>
        </w:trPr>
        <w:tc>
          <w:tcPr>
            <w:tcW w:w="7560" w:type="dxa"/>
            <w:vAlign w:val="bottom"/>
            <w:gridSpan w:val="2"/>
          </w:tcPr>
          <w:p>
            <w:pPr>
              <w:ind w:left="360"/>
              <w:spacing w:after="0"/>
              <w:rPr>
                <w:sz w:val="20"/>
                <w:szCs w:val="20"/>
                <w:color w:val="auto"/>
              </w:rPr>
            </w:pPr>
            <w:r>
              <w:rPr>
                <w:rFonts w:ascii="Arial" w:cs="Arial" w:eastAsia="Arial" w:hAnsi="Arial"/>
                <w:sz w:val="14"/>
                <w:szCs w:val="14"/>
                <w:color w:val="auto"/>
              </w:rPr>
              <w:t>Total deferred tax assets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2,305.1</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2,933.0</w:t>
            </w:r>
          </w:p>
        </w:tc>
      </w:tr>
      <w:tr>
        <w:trPr>
          <w:trHeight w:val="161"/>
        </w:trPr>
        <w:tc>
          <w:tcPr>
            <w:tcW w:w="7560" w:type="dxa"/>
            <w:vAlign w:val="bottom"/>
            <w:gridSpan w:val="2"/>
          </w:tcPr>
          <w:p>
            <w:pPr>
              <w:ind w:left="20"/>
              <w:spacing w:after="0"/>
              <w:rPr>
                <w:sz w:val="20"/>
                <w:szCs w:val="20"/>
                <w:color w:val="auto"/>
              </w:rPr>
            </w:pPr>
            <w:r>
              <w:rPr>
                <w:rFonts w:ascii="Arial" w:cs="Arial" w:eastAsia="Arial" w:hAnsi="Arial"/>
                <w:sz w:val="14"/>
                <w:szCs w:val="14"/>
                <w:i w:val="1"/>
                <w:iCs w:val="1"/>
                <w:color w:val="auto"/>
              </w:rPr>
              <w:t>Deferred tax liabilities:</w:t>
            </w:r>
          </w:p>
        </w:tc>
        <w:tc>
          <w:tcPr>
            <w:tcW w:w="420" w:type="dxa"/>
            <w:vAlign w:val="bottom"/>
            <w:tcBorders>
              <w:top w:val="single" w:sz="8" w:color="auto"/>
            </w:tcBorders>
            <w:shd w:val="clear" w:color="auto" w:fill="DBDBDB"/>
          </w:tcPr>
          <w:p>
            <w:pPr>
              <w:spacing w:after="0"/>
              <w:rPr>
                <w:sz w:val="14"/>
                <w:szCs w:val="14"/>
                <w:color w:val="auto"/>
              </w:rPr>
            </w:pPr>
          </w:p>
        </w:tc>
        <w:tc>
          <w:tcPr>
            <w:tcW w:w="13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Purchased inventory valuation step-up and intangible assets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(1,456.1)</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(1,529.6)</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GILTI</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(891.3)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(1,054.8)</w:t>
            </w:r>
          </w:p>
        </w:tc>
      </w:tr>
      <w:tr>
        <w:trPr>
          <w:trHeight w:val="207"/>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other</w:t>
            </w: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(172.8)</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w:t>
            </w:r>
          </w:p>
        </w:tc>
      </w:tr>
      <w:tr>
        <w:trPr>
          <w:trHeight w:val="220"/>
        </w:trPr>
        <w:tc>
          <w:tcPr>
            <w:tcW w:w="7560" w:type="dxa"/>
            <w:vAlign w:val="bottom"/>
            <w:gridSpan w:val="2"/>
          </w:tcPr>
          <w:p>
            <w:pPr>
              <w:ind w:left="360"/>
              <w:spacing w:after="0"/>
              <w:rPr>
                <w:sz w:val="20"/>
                <w:szCs w:val="20"/>
                <w:color w:val="auto"/>
              </w:rPr>
            </w:pPr>
            <w:r>
              <w:rPr>
                <w:rFonts w:ascii="Arial" w:cs="Arial" w:eastAsia="Arial" w:hAnsi="Arial"/>
                <w:sz w:val="14"/>
                <w:szCs w:val="14"/>
                <w:color w:val="auto"/>
              </w:rPr>
              <w:t>Total deferred tax liabilities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(2,520.2)</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(2,799.3)</w:t>
            </w:r>
          </w:p>
        </w:tc>
      </w:tr>
      <w:tr>
        <w:trPr>
          <w:trHeight w:val="20"/>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As of December 31, 2025, 2024, 2023 and 2022, we had a valuation allowance of $832.2 million, $ 1,013.7 million, $1,278.7 million and $2,003.3 million, respectively, related to net operating losses in Switzerland and Neurimmune's tax basis in ADUHELM.</w:t>
      </w:r>
    </w:p>
    <w:p>
      <w:pPr>
        <w:spacing w:after="0" w:line="4"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The change in the valuation allowance between December 31, 2025 and 2024, was primarily driven by movements in net operating loss deferred tax assets in Switzerland. The net income tax impact of the changes in the valuation allowance was a benefit of approximately $37.9 million for the year ended December 31, 2025.</w:t>
      </w:r>
    </w:p>
    <w:p>
      <w:pPr>
        <w:spacing w:after="0" w:line="22"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The change in the valuation allowance between December 31, 2024 and 2023, was primarily driven by movements in net operating loss deferred tax assets in Switzerland. The net income tax impact of the changes in the valuation allowance was a benefit of approximately $56.8 million for the year ended December 31, 2024.</w:t>
      </w:r>
    </w:p>
    <w:p>
      <w:pPr>
        <w:spacing w:after="0" w:line="36"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 xml:space="preserve">The change in the valuation allowance between December 31, 2023 and 2022, was primarily driven by a reduction of approximately $470.3 million related to the elimination of Neurimmune's tax basis in ADUHELM as a result of its deconsolidation and reduction of approximately $230.3 million due to movements in net operating loss deferred tax assets in Switzerland. The net income tax impact of the changes in the valuation allowance was an expense of approximately $7.4 million for the year ended December 31, 2023. For additional information on the deconsolidation and our collaboration arrangement with Neurimmune, please read </w:t>
      </w:r>
      <w:r>
        <w:rPr>
          <w:rFonts w:ascii="Arial" w:cs="Arial" w:eastAsia="Arial" w:hAnsi="Arial"/>
          <w:sz w:val="18"/>
          <w:szCs w:val="18"/>
          <w:i w:val="1"/>
          <w:iCs w:val="1"/>
          <w:color w:val="auto"/>
        </w:rPr>
        <w:t>Note 20, Investments in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Entities</w:t>
      </w:r>
      <w:r>
        <w:rPr>
          <w:rFonts w:ascii="Arial" w:cs="Arial" w:eastAsia="Arial" w:hAnsi="Arial"/>
          <w:sz w:val="18"/>
          <w:szCs w:val="18"/>
          <w:color w:val="auto"/>
        </w:rPr>
        <w:t>, to these consolidated financial statements.</w:t>
      </w:r>
    </w:p>
    <w:p>
      <w:pPr>
        <w:spacing w:after="0" w:line="7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to deferred tax assets and liabilities, we have recorded deferred charges related to intra-entity sales of inventory. As of December 31, 2025 and 2024, the total deferred charges were $498.8 million and $273.1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2025 OBBBA Tax Provisions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On July 4, 2025, the U.S. signed into law the H.R.1 legislation formally titled "An Act to Provide for Reconciliation Pursuant to Title II of 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 Res. 14", commonly referred to as the OBBBA.</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OBBBA contains tax provisions, such as the permanent extension or revision of certain expiring provisions of the Tax Cuts and Jobs Act enacted in 2017, modifications to the international tax framework and the restoration of favorable tax treatment for certain business provisions. The provisions of the OBBBA have multiple effective dates, with certain provisions effective in 2025 and others implemented through 2027. The OBBBA did not result in any material adjustments to our total income tax provision for the year ended December 31, 2025, and we have adjusted our deferred tax balances to reflect the impacts of the OBBBA enactment.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Pillar Two</w:t>
      </w:r>
    </w:p>
    <w:p>
      <w:pPr>
        <w:spacing w:after="0" w:line="126"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The OECD has issued model rules, which generally provide for a jurisdictional minimum effective tax rate of 15.0% as defined in those rules. Various countries have or are in the process of enacting legislation intended to implement the principles. Our income tax provision for the years ended December 31, 2025 and 2024, reflects currently enacted legislation and guidance related to the OECD model rules including the Pillar Two side-by-side package announced by the OECD in January 2026. This enacted legislation and guidance related to the OECD model rules did not result in any material adjustments to our income tax provision or income tax balances as of December 31, 2025 and 2024.</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Tax Rate</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year ended December 31, 2025, we adopted ASU 2023-09 on a prospective basis. In preparing the tabular rate reconciliation, we are presenting the effects of cross-border tax laws net of the related U.S. tax credits. The tax effects for all jurisdictions of changes in judgment related to tax positions taken in prior annual reporting periods, and associated interest, are reported in the changes in unrecognized tax benefits category. Unrecognized tax benefits related to current year tax positions are shown net with the reconciling item that relates to the uncertain tax position.</w:t>
      </w:r>
    </w:p>
    <w:p>
      <w:pPr>
        <w:spacing w:after="0" w:line="58" w:lineRule="exact"/>
        <w:rPr>
          <w:sz w:val="20"/>
          <w:szCs w:val="20"/>
          <w:color w:val="auto"/>
        </w:rPr>
      </w:pPr>
    </w:p>
    <w:p>
      <w:pPr>
        <w:ind w:right="380"/>
        <w:spacing w:after="0" w:line="279" w:lineRule="auto"/>
        <w:rPr>
          <w:sz w:val="20"/>
          <w:szCs w:val="20"/>
          <w:color w:val="auto"/>
        </w:rPr>
      </w:pPr>
      <w:r>
        <w:rPr>
          <w:rFonts w:ascii="Arial" w:cs="Arial" w:eastAsia="Arial" w:hAnsi="Arial"/>
          <w:sz w:val="18"/>
          <w:szCs w:val="18"/>
          <w:color w:val="auto"/>
        </w:rPr>
        <w:t>The following table is a reconciliation of the U.S. federal statutory rate of 21.0% to our effective tax rate for the year ended December 31, 2025, in accordance with the guidance in ASU 2023-09.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4"/>
          </w:tcPr>
          <w:p>
            <w:pPr>
              <w:jc w:val="right"/>
              <w:ind w:right="868"/>
              <w:spacing w:after="0"/>
              <w:rPr>
                <w:sz w:val="20"/>
                <w:szCs w:val="20"/>
                <w:color w:val="auto"/>
              </w:rPr>
            </w:pPr>
            <w:r>
              <w:rPr>
                <w:rFonts w:ascii="Arial" w:cs="Arial" w:eastAsia="Arial" w:hAnsi="Arial"/>
                <w:sz w:val="14"/>
                <w:szCs w:val="14"/>
                <w:b w:val="1"/>
                <w:bCs w:val="1"/>
                <w:color w:val="auto"/>
              </w:rPr>
              <w:t>For the Year Ended December 31, 2025</w:t>
            </w:r>
          </w:p>
        </w:tc>
      </w:tr>
      <w:tr>
        <w:trPr>
          <w:trHeight w:val="197"/>
        </w:trPr>
        <w:tc>
          <w:tcPr>
            <w:tcW w:w="6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2280" w:type="dxa"/>
            <w:vAlign w:val="bottom"/>
            <w:tcBorders>
              <w:bottom w:val="single" w:sz="8" w:color="auto"/>
            </w:tcBorders>
            <w:gridSpan w:val="2"/>
          </w:tcPr>
          <w:p>
            <w:pPr>
              <w:jc w:val="right"/>
              <w:ind w:right="908"/>
              <w:spacing w:after="0"/>
              <w:rPr>
                <w:sz w:val="20"/>
                <w:szCs w:val="20"/>
                <w:color w:val="auto"/>
              </w:rPr>
            </w:pPr>
            <w:r>
              <w:rPr>
                <w:rFonts w:ascii="Arial" w:cs="Arial" w:eastAsia="Arial" w:hAnsi="Arial"/>
                <w:sz w:val="14"/>
                <w:szCs w:val="14"/>
                <w:b w:val="1"/>
                <w:bCs w:val="1"/>
                <w:color w:val="auto"/>
              </w:rPr>
              <w:t>Rate</w:t>
            </w:r>
          </w:p>
        </w:tc>
      </w:tr>
      <w:tr>
        <w:trPr>
          <w:trHeight w:val="189"/>
        </w:trPr>
        <w:tc>
          <w:tcPr>
            <w:tcW w:w="6700" w:type="dxa"/>
            <w:vAlign w:val="bottom"/>
            <w:gridSpan w:val="3"/>
          </w:tcPr>
          <w:p>
            <w:pPr>
              <w:ind w:left="20"/>
              <w:spacing w:after="0"/>
              <w:rPr>
                <w:sz w:val="20"/>
                <w:szCs w:val="20"/>
                <w:color w:val="auto"/>
              </w:rPr>
            </w:pPr>
            <w:r>
              <w:rPr>
                <w:rFonts w:ascii="Arial" w:cs="Arial" w:eastAsia="Arial" w:hAnsi="Arial"/>
                <w:sz w:val="14"/>
                <w:szCs w:val="14"/>
                <w:color w:val="auto"/>
              </w:rPr>
              <w:t>Statutory rate</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0070C0"/>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326.9</w:t>
            </w:r>
          </w:p>
        </w:tc>
        <w:tc>
          <w:tcPr>
            <w:tcW w:w="100" w:type="dxa"/>
            <w:vAlign w:val="bottom"/>
          </w:tcPr>
          <w:p>
            <w:pPr>
              <w:spacing w:after="0"/>
              <w:rPr>
                <w:sz w:val="16"/>
                <w:szCs w:val="16"/>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11"/>
        </w:trPr>
        <w:tc>
          <w:tcPr>
            <w:tcW w:w="6700" w:type="dxa"/>
            <w:vAlign w:val="bottom"/>
            <w:gridSpan w:val="3"/>
          </w:tcPr>
          <w:p>
            <w:pPr>
              <w:ind w:left="20"/>
              <w:spacing w:after="0"/>
              <w:rPr>
                <w:sz w:val="20"/>
                <w:szCs w:val="20"/>
                <w:color w:val="auto"/>
              </w:rPr>
            </w:pPr>
            <w:r>
              <w:rPr>
                <w:rFonts w:ascii="Arial" w:cs="Arial" w:eastAsia="Arial" w:hAnsi="Arial"/>
                <w:sz w:val="14"/>
                <w:szCs w:val="14"/>
                <w:color w:val="auto"/>
              </w:rPr>
              <w:t>State and local income taxes, net of federal income tax effect</w:t>
            </w:r>
            <w:r>
              <w:rPr>
                <w:rFonts w:ascii="Arial" w:cs="Arial" w:eastAsia="Arial" w:hAnsi="Arial"/>
                <w:sz w:val="18"/>
                <w:szCs w:val="18"/>
                <w:color w:val="auto"/>
                <w:vertAlign w:val="superscript"/>
              </w:rPr>
              <w:t>(1)</w:t>
            </w:r>
          </w:p>
        </w:tc>
        <w:tc>
          <w:tcPr>
            <w:tcW w:w="460" w:type="dxa"/>
            <w:vAlign w:val="bottom"/>
            <w:shd w:val="clear" w:color="auto" w:fill="DBDBDB"/>
          </w:tcPr>
          <w:p>
            <w:pPr>
              <w:spacing w:after="0"/>
              <w:rPr>
                <w:sz w:val="18"/>
                <w:szCs w:val="18"/>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8.5</w:t>
            </w:r>
          </w:p>
        </w:tc>
        <w:tc>
          <w:tcPr>
            <w:tcW w:w="100" w:type="dxa"/>
            <w:vAlign w:val="bottom"/>
          </w:tcPr>
          <w:p>
            <w:pPr>
              <w:spacing w:after="0"/>
              <w:rPr>
                <w:sz w:val="18"/>
                <w:szCs w:val="18"/>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0.5</w:t>
            </w:r>
          </w:p>
        </w:tc>
        <w:tc>
          <w:tcPr>
            <w:tcW w:w="140" w:type="dxa"/>
            <w:vAlign w:val="bottom"/>
            <w:shd w:val="clear" w:color="auto" w:fill="DBDBDB"/>
          </w:tcPr>
          <w:p>
            <w:pPr>
              <w:spacing w:after="0"/>
              <w:rPr>
                <w:sz w:val="18"/>
                <w:szCs w:val="18"/>
                <w:color w:val="auto"/>
              </w:rPr>
            </w:pPr>
          </w:p>
        </w:tc>
      </w:tr>
      <w:tr>
        <w:trPr>
          <w:trHeight w:val="194"/>
        </w:trPr>
        <w:tc>
          <w:tcPr>
            <w:tcW w:w="6700" w:type="dxa"/>
            <w:vAlign w:val="bottom"/>
            <w:gridSpan w:val="3"/>
          </w:tcPr>
          <w:p>
            <w:pPr>
              <w:ind w:left="20"/>
              <w:spacing w:after="0"/>
              <w:rPr>
                <w:sz w:val="20"/>
                <w:szCs w:val="20"/>
                <w:color w:val="auto"/>
              </w:rPr>
            </w:pPr>
            <w:r>
              <w:rPr>
                <w:rFonts w:ascii="Arial" w:cs="Arial" w:eastAsia="Arial" w:hAnsi="Arial"/>
                <w:sz w:val="14"/>
                <w:szCs w:val="14"/>
                <w:color w:val="auto"/>
              </w:rPr>
              <w:t>Foreign tax effects:</w:t>
            </w:r>
          </w:p>
        </w:tc>
        <w:tc>
          <w:tcPr>
            <w:tcW w:w="460" w:type="dxa"/>
            <w:vAlign w:val="bottom"/>
            <w:shd w:val="clear" w:color="auto" w:fill="DBDBDB"/>
          </w:tcPr>
          <w:p>
            <w:pPr>
              <w:spacing w:after="0"/>
              <w:rPr>
                <w:sz w:val="16"/>
                <w:szCs w:val="16"/>
                <w:color w:val="auto"/>
              </w:rPr>
            </w:pPr>
          </w:p>
        </w:tc>
        <w:tc>
          <w:tcPr>
            <w:tcW w:w="17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r>
      <w:tr>
        <w:trPr>
          <w:trHeight w:val="203"/>
        </w:trPr>
        <w:tc>
          <w:tcPr>
            <w:tcW w:w="6700" w:type="dxa"/>
            <w:vAlign w:val="bottom"/>
            <w:gridSpan w:val="3"/>
          </w:tcPr>
          <w:p>
            <w:pPr>
              <w:ind w:left="140"/>
              <w:spacing w:after="0"/>
              <w:rPr>
                <w:sz w:val="20"/>
                <w:szCs w:val="20"/>
                <w:color w:val="auto"/>
              </w:rPr>
            </w:pPr>
            <w:r>
              <w:rPr>
                <w:rFonts w:ascii="Arial" w:cs="Arial" w:eastAsia="Arial" w:hAnsi="Arial"/>
                <w:sz w:val="14"/>
                <w:szCs w:val="14"/>
                <w:color w:val="auto"/>
              </w:rPr>
              <w:t>Italy</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40"/>
              <w:spacing w:after="0"/>
              <w:rPr>
                <w:sz w:val="20"/>
                <w:szCs w:val="20"/>
                <w:color w:val="auto"/>
              </w:rPr>
            </w:pPr>
            <w:r>
              <w:rPr>
                <w:rFonts w:ascii="Arial" w:cs="Arial" w:eastAsia="Arial" w:hAnsi="Arial"/>
                <w:sz w:val="14"/>
                <w:szCs w:val="14"/>
                <w:color w:val="auto"/>
              </w:rPr>
              <w:t>Withholding tax</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(20.4)</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40"/>
              <w:spacing w:after="0"/>
              <w:rPr>
                <w:sz w:val="20"/>
                <w:szCs w:val="20"/>
                <w:color w:val="auto"/>
              </w:rPr>
            </w:pPr>
            <w:r>
              <w:rPr>
                <w:rFonts w:ascii="Arial" w:cs="Arial" w:eastAsia="Arial" w:hAnsi="Arial"/>
                <w:sz w:val="14"/>
                <w:szCs w:val="14"/>
                <w:color w:val="auto"/>
              </w:rPr>
              <w:t>Other</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0.1</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140"/>
              <w:spacing w:after="0"/>
              <w:rPr>
                <w:sz w:val="20"/>
                <w:szCs w:val="20"/>
                <w:color w:val="auto"/>
              </w:rPr>
            </w:pPr>
            <w:r>
              <w:rPr>
                <w:rFonts w:ascii="Arial" w:cs="Arial" w:eastAsia="Arial" w:hAnsi="Arial"/>
                <w:sz w:val="14"/>
                <w:szCs w:val="14"/>
                <w:color w:val="auto"/>
              </w:rPr>
              <w:t>Switzerland</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40"/>
              <w:spacing w:after="0"/>
              <w:rPr>
                <w:sz w:val="20"/>
                <w:szCs w:val="20"/>
                <w:color w:val="auto"/>
              </w:rPr>
            </w:pPr>
            <w:r>
              <w:rPr>
                <w:rFonts w:ascii="Arial" w:cs="Arial" w:eastAsia="Arial" w:hAnsi="Arial"/>
                <w:sz w:val="14"/>
                <w:szCs w:val="14"/>
                <w:color w:val="auto"/>
              </w:rPr>
              <w:t>Statutory tax rate difference</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(22.1)</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40"/>
              <w:spacing w:after="0"/>
              <w:rPr>
                <w:sz w:val="20"/>
                <w:szCs w:val="20"/>
                <w:color w:val="auto"/>
              </w:rPr>
            </w:pPr>
            <w:r>
              <w:rPr>
                <w:rFonts w:ascii="Arial" w:cs="Arial" w:eastAsia="Arial" w:hAnsi="Arial"/>
                <w:sz w:val="14"/>
                <w:szCs w:val="14"/>
                <w:color w:val="auto"/>
              </w:rPr>
              <w:t>Cantonal tax impact</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11.9</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0.8</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40"/>
              <w:spacing w:after="0"/>
              <w:rPr>
                <w:sz w:val="20"/>
                <w:szCs w:val="20"/>
                <w:color w:val="auto"/>
              </w:rPr>
            </w:pPr>
            <w:r>
              <w:rPr>
                <w:rFonts w:ascii="Arial" w:cs="Arial" w:eastAsia="Arial" w:hAnsi="Arial"/>
                <w:sz w:val="14"/>
                <w:szCs w:val="14"/>
                <w:color w:val="auto"/>
              </w:rPr>
              <w:t>Pillar Two taxes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(17.2)</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40"/>
              <w:spacing w:after="0"/>
              <w:rPr>
                <w:sz w:val="20"/>
                <w:szCs w:val="20"/>
                <w:color w:val="auto"/>
              </w:rPr>
            </w:pPr>
            <w:r>
              <w:rPr>
                <w:rFonts w:ascii="Arial" w:cs="Arial" w:eastAsia="Arial" w:hAnsi="Arial"/>
                <w:sz w:val="14"/>
                <w:szCs w:val="14"/>
                <w:color w:val="auto"/>
              </w:rPr>
              <w:t>Changes in valuation allowances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(190.2)</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(12.2)</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40"/>
              <w:spacing w:after="0"/>
              <w:rPr>
                <w:sz w:val="20"/>
                <w:szCs w:val="20"/>
                <w:color w:val="auto"/>
              </w:rPr>
            </w:pPr>
            <w:r>
              <w:rPr>
                <w:rFonts w:ascii="Arial" w:cs="Arial" w:eastAsia="Arial" w:hAnsi="Arial"/>
                <w:sz w:val="14"/>
                <w:szCs w:val="14"/>
                <w:color w:val="auto"/>
              </w:rPr>
              <w:t>Taxable intercompany dividend</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22.8</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40"/>
              <w:spacing w:after="0"/>
              <w:rPr>
                <w:sz w:val="20"/>
                <w:szCs w:val="20"/>
                <w:color w:val="auto"/>
              </w:rPr>
            </w:pPr>
            <w:r>
              <w:rPr>
                <w:rFonts w:ascii="Arial" w:cs="Arial" w:eastAsia="Arial" w:hAnsi="Arial"/>
                <w:sz w:val="14"/>
                <w:szCs w:val="14"/>
                <w:color w:val="auto"/>
              </w:rPr>
              <w:t>Other</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(6.1)</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(0.4)</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140"/>
              <w:spacing w:after="0"/>
              <w:rPr>
                <w:sz w:val="20"/>
                <w:szCs w:val="20"/>
                <w:color w:val="auto"/>
              </w:rPr>
            </w:pPr>
            <w:r>
              <w:rPr>
                <w:rFonts w:ascii="Arial" w:cs="Arial" w:eastAsia="Arial" w:hAnsi="Arial"/>
                <w:sz w:val="14"/>
                <w:szCs w:val="14"/>
                <w:color w:val="auto"/>
              </w:rPr>
              <w:t>U.K.</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40"/>
              <w:spacing w:after="0"/>
              <w:rPr>
                <w:sz w:val="20"/>
                <w:szCs w:val="20"/>
                <w:color w:val="auto"/>
              </w:rPr>
            </w:pPr>
            <w:r>
              <w:rPr>
                <w:rFonts w:ascii="Arial" w:cs="Arial" w:eastAsia="Arial" w:hAnsi="Arial"/>
                <w:sz w:val="14"/>
                <w:szCs w:val="14"/>
                <w:color w:val="auto"/>
              </w:rPr>
              <w:t>Litigation matter</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21.0</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40"/>
              <w:spacing w:after="0"/>
              <w:rPr>
                <w:sz w:val="20"/>
                <w:szCs w:val="20"/>
                <w:color w:val="auto"/>
              </w:rPr>
            </w:pPr>
            <w:r>
              <w:rPr>
                <w:rFonts w:ascii="Arial" w:cs="Arial" w:eastAsia="Arial" w:hAnsi="Arial"/>
                <w:sz w:val="14"/>
                <w:szCs w:val="14"/>
                <w:color w:val="auto"/>
              </w:rPr>
              <w:t>Other</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0.7</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140"/>
              <w:spacing w:after="0"/>
              <w:rPr>
                <w:sz w:val="20"/>
                <w:szCs w:val="20"/>
                <w:color w:val="auto"/>
              </w:rPr>
            </w:pPr>
            <w:r>
              <w:rPr>
                <w:rFonts w:ascii="Arial" w:cs="Arial" w:eastAsia="Arial" w:hAnsi="Arial"/>
                <w:sz w:val="14"/>
                <w:szCs w:val="14"/>
                <w:color w:val="auto"/>
              </w:rPr>
              <w:t>Other foreign jurisdictions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9.5</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0.6</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Arial" w:cs="Arial" w:eastAsia="Arial" w:hAnsi="Arial"/>
                <w:sz w:val="14"/>
                <w:szCs w:val="14"/>
                <w:color w:val="auto"/>
              </w:rPr>
              <w:t>Effects of changes in tax laws or rates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(11.5)</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(0.7)</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Arial" w:cs="Arial" w:eastAsia="Arial" w:hAnsi="Arial"/>
                <w:sz w:val="14"/>
                <w:szCs w:val="14"/>
                <w:color w:val="auto"/>
              </w:rPr>
              <w:t>Effects of cross-border tax laws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140"/>
              <w:spacing w:after="0"/>
              <w:rPr>
                <w:sz w:val="20"/>
                <w:szCs w:val="20"/>
                <w:color w:val="auto"/>
              </w:rPr>
            </w:pPr>
            <w:r>
              <w:rPr>
                <w:rFonts w:ascii="Arial" w:cs="Arial" w:eastAsia="Arial" w:hAnsi="Arial"/>
                <w:sz w:val="14"/>
                <w:szCs w:val="14"/>
                <w:color w:val="auto"/>
              </w:rPr>
              <w:t>GILTI, net of foreign tax credits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88.0</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5.7</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140"/>
              <w:spacing w:after="0"/>
              <w:rPr>
                <w:sz w:val="20"/>
                <w:szCs w:val="20"/>
                <w:color w:val="auto"/>
              </w:rPr>
            </w:pPr>
            <w:r>
              <w:rPr>
                <w:rFonts w:ascii="Arial" w:cs="Arial" w:eastAsia="Arial" w:hAnsi="Arial"/>
                <w:sz w:val="14"/>
                <w:szCs w:val="14"/>
                <w:color w:val="auto"/>
              </w:rPr>
              <w:t>Other, net of foreign tax credits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18.5</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Arial" w:cs="Arial" w:eastAsia="Arial" w:hAnsi="Arial"/>
                <w:sz w:val="14"/>
                <w:szCs w:val="14"/>
                <w:color w:val="auto"/>
              </w:rPr>
              <w:t>Tax Credits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140"/>
              <w:spacing w:after="0"/>
              <w:rPr>
                <w:sz w:val="20"/>
                <w:szCs w:val="20"/>
                <w:color w:val="auto"/>
              </w:rPr>
            </w:pPr>
            <w:r>
              <w:rPr>
                <w:rFonts w:ascii="Arial" w:cs="Arial" w:eastAsia="Arial" w:hAnsi="Arial"/>
                <w:sz w:val="14"/>
                <w:szCs w:val="14"/>
                <w:color w:val="auto"/>
              </w:rPr>
              <w:t>Orphan drug credits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(31.3)</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(2.0)</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140"/>
              <w:spacing w:after="0"/>
              <w:rPr>
                <w:sz w:val="20"/>
                <w:szCs w:val="20"/>
                <w:color w:val="auto"/>
              </w:rPr>
            </w:pPr>
            <w:r>
              <w:rPr>
                <w:rFonts w:ascii="Arial" w:cs="Arial" w:eastAsia="Arial" w:hAnsi="Arial"/>
                <w:sz w:val="14"/>
                <w:szCs w:val="14"/>
                <w:color w:val="auto"/>
              </w:rPr>
              <w:t>Other credits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(4.5)</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(0.3)</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Arial" w:cs="Arial" w:eastAsia="Arial" w:hAnsi="Arial"/>
                <w:sz w:val="14"/>
                <w:szCs w:val="14"/>
                <w:color w:val="auto"/>
              </w:rPr>
              <w:t>Nontaxable or nondeductible items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140"/>
              <w:spacing w:after="0"/>
              <w:rPr>
                <w:sz w:val="20"/>
                <w:szCs w:val="20"/>
                <w:color w:val="auto"/>
              </w:rPr>
            </w:pPr>
            <w:r>
              <w:rPr>
                <w:rFonts w:ascii="Arial" w:cs="Arial" w:eastAsia="Arial" w:hAnsi="Arial"/>
                <w:sz w:val="14"/>
                <w:szCs w:val="14"/>
                <w:color w:val="auto"/>
              </w:rPr>
              <w:t>Equity compensation</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18.9</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140"/>
              <w:spacing w:after="0"/>
              <w:rPr>
                <w:sz w:val="20"/>
                <w:szCs w:val="20"/>
                <w:color w:val="auto"/>
              </w:rPr>
            </w:pPr>
            <w:r>
              <w:rPr>
                <w:rFonts w:ascii="Arial" w:cs="Arial" w:eastAsia="Arial" w:hAnsi="Arial"/>
                <w:sz w:val="14"/>
                <w:szCs w:val="14"/>
                <w:color w:val="auto"/>
              </w:rPr>
              <w:t>Other permanent differences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16.9</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w:t>
            </w:r>
          </w:p>
        </w:tc>
        <w:tc>
          <w:tcPr>
            <w:tcW w:w="140" w:type="dxa"/>
            <w:vAlign w:val="bottom"/>
            <w:shd w:val="clear" w:color="auto" w:fill="DBDBDB"/>
          </w:tcPr>
          <w:p>
            <w:pPr>
              <w:spacing w:after="0"/>
              <w:rPr>
                <w:sz w:val="17"/>
                <w:szCs w:val="17"/>
                <w:color w:val="auto"/>
              </w:rPr>
            </w:pPr>
          </w:p>
        </w:tc>
      </w:tr>
      <w:tr>
        <w:trPr>
          <w:trHeight w:val="203"/>
        </w:trPr>
        <w:tc>
          <w:tcPr>
            <w:tcW w:w="6700" w:type="dxa"/>
            <w:vAlign w:val="bottom"/>
            <w:gridSpan w:val="3"/>
          </w:tcPr>
          <w:p>
            <w:pPr>
              <w:ind w:left="20"/>
              <w:spacing w:after="0"/>
              <w:rPr>
                <w:sz w:val="20"/>
                <w:szCs w:val="20"/>
                <w:color w:val="auto"/>
              </w:rPr>
            </w:pPr>
            <w:r>
              <w:rPr>
                <w:rFonts w:ascii="Arial" w:cs="Arial" w:eastAsia="Arial" w:hAnsi="Arial"/>
                <w:sz w:val="14"/>
                <w:szCs w:val="14"/>
                <w:color w:val="auto"/>
              </w:rPr>
              <w:t>Changes in unrecognized tax benefits</w:t>
            </w:r>
          </w:p>
        </w:tc>
        <w:tc>
          <w:tcPr>
            <w:tcW w:w="460" w:type="dxa"/>
            <w:vAlign w:val="bottom"/>
            <w:shd w:val="clear" w:color="auto" w:fill="DBDBDB"/>
          </w:tcPr>
          <w:p>
            <w:pPr>
              <w:spacing w:after="0"/>
              <w:rPr>
                <w:sz w:val="17"/>
                <w:szCs w:val="17"/>
                <w:color w:val="auto"/>
              </w:rPr>
            </w:pP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9.6</w:t>
            </w:r>
          </w:p>
        </w:tc>
        <w:tc>
          <w:tcPr>
            <w:tcW w:w="100" w:type="dxa"/>
            <w:vAlign w:val="bottom"/>
          </w:tcPr>
          <w:p>
            <w:pPr>
              <w:spacing w:after="0"/>
              <w:rPr>
                <w:sz w:val="17"/>
                <w:szCs w:val="17"/>
                <w:color w:val="auto"/>
              </w:rPr>
            </w:pPr>
          </w:p>
        </w:tc>
        <w:tc>
          <w:tcPr>
            <w:tcW w:w="2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0.6</w:t>
            </w:r>
          </w:p>
        </w:tc>
        <w:tc>
          <w:tcPr>
            <w:tcW w:w="140" w:type="dxa"/>
            <w:vAlign w:val="bottom"/>
            <w:shd w:val="clear" w:color="auto" w:fill="DBDBDB"/>
          </w:tcPr>
          <w:p>
            <w:pPr>
              <w:spacing w:after="0"/>
              <w:rPr>
                <w:sz w:val="17"/>
                <w:szCs w:val="17"/>
                <w:color w:val="auto"/>
              </w:rPr>
            </w:pPr>
          </w:p>
        </w:tc>
      </w:tr>
      <w:tr>
        <w:trPr>
          <w:trHeight w:val="206"/>
        </w:trPr>
        <w:tc>
          <w:tcPr>
            <w:tcW w:w="6700" w:type="dxa"/>
            <w:vAlign w:val="bottom"/>
            <w:gridSpan w:val="3"/>
          </w:tcPr>
          <w:p>
            <w:pPr>
              <w:ind w:left="20"/>
              <w:spacing w:after="0"/>
              <w:rPr>
                <w:sz w:val="20"/>
                <w:szCs w:val="20"/>
                <w:color w:val="auto"/>
              </w:rPr>
            </w:pPr>
            <w:r>
              <w:rPr>
                <w:rFonts w:ascii="Arial" w:cs="Arial" w:eastAsia="Arial" w:hAnsi="Arial"/>
                <w:sz w:val="14"/>
                <w:szCs w:val="14"/>
                <w:color w:val="auto"/>
              </w:rPr>
              <w:t>Other adjustments</w:t>
            </w:r>
          </w:p>
        </w:tc>
        <w:tc>
          <w:tcPr>
            <w:tcW w:w="460" w:type="dxa"/>
            <w:vAlign w:val="bottom"/>
            <w:tcBorders>
              <w:bottom w:val="single" w:sz="8" w:color="auto"/>
            </w:tcBorders>
            <w:shd w:val="clear" w:color="auto" w:fill="DBDBDB"/>
          </w:tcPr>
          <w:p>
            <w:pPr>
              <w:spacing w:after="0"/>
              <w:rPr>
                <w:sz w:val="17"/>
                <w:szCs w:val="17"/>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11.9</w:t>
            </w:r>
          </w:p>
        </w:tc>
        <w:tc>
          <w:tcPr>
            <w:tcW w:w="100" w:type="dxa"/>
            <w:vAlign w:val="bottom"/>
            <w:tcBorders>
              <w:bottom w:val="single" w:sz="8" w:color="DBDBDB"/>
            </w:tcBorders>
          </w:tcPr>
          <w:p>
            <w:pPr>
              <w:spacing w:after="0"/>
              <w:rPr>
                <w:sz w:val="17"/>
                <w:szCs w:val="17"/>
                <w:color w:val="auto"/>
              </w:rPr>
            </w:pP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0.7</w:t>
            </w:r>
          </w:p>
        </w:tc>
        <w:tc>
          <w:tcPr>
            <w:tcW w:w="140" w:type="dxa"/>
            <w:vAlign w:val="bottom"/>
            <w:tcBorders>
              <w:bottom w:val="single" w:sz="8" w:color="auto"/>
            </w:tcBorders>
            <w:shd w:val="clear" w:color="auto" w:fill="DBDBDB"/>
          </w:tcPr>
          <w:p>
            <w:pPr>
              <w:spacing w:after="0"/>
              <w:rPr>
                <w:sz w:val="17"/>
                <w:szCs w:val="17"/>
                <w:color w:val="auto"/>
              </w:rPr>
            </w:pPr>
          </w:p>
        </w:tc>
      </w:tr>
      <w:tr>
        <w:trPr>
          <w:trHeight w:val="225"/>
        </w:trPr>
        <w:tc>
          <w:tcPr>
            <w:tcW w:w="6700" w:type="dxa"/>
            <w:vAlign w:val="bottom"/>
            <w:gridSpan w:val="3"/>
          </w:tcPr>
          <w:p>
            <w:pPr>
              <w:ind w:left="360"/>
              <w:spacing w:after="0"/>
              <w:rPr>
                <w:sz w:val="20"/>
                <w:szCs w:val="20"/>
                <w:color w:val="auto"/>
              </w:rPr>
            </w:pPr>
            <w:r>
              <w:rPr>
                <w:rFonts w:ascii="Arial" w:cs="Arial" w:eastAsia="Arial" w:hAnsi="Arial"/>
                <w:sz w:val="14"/>
                <w:szCs w:val="14"/>
                <w:color w:val="auto"/>
              </w:rPr>
              <w:t>Income tax expense and effective tax rate</w:t>
            </w:r>
          </w:p>
        </w:tc>
        <w:tc>
          <w:tcPr>
            <w:tcW w:w="460" w:type="dxa"/>
            <w:vAlign w:val="bottom"/>
            <w:tcBorders>
              <w:bottom w:val="single" w:sz="8" w:color="auto"/>
            </w:tcBorders>
            <w:shd w:val="clear" w:color="auto" w:fill="DBDBDB"/>
          </w:tcPr>
          <w:p>
            <w:pPr>
              <w:jc w:val="right"/>
              <w:ind w:right="288"/>
              <w:spacing w:after="0"/>
              <w:rPr>
                <w:sz w:val="20"/>
                <w:szCs w:val="20"/>
                <w:color w:val="auto"/>
              </w:rPr>
            </w:pPr>
            <w:r>
              <w:rPr>
                <w:rFonts w:ascii="Arial" w:cs="Arial" w:eastAsia="Arial" w:hAnsi="Arial"/>
                <w:sz w:val="14"/>
                <w:szCs w:val="14"/>
                <w:color w:val="0070C0"/>
              </w:rPr>
              <w:t>$</w:t>
            </w: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263.6</w:t>
            </w:r>
          </w:p>
        </w:tc>
        <w:tc>
          <w:tcPr>
            <w:tcW w:w="100" w:type="dxa"/>
            <w:vAlign w:val="bottom"/>
            <w:tcBorders>
              <w:bottom w:val="single" w:sz="8" w:color="DBDBDB"/>
            </w:tcBorders>
            <w:shd w:val="clear" w:color="auto" w:fill="DBDBDB"/>
          </w:tcPr>
          <w:p>
            <w:pPr>
              <w:spacing w:after="0"/>
              <w:rPr>
                <w:sz w:val="19"/>
                <w:szCs w:val="19"/>
                <w:color w:val="auto"/>
              </w:rPr>
            </w:pPr>
          </w:p>
        </w:tc>
        <w:tc>
          <w:tcPr>
            <w:tcW w:w="2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16.9</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w w:val="79"/>
              </w:rPr>
              <w:t>%</w:t>
            </w:r>
          </w:p>
        </w:tc>
      </w:tr>
      <w:tr>
        <w:trPr>
          <w:trHeight w:val="20"/>
        </w:trPr>
        <w:tc>
          <w:tcPr>
            <w:tcW w:w="4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1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r>
    </w:tbl>
    <w:p>
      <w:pPr>
        <w:spacing w:after="0" w:line="99" w:lineRule="exact"/>
        <w:rPr>
          <w:sz w:val="20"/>
          <w:szCs w:val="20"/>
          <w:color w:val="auto"/>
        </w:rPr>
      </w:pPr>
    </w:p>
    <w:p>
      <w:pPr>
        <w:ind w:left="160" w:hanging="152"/>
        <w:spacing w:after="0"/>
        <w:tabs>
          <w:tab w:leader="none" w:pos="160" w:val="left"/>
        </w:tabs>
        <w:numPr>
          <w:ilvl w:val="0"/>
          <w:numId w:val="124"/>
        </w:numPr>
        <w:rPr>
          <w:rFonts w:ascii="Arial" w:cs="Arial" w:eastAsia="Arial" w:hAnsi="Arial"/>
          <w:sz w:val="9"/>
          <w:szCs w:val="9"/>
          <w:color w:val="auto"/>
        </w:rPr>
      </w:pPr>
      <w:r>
        <w:rPr>
          <w:rFonts w:ascii="Arial" w:cs="Arial" w:eastAsia="Arial" w:hAnsi="Arial"/>
          <w:sz w:val="14"/>
          <w:szCs w:val="14"/>
          <w:color w:val="auto"/>
        </w:rPr>
        <w:t>State taxes in Tennessee, Massachusetts, Kentucky and North Carolina made up the majority (greater than 50.0%) of the tax effect in this category.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The following table is a reconciliation of the U.S. federal statutory tax rate of 21.0% to our effective tax rate for the years ended December 31, 2024 and 2023, in accordance with the guidance prior to the adoption of ASU 2023-09:</w:t>
      </w:r>
    </w:p>
    <w:p>
      <w:pPr>
        <w:spacing w:after="0" w:line="1"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60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2023</w:t>
            </w:r>
          </w:p>
        </w:tc>
      </w:tr>
      <w:tr>
        <w:trPr>
          <w:trHeight w:val="189"/>
        </w:trPr>
        <w:tc>
          <w:tcPr>
            <w:tcW w:w="8140" w:type="dxa"/>
            <w:vAlign w:val="bottom"/>
            <w:gridSpan w:val="2"/>
          </w:tcPr>
          <w:p>
            <w:pPr>
              <w:spacing w:after="0"/>
              <w:rPr>
                <w:sz w:val="20"/>
                <w:szCs w:val="20"/>
                <w:color w:val="auto"/>
              </w:rPr>
            </w:pPr>
            <w:r>
              <w:rPr>
                <w:rFonts w:ascii="Arial" w:cs="Arial" w:eastAsia="Arial" w:hAnsi="Arial"/>
                <w:sz w:val="14"/>
                <w:szCs w:val="14"/>
                <w:color w:val="auto"/>
              </w:rPr>
              <w:t>Statutory rate</w:t>
            </w:r>
          </w:p>
        </w:tc>
        <w:tc>
          <w:tcPr>
            <w:tcW w:w="720" w:type="dxa"/>
            <w:vAlign w:val="bottom"/>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21.0 %</w:t>
            </w:r>
          </w:p>
        </w:tc>
      </w:tr>
      <w:tr>
        <w:trPr>
          <w:trHeight w:val="203"/>
        </w:trPr>
        <w:tc>
          <w:tcPr>
            <w:tcW w:w="8140" w:type="dxa"/>
            <w:vAlign w:val="bottom"/>
            <w:gridSpan w:val="2"/>
          </w:tcPr>
          <w:p>
            <w:pPr>
              <w:spacing w:after="0"/>
              <w:rPr>
                <w:sz w:val="20"/>
                <w:szCs w:val="20"/>
                <w:color w:val="auto"/>
              </w:rPr>
            </w:pPr>
            <w:r>
              <w:rPr>
                <w:rFonts w:ascii="Arial" w:cs="Arial" w:eastAsia="Arial" w:hAnsi="Arial"/>
                <w:sz w:val="14"/>
                <w:szCs w:val="14"/>
                <w:color w:val="auto"/>
              </w:rPr>
              <w:t>State taxes</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260" w:type="dxa"/>
            <w:vAlign w:val="bottom"/>
          </w:tcPr>
          <w:p>
            <w:pPr>
              <w:jc w:val="right"/>
              <w:ind w:right="108"/>
              <w:spacing w:after="0"/>
              <w:rPr>
                <w:sz w:val="20"/>
                <w:szCs w:val="20"/>
                <w:color w:val="auto"/>
              </w:rPr>
            </w:pPr>
            <w:r>
              <w:rPr>
                <w:rFonts w:ascii="Arial" w:cs="Arial" w:eastAsia="Arial" w:hAnsi="Arial"/>
                <w:sz w:val="14"/>
                <w:szCs w:val="14"/>
                <w:color w:val="auto"/>
              </w:rPr>
              <w:t>1.1</w:t>
            </w:r>
          </w:p>
        </w:tc>
      </w:tr>
      <w:tr>
        <w:trPr>
          <w:trHeight w:val="203"/>
        </w:trPr>
        <w:tc>
          <w:tcPr>
            <w:tcW w:w="8140" w:type="dxa"/>
            <w:vAlign w:val="bottom"/>
            <w:gridSpan w:val="2"/>
          </w:tcPr>
          <w:p>
            <w:pPr>
              <w:spacing w:after="0"/>
              <w:rPr>
                <w:sz w:val="20"/>
                <w:szCs w:val="20"/>
                <w:color w:val="auto"/>
              </w:rPr>
            </w:pPr>
            <w:r>
              <w:rPr>
                <w:rFonts w:ascii="Arial" w:cs="Arial" w:eastAsia="Arial" w:hAnsi="Arial"/>
                <w:sz w:val="14"/>
                <w:szCs w:val="14"/>
                <w:color w:val="auto"/>
              </w:rPr>
              <w:t>Taxes on foreign earnings, including valuation allowances</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2260" w:type="dxa"/>
            <w:vAlign w:val="bottom"/>
          </w:tcPr>
          <w:p>
            <w:pPr>
              <w:jc w:val="right"/>
              <w:ind w:right="68"/>
              <w:spacing w:after="0"/>
              <w:rPr>
                <w:sz w:val="20"/>
                <w:szCs w:val="20"/>
                <w:color w:val="auto"/>
              </w:rPr>
            </w:pPr>
            <w:r>
              <w:rPr>
                <w:rFonts w:ascii="Arial" w:cs="Arial" w:eastAsia="Arial" w:hAnsi="Arial"/>
                <w:sz w:val="14"/>
                <w:szCs w:val="14"/>
                <w:color w:val="auto"/>
              </w:rPr>
              <w:t>(5.9)</w:t>
            </w:r>
          </w:p>
        </w:tc>
      </w:tr>
      <w:tr>
        <w:trPr>
          <w:trHeight w:val="203"/>
        </w:trPr>
        <w:tc>
          <w:tcPr>
            <w:tcW w:w="8140" w:type="dxa"/>
            <w:vAlign w:val="bottom"/>
            <w:gridSpan w:val="2"/>
          </w:tcPr>
          <w:p>
            <w:pPr>
              <w:spacing w:after="0"/>
              <w:rPr>
                <w:sz w:val="20"/>
                <w:szCs w:val="20"/>
                <w:color w:val="auto"/>
              </w:rPr>
            </w:pPr>
            <w:r>
              <w:rPr>
                <w:rFonts w:ascii="Arial" w:cs="Arial" w:eastAsia="Arial" w:hAnsi="Arial"/>
                <w:sz w:val="14"/>
                <w:szCs w:val="14"/>
                <w:color w:val="auto"/>
              </w:rPr>
              <w:t>Tax credits</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260" w:type="dxa"/>
            <w:vAlign w:val="bottom"/>
          </w:tcPr>
          <w:p>
            <w:pPr>
              <w:jc w:val="right"/>
              <w:ind w:right="68"/>
              <w:spacing w:after="0"/>
              <w:rPr>
                <w:sz w:val="20"/>
                <w:szCs w:val="20"/>
                <w:color w:val="auto"/>
              </w:rPr>
            </w:pPr>
            <w:r>
              <w:rPr>
                <w:rFonts w:ascii="Arial" w:cs="Arial" w:eastAsia="Arial" w:hAnsi="Arial"/>
                <w:sz w:val="14"/>
                <w:szCs w:val="14"/>
                <w:color w:val="auto"/>
              </w:rPr>
              <w:t>(7.3)</w:t>
            </w:r>
          </w:p>
        </w:tc>
      </w:tr>
      <w:tr>
        <w:trPr>
          <w:trHeight w:val="203"/>
        </w:trPr>
        <w:tc>
          <w:tcPr>
            <w:tcW w:w="8140" w:type="dxa"/>
            <w:vAlign w:val="bottom"/>
            <w:gridSpan w:val="2"/>
          </w:tcPr>
          <w:p>
            <w:pPr>
              <w:spacing w:after="0"/>
              <w:rPr>
                <w:sz w:val="20"/>
                <w:szCs w:val="20"/>
                <w:color w:val="auto"/>
              </w:rPr>
            </w:pPr>
            <w:r>
              <w:rPr>
                <w:rFonts w:ascii="Arial" w:cs="Arial" w:eastAsia="Arial" w:hAnsi="Arial"/>
                <w:sz w:val="14"/>
                <w:szCs w:val="14"/>
                <w:color w:val="auto"/>
              </w:rPr>
              <w:t>Purchased inventory valuation step-up and intangible assets</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260" w:type="dxa"/>
            <w:vAlign w:val="bottom"/>
          </w:tcPr>
          <w:p>
            <w:pPr>
              <w:jc w:val="right"/>
              <w:ind w:right="108"/>
              <w:spacing w:after="0"/>
              <w:rPr>
                <w:sz w:val="20"/>
                <w:szCs w:val="20"/>
                <w:color w:val="auto"/>
              </w:rPr>
            </w:pPr>
            <w:r>
              <w:rPr>
                <w:rFonts w:ascii="Arial" w:cs="Arial" w:eastAsia="Arial" w:hAnsi="Arial"/>
                <w:sz w:val="14"/>
                <w:szCs w:val="14"/>
                <w:color w:val="auto"/>
              </w:rPr>
              <w:t>0.7</w:t>
            </w:r>
          </w:p>
        </w:tc>
      </w:tr>
      <w:tr>
        <w:trPr>
          <w:trHeight w:val="202"/>
        </w:trPr>
        <w:tc>
          <w:tcPr>
            <w:tcW w:w="8140" w:type="dxa"/>
            <w:vAlign w:val="bottom"/>
            <w:gridSpan w:val="2"/>
          </w:tcPr>
          <w:p>
            <w:pPr>
              <w:spacing w:after="0"/>
              <w:rPr>
                <w:sz w:val="20"/>
                <w:szCs w:val="20"/>
                <w:color w:val="auto"/>
              </w:rPr>
            </w:pPr>
            <w:r>
              <w:rPr>
                <w:rFonts w:ascii="Arial" w:cs="Arial" w:eastAsia="Arial" w:hAnsi="Arial"/>
                <w:sz w:val="14"/>
                <w:szCs w:val="14"/>
                <w:color w:val="auto"/>
              </w:rPr>
              <w:t>GILTI</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260" w:type="dxa"/>
            <w:vAlign w:val="bottom"/>
          </w:tcPr>
          <w:p>
            <w:pPr>
              <w:jc w:val="right"/>
              <w:ind w:right="68"/>
              <w:spacing w:after="0"/>
              <w:rPr>
                <w:sz w:val="20"/>
                <w:szCs w:val="20"/>
                <w:color w:val="auto"/>
              </w:rPr>
            </w:pPr>
            <w:r>
              <w:rPr>
                <w:rFonts w:ascii="Arial" w:cs="Arial" w:eastAsia="Arial" w:hAnsi="Arial"/>
                <w:sz w:val="14"/>
                <w:szCs w:val="14"/>
                <w:color w:val="auto"/>
              </w:rPr>
              <w:t>(0.6)</w:t>
            </w:r>
          </w:p>
        </w:tc>
      </w:tr>
      <w:tr>
        <w:trPr>
          <w:trHeight w:val="203"/>
        </w:trPr>
        <w:tc>
          <w:tcPr>
            <w:tcW w:w="8140" w:type="dxa"/>
            <w:vAlign w:val="bottom"/>
            <w:gridSpan w:val="2"/>
          </w:tcPr>
          <w:p>
            <w:pPr>
              <w:spacing w:after="0"/>
              <w:rPr>
                <w:sz w:val="20"/>
                <w:szCs w:val="20"/>
                <w:color w:val="auto"/>
              </w:rPr>
            </w:pPr>
            <w:r>
              <w:rPr>
                <w:rFonts w:ascii="Arial" w:cs="Arial" w:eastAsia="Arial" w:hAnsi="Arial"/>
                <w:sz w:val="14"/>
                <w:szCs w:val="14"/>
                <w:color w:val="auto"/>
              </w:rPr>
              <w:t>Internal reorganization</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60" w:type="dxa"/>
            <w:vAlign w:val="bottom"/>
          </w:tcPr>
          <w:p>
            <w:pPr>
              <w:jc w:val="right"/>
              <w:ind w:right="68"/>
              <w:spacing w:after="0"/>
              <w:rPr>
                <w:sz w:val="20"/>
                <w:szCs w:val="20"/>
                <w:color w:val="auto"/>
              </w:rPr>
            </w:pPr>
            <w:r>
              <w:rPr>
                <w:rFonts w:ascii="Arial" w:cs="Arial" w:eastAsia="Arial" w:hAnsi="Arial"/>
                <w:sz w:val="14"/>
                <w:szCs w:val="14"/>
                <w:color w:val="auto"/>
              </w:rPr>
              <w:t>(0.1)</w:t>
            </w:r>
          </w:p>
        </w:tc>
      </w:tr>
      <w:tr>
        <w:trPr>
          <w:trHeight w:val="207"/>
        </w:trPr>
        <w:tc>
          <w:tcPr>
            <w:tcW w:w="6600" w:type="dxa"/>
            <w:vAlign w:val="bottom"/>
          </w:tcPr>
          <w:p>
            <w:pPr>
              <w:spacing w:after="0"/>
              <w:rPr>
                <w:sz w:val="20"/>
                <w:szCs w:val="20"/>
                <w:color w:val="auto"/>
              </w:rPr>
            </w:pPr>
            <w:r>
              <w:rPr>
                <w:rFonts w:ascii="Arial" w:cs="Arial" w:eastAsia="Arial" w:hAnsi="Arial"/>
                <w:sz w:val="14"/>
                <w:szCs w:val="14"/>
                <w:color w:val="auto"/>
              </w:rPr>
              <w:t>Other, including permanent items</w:t>
            </w:r>
          </w:p>
        </w:tc>
        <w:tc>
          <w:tcPr>
            <w:tcW w:w="1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2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r>
      <w:tr>
        <w:trPr>
          <w:trHeight w:val="200"/>
        </w:trPr>
        <w:tc>
          <w:tcPr>
            <w:tcW w:w="8140" w:type="dxa"/>
            <w:vAlign w:val="bottom"/>
            <w:gridSpan w:val="2"/>
          </w:tcPr>
          <w:p>
            <w:pPr>
              <w:ind w:left="120"/>
              <w:spacing w:after="0"/>
              <w:rPr>
                <w:sz w:val="20"/>
                <w:szCs w:val="20"/>
                <w:color w:val="auto"/>
              </w:rPr>
            </w:pPr>
            <w:r>
              <w:rPr>
                <w:rFonts w:ascii="Arial" w:cs="Arial" w:eastAsia="Arial" w:hAnsi="Arial"/>
                <w:sz w:val="14"/>
                <w:szCs w:val="14"/>
                <w:color w:val="auto"/>
              </w:rPr>
              <w:t>Effective tax rate</w:t>
            </w:r>
          </w:p>
        </w:tc>
        <w:tc>
          <w:tcPr>
            <w:tcW w:w="720" w:type="dxa"/>
            <w:vAlign w:val="bottom"/>
          </w:tcPr>
          <w:p>
            <w:pPr>
              <w:jc w:val="right"/>
              <w:spacing w:after="0"/>
              <w:rPr>
                <w:sz w:val="20"/>
                <w:szCs w:val="20"/>
                <w:color w:val="auto"/>
              </w:rPr>
            </w:pPr>
            <w:r>
              <w:rPr>
                <w:rFonts w:ascii="Arial" w:cs="Arial" w:eastAsia="Arial" w:hAnsi="Arial"/>
                <w:sz w:val="14"/>
                <w:szCs w:val="14"/>
                <w:color w:val="auto"/>
              </w:rPr>
              <w:t>14.4 %</w:t>
            </w:r>
          </w:p>
        </w:tc>
        <w:tc>
          <w:tcPr>
            <w:tcW w:w="10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10.4 %</w:t>
            </w:r>
          </w:p>
        </w:tc>
      </w:tr>
      <w:tr>
        <w:trPr>
          <w:trHeight w:val="21"/>
        </w:trPr>
        <w:tc>
          <w:tcPr>
            <w:tcW w:w="66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the reconciliation for the year ended December 31, 2025, in accordance with the guidance in ASU 2023-09, the GILTI foreign tax credit impacts of changes in foreign valuation allowances are included within the GILTI, net of foreign tax credits line. For reconciliation for the years ended December 31, 2024 and 2023, the GILTI foreign tax credit impacts of changes in foreign valuation allowances are included within the taxes on foreign earnings, including valuation allowances line.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Changes in Tax Rate</w:t>
      </w:r>
    </w:p>
    <w:p>
      <w:pPr>
        <w:spacing w:after="0" w:line="115"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For the year ended December 31, 2025, compared to 2024, the increase in our effective tax rate was partially driven by changes in the territorial mix of our profitability and the impact of certain share-based compensation awards that vested during the first quarter of 2025, partially offset by the impact of the elimination of Italian withholding tax.</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year ended December 31, 2024, compared to 2023, the increase in our effective tax rate was partially driven by the relative deferred tax effects of the changes in the value of our equity investments and amortization of purchased intangible assets and inventory. Further, 2023 benefited from the combined impacts of Reata acquisition-related expenses and the resolution of an uncertain tax matter related to tax credits. This was partially offset by a 2024 benefit related to a decrease in our valuation allowance related to projected future foreign taxable income, as discussed in the Deferred Tax Assets and Liabilities section above.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Tax Attributes</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2025, we had credit carry forwards for U.S. federal income tax purposes of approximately $146.2 million that begin to expire in 2030 and net operating losses of approximately $142.8 million that do not expire. For U.S. state income tax purposes, we had research and investment credit carry forwards of approximately $172.1 million that begin to expire in 2027 and net operating losses of approximately $356.6 million that begin to expire in 2028. For foreign income tax purposes, we had $9.1 billion of federal net operating loss carryforwards that begin to expire in 2027 and $8.4 billion of Swiss cantonal net operating loss carryforwards that begin to expire in 2027.</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Based upon the level of historical taxable income and income tax liability and projections for future taxable income over the periods in which the deferred tax assets are utilizable, we believe it is more likely than not that we will realize the net benefits of the deferred tax assets of our wholly owned subsidiaries, net of the recorded valuation allowance. In the event that actual results differ from our estimates or we adjust our estimates in future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periods, we may need to adjust or establish a valuation allowance, which could materially impact our consolidated financial position and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Income Taxes Paid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income taxes paid (net of refunds received) for the year ended December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vMerge w:val="restart"/>
          </w:tcPr>
          <w:p>
            <w:pPr>
              <w:spacing w:after="0"/>
              <w:rPr>
                <w:sz w:val="14"/>
                <w:szCs w:val="14"/>
                <w:color w:val="auto"/>
              </w:rPr>
            </w:pPr>
          </w:p>
        </w:tc>
        <w:tc>
          <w:tcPr>
            <w:tcW w:w="2240" w:type="dxa"/>
            <w:vAlign w:val="bottom"/>
            <w:gridSpan w:val="2"/>
          </w:tcPr>
          <w:p>
            <w:pPr>
              <w:ind w:left="20"/>
              <w:spacing w:after="0"/>
              <w:rPr>
                <w:sz w:val="20"/>
                <w:szCs w:val="20"/>
                <w:color w:val="auto"/>
              </w:rPr>
            </w:pPr>
            <w:r>
              <w:rPr>
                <w:rFonts w:ascii="Arial" w:cs="Arial" w:eastAsia="Arial" w:hAnsi="Arial"/>
                <w:sz w:val="14"/>
                <w:szCs w:val="14"/>
                <w:color w:val="auto"/>
              </w:rPr>
              <w:t>For the Year Ended December 31,</w:t>
            </w:r>
          </w:p>
        </w:tc>
        <w:tc>
          <w:tcPr>
            <w:tcW w:w="0" w:type="dxa"/>
            <w:vAlign w:val="bottom"/>
          </w:tcPr>
          <w:p>
            <w:pPr>
              <w:spacing w:after="0"/>
              <w:rPr>
                <w:sz w:val="1"/>
                <w:szCs w:val="1"/>
                <w:color w:val="auto"/>
              </w:rPr>
            </w:pPr>
          </w:p>
        </w:tc>
      </w:tr>
      <w:tr>
        <w:trPr>
          <w:trHeight w:val="189"/>
        </w:trPr>
        <w:tc>
          <w:tcPr>
            <w:tcW w:w="8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2025</w:t>
            </w:r>
          </w:p>
        </w:tc>
        <w:tc>
          <w:tcPr>
            <w:tcW w:w="0" w:type="dxa"/>
            <w:vAlign w:val="bottom"/>
          </w:tcPr>
          <w:p>
            <w:pPr>
              <w:spacing w:after="0"/>
              <w:rPr>
                <w:sz w:val="1"/>
                <w:szCs w:val="1"/>
                <w:color w:val="auto"/>
              </w:rPr>
            </w:pPr>
          </w:p>
        </w:tc>
      </w:tr>
      <w:tr>
        <w:trPr>
          <w:trHeight w:val="188"/>
        </w:trPr>
        <w:tc>
          <w:tcPr>
            <w:tcW w:w="9000" w:type="dxa"/>
            <w:vAlign w:val="bottom"/>
            <w:gridSpan w:val="2"/>
          </w:tcPr>
          <w:p>
            <w:pPr>
              <w:ind w:left="20"/>
              <w:spacing w:after="0"/>
              <w:rPr>
                <w:sz w:val="20"/>
                <w:szCs w:val="20"/>
                <w:color w:val="auto"/>
              </w:rPr>
            </w:pPr>
            <w:r>
              <w:rPr>
                <w:rFonts w:ascii="Arial" w:cs="Arial" w:eastAsia="Arial" w:hAnsi="Arial"/>
                <w:sz w:val="14"/>
                <w:szCs w:val="14"/>
                <w:color w:val="auto"/>
              </w:rPr>
              <w:t>Federal</w:t>
            </w:r>
          </w:p>
        </w:tc>
        <w:tc>
          <w:tcPr>
            <w:tcW w:w="520" w:type="dxa"/>
            <w:vAlign w:val="bottom"/>
            <w:shd w:val="clear" w:color="auto" w:fill="DBDBDB"/>
          </w:tcPr>
          <w:p>
            <w:pPr>
              <w:ind w:left="20"/>
              <w:spacing w:after="0"/>
              <w:rPr>
                <w:sz w:val="20"/>
                <w:szCs w:val="20"/>
                <w:color w:val="auto"/>
              </w:rPr>
            </w:pPr>
            <w:r>
              <w:rPr>
                <w:rFonts w:ascii="Arial" w:cs="Arial" w:eastAsia="Arial" w:hAnsi="Arial"/>
                <w:sz w:val="14"/>
                <w:szCs w:val="14"/>
                <w:color w:val="0070C0"/>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721.0</w:t>
            </w:r>
          </w:p>
        </w:tc>
        <w:tc>
          <w:tcPr>
            <w:tcW w:w="0" w:type="dxa"/>
            <w:vAlign w:val="bottom"/>
          </w:tcPr>
          <w:p>
            <w:pPr>
              <w:spacing w:after="0"/>
              <w:rPr>
                <w:sz w:val="1"/>
                <w:szCs w:val="1"/>
                <w:color w:val="auto"/>
              </w:rPr>
            </w:pPr>
          </w:p>
        </w:tc>
      </w:tr>
      <w:tr>
        <w:trPr>
          <w:trHeight w:val="203"/>
        </w:trPr>
        <w:tc>
          <w:tcPr>
            <w:tcW w:w="90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52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48.4</w:t>
            </w:r>
          </w:p>
        </w:tc>
        <w:tc>
          <w:tcPr>
            <w:tcW w:w="0" w:type="dxa"/>
            <w:vAlign w:val="bottom"/>
          </w:tcPr>
          <w:p>
            <w:pPr>
              <w:spacing w:after="0"/>
              <w:rPr>
                <w:sz w:val="1"/>
                <w:szCs w:val="1"/>
                <w:color w:val="auto"/>
              </w:rPr>
            </w:pPr>
          </w:p>
        </w:tc>
      </w:tr>
      <w:tr>
        <w:trPr>
          <w:trHeight w:val="206"/>
        </w:trPr>
        <w:tc>
          <w:tcPr>
            <w:tcW w:w="9000" w:type="dxa"/>
            <w:vAlign w:val="bottom"/>
            <w:gridSpan w:val="2"/>
          </w:tcPr>
          <w:p>
            <w:pPr>
              <w:ind w:left="20"/>
              <w:spacing w:after="0"/>
              <w:rPr>
                <w:sz w:val="20"/>
                <w:szCs w:val="20"/>
                <w:color w:val="auto"/>
              </w:rPr>
            </w:pPr>
            <w:r>
              <w:rPr>
                <w:rFonts w:ascii="Arial" w:cs="Arial" w:eastAsia="Arial" w:hAnsi="Arial"/>
                <w:sz w:val="14"/>
                <w:szCs w:val="14"/>
                <w:color w:val="auto"/>
              </w:rPr>
              <w:t>Foreign</w:t>
            </w:r>
          </w:p>
        </w:tc>
        <w:tc>
          <w:tcPr>
            <w:tcW w:w="520" w:type="dxa"/>
            <w:vAlign w:val="bottom"/>
            <w:tcBorders>
              <w:bottom w:val="single" w:sz="8" w:color="auto"/>
            </w:tcBorders>
            <w:shd w:val="clear" w:color="auto" w:fill="DBDBDB"/>
          </w:tcPr>
          <w:p>
            <w:pPr>
              <w:spacing w:after="0"/>
              <w:rPr>
                <w:sz w:val="17"/>
                <w:szCs w:val="17"/>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94.6</w:t>
            </w:r>
          </w:p>
        </w:tc>
        <w:tc>
          <w:tcPr>
            <w:tcW w:w="0" w:type="dxa"/>
            <w:vAlign w:val="bottom"/>
          </w:tcPr>
          <w:p>
            <w:pPr>
              <w:spacing w:after="0"/>
              <w:rPr>
                <w:sz w:val="1"/>
                <w:szCs w:val="1"/>
                <w:color w:val="auto"/>
              </w:rPr>
            </w:pPr>
          </w:p>
        </w:tc>
      </w:tr>
      <w:tr>
        <w:trPr>
          <w:trHeight w:val="225"/>
        </w:trPr>
        <w:tc>
          <w:tcPr>
            <w:tcW w:w="900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0070C0"/>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864.0</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 individual state or foreign jurisdiction accounted for 5.0% or more of the total taxes paid in 2025.</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Accounting for Uncertainty in 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our unrecognized tax benefits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For the Years Ended December 31,</w:t>
            </w:r>
          </w:p>
        </w:tc>
        <w:tc>
          <w:tcPr>
            <w:tcW w:w="1100" w:type="dxa"/>
            <w:vAlign w:val="bottom"/>
            <w:tcBorders>
              <w:bottom w:val="single" w:sz="8" w:color="auto"/>
            </w:tcBorders>
          </w:tcPr>
          <w:p>
            <w:pPr>
              <w:spacing w:after="0"/>
              <w:rPr>
                <w:sz w:val="17"/>
                <w:szCs w:val="17"/>
                <w:color w:val="auto"/>
              </w:rPr>
            </w:pPr>
          </w:p>
        </w:tc>
      </w:tr>
      <w:tr>
        <w:trPr>
          <w:trHeight w:val="19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3BA"/>
              </w:rPr>
              <w:t>2025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r>
      <w:tr>
        <w:trPr>
          <w:trHeight w:val="189"/>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Beginning balance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186.3</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173.4</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606.4</w:t>
            </w:r>
          </w:p>
        </w:tc>
      </w:tr>
      <w:tr>
        <w:trPr>
          <w:trHeight w:val="203"/>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Additions based on tax positions related to the current period</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3"/>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Additions for tax positions of prior periods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60.2</w:t>
            </w:r>
          </w:p>
        </w:tc>
      </w:tr>
      <w:tr>
        <w:trPr>
          <w:trHeight w:val="202"/>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Reductions for tax positions of prior periods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(485.0)</w:t>
            </w:r>
          </w:p>
        </w:tc>
      </w:tr>
      <w:tr>
        <w:trPr>
          <w:trHeight w:val="203"/>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Statute expirations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7"/>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Settlement refund (payment)</w:t>
            </w: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220"/>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Ending balance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180.0</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186.3</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173.4</w:t>
            </w: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2022, the unrecognized tax benefits related to a deferred tax asset for Swiss tax purposes for Neurimmune's tax basis in ADUHELM was approximately $450.0 million. This unrecognized tax benefit was recorded as a reduction to the gross deferred tax asset, resulting in a net deferred tax asset and not as a separate liability on our consolidated balance sheets. During the year ended December 31, 2023, we decreased our gross unrecognized tax benefits by approximately $450.0 million related to this item as a result of the deconsolidation of Neurimmune.</w:t>
      </w:r>
    </w:p>
    <w:p>
      <w:pPr>
        <w:spacing w:after="0" w:line="1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file income tax returns in various U.S. states and in U.S. federal and other foreign jurisdictions. With few exceptions, we are no longer subject to U.S. federal tax examination for years before 2022 or state, local or non-U.S. income tax examinations for years before 2013.</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Included in the balance of unrecognized tax benefits as of December 31, 2025, 2024 and 2023, are $127.6 million, $139.3 million and $147.6 million (net of the federal benefit on state issues), respectively, of unrecognized tax benefits that, if recognized, would affect the effective income tax rate in future periods.</w:t>
      </w:r>
    </w:p>
    <w:p>
      <w:pPr>
        <w:spacing w:after="0" w:line="6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recognize potential interest and penalties related to unrecognized tax benefits in income tax (benefit) expense within our consolidated statements of income. During the years ended December 31, 2025, 2024 and 2023, we recognized total interest and penalty expense of $12.6 million, $ 13.8 million and $5.1 million, respectively. We have accrued $48.5 million and $40.7 million for the payment of interest and penalties as of December 31, 2025 and 2024, respectively.</w:t>
      </w:r>
    </w:p>
    <w:p>
      <w:pPr>
        <w:spacing w:after="0" w:line="68"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It is reasonably possible that we will adjust the value of our uncertain tax positions related to certain transfer pricing, collaboration matters, withholding taxes and other issues as we receive additional information from various taxing authorities, including reaching settlements with such authorities.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429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9">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18:</w:t>
      </w:r>
      <w:r>
        <w:rPr>
          <w:sz w:val="20"/>
          <w:szCs w:val="20"/>
          <w:color w:val="auto"/>
        </w:rPr>
        <w:tab/>
      </w:r>
      <w:r>
        <w:rPr>
          <w:rFonts w:ascii="Arial" w:cs="Arial" w:eastAsia="Arial" w:hAnsi="Arial"/>
          <w:sz w:val="21"/>
          <w:szCs w:val="21"/>
          <w:b w:val="1"/>
          <w:bCs w:val="1"/>
          <w:color w:val="0070C0"/>
        </w:rPr>
        <w:t>Other Consolidated Financial Statement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0">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Supplemental Cash Flow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cash flow information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7"/>
                <w:szCs w:val="17"/>
                <w:color w:val="auto"/>
              </w:rPr>
            </w:pPr>
          </w:p>
        </w:tc>
      </w:tr>
      <w:tr>
        <w:trPr>
          <w:trHeight w:val="19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Cash paid during the year for:</w:t>
            </w:r>
          </w:p>
        </w:tc>
        <w:tc>
          <w:tcPr>
            <w:tcW w:w="40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3"/>
        </w:trPr>
        <w:tc>
          <w:tcPr>
            <w:tcW w:w="5980" w:type="dxa"/>
            <w:vAlign w:val="bottom"/>
            <w:gridSpan w:val="2"/>
          </w:tcPr>
          <w:p>
            <w:pPr>
              <w:ind w:left="140"/>
              <w:spacing w:after="0"/>
              <w:rPr>
                <w:sz w:val="20"/>
                <w:szCs w:val="20"/>
                <w:color w:val="auto"/>
              </w:rPr>
            </w:pPr>
            <w:r>
              <w:rPr>
                <w:rFonts w:ascii="Arial" w:cs="Arial" w:eastAsia="Arial" w:hAnsi="Arial"/>
                <w:sz w:val="14"/>
                <w:szCs w:val="14"/>
                <w:color w:val="auto"/>
              </w:rPr>
              <w:t>Interest</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264.1</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245.4</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252.2</w:t>
            </w:r>
          </w:p>
        </w:tc>
      </w:tr>
      <w:tr>
        <w:trPr>
          <w:trHeight w:val="211"/>
        </w:trPr>
        <w:tc>
          <w:tcPr>
            <w:tcW w:w="5980" w:type="dxa"/>
            <w:vAlign w:val="bottom"/>
            <w:gridSpan w:val="2"/>
          </w:tcPr>
          <w:p>
            <w:pPr>
              <w:ind w:left="140"/>
              <w:spacing w:after="0"/>
              <w:rPr>
                <w:sz w:val="20"/>
                <w:szCs w:val="20"/>
                <w:color w:val="auto"/>
              </w:rPr>
            </w:pPr>
            <w:r>
              <w:rPr>
                <w:rFonts w:ascii="Arial" w:cs="Arial" w:eastAsia="Arial" w:hAnsi="Arial"/>
                <w:sz w:val="14"/>
                <w:szCs w:val="14"/>
                <w:color w:val="auto"/>
              </w:rPr>
              <w:t>Income taxes</w:t>
            </w: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864.0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355.1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740.7</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(Income) Expense, Net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other (income) expense, net,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7"/>
                <w:szCs w:val="17"/>
                <w:color w:val="auto"/>
              </w:rPr>
            </w:pPr>
          </w:p>
        </w:tc>
      </w:tr>
      <w:tr>
        <w:trPr>
          <w:trHeight w:val="19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(125.0)</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(276.5)</w:t>
            </w:r>
          </w:p>
        </w:tc>
      </w:tr>
      <w:tr>
        <w:trPr>
          <w:trHeight w:val="20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267.5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250.3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246.9</w:t>
            </w:r>
          </w:p>
        </w:tc>
      </w:tr>
      <w:tr>
        <w:trPr>
          <w:trHeight w:val="20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(Gains) losses on investments, net</w:t>
            </w: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291.2</w:t>
            </w:r>
          </w:p>
        </w:tc>
      </w:tr>
      <w:tr>
        <w:trPr>
          <w:trHeight w:val="20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Litigation related expense</w:t>
            </w: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139.5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Foreign exchange (gains) losses, net</w:t>
            </w: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28.6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50.4</w:t>
            </w:r>
          </w:p>
        </w:tc>
      </w:tr>
      <w:tr>
        <w:trPr>
          <w:trHeight w:val="206"/>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(24.7)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20"/>
        </w:trPr>
        <w:tc>
          <w:tcPr>
            <w:tcW w:w="5980" w:type="dxa"/>
            <w:vAlign w:val="bottom"/>
            <w:gridSpan w:val="2"/>
          </w:tcPr>
          <w:p>
            <w:pPr>
              <w:ind w:left="140"/>
              <w:spacing w:after="0"/>
              <w:rPr>
                <w:sz w:val="20"/>
                <w:szCs w:val="20"/>
                <w:color w:val="auto"/>
              </w:rPr>
            </w:pPr>
            <w:r>
              <w:rPr>
                <w:rFonts w:ascii="Arial" w:cs="Arial" w:eastAsia="Arial" w:hAnsi="Arial"/>
                <w:sz w:val="14"/>
                <w:szCs w:val="14"/>
                <w:color w:val="auto"/>
              </w:rPr>
              <w:t>Total other (income) expense, net</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305.6</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343.6</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315.5</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The (gains) losses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spacing w:after="0" w:line="63"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 xml:space="preserve">In 2025 we recorded $ 139.5 million related to various litigation matters, including our agreement in principle to resolve all claims relating to Biogen's acquisition of Convergence. For additional information on our legal matters,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to these consolidated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(gains) losses on investments, net that relate to our equity securities held during the following periods: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7"/>
                <w:szCs w:val="17"/>
                <w:color w:val="auto"/>
              </w:rPr>
            </w:pPr>
          </w:p>
        </w:tc>
      </w:tr>
      <w:tr>
        <w:trPr>
          <w:trHeight w:val="19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Net (gains) losses recognized on equity securities</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19.7</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100.4</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275.2</w:t>
            </w:r>
          </w:p>
        </w:tc>
      </w:tr>
      <w:tr>
        <w:trPr>
          <w:trHeight w:val="206"/>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Less: Net (gains) losses realized on equity securities</w:t>
            </w: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220"/>
        </w:trPr>
        <w:tc>
          <w:tcPr>
            <w:tcW w:w="598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 recognized on equity securities</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18.2</w:t>
            </w:r>
          </w:p>
        </w:tc>
        <w:tc>
          <w:tcPr>
            <w:tcW w:w="4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270.0</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net unrealized losses recognized during the year ended December 31, 2025, primarily reflect a decrease in the aggregate fair value of our investment in Denali common stock of approximately $27.7 million, partially offset by an increase in the fair value of Sage common stock of approximately $23.0 million.</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net unrealized losses recognized during the year ended December 31, 2024, primarily reflect a decrease in the aggregate fair value of our investment in Sage common stock of approximately $101.4 million, partially offset by an increase in the fair value of Denali and Sangamo common stock of approximately $7.5 million.</w:t>
      </w:r>
    </w:p>
    <w:p>
      <w:pPr>
        <w:spacing w:after="0" w:line="6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net unrealized losses recognized during the year ended December 31, 2023, primarily reflect a decrease in the aggregate fair value of our investments in Sage, Denali, Sangamo and Ionis common stock of approximately $248.5 million.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Current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includes prepaid taxes of $693.6 million and $307.2 million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Accrued Expense and Other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 and other consists of the following:</w:t>
      </w:r>
    </w:p>
    <w:p>
      <w:pPr>
        <w:spacing w:after="0" w:line="59" w:lineRule="exact"/>
        <w:rPr>
          <w:sz w:val="20"/>
          <w:szCs w:val="20"/>
          <w:color w:val="auto"/>
        </w:rPr>
      </w:pPr>
    </w:p>
    <w:p>
      <w:pPr>
        <w:jc w:val="right"/>
        <w:ind w:right="1160"/>
        <w:spacing w:after="0"/>
        <w:rPr>
          <w:sz w:val="20"/>
          <w:szCs w:val="20"/>
          <w:color w:val="auto"/>
        </w:rPr>
      </w:pPr>
      <w:r>
        <w:rPr>
          <w:rFonts w:ascii="Arial" w:cs="Arial" w:eastAsia="Arial" w:hAnsi="Arial"/>
          <w:sz w:val="14"/>
          <w:szCs w:val="14"/>
          <w:b w:val="1"/>
          <w:bCs w:val="1"/>
          <w:color w:val="auto"/>
        </w:rPr>
        <w:t>As of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760" w:type="dxa"/>
            <w:vAlign w:val="bottom"/>
            <w:tcBorders>
              <w:top w:val="single" w:sz="8" w:color="auto"/>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2025</w:t>
            </w:r>
          </w:p>
        </w:tc>
        <w:tc>
          <w:tcPr>
            <w:tcW w:w="120" w:type="dxa"/>
            <w:vAlign w:val="bottom"/>
            <w:tcBorders>
              <w:top w:val="single" w:sz="8" w:color="auto"/>
            </w:tcBorders>
          </w:tcPr>
          <w:p>
            <w:pPr>
              <w:spacing w:after="0"/>
              <w:rPr>
                <w:sz w:val="17"/>
                <w:szCs w:val="17"/>
                <w:color w:val="auto"/>
              </w:rPr>
            </w:pPr>
          </w:p>
        </w:tc>
        <w:tc>
          <w:tcPr>
            <w:tcW w:w="176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-7620</wp:posOffset>
            </wp:positionV>
            <wp:extent cx="1122680" cy="9347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2">
                      <a:extLst>
                        <a:ext uri="{28A0092B-C50C-407E-A947-70E740481C1C}"/>
                      </a:extLst>
                    </a:blip>
                    <a:srcRect/>
                    <a:stretch>
                      <a:fillRect/>
                    </a:stretch>
                  </pic:blipFill>
                  <pic:spPr bwMode="auto">
                    <a:xfrm>
                      <a:off x="0" y="0"/>
                      <a:ext cx="1122680" cy="93472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Revenue-related reserves for discounts and allowances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 compensation and benefits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Collaboration expense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Royalties and licensing fees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portion of contingent consideration obligations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accrued expense and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jc w:val="right"/>
              <w:ind w:right="488"/>
              <w:spacing w:after="0"/>
              <w:rPr>
                <w:sz w:val="20"/>
                <w:szCs w:val="20"/>
                <w:color w:val="auto"/>
              </w:rPr>
            </w:pPr>
            <w:r>
              <w:rPr>
                <w:rFonts w:ascii="Arial" w:cs="Arial" w:eastAsia="Arial" w:hAnsi="Arial"/>
                <w:sz w:val="14"/>
                <w:szCs w:val="14"/>
                <w:color w:val="2573BA"/>
              </w:rPr>
              <w:t>$</w:t>
            </w:r>
          </w:p>
        </w:tc>
        <w:tc>
          <w:tcPr>
            <w:tcW w:w="1100" w:type="dxa"/>
            <w:vAlign w:val="bottom"/>
          </w:tcPr>
          <w:p>
            <w:pPr>
              <w:jc w:val="right"/>
              <w:spacing w:after="0"/>
              <w:rPr>
                <w:sz w:val="20"/>
                <w:szCs w:val="20"/>
                <w:color w:val="auto"/>
              </w:rPr>
            </w:pPr>
            <w:r>
              <w:rPr>
                <w:rFonts w:ascii="Arial" w:cs="Arial" w:eastAsia="Arial" w:hAnsi="Arial"/>
                <w:sz w:val="14"/>
                <w:szCs w:val="14"/>
                <w:color w:val="2573BA"/>
              </w:rPr>
              <w:t>1,000.4</w:t>
            </w:r>
          </w:p>
        </w:tc>
        <w:tc>
          <w:tcPr>
            <w:tcW w:w="780" w:type="dxa"/>
            <w:vAlign w:val="bottom"/>
            <w:gridSpan w:val="2"/>
          </w:tcPr>
          <w:p>
            <w:pPr>
              <w:jc w:val="right"/>
              <w:ind w:right="50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937.5</w:t>
            </w:r>
          </w:p>
        </w:tc>
      </w:tr>
      <w:tr>
        <w:trPr>
          <w:trHeight w:val="203"/>
        </w:trPr>
        <w:tc>
          <w:tcPr>
            <w:tcW w:w="660" w:type="dxa"/>
            <w:vAlign w:val="bottom"/>
          </w:tcPr>
          <w:p>
            <w:pPr>
              <w:spacing w:after="0"/>
              <w:rPr>
                <w:sz w:val="17"/>
                <w:szCs w:val="17"/>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375.8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375.8</w:t>
            </w:r>
          </w:p>
        </w:tc>
      </w:tr>
      <w:tr>
        <w:trPr>
          <w:trHeight w:val="203"/>
        </w:trPr>
        <w:tc>
          <w:tcPr>
            <w:tcW w:w="660" w:type="dxa"/>
            <w:vAlign w:val="bottom"/>
          </w:tcPr>
          <w:p>
            <w:pPr>
              <w:spacing w:after="0"/>
              <w:rPr>
                <w:sz w:val="17"/>
                <w:szCs w:val="17"/>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280.0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309.0</w:t>
            </w:r>
          </w:p>
        </w:tc>
      </w:tr>
      <w:tr>
        <w:trPr>
          <w:trHeight w:val="203"/>
        </w:trPr>
        <w:tc>
          <w:tcPr>
            <w:tcW w:w="660" w:type="dxa"/>
            <w:vAlign w:val="bottom"/>
          </w:tcPr>
          <w:p>
            <w:pPr>
              <w:spacing w:after="0"/>
              <w:rPr>
                <w:sz w:val="17"/>
                <w:szCs w:val="17"/>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302.4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190.2</w:t>
            </w:r>
          </w:p>
        </w:tc>
      </w:tr>
      <w:tr>
        <w:trPr>
          <w:trHeight w:val="203"/>
        </w:trPr>
        <w:tc>
          <w:tcPr>
            <w:tcW w:w="660" w:type="dxa"/>
            <w:vAlign w:val="bottom"/>
          </w:tcPr>
          <w:p>
            <w:pPr>
              <w:spacing w:after="0"/>
              <w:rPr>
                <w:sz w:val="17"/>
                <w:szCs w:val="17"/>
                <w:color w:val="auto"/>
              </w:rPr>
            </w:pPr>
          </w:p>
        </w:tc>
        <w:tc>
          <w:tcPr>
            <w:tcW w:w="110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291.2</w:t>
            </w:r>
          </w:p>
        </w:tc>
      </w:tr>
      <w:tr>
        <w:trPr>
          <w:trHeight w:val="207"/>
        </w:trPr>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DBDBDB"/>
            </w:tcBorders>
          </w:tcPr>
          <w:p>
            <w:pPr>
              <w:jc w:val="right"/>
              <w:spacing w:after="0"/>
              <w:rPr>
                <w:sz w:val="20"/>
                <w:szCs w:val="20"/>
                <w:color w:val="auto"/>
              </w:rPr>
            </w:pPr>
            <w:r>
              <w:rPr>
                <w:rFonts w:ascii="Arial" w:cs="Arial" w:eastAsia="Arial" w:hAnsi="Arial"/>
                <w:sz w:val="14"/>
                <w:szCs w:val="14"/>
                <w:color w:val="2573BA"/>
              </w:rPr>
              <w:t>844.0</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704.0</w:t>
            </w:r>
          </w:p>
        </w:tc>
      </w:tr>
      <w:tr>
        <w:trPr>
          <w:trHeight w:val="236"/>
        </w:trPr>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2573BA"/>
              </w:rPr>
              <w:t>$</w:t>
            </w:r>
          </w:p>
        </w:tc>
        <w:tc>
          <w:tcPr>
            <w:tcW w:w="1100" w:type="dxa"/>
            <w:vAlign w:val="bottom"/>
            <w:tcBorders>
              <w:bottom w:val="single" w:sz="8" w:color="auto"/>
              <w:right w:val="single" w:sz="8" w:color="DBDBDB"/>
            </w:tcBorders>
          </w:tcPr>
          <w:p>
            <w:pPr>
              <w:jc w:val="right"/>
              <w:spacing w:after="0"/>
              <w:rPr>
                <w:sz w:val="20"/>
                <w:szCs w:val="20"/>
                <w:color w:val="auto"/>
              </w:rPr>
            </w:pPr>
            <w:r>
              <w:rPr>
                <w:rFonts w:ascii="Arial" w:cs="Arial" w:eastAsia="Arial" w:hAnsi="Arial"/>
                <w:sz w:val="14"/>
                <w:szCs w:val="14"/>
                <w:color w:val="2573BA"/>
              </w:rPr>
              <w:t>2,802.6</w:t>
            </w: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2,807.7</w:t>
            </w:r>
          </w:p>
        </w:tc>
      </w:tr>
    </w:tbl>
    <w:p>
      <w:pPr>
        <w:spacing w:after="0" w:line="186" w:lineRule="exact"/>
        <w:rPr>
          <w:sz w:val="20"/>
          <w:szCs w:val="20"/>
          <w:color w:val="auto"/>
        </w:rPr>
      </w:pPr>
    </w:p>
    <w:p>
      <w:pPr>
        <w:sectPr>
          <w:pgSz w:w="11900" w:h="16838" w:orient="portrait"/>
          <w:cols w:equalWidth="0" w:num="2">
            <w:col w:w="6880" w:space="720"/>
            <w:col w:w="3640"/>
          </w:cols>
          <w:pgMar w:left="320" w:top="238"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2573BA"/>
        </w:rPr>
        <w:t>Other Long-term Liabilities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Other long-term liabilities were $748.5 million and $732.3 million as of December 31, 2025 and 2024, respectively, and included accrued income taxes totaling $166.4 million and $156.7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31215" cy="3429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3">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19:</w:t>
      </w:r>
      <w:r>
        <w:rPr>
          <w:sz w:val="20"/>
          <w:szCs w:val="20"/>
          <w:color w:val="auto"/>
        </w:rPr>
        <w:tab/>
      </w:r>
      <w:r>
        <w:rPr>
          <w:rFonts w:ascii="Arial" w:cs="Arial" w:eastAsia="Arial" w:hAnsi="Arial"/>
          <w:sz w:val="21"/>
          <w:szCs w:val="21"/>
          <w:b w:val="1"/>
          <w:bCs w:val="1"/>
          <w:color w:val="0070C0"/>
        </w:rPr>
        <w:t>Collaborative and Other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4">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connection with our business strategy, we have entered into various collaboration agreements that provide us with rights to develop, produce and market products using certain know-how, technology and patent rights maintained by our collaborative partners. Terms of the various collaboration agreements may require us to make milestone payments upon the achievement of certain product research and development objectives and pay royalties on future sales, if any, of commercial products resulting from the collaboration.</w:t>
      </w:r>
    </w:p>
    <w:p>
      <w:pPr>
        <w:spacing w:after="0" w:line="68"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Depending on the collaborative arrangement, we may record funding receivable or payable balances with our collaboration partners, based on the nature of the cost-sharing mechanism and activity within the collaboration. Our significant collaborative arrangements are discussed below.</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Genentech, Inc. (Roche Group)</w:t>
      </w:r>
    </w:p>
    <w:p>
      <w:pPr>
        <w:spacing w:after="0" w:line="11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certain business and financial rights with respect to RITUXAN for the treatment of non-Hodgkin's lymphoma, CLL and other conditions; RITUXAN HYCELA for the treatment of non-Hodgkin's lymphoma and CLL; GAZYVA for the treatment of CLL, follicular lymphoma and, following its approval in October 2025, lupus nephritis;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 owned member of the Roche Group. For purposes of this footnote, we refer to RITUXAN and RITUXAN HYCELA collectively as RITUXAN.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collaboration with Genentech was created through a contractual arrangement and not through a joint venture or other legal entity.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RITUXAN</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Under our collaboration with Genentech, we are entitled to a tiered share of co-promotion operating profits and losses of RITUXAN in the U.S., as summarized in the table below. Genentech and its affiliates are responsible for the worldwide manufacture of RITUXAN as well as all development and commercialization activities as follows:</w:t>
      </w:r>
    </w:p>
    <w:p>
      <w:pPr>
        <w:spacing w:after="0" w:line="63" w:lineRule="exact"/>
        <w:rPr>
          <w:sz w:val="20"/>
          <w:szCs w:val="20"/>
          <w:color w:val="auto"/>
        </w:rPr>
      </w:pPr>
    </w:p>
    <w:p>
      <w:pPr>
        <w:ind w:left="280" w:hanging="272"/>
        <w:spacing w:after="0"/>
        <w:tabs>
          <w:tab w:leader="none" w:pos="280" w:val="left"/>
        </w:tabs>
        <w:numPr>
          <w:ilvl w:val="0"/>
          <w:numId w:val="125"/>
        </w:numPr>
        <w:rPr>
          <w:rFonts w:ascii="Arial" w:cs="Arial" w:eastAsia="Arial" w:hAnsi="Arial"/>
          <w:sz w:val="18"/>
          <w:szCs w:val="18"/>
          <w:i w:val="1"/>
          <w:iCs w:val="1"/>
          <w:color w:val="0070C0"/>
        </w:rPr>
      </w:pPr>
      <w:r>
        <w:rPr>
          <w:rFonts w:ascii="Arial" w:cs="Arial" w:eastAsia="Arial" w:hAnsi="Arial"/>
          <w:sz w:val="18"/>
          <w:szCs w:val="18"/>
          <w:i w:val="1"/>
          <w:iCs w:val="1"/>
          <w:color w:val="0070C0"/>
        </w:rPr>
        <w:t xml:space="preserve">U.S.: </w:t>
      </w:r>
      <w:r>
        <w:rPr>
          <w:rFonts w:ascii="Arial" w:cs="Arial" w:eastAsia="Arial" w:hAnsi="Arial"/>
          <w:sz w:val="18"/>
          <w:szCs w:val="18"/>
          <w:color w:val="000000"/>
        </w:rPr>
        <w:t>We have co-exclusively licensed our rights to develop, commercialize and market RITUXAN in the U.S.</w:t>
      </w:r>
    </w:p>
    <w:p>
      <w:pPr>
        <w:spacing w:after="0" w:line="117" w:lineRule="exact"/>
        <w:rPr>
          <w:rFonts w:ascii="Arial" w:cs="Arial" w:eastAsia="Arial" w:hAnsi="Arial"/>
          <w:sz w:val="18"/>
          <w:szCs w:val="18"/>
          <w:i w:val="1"/>
          <w:iCs w:val="1"/>
          <w:color w:val="0070C0"/>
        </w:rPr>
      </w:pPr>
    </w:p>
    <w:p>
      <w:pPr>
        <w:ind w:left="280" w:hanging="272"/>
        <w:spacing w:after="0"/>
        <w:tabs>
          <w:tab w:leader="none" w:pos="280" w:val="left"/>
        </w:tabs>
        <w:numPr>
          <w:ilvl w:val="0"/>
          <w:numId w:val="125"/>
        </w:numPr>
        <w:rPr>
          <w:rFonts w:ascii="Arial" w:cs="Arial" w:eastAsia="Arial" w:hAnsi="Arial"/>
          <w:sz w:val="18"/>
          <w:szCs w:val="18"/>
          <w:i w:val="1"/>
          <w:iCs w:val="1"/>
          <w:color w:val="0070C0"/>
        </w:rPr>
      </w:pPr>
      <w:r>
        <w:rPr>
          <w:rFonts w:ascii="Arial" w:cs="Arial" w:eastAsia="Arial" w:hAnsi="Arial"/>
          <w:sz w:val="18"/>
          <w:szCs w:val="18"/>
          <w:i w:val="1"/>
          <w:iCs w:val="1"/>
          <w:color w:val="0070C0"/>
        </w:rPr>
        <w:t xml:space="preserve">Canada: </w:t>
      </w:r>
      <w:r>
        <w:rPr>
          <w:rFonts w:ascii="Arial" w:cs="Arial" w:eastAsia="Arial" w:hAnsi="Arial"/>
          <w:sz w:val="18"/>
          <w:szCs w:val="18"/>
          <w:color w:val="000000"/>
        </w:rPr>
        <w:t>We have co-exclusively licensed our rights to develop, commercialize and market RITUXAN in Canada.</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has the right to present an offer to buy the rights to RITUXAN and we must either accept Genentech’s offer or purchase Genentech’s rights on the same terms as its offer. Genentech will also be deemed concurrently to have purchased our rights to the remaining products in the collaboration on the terms set forth below.</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0" w:name="page171"/>
    <w:bookmarkEnd w:id="17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GAZYVA</w:t>
      </w:r>
    </w:p>
    <w:p>
      <w:pPr>
        <w:spacing w:after="0" w:line="115"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Roche Group and its sub-licensees maintain sole responsibility for the development, manufacture and commercialization of GAZYVA and we are entitled to a tiered share of co-promotion operating profits and losses of GAZYVA in the U.S. The level of gross sales of GAZYVA in the U.S. has impacted our percentage of the co-promotion profits for RITUXAN and LUNSUMIO, as summarized in the table below.</w:t>
      </w:r>
    </w:p>
    <w:p>
      <w:pPr>
        <w:spacing w:after="0" w:line="4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GAZYVA in exchange for the continued payment of the current compensation payable for GAZYVA under the collaboration arrangement until the 11 year anniversary of the first commercial sale of GAZYVA in the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OCREVUS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terms of our collaboration arrangements with Genentech, we receive a tiered royalty on U.S. net sales from 13.5% and increasing up to 24.0% if annual net sales exceed $900.0 million. There will be a 50.0% reduction to these royalties upon the first entry of an FDA approved biosimilar to OCREVUS.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addition, we receive a gross 3.0% royalty on net sales of OCREVUS outside the U.S., with the royalty period lasting 11 years from the first commercial sale of OCREVUS on a country-by-country basis.</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commercialization of OCREVUS does not impact the percentage of the co-promotion profits we receive for RITUXAN, LUNSUMIO or GAZYVA. Genentech is solely responsible for development and commercialization of OCREVUS and funding future costs. Genentech cannot develop OCREVUS in CLL, non-Hodgkin's lymphoma or rheumatoid arthritis.</w:t>
      </w:r>
    </w:p>
    <w:p>
      <w:pPr>
        <w:spacing w:after="0" w:line="6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6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OCREVUS in exchange for the continued payment of the current royalties on net sales (as defined in our collaboration agreement and summarized above) in the U.S. only, until the 11 year anniversary of the first commercial sale of OCREVUS in the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LUNSUMIO</w:t>
      </w:r>
    </w:p>
    <w:p>
      <w:pPr>
        <w:spacing w:after="0" w:line="115"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Under our collaboration with Genentech, we are entitled to a tiered share of co-promotion operating profits and losses in the U.S., as summarized in the table below. In addition, we receive low-single digit royalties on sales of LUNSUMIO outside the U.S.</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LUNSUMIO in exchange for 30.0% of the U.S. co-promotion operating profits or losses until the 11 year anniversary of the first commercial sale of LUNSUMIO in the 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COLUMVI</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Genentech has sole decision-making rights on the commercialization of COLUMVI within the U.S. and we receive tiered royalties in the mid-single digit range on net sales of COLUMVI in the U.S. The commercialization of COLUMVI does not impact the percentage of the co-promotion profits we receive for RITUXAN, LUNSUMIO or GAZYVA.</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COLUMVI in exchange for a mid-single digit royalty on net sales (as defined in our collaboration agreement) in the U.S. only, until the 11 year anniversary of the first commercial sale of the product in the U.S.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Profit-sharing Formulas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RITUXAN and LUNSUMIO Profit Share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current pre-tax co-promotion profit-sharing formula for RITUXAN and LUNSUMIO in the U.S. provides for a 30.0% share on the first</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$50.0 million of combined co-promotion operating profits earned each calendar year. Our share of the combined annual co-promotion profits for RITUXAN and LUNSUMIO in excess of $50.0 million varies upon the following events, as summarized in the table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LUNSUMIO Approval until the First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2573BA"/>
              </w:rPr>
              <w:t>After First Threshold Date until the Second Threshold Date</w:t>
            </w:r>
          </w:p>
        </w:tc>
        <w:tc>
          <w:tcPr>
            <w:tcW w:w="3560" w:type="dxa"/>
            <w:vAlign w:val="bottom"/>
          </w:tcPr>
          <w:p>
            <w:pPr>
              <w:jc w:val="right"/>
              <w:spacing w:after="0"/>
              <w:rPr>
                <w:sz w:val="20"/>
                <w:szCs w:val="20"/>
                <w:color w:val="auto"/>
              </w:rPr>
            </w:pPr>
            <w:r>
              <w:rPr>
                <w:rFonts w:ascii="Arial" w:cs="Arial" w:eastAsia="Arial" w:hAnsi="Arial"/>
                <w:sz w:val="18"/>
                <w:szCs w:val="18"/>
                <w:color w:val="2573BA"/>
              </w:rPr>
              <w:t>35.0 %</w:t>
            </w:r>
          </w:p>
        </w:tc>
      </w:tr>
      <w:tr>
        <w:trPr>
          <w:trHeight w:val="229"/>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Second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30.0 %</w:t>
            </w:r>
          </w:p>
        </w:tc>
      </w:tr>
    </w:tbl>
    <w:p>
      <w:pPr>
        <w:spacing w:after="0" w:line="170" w:lineRule="exact"/>
        <w:rPr>
          <w:sz w:val="20"/>
          <w:szCs w:val="20"/>
          <w:color w:val="auto"/>
        </w:rPr>
      </w:pPr>
    </w:p>
    <w:p>
      <w:pPr>
        <w:jc w:val="both"/>
        <w:ind w:right="440"/>
        <w:spacing w:after="0" w:line="262" w:lineRule="auto"/>
        <w:rPr>
          <w:sz w:val="20"/>
          <w:szCs w:val="20"/>
          <w:color w:val="auto"/>
        </w:rPr>
      </w:pPr>
      <w:r>
        <w:rPr>
          <w:rFonts w:ascii="Arial" w:cs="Arial" w:eastAsia="Arial" w:hAnsi="Arial"/>
          <w:sz w:val="18"/>
          <w:szCs w:val="18"/>
          <w:color w:val="auto"/>
        </w:rPr>
        <w:t>In March 2023 the First Threshold Date was achieved when U.S. gross sales of GAZYVA within a consecutive 12-month period reached $500.0 million. As a result, beginning in April 2023 the pre-tax profit share for RITUXAN and LUNSUMIO has been 35.0%. The Second Threshold Date would be achieved on the first date in any calendar year in which U.S. gross sales of LUNSUMIO have reached $350.0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GAZYVA Profit Share</w:t>
      </w:r>
    </w:p>
    <w:p>
      <w:pPr>
        <w:spacing w:after="0" w:line="115"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Our current pretax profit-sharing formula for GAZYVA provides for a 35.0% share on the first $50.0 million of operating profits earned in the U.S. in each calendar year. In March 2023 U.S. gross sales of GAZYVA within a consecutive 12-month period reached $500.0 million. As a result, beginning in April 2023 the pre-tax profit share for GAZYVA decreased from 37.5% to 35.0%.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Revenue from Anti-CD20 Therapeutic Programs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Revenue from anti-CD20 therapeutic programs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r>
        <w:trPr>
          <w:trHeight w:val="18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Royalty revenue on sales of OCREVUS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1,414.9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1,339.5</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1,266.2</w:t>
            </w:r>
          </w:p>
        </w:tc>
      </w:tr>
      <w:tr>
        <w:trPr>
          <w:trHeight w:val="203"/>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p>
        </w:tc>
        <w:tc>
          <w:tcPr>
            <w:tcW w:w="3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420.2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392.0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409.4</w:t>
            </w:r>
          </w:p>
        </w:tc>
      </w:tr>
      <w:tr>
        <w:trPr>
          <w:trHeight w:val="207"/>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25.5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r>
      <w:tr>
        <w:trPr>
          <w:trHeight w:val="220"/>
        </w:trPr>
        <w:tc>
          <w:tcPr>
            <w:tcW w:w="7060" w:type="dxa"/>
            <w:vAlign w:val="bottom"/>
            <w:gridSpan w:val="2"/>
          </w:tcPr>
          <w:p>
            <w:pPr>
              <w:ind w:left="360"/>
              <w:spacing w:after="0"/>
              <w:rPr>
                <w:sz w:val="20"/>
                <w:szCs w:val="20"/>
                <w:color w:val="auto"/>
              </w:rPr>
            </w:pPr>
            <w:r>
              <w:rPr>
                <w:rFonts w:ascii="Arial" w:cs="Arial" w:eastAsia="Arial" w:hAnsi="Arial"/>
                <w:sz w:val="14"/>
                <w:szCs w:val="14"/>
                <w:color w:val="auto"/>
              </w:rPr>
              <w:t>Total revenue from anti-CD20 therapeutic programs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1,860.6</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1,749.9</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1,689.6</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Prior to regulatory approval, we record our share of the expense incurred by the collaboration for the development of anti-CD20 products in research and development expense and pre-commercialization costs within selling, general and administrative expense in our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Ionis Pharmaceuticals,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SPINRAZA</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January 2012 we entered into a collaboration and license agreement with Ionis pursuant to which we have an exclusive, worldwide license to develop and commercialize SPINRAZA for the treatment of SMA.</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Under our agreement with Ionis, we make royalty payments to Ionis on annual worldwide net sales of SPINRAZA using a tiered royalty rate between 11.0% and 15.0%, which are recognized in cost of sales within our consolidated statements of income. Royalty cost of sales related to sales of SPINRAZA for the years ended December 31, 2025, 2024 and 2023, totaled approximately $212.3 million, $216.1 million and $240.2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2018 Ionis Agreement</w:t>
      </w:r>
    </w:p>
    <w:p>
      <w:pPr>
        <w:spacing w:after="0" w:line="115"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In June 2018 we entered into a 10-year exclusive collaboration agreement with Ionis to develop novel ASO drug candidates for a broad range of neurological diseases for a total payment of $1.0 billion, consisting of an upfront payment of $375.0 million and the purchase of approximately 11.5 million shares of Ionis common stock at a cost of $625.0 million.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We have the option to license therapies arising out of this agreement and will be responsible for the development and commercialization of such therapies. We may pay development milestones to Ionis of up to $125.0 million or $270.0 million for each program, depending on the indication plus an annual license fee, as well as royalties on potential net commercial sales.</w:t>
      </w:r>
    </w:p>
    <w:p>
      <w:pPr>
        <w:spacing w:after="0" w:line="63"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During the years ended December 31, 2025, 2024 and 2023, we incurred milestones of $7.5 million, $7.5 million and $7.5 million, respectively, related to the advancement of neurological targets identified under this agreement, which were recorded as research and development expense in our consolidated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2017 SMA Collaboration Agreement</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December 2017 we entered into a collaboration agreement with Ionis to identify new ASO drug candidates for the potential treatment of SMA. Under this agreement, we have options to license therapies arising out of this collaboration and will be responsible for the development and commercialization of such therapies.</w:t>
      </w:r>
    </w:p>
    <w:p>
      <w:pPr>
        <w:spacing w:after="0" w:line="63"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In December 2021 we exercised our option with Ionis and obtained a worldwide, exclusive, royalty-bearing license to develop and commercialize salanersen (BIIB115), an investigational ASO in development for SMA.</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may pay Ionis up to $155.0 million in additional development and regulatory milestone payments related to salanersen, including a $ 45.0 million milestone payment due upon the initiation of a Phase 3 trial. Upon commercialization, we may also pay Ionis up to $400.0 million in additional performance-based milestone payments and tiered royalties on potential net sales of such therapies ranging from the mid-teens to high-twenties percentages.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2013 Long-term Strategic Research Agreement</w:t>
      </w:r>
    </w:p>
    <w:p>
      <w:pPr>
        <w:spacing w:after="0" w:line="11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September 2013 we entered into a six-year research collaboration agreement with Ionis under which both companies collaborated to perform discovery level research and subsequent development and commercialization activities of antisense or other therapeutics for the potential treatment of neurological diseases.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December 2018 we exercised our option with Ionis and obtained a worldwide, exclusive, royalty-bearing license to develop and commercialize QALSODY (tofersen), for the treatment of ALS with SOD1 mutations. Following the option exercise, we are solely responsible for the costs and expense related to the development, manufacturing and commercialization of QALSODY.</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April 2023 the FDA approved QALSODY for the treatment of ALS in adults who have a mutation in the SOD1 gene. This indication is approved under accelerated approval based on reduction in plasma neurofilament light chain observed in patients treated with QALSODY. Continued approval for this indication may be contingent upon verification of clinical benefit in confirmatory trial(s). Under this agreement, we make royalty payments to Ionis on annual worldwide net sales of QALSODY using a tiered royalty rate between 11.0% and 15.0%, which are recognized in cost of sales within our consolidated statements of income.</w:t>
      </w:r>
    </w:p>
    <w:p>
      <w:pPr>
        <w:spacing w:after="0" w:line="71"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During the year ended December 31, 2024, we incurred a milestone payment of $20.0 million to Ionis following the approval of QALSODY in the E.U., which was recorded within intangible assets, net in our consolidated balance sheets. Additionally, during the year ended December 31, 2024, we accrued a milestone payment of $10.0 million to Ionis following the approval of QALSODY in Japan, which was recorded within intangible assets, net in our consolidated balance sheets, and paid during the first quarter of 2025.</w:t>
      </w:r>
    </w:p>
    <w:p>
      <w:pPr>
        <w:spacing w:after="0" w:line="6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During the year ended December 31, 2023, we incurred a milestone payment of $16.0 million to Ionis following the FDA's approval of QALSODY, which was recorded within intangible assets, net in our consolidated balance sheets.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2012 Ionis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2012 we entered into an agreement with Ionis for the development and commercialization of up to three gene targets.</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December 2019 we exercised our option with Ionis and obtained a worldwide, exclusive, royalty-bearing license to develop and commercialize BIIB080 (tau ASO), which is currently in Phase 2 development for the potential treatment of Alzheimer's disease. Following the option exercise, we are solely responsible for global development, regulatory and commercialization. Future payments may include additional milestone payments of up to $155.0 million and royalties on future sales in the low- to mid-teens if we successfully develop the product candidate after option exercise.</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Eisai Co., Ltd.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2023 we accrued a $31.0 million payable to Eisai related to the termination of an agreement whereby Eisai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promoted or distributed our MS products in certain Asia-Pacific markets and settings. As of December 31, 2023, we paid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 million of the $31.0 million payable. The remaining portion was subsequently paid in January 2024. This termination fee is included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 our consolidated statements of income for the year ended December 31, 2023.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LEQEMBI (lecanemab) Collaboration</w:t>
      </w:r>
    </w:p>
    <w:p>
      <w:pPr>
        <w:spacing w:after="0" w:line="11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a collaboration agreement with Eisai to jointly develop and commercialize LEQEMBI (lecanemab), an anti-amyloid antibody for the treatment of Alzheimer's disease. The FDA granted traditional approval of LEQEMBI in July 2023. Prior to receiving traditional approval, LEQEMBI had been granted accelerated approval by the FDA in January 2023, at which time it became commercially available in the U.S. Outside of the U.S., LEQEMBI is now approved in the E.U. (April 2025), Australia (September 2025), China (January 2024), Japan (September 2023) and other international markets. LEQEMBI monthly IV maintenance dosing for the treatment of early Alzheimer's disease was approved in the U.S. and China in January 2025 and September 2025, respectively, and LEQEMBI subcutaneous autoinjector (IQLIK) for weekly maintenance dosing was approved in the U.S. in August 2025.</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All costs, including research, development, sales and marketing expense, are shared equally between us and Eisai. We also share profits and losses equally. We currently have a supply agreement with Eisai to manufacture LEQEMBI drug substance and drug product through the end of 2031.</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Subject to the limitations in the LEQEMBI Collaboration Agreement, Eisai has final decision-making authority on all matters relating to the collaboration and serves as the lead of LEQEMBI development and regulatory submissions globally. We co-commercialize and co-promote LEQEMBI with Eisai. Our Collaboration Agreement provides that each commercialization plan shall allocate the responsibilities for the activities under the plan in an equitable fashion taking into account Biogen's and Eisai's respective capabilities and provides a meaningful role for each party.</w:t>
      </w:r>
    </w:p>
    <w:p>
      <w:pPr>
        <w:spacing w:after="0" w:line="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Upon commercialization of LEQEMBI in the U.S., we began recognizing our 50.0% share of LEQEMBI product revenue, net and cost of sales, including royalties, within Alzheimer's collaboration revenue in our consolidated statements of income, as we are not the principal.</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share of LEQEMBI sales and marketing expense and development expense are recorded within selling, general and administrative expense and research and development expense, respectively, within our consolidated statements of income.</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either company undergoes a change of control, as defined in our LEQEMBI Collaboration Agreement, the non-acquired party may elect to initiate an operational separation, as defined in the LEQEMBI Collaboration Agreement. In the event of an operational separation, we would work with Eisai to effect a timely transition of any development, manufacturing or commercial responsibilities regarding LEQEMBI from us to Eisai. In this scenario, as of six months following the change of control, our ongoing responsibility for LEQEMBI related cost-sharing would be reduced to an amount equal to 80.0% of what we would have owed prior to the operational separation, and all other economic rights would remain unchanged.</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in the event either company undergoes a change of control in which the acquirer is engaged in commercialization of a competing product, as defined in the LEQEMBI Collaboration Agreement, the non-acquired party may also request that the acquired party cease commercializing the competing product. Should the acquired party elect to continue commercializing the competing product, the non-acquired party may terminate the LEQEMBI Collaboration Agreement. Furthermore, in the event we are the non-acquired party, we may choose either to sell our interest in LEQEMBI to Eisai or purchase Eisai's interest in LEQEMBI, subject to the parameters set forth in the LEQEMBI Collaboration Agreement.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LEQEMBI Collaboration is as follows:</w:t>
      </w:r>
    </w:p>
    <w:p>
      <w:pPr>
        <w:spacing w:after="0" w:line="59"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2025</w:t>
            </w: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-8255</wp:posOffset>
            </wp:positionV>
            <wp:extent cx="840105" cy="6946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0">
                      <a:extLst>
                        <a:ext uri="{28A0092B-C50C-407E-A947-70E740481C1C}"/>
                      </a:extLst>
                    </a:blip>
                    <a:srcRect/>
                    <a:stretch>
                      <a:fillRect/>
                    </a:stretch>
                  </pic:blipFill>
                  <pic:spPr bwMode="auto">
                    <a:xfrm>
                      <a:off x="0" y="0"/>
                      <a:ext cx="840105" cy="6946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4" w:lineRule="exact"/>
        <w:rPr>
          <w:sz w:val="20"/>
          <w:szCs w:val="20"/>
          <w:color w:val="auto"/>
        </w:rPr>
      </w:pPr>
    </w:p>
    <w:p>
      <w:pPr>
        <w:ind w:left="20"/>
        <w:spacing w:after="0"/>
        <w:tabs>
          <w:tab w:leader="none" w:pos="7060" w:val="left"/>
        </w:tabs>
        <w:rPr>
          <w:sz w:val="20"/>
          <w:szCs w:val="20"/>
          <w:color w:val="auto"/>
        </w:rPr>
      </w:pPr>
      <w:r>
        <w:rPr>
          <w:rFonts w:ascii="Arial" w:cs="Arial" w:eastAsia="Arial" w:hAnsi="Arial"/>
          <w:sz w:val="14"/>
          <w:szCs w:val="14"/>
          <w:color w:val="auto"/>
        </w:rPr>
        <w:t>Total development expense incurred by the collaboration related to the advancement of LEQEMBI</w:t>
      </w:r>
      <w:r>
        <w:rPr>
          <w:sz w:val="20"/>
          <w:szCs w:val="20"/>
          <w:color w:val="auto"/>
        </w:rPr>
        <w:tab/>
      </w:r>
      <w:r>
        <w:rPr>
          <w:rFonts w:ascii="Arial" w:cs="Arial" w:eastAsia="Arial" w:hAnsi="Arial"/>
          <w:sz w:val="14"/>
          <w:szCs w:val="14"/>
          <w:color w:val="2573BA"/>
        </w:rPr>
        <w:t>$</w:t>
      </w:r>
    </w:p>
    <w:p>
      <w:pPr>
        <w:spacing w:after="0" w:line="42" w:lineRule="exact"/>
        <w:rPr>
          <w:sz w:val="20"/>
          <w:szCs w:val="20"/>
          <w:color w:val="auto"/>
        </w:rPr>
      </w:pPr>
    </w:p>
    <w:p>
      <w:pPr>
        <w:ind w:left="20" w:right="360"/>
        <w:spacing w:after="0" w:line="252" w:lineRule="auto"/>
        <w:rPr>
          <w:sz w:val="20"/>
          <w:szCs w:val="20"/>
          <w:color w:val="auto"/>
        </w:rPr>
      </w:pPr>
      <w:r>
        <w:rPr>
          <w:rFonts w:ascii="Arial" w:cs="Arial" w:eastAsia="Arial" w:hAnsi="Arial"/>
          <w:sz w:val="14"/>
          <w:szCs w:val="14"/>
          <w:color w:val="auto"/>
        </w:rPr>
        <w:t>Biogen's share of the LEQEMBI Collaboration development expense reflected in research and development expense in our consolidated statements of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sales and marketing expense incurred by the LEQEMBI Collaboration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Biogen's share of the LEQEMBI Collaboration sales and marketing expense reflected in selling, general and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administrative expense in our consolidated statements of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jc w:val="right"/>
              <w:spacing w:after="0"/>
              <w:rPr>
                <w:sz w:val="20"/>
                <w:szCs w:val="20"/>
                <w:color w:val="auto"/>
              </w:rPr>
            </w:pPr>
            <w:r>
              <w:rPr>
                <w:rFonts w:ascii="Arial" w:cs="Arial" w:eastAsia="Arial" w:hAnsi="Arial"/>
                <w:sz w:val="14"/>
                <w:szCs w:val="14"/>
                <w:color w:val="2573BA"/>
                <w:w w:val="96"/>
              </w:rPr>
              <w:t>253.1</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329.6</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371.9</w:t>
            </w:r>
          </w:p>
        </w:tc>
      </w:tr>
      <w:tr>
        <w:trPr>
          <w:trHeight w:val="338"/>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w w:val="96"/>
              </w:rPr>
              <w:t>126.5</w:t>
            </w:r>
          </w:p>
        </w:tc>
        <w:tc>
          <w:tcPr>
            <w:tcW w:w="6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164.8</w:t>
            </w:r>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186.0</w:t>
            </w:r>
          </w:p>
        </w:tc>
      </w:tr>
      <w:tr>
        <w:trPr>
          <w:trHeight w:val="203"/>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w w:val="96"/>
              </w:rPr>
              <w:t>701.6</w:t>
            </w:r>
          </w:p>
        </w:tc>
        <w:tc>
          <w:tcPr>
            <w:tcW w:w="60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647.0</w:t>
            </w:r>
          </w:p>
        </w:tc>
        <w:tc>
          <w:tcPr>
            <w:tcW w:w="5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304.4</w:t>
            </w:r>
          </w:p>
        </w:tc>
      </w:tr>
      <w:tr>
        <w:trPr>
          <w:trHeight w:val="346"/>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w w:val="96"/>
              </w:rPr>
              <w:t>350.8</w:t>
            </w:r>
          </w:p>
        </w:tc>
        <w:tc>
          <w:tcPr>
            <w:tcW w:w="6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323.5</w:t>
            </w:r>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152.2</w:t>
            </w:r>
          </w:p>
        </w:tc>
      </w:tr>
    </w:tbl>
    <w:p>
      <w:pPr>
        <w:spacing w:after="0" w:line="184" w:lineRule="exact"/>
        <w:rPr>
          <w:sz w:val="20"/>
          <w:szCs w:val="20"/>
          <w:color w:val="auto"/>
        </w:rPr>
      </w:pPr>
    </w:p>
    <w:p>
      <w:pPr>
        <w:sectPr>
          <w:pgSz w:w="11900" w:h="16838" w:orient="portrait"/>
          <w:cols w:equalWidth="0" w:num="2">
            <w:col w:w="7240" w:space="720"/>
            <w:col w:w="3280"/>
          </w:cols>
          <w:pgMar w:left="320" w:top="238" w:right="339" w:bottom="1440" w:gutter="0" w:footer="0" w:header="0"/>
          <w:type w:val="continuous"/>
        </w:sectPr>
      </w:pPr>
    </w:p>
    <w:p>
      <w:pPr>
        <w:ind w:right="580"/>
        <w:spacing w:after="0" w:line="268" w:lineRule="auto"/>
        <w:rPr>
          <w:sz w:val="20"/>
          <w:szCs w:val="20"/>
          <w:color w:val="auto"/>
        </w:rPr>
      </w:pPr>
      <w:r>
        <w:rPr>
          <w:rFonts w:ascii="Arial" w:cs="Arial" w:eastAsia="Arial" w:hAnsi="Arial"/>
          <w:sz w:val="18"/>
          <w:szCs w:val="18"/>
          <w:color w:val="auto"/>
        </w:rPr>
        <w:t>Amounts receivable from Eisai related to the agreements discussed above were approximately $ 90.2 million and $16.7 million as of December 31, 2025 and 2024, respectively. Amounts payable to Eisai related to the agreements discussed above were approximately $95.5 million and $138.0 million as of December 31, 2025 and 2024,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UCB</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 collaboration agreement with UCB, effective November 2003, to jointly develop and commercialize dapirolizumab pegol, an anti-CD40L pegylated Fab, for the potential treatment of SLE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All costs incurred for agreed indications, including research, development, sales and marketing expense, are shared equally between us and UCB. If marketing approval is obtained, both companies will jointly commercialize dapirolizumab pegol and share profits and losses equally.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UCB collaboration agreement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UCB collaboration development expense</w:t>
            </w:r>
          </w:p>
        </w:tc>
        <w:tc>
          <w:tcPr>
            <w:tcW w:w="3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79.9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77.5</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6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Biogen's share of the UCB collaboration development expense reflected in research and</w:t>
            </w:r>
          </w:p>
        </w:tc>
        <w:tc>
          <w:tcPr>
            <w:tcW w:w="36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39.9</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85"/>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consolidated statements of income</w:t>
            </w:r>
          </w:p>
        </w:tc>
        <w:tc>
          <w:tcPr>
            <w:tcW w:w="360" w:type="dxa"/>
            <w:vAlign w:val="bottom"/>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Supernus Pharmaceuticals, Inc. (previously Sage Therapeutics, Inc.)</w:t>
      </w:r>
    </w:p>
    <w:p>
      <w:pPr>
        <w:spacing w:after="0" w:line="12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November 2020 we entered into a global collaboration and license agreement with Sage to jointly develop and commercialize ZURZUVAE (zuranolone) for the treatment of PPD. In July 2025 Sage was acquired by Supernus. ZURZUVAE was approved in the U.S. in August 2023 and in the E.U. in September 2025. Upon approval, ZURZUVAE became the first and only oral, once-daily, 14-day treatment that can provide rapid improvements in depressive symptoms by day 15 for women with PPD.</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this collaboration,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Supernus potential tiered royalties in the high-teens to low-twenties percentages. During the fourth quarter of 2023 we accrued a milestone payment due to Sage of $75.0 million upon the first commercial sale of ZURZUVAE for PPD in the U.S., which was recorded within intangible assets, net in our consolidated balance sheets, and subsequently paid in January 2024.</w:t>
      </w:r>
    </w:p>
    <w:p>
      <w:pPr>
        <w:spacing w:after="0" w:line="74"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We may pay Supernus development and commercial milestone payments that could total up to approximately $700.0 million if all the specified milestones set forth in this collaboration are achieved.</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reflect revenue on sales of ZURZUVAE to third parties in product revenue, net in our consolidated statements of income and record the related cost of revenue and sales and marketing expense in our consolidated statements of income to their respective line items when these costs are incurred.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5" w:name="page176"/>
    <w:bookmarkEnd w:id="17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We share 50.0% of the net collaboration results in the U.S. with Supernus, which are recognized in collaboration profit sharing/(loss reimbursement) in our consolidated statements of income. For the years ended December 31, 2025, 2024 and 2023, we recognized net profit-sharing expense of approximately $71.0 million and $27.0 million, and net loss reimbursement of approximately $4.7 million, respectively, to reflect Supernus' 50.0% share of net collaboration results in the U.S.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Supernus collaboration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b w:val="1"/>
                <w:bCs w:val="1"/>
                <w:color w:val="257ACB"/>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9"/>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Total Supernus collaboration development expense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176.7</w:t>
            </w:r>
          </w:p>
        </w:tc>
        <w:tc>
          <w:tcPr>
            <w:tcW w:w="0" w:type="dxa"/>
            <w:vAlign w:val="bottom"/>
          </w:tcPr>
          <w:p>
            <w:pPr>
              <w:spacing w:after="0"/>
              <w:rPr>
                <w:sz w:val="1"/>
                <w:szCs w:val="1"/>
                <w:color w:val="auto"/>
              </w:rPr>
            </w:pPr>
          </w:p>
        </w:tc>
      </w:tr>
      <w:tr>
        <w:trPr>
          <w:trHeight w:val="161"/>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Biogen's share of the Supernus collaboration development expense reflected in research and</w:t>
            </w:r>
          </w:p>
        </w:tc>
        <w:tc>
          <w:tcPr>
            <w:tcW w:w="34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89"/>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consolidated statements of income</w:t>
            </w:r>
          </w:p>
        </w:tc>
        <w:tc>
          <w:tcPr>
            <w:tcW w:w="340" w:type="dxa"/>
            <w:vAlign w:val="bottom"/>
            <w:shd w:val="clear" w:color="auto" w:fill="DBDBDB"/>
          </w:tcPr>
          <w:p>
            <w:pPr>
              <w:spacing w:after="0"/>
              <w:rPr>
                <w:sz w:val="16"/>
                <w:szCs w:val="16"/>
                <w:color w:val="auto"/>
              </w:rPr>
            </w:pPr>
          </w:p>
        </w:tc>
        <w:tc>
          <w:tcPr>
            <w:tcW w:w="11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Supernus collaboration</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187.0</w:t>
            </w:r>
          </w:p>
        </w:tc>
        <w:tc>
          <w:tcPr>
            <w:tcW w:w="0" w:type="dxa"/>
            <w:vAlign w:val="bottom"/>
          </w:tcPr>
          <w:p>
            <w:pPr>
              <w:spacing w:after="0"/>
              <w:rPr>
                <w:sz w:val="1"/>
                <w:szCs w:val="1"/>
                <w:color w:val="auto"/>
              </w:rPr>
            </w:pPr>
          </w:p>
        </w:tc>
      </w:tr>
      <w:tr>
        <w:trPr>
          <w:trHeight w:val="161"/>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Biogen's share of the Supernus collaboration sales and marketing expense reflected in selling,</w:t>
            </w:r>
          </w:p>
        </w:tc>
        <w:tc>
          <w:tcPr>
            <w:tcW w:w="34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general and administrative expense and collaboration profit sharing/(loss reimbursement) in our</w:t>
            </w:r>
          </w:p>
        </w:tc>
        <w:tc>
          <w:tcPr>
            <w:tcW w:w="340" w:type="dxa"/>
            <w:vAlign w:val="bottom"/>
            <w:shd w:val="clear" w:color="auto" w:fill="DBDBDB"/>
          </w:tcPr>
          <w:p>
            <w:pPr>
              <w:spacing w:after="0"/>
              <w:rPr>
                <w:sz w:val="12"/>
                <w:szCs w:val="12"/>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86.5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85"/>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consolidated statements of income</w:t>
            </w:r>
          </w:p>
        </w:tc>
        <w:tc>
          <w:tcPr>
            <w:tcW w:w="340" w:type="dxa"/>
            <w:vAlign w:val="bottom"/>
            <w:shd w:val="clear" w:color="auto" w:fill="DBDBDB"/>
          </w:tcPr>
          <w:p>
            <w:pPr>
              <w:spacing w:after="0"/>
              <w:rPr>
                <w:sz w:val="16"/>
                <w:szCs w:val="16"/>
                <w:color w:val="auto"/>
              </w:rPr>
            </w:pPr>
          </w:p>
        </w:tc>
        <w:tc>
          <w:tcPr>
            <w:tcW w:w="11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Denali Therapeutics Inc.</w:t>
      </w:r>
    </w:p>
    <w:p>
      <w:pPr>
        <w:spacing w:after="0" w:line="12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 August 2020 we entered into a collaboration and license agreement with Denali to co-develop and co-commercialize BIIB122, a small molecule inhibitor of LRRK2 for Parkinson's disease (LRRK2 Collaboration).</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We may pay Denali development and commercial milestone payments that could total up to approximately $1.1 billion if the milestones related to the LRRK2 Collaboration are achieved.</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Denali collaboration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b w:val="1"/>
                <w:bCs w:val="1"/>
                <w:color w:val="257ACB"/>
              </w:rPr>
              <w:t>2025</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9"/>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Total Denali collaboration development expense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44.1</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57"/>
        </w:trPr>
        <w:tc>
          <w:tcPr>
            <w:tcW w:w="64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Biogen's share of the Denali collaboration development expense reflected in research and</w:t>
            </w:r>
          </w:p>
        </w:tc>
        <w:tc>
          <w:tcPr>
            <w:tcW w:w="340" w:type="dxa"/>
            <w:vAlign w:val="bottom"/>
            <w:shd w:val="clear" w:color="auto" w:fill="DBDBDB"/>
          </w:tcPr>
          <w:p>
            <w:pPr>
              <w:spacing w:after="0"/>
              <w:rPr>
                <w:sz w:val="13"/>
                <w:szCs w:val="13"/>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26.5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89"/>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consolidated statements of income</w:t>
            </w:r>
          </w:p>
        </w:tc>
        <w:tc>
          <w:tcPr>
            <w:tcW w:w="340" w:type="dxa"/>
            <w:vAlign w:val="bottom"/>
            <w:shd w:val="clear" w:color="auto" w:fill="DBDBDB"/>
          </w:tcPr>
          <w:p>
            <w:pPr>
              <w:spacing w:after="0"/>
              <w:rPr>
                <w:sz w:val="16"/>
                <w:szCs w:val="16"/>
                <w:color w:val="auto"/>
              </w:rPr>
            </w:pPr>
          </w:p>
        </w:tc>
        <w:tc>
          <w:tcPr>
            <w:tcW w:w="11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Stoke Therapeutics, Inc.</w:t>
      </w:r>
    </w:p>
    <w:p>
      <w:pPr>
        <w:spacing w:after="0" w:line="12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February 2025 we entered into a collaboration and license agreement with Stoke to co-develop and commercialize zorevunersen, an investigational ASO that targets the SCN1A gene for the potential treatment of Dravet syndrome, a rare form of genetic epilepsy associated with refractory seizures and neurodevelopmental impairments. Zorevunersen dosed its first patient in August 2025, advancing zorevunersen to a global Phase 3 trial.</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Under the terms of this agreement, Stoke will continue to lead global development and retain exclusive development and commercialization rights for zorevunersen in the U.S., Canada and Mexico and we will have exclusive rights to commercialize zorevunersen in the rest of the world. Both companies will share responsibility for external clinical development costs, where Stoke is responsible for 70.0% of these development costs and we are responsible for the remaining 30.0% of these development costs.</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connection with the closing of this transaction we made an upfront payment of $165.0 million to Stoke, which was recognized in acquired in-process research and development, upfront and milestone expense within our consolidated statements of income for the year ended December 31, 2025. We may also pay Stoke potential development and commercial milestone payments of up to $50.0 million and $335.0 million, respectively, if all the specified milestones set forth in this collaboration are achieved. In addition, we may pay Stoke tiered royalties on potential net sales of any products developed under this collaboration in the low-double digit to high-teen percentages.</w:t>
      </w:r>
    </w:p>
    <w:p>
      <w:pPr>
        <w:spacing w:after="0" w:line="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also have an exclusive option to license certain future follow-on ASO products targeting the SCN1A gene in all territories worldwide other than the U.S., Canada and Mexico, in exchange for separate milestone, cost sharing and royalty considerations.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Stoke collaboration agreement is as follows: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803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3">
                      <a:extLst>
                        <a:ext uri="{28A0092B-C50C-407E-A947-70E740481C1C}"/>
                      </a:extLst>
                    </a:blip>
                    <a:srcRect/>
                    <a:stretch>
                      <a:fillRect/>
                    </a:stretch>
                  </pic:blipFill>
                  <pic:spPr bwMode="auto">
                    <a:xfrm>
                      <a:off x="0" y="0"/>
                      <a:ext cx="558038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Stoke collaboration development expense</w:t>
      </w:r>
    </w:p>
    <w:p>
      <w:pPr>
        <w:spacing w:after="0" w:line="42" w:lineRule="exact"/>
        <w:rPr>
          <w:sz w:val="20"/>
          <w:szCs w:val="20"/>
          <w:color w:val="auto"/>
        </w:rPr>
      </w:pPr>
    </w:p>
    <w:p>
      <w:pPr>
        <w:ind w:left="20"/>
        <w:spacing w:after="0" w:line="264" w:lineRule="auto"/>
        <w:rPr>
          <w:sz w:val="20"/>
          <w:szCs w:val="20"/>
          <w:color w:val="auto"/>
        </w:rPr>
      </w:pPr>
      <w:r>
        <w:rPr>
          <w:rFonts w:ascii="Arial" w:cs="Arial" w:eastAsia="Arial" w:hAnsi="Arial"/>
          <w:sz w:val="14"/>
          <w:szCs w:val="14"/>
          <w:color w:val="auto"/>
        </w:rPr>
        <w:t>Biogen's share of the Stoke collaboration development expense reflected in research and development expense in our consolidated statements of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20" w:right="20"/>
        <w:spacing w:after="0" w:line="256" w:lineRule="auto"/>
        <w:rPr>
          <w:sz w:val="20"/>
          <w:szCs w:val="20"/>
          <w:color w:val="auto"/>
        </w:rPr>
      </w:pPr>
      <w:r>
        <w:rPr>
          <w:rFonts w:ascii="Arial" w:cs="Arial" w:eastAsia="Arial" w:hAnsi="Arial"/>
          <w:sz w:val="14"/>
          <w:szCs w:val="14"/>
          <w:b w:val="1"/>
          <w:bCs w:val="1"/>
          <w:color w:val="257ACB"/>
        </w:rPr>
        <w:t>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491615" cy="2146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4">
                      <a:extLst>
                        <a:ext uri="{28A0092B-C50C-407E-A947-70E740481C1C}"/>
                      </a:extLst>
                    </a:blip>
                    <a:srcRect/>
                    <a:stretch>
                      <a:fillRect/>
                    </a:stretch>
                  </pic:blipFill>
                  <pic:spPr bwMode="auto">
                    <a:xfrm>
                      <a:off x="0" y="0"/>
                      <a:ext cx="1491615" cy="2146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1040" w:type="dxa"/>
            <w:vAlign w:val="bottom"/>
            <w:tcBorders>
              <w:top w:val="single" w:sz="8" w:color="auto"/>
            </w:tcBorders>
            <w:shd w:val="clear" w:color="auto" w:fill="DBDBDB"/>
          </w:tcPr>
          <w:p>
            <w:pPr>
              <w:jc w:val="right"/>
              <w:ind w:right="888"/>
              <w:spacing w:after="0"/>
              <w:rPr>
                <w:sz w:val="20"/>
                <w:szCs w:val="20"/>
                <w:color w:val="auto"/>
              </w:rPr>
            </w:pPr>
            <w:r>
              <w:rPr>
                <w:rFonts w:ascii="Arial" w:cs="Arial" w:eastAsia="Arial" w:hAnsi="Arial"/>
                <w:sz w:val="14"/>
                <w:szCs w:val="14"/>
                <w:color w:val="026DCE"/>
                <w:w w:val="76"/>
              </w:rPr>
              <w:t>$</w:t>
            </w: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39.4</w:t>
            </w:r>
          </w:p>
        </w:tc>
      </w:tr>
      <w:tr>
        <w:trPr>
          <w:trHeight w:val="343"/>
        </w:trPr>
        <w:tc>
          <w:tcPr>
            <w:tcW w:w="1040" w:type="dxa"/>
            <w:vAlign w:val="bottom"/>
            <w:shd w:val="clear" w:color="auto" w:fill="DBDBDB"/>
          </w:tcPr>
          <w:p>
            <w:pPr>
              <w:spacing w:after="0"/>
              <w:rPr>
                <w:sz w:val="24"/>
                <w:szCs w:val="2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11.8</w:t>
            </w:r>
          </w:p>
        </w:tc>
      </w:tr>
    </w:tbl>
    <w:p>
      <w:pPr>
        <w:spacing w:after="0" w:line="220" w:lineRule="exact"/>
        <w:rPr>
          <w:sz w:val="20"/>
          <w:szCs w:val="20"/>
          <w:color w:val="auto"/>
        </w:rPr>
      </w:pPr>
    </w:p>
    <w:p>
      <w:pPr>
        <w:sectPr>
          <w:pgSz w:w="11900" w:h="16838" w:orient="portrait"/>
          <w:cols w:equalWidth="0" w:num="2">
            <w:col w:w="8400" w:space="500"/>
            <w:col w:w="2340"/>
          </w:cols>
          <w:pgMar w:left="320" w:top="238"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Samsung Bioepis Co., Ltd.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Joint Venture Agreement</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April 2022 we completed the sale of our 49.9% equity interest in Samsung Bioepis to Samsung BioLogics in exchange for total consideration of approximately $2.3 billion. Under the terms of this transaction, we received approximately $1.0 billion in cash at closing, with approximately $ 1.3 billion in cash to be deferred over two payments. The first deferred payment of $812.5 million was received in April 2023 and the second deferred payment of $437.5 million was received in April 2024.</w:t>
      </w:r>
    </w:p>
    <w:p>
      <w:pPr>
        <w:spacing w:after="0" w:line="6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 xml:space="preserve">For additional information on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2019 Development and Commercialization Agreement</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BYOOVIZ, a ranibizumab biosimilar referencing LUCENTIS, and OPUVIZ, an aflibercept biosimilar referencing EYLEA, in major markets worldwide, including the U.S., Canada, Europe, Japan and Australia. The agreement established that Samsung Bioepis will be responsible for development and will supply both products to us at a pre-specified gross margin of approximately 45.0%.</w:t>
      </w:r>
    </w:p>
    <w:p>
      <w:pPr>
        <w:spacing w:after="0" w:line="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October 2024 we notified Samsung Bioepis of our decision to terminate our 2019 Development and Commercialization Agreement (the DCA Agreement) solely within the U.S. and Canada. As a result of this termination we recognized impairment charges of approximately $20.2 million, which were recorded within amortization and impairment of acquired intangible assets within our consolidated statements of income for the year ended December 31, 2024. The transfer of commercialization rights for BYOOVIZ and OPUVIZ in the U.S. and Canada back to Samsung Bioepis was completed as of December 31, 2025.</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October 2025 we completed the sale of our remaining commercial rights to two ophthalmology assets in Europe: BYOOVIZ, a ranibizumab biosimilar referencing LUCENTIS, and OPUVIZ, an aflibercept biosimilar referencing EYLEA. Samsung Bioepis will have full responsibility for commercialization of BYOOVIZ upon the transfer of commercial rights from Biogen back to Samsung Bioepis, which became effective as of January 2026. Under the terms of this transaction, we received a payment of $28.0 million in November 2025 and recognized a minimal gain on disposal within our consolidated statements of income for the year ended December 31, 2025.</w:t>
      </w:r>
    </w:p>
    <w:p>
      <w:pPr>
        <w:spacing w:after="0" w:line="7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reflected revenue on sales of BYOOVIZ to third parties in product revenue, net in our consolidated statements of income and recorded the related cost of revenue and sales and marketing expense in our consolidated statements of income to their respective line items when these costs were incurred.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2013 Commercial Agreement</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December 2013 we entered into an agreement with Samsung Bioepis to commercialize, over a 10-year term, three anti-TNF biosimilar product candidates which includes IMRALDI, an adalimumab biosimilar referencing HUMIRA, FLIXABI, an infliximab biosimilar referencing REMICADE, and BENEPALI, an etanercept biosimilar referencing ENBREL, in Europe.</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July 2024 we exercised an option to extend this agreement by an additional five years and paid Samsung Bioepis an option exercise fee of $60.0 million, which was recorded within intangible assets, net within our consolidated balance sheets as of December 31, 2024.</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reflect revenue on sales of BENEPALI, IMRALDI and FLIXABI to third parties in product revenue, net in our consolidated statements of income and record the related cost of revenue and sales and marketing expense in our</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consolidated statements of income to their respective line items when these costs are incurred. Royalty payments to AbbVie on sales of IMRALDI are recognized in cost of sales within our consolidated statements of income.</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share 50.0% of the profit or loss related to our 2013 commercial agreement with Samsung Bioepis, which is recognized in collaboration profit sharing/(loss reimbursement) in our consolidated statements of income. For the years ended December 31, 2025, 2024 and 2023, we recognized net profit-sharing expense of approximately $219.2 million, $227.4 million and $223.5 million, respectively, to reflect Samsung Bioepis' 50.0% sharing of the net collaboration profits.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 Services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Simultaneous with the formation of Samsung Bioepis, we also entered into a license agreement with Samsung Bioepis. Under this license agreement, we granted Samsung Bioepis an exclusive license to use, develop, manufacture and commercialize biosimilar products created by Samsung Bioepis using Biogen product-specific technology. In exchange, we receive single-digit royalties on biosimilar products developed and commercialized by Samsung Bioepis. Royalty revenue under the license agreement is recognized as a component of contract manufacturing, royalty and other revenue in our consolidated statements of income.</w:t>
      </w:r>
    </w:p>
    <w:p>
      <w:pPr>
        <w:spacing w:after="0" w:line="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the years ended December 31, 2025, 2024 and 2023, we recognized approximately $15.5 million, $14.4 million and $13.6 million, respectively, as a component of contract manufacturing, royalty and other revenue in our consolidated statements of income related to the license agreement.</w:t>
      </w:r>
    </w:p>
    <w:p>
      <w:pPr>
        <w:spacing w:after="0" w:line="6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Amounts receivable from Samsung Bioepis related to the agreements discussed above were approximately $4.4 million and $7.6 million as of December 31, 2025 and 2024, respectively. Amounts payable to Samsung Bioepis related to the agreements discussed above were approximately $42.7 million and $60.8 million as of December 31, 2025 and 2024,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Merz Therapeutics (previously Acorda Therapeutics, Inc.)</w:t>
      </w:r>
    </w:p>
    <w:p>
      <w:pPr>
        <w:spacing w:after="0" w:line="126"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In June 2009 we entered into a collaboration and license agreement with Acorda to develop and commercialize products containing fampridine, such as FAMPYRA, in markets outside the U.S.</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Under this agreement, we pay tiered royalties based on the level of ex-U.S. net sales and we may pay potential milestone payments based on the successful achievement of certain regulatory and commercial milestones.</w:t>
      </w:r>
    </w:p>
    <w:p>
      <w:pPr>
        <w:spacing w:after="0" w:line="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2024 we notified Acorda of our decision to terminate our collaboration and license agreement, effective January 1, 2025, whereby Acorda regained global commercialization rights to FAMPYRA. On April 1, 2024, Acorda filed for bankruptcy protection and announced its intention to sell substantially all of Acorda's assets to a third party. On July 10, 2024, Merz Therapeutics announced that its subsidiary Merz Pharmaceuticals LLC had completed the acquisition of FAMPYRA, and related assets from Acorda, and in 2025 we transitioned the global commercialization rights of FAMPYRA to Merz Therapeutics.</w:t>
      </w:r>
    </w:p>
    <w:p>
      <w:pPr>
        <w:spacing w:after="0" w:line="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For the years ended December 31, 2024 and 2023, total cost of sales related to royalties and commercial supply of FAMPYRA reflected in our consolidated statements of income were approximately $52.4 million and $55.2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Research and Discovery Arrangements and Funding Arrangements</w:t>
      </w:r>
    </w:p>
    <w:p>
      <w:pPr>
        <w:spacing w:after="0" w:line="11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These arrangements may include the potential for future milestone payments based on the achievement of certain clinical and commercial development payable over a period of several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years ended December 31, 2025, 2024 and 2023, we recorded approximately $13.4 million, $ 54.0 million and $ 4.1 million, respectively, as research and development expense in our consolidated statements of income related to other research and discovery related arrangements.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Royalty Pharma Funding Arrangement</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2025 we entered into a funding agreement with Royalty Pharma under which we received $200.0 million in 2025 and will receive up to $50.0 million in 2026 to co-fund our development costs for the litifilimab program. As there is a substantive transfer of risk to the financial partner for the amount invested, the development funding will be recognized by us as an obligation to perform contractual services. This funding is being recognized as a reduction to research and development expense within our consolidated statements of income, proportionate to the related</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78" w:name="page179"/>
    <w:bookmarkEnd w:id="178"/>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expense. For the year ended December 31, 2025, we recorded a reduction to research and development expense of $200.0 million within our consolidated statements of income.</w:t>
      </w:r>
    </w:p>
    <w:p>
      <w:pPr>
        <w:spacing w:after="0" w:line="4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the litifilimab clinical trials are successful for the indications based on the applicable clinical trials, upon regulatory approval in the U.S. or certain major markets in the world, Royalty Pharma will be eligible to receive approval-based fixed milestone payments of up to $250.0 million. The milestone payments due upon approval will be recorded as a component of other (income) expense, net within our consolidated statements of income, when incurred.</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If litifilimab receives regulatory approval, Royalty Pharma will be eligible to receive royalties of a mid-single digit percentage of the applicable net sales. Royalties on net sales will be recorded as cost of sales within our consolidated statements of income.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MorphoSys AG</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part of our acquisition of HI-Bio in July 2024, we acquired HI-Bio's pre-existing in-license commitments under third-party agreements with MorphoSys, which included tiered royalties on potential future sales ranging from high-single digit to mid-teen percentages, as well as potential development, regulatory and commercial milestone payments of up to $130.0 million, $230.0 million and $640.0 million, respectively. These amounts included milestone payments due upon the first patient dosed in a Phase 3 clinical trial of felzartamab in a first and second indication of $35.0 million and $30.0 million, respectively.</w:t>
      </w:r>
    </w:p>
    <w:p>
      <w:pPr>
        <w:spacing w:after="0" w:line="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2025 we made milestone payments to MorphoSys of $35.0 million and $30.0 million upon the first patient dosed in a Phase 3 clinical trial of felzartamab for the treatment of AMR and IgAN, respectively, which were recognized in acquired in-process research and development, upfront and milestone expense within our consolidated statements of income for the year ended December 31, 2025.</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City Therapeutics, Inc.</w:t>
      </w:r>
    </w:p>
    <w:p>
      <w:pPr>
        <w:spacing w:after="0" w:line="1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May 2025 we entered into a strategic research arrangement with City Therapeutics to develop select novel RNAi therapies. Through this arrangement, City Therapeutics will leverage its next-generation RNAi engineering technologies to develop an RNAi trigger molecule (or molecules) combined with our proprietary drug delivery technology. The collaboration will initially focus on a single target that mediates key CNS diseases, utilizing tissue enhanced delivery technologies with the aim of allowing for systemic administration of medicines. We will be responsible for IND-enabling studies and global clinical development along with any regulatory submissions and all activities related to commercialization, including manufacturing.</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closing of this transaction we made an upfront payment of $16.0 million to City Therapeutics, which was recognized in acquired in-process research and development, upfront and milestone expense within our consolidated statements of income for the year ended December 31, 2025, and invested $30.0 million in exchange for a City Therapeutics convertible note, representing a minority equity interest in City Therapeutics, if converted. This convertible note was recorded as a component of investments and other assets within our consolidated balance sheets as of December 31, 2025.</w:t>
      </w:r>
    </w:p>
    <w:p>
      <w:pPr>
        <w:spacing w:after="0" w:line="7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We may also pay City Therapeutics potential research, development and sales-based milestone payments of up to $21.5 million, $360.0 million and $625.0 million, respectively, plus tiered royalties on potential future net sales, ranging from high-single digit to low-double digit percentages.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also have the option to select one additional target in the collaboration, subject to an additional payment and availability of the target.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Dayra Therapeutics, Inc.</w:t>
      </w:r>
    </w:p>
    <w:p>
      <w:pPr>
        <w:spacing w:after="0" w:line="10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 October 2025 we entered into a research collaboration with Dayra to discover and develop oral macrocyclic peptides for priority targets in immunological conditions.</w:t>
      </w:r>
    </w:p>
    <w:p>
      <w:pPr>
        <w:spacing w:after="0" w:line="1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Under the terms of this agreement, both companies will collaborate to identify, validate and optimize oral macrocycle candidates for high-priority immunological targets, with our company advancing the molecules through further development and potential commercialization, including manufacturing.</w:t>
      </w:r>
    </w:p>
    <w:p>
      <w:pPr>
        <w:spacing w:after="0" w:line="4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closing of this transaction we made an upfront payment of $50.0 million to Dayra, which was recognized in acquired in-process research and development, upfront and milestone expense within our consolidated statements of income for the year ended December 31, 2025.</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This agreement also provides us with the option to acquire the development candidates from Dayra, subject to additional payments per program. Dayra will also be eligible to receive potential preclinical and clinical development milestone payments per program.</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Vanqua Bio, Inc.</w:t>
      </w:r>
    </w:p>
    <w:p>
      <w:pPr>
        <w:spacing w:after="0" w:line="8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October 2025 we entered into a license agreement with Vanqua granting us exclusive worldwide rights to further develop, manufacture and commercialize Vanqua's preclinical oral C5aR1 antagonist compound.</w:t>
      </w:r>
    </w:p>
    <w:p>
      <w:pPr>
        <w:spacing w:after="0" w:line="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connection with the closing of this transaction we made an upfront payment of $70.0 million to Vanqua, which was recognized in acquired in-process research and development, upfront and milestone expense within our consolidated statements of income for the year ended December 31, 2025.</w:t>
      </w:r>
    </w:p>
    <w:p>
      <w:pPr>
        <w:spacing w:after="0" w:line="49"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We may pay Vanqua potential development, regulatory or commercial, and sales milestone payments of up to $135.0 million, $295.0 million and $ 560.0 million, respectively, if all the specified milestones set forth in this collaboration are achieved. In addition, we may pay Vanqua tiered royalties on potential net sales of any licensed product under this collaboration in the mid-single digit to low-double digit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31215" cy="3429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8">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5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20:</w:t>
      </w:r>
      <w:r>
        <w:rPr>
          <w:sz w:val="20"/>
          <w:szCs w:val="20"/>
          <w:color w:val="auto"/>
        </w:rPr>
        <w:tab/>
      </w:r>
      <w:r>
        <w:rPr>
          <w:rFonts w:ascii="Arial" w:cs="Arial" w:eastAsia="Arial" w:hAnsi="Arial"/>
          <w:sz w:val="21"/>
          <w:szCs w:val="21"/>
          <w:b w:val="1"/>
          <w:bCs w:val="1"/>
          <w:color w:val="0070C0"/>
        </w:rPr>
        <w:t>Investments in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9">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Consolidated Variable Interest Entities</w:t>
      </w:r>
    </w:p>
    <w:p>
      <w:pPr>
        <w:spacing w:after="0" w:line="12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Our consolidated financial statements include the financial results of variable interest entities in which we are the primary beneficiary. The following are our significant variable interest entities.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Neurimmune SubOne AG</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Beginning in 2007 we consolidated the results of Neurimmune as we determined we were the primary beneficiary because we had the power through the collaboration to direct the activities that most significantly impacted the entity's economic performance and we were required to fund 100.0% of the research and development costs incurred in support of the collaboration. The collaboration and license agreement with Neurimmune was for the development and commercialization of antibodies for the potential treatment of Alzheimer's disease, including ADUHELM (as amended, the Neurimmune Agreement).</w:t>
      </w:r>
    </w:p>
    <w:p>
      <w:pPr>
        <w:spacing w:after="0" w:line="58"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November 2023 we notified Neurimmune of our decision to terminate the Neurimmune Agreement. Subsequent to the termination, we reconsidered our relationship with Neurimmune and determined that we were no longer the primary beneficiary of the variable interest entity. As a result, we recorded a net gain on the deconsolidation of Neurimmune of approximately $3.0 million, which was recorded in other (income) expense, net within our consolidated statements of income for the year ended December 31, 2023.</w:t>
      </w:r>
    </w:p>
    <w:p>
      <w:pPr>
        <w:spacing w:after="0" w:line="79"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Research and development costs for which we reimbursed Neurimmune were reflected in research and development expense in our consolidated statements of income. For the year ended December 31, 2023, amounts reimbursed were immaterial.</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Unconsolidated Variable Interest Entities</w:t>
      </w:r>
    </w:p>
    <w:p>
      <w:pPr>
        <w:spacing w:after="0" w:line="11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As of December 31, 2025 and 2024, the carrying value of our investments in certain biotechnology companies representing potential unconsolidated variable interest entities totaled $49.8 million and $23.6 million, respectively. The increase was primarily due to convertible note investments entered into during 2025, including a $30.0 million convertible note invested in City Therapeutics as part of our strategic research arrangement and a $ 5.0 million convertible note invested in Neela Therapeutics, Inc. For additional information on our arrangement with City Therapeutics,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 Our maximum exposure to loss related to these variable interest entities is limited to the carrying value of our investments.</w:t>
      </w:r>
    </w:p>
    <w:p>
      <w:pPr>
        <w:spacing w:after="0" w:line="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have also entered into research collaboration agreements with certain variable interest entities where we are required to fund certain development activities. These development activities are included in research and</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development expense in our consolidated statements of income as they are incurred. We have provided no financing to these variable interest entities other than previous contractually required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31215" cy="3429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1">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21:</w:t>
      </w:r>
      <w:r>
        <w:rPr>
          <w:sz w:val="20"/>
          <w:szCs w:val="20"/>
          <w:color w:val="auto"/>
        </w:rPr>
        <w:tab/>
      </w:r>
      <w:r>
        <w:rPr>
          <w:rFonts w:ascii="Arial" w:cs="Arial" w:eastAsia="Arial" w:hAnsi="Arial"/>
          <w:sz w:val="21"/>
          <w:szCs w:val="21"/>
          <w:b w:val="1"/>
          <w:bCs w:val="1"/>
          <w:color w:val="0070C0"/>
        </w:rPr>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2">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We are currently involved in various claims, investigations and legal proceedings, including the matters described below. For information as to our accounting policies relating to claims and legal proceedings, including use of estimates and contingencies, please read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these consolidated financial statements.</w:t>
      </w:r>
    </w:p>
    <w:p>
      <w:pPr>
        <w:spacing w:after="0" w:line="6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 If an estimate of the possible loss or range of loss can be made at this time, it is included in the potential loss contingency description below.</w:t>
      </w:r>
    </w:p>
    <w:p>
      <w:pPr>
        <w:spacing w:after="0" w:line="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Loss Contingencies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Securities Litigation</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and certain current and former officers are defendants in three securities actions pending in the District Court, one filed by Nadia Shash and Amjad Khan in November 2020, which relates to statements about ADUHELM, one filed by the Oklahoma Firefighters Pension and Retirement System in February 2022, which relates to statements about ADUHELM, and one filed by Thomas Allen Gray in June 2024, which relates to statements about LEQEMBI, TECFIDERA and VUMERITY. All allege violations of federal securities laws under 15 U.S.C. §78j(b) and §78t(a) and 17 C.F.R. §240.10b-5 and seek declarations of the actions as class actions and monetary relief.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Derivative Actions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members of the Board of Directors are named as defendants in five derivative actions pending in the District Court, one filed by The Booth Family Trust (Booth) in February 2022, one filed by Elaine Wang (Wang) in July 2022, one filed by Jonathan Blaufarb (Blaufarb I) in July 2024, one filed by Lawrence Hollin (Hollin) in October 2024 and one filed by Jonathan Blaufarb (Blaufarb II) in October 2024. The Booth, Wang and Blaufarb II actions relate to ADUHELM and other matters, and the Blaufarb I and Hollin actions relate to statements about LEQEMBI, our compliance controls, 2023 earnings guidance and other matters. The actions allege breach of fiduciary duty, waste of corporate assets and other common law claims, and violations of the Securities Exchange Act of 1934, 15 U.S.C. §78a et seq. The actions seek declaratory and injunctive relief, monetary relief payable to Biogen, and attorneys’ fees and costs payable to the plaintiffs. All derivative actions are stayed.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IMRALDI Patent Litigation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IMRALDI is an adalimumab biosimilar manufactured by Samsung Bioepis that Biogen commercializes in Europe.</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June 2022, Fresenius Kabi filed a claim for damages and injunctive relief against Biogen France SAS in the Tribunal de Grande Instance de Paris alleging infringement of the French counterpart of EP ‘3 145 488 Patent (the EP '488 Patent) by a formulation of IMRALDI no longer commercialized in France. Fresenius Kabi alleges damages of €13,450,000 plus interest and costs. Biogen disputes infringement and the validity of the patent. Trial is set for June 2026.</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May 2025 the Higher Regional Court of Düsseldorf, Germany held that a formulation of IMRALDI we no longer commercialize in Germany infringed the German counterpart of the EP '488 Patent, enjoined infringement and declared Fresenius Kabi's right to seek damages. Biogen has requested review of the decision by Germany's Federal Court of Justice and has challenged the validity of the patent in a separate proceeding.</w:t>
      </w:r>
    </w:p>
    <w:p>
      <w:pPr>
        <w:sectPr>
          <w:pgSz w:w="11900" w:h="16838" w:orient="portrait"/>
          <w:cols w:equalWidth="0" w:num="1">
            <w:col w:w="11220"/>
          </w:cols>
          <w:pgMar w:left="320" w:top="238"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type w:val="continuous"/>
        </w:sectPr>
      </w:pPr>
    </w:p>
    <w:bookmarkStart w:id="181" w:name="page182"/>
    <w:bookmarkEnd w:id="181"/>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Litigation with Former Convergence Shareholders</w:t>
      </w:r>
    </w:p>
    <w:p>
      <w:pPr>
        <w:spacing w:after="0" w:line="1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2015 Biogen acquired Convergence, a U.K. company. In 2019 Shareholder Representative Services LLC, on behalf of former shareholders of Convergence, asserted claims of $200.0 million for alleged breaches of the contract pursuant to which we acquired Convergence and in June 2023 it and former Convergence shareholders filed a suit against us in the High Court of Justice of England and Wales asserting one of the 2019 claims and seeking payment of $49.9 million, plus interest and costs. The parties have reached an agreement in principle to resolve all claims relating to Biogen's acquisition of Convergence.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Humana Patient Assistance Litigation</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February 2025 Humana filed suit against Biogen Inc., Biogen U.S. Corp. and Advanced Care Scripts, Inc. in Jefferson Circuit Court in Kentucky alleging damages related to providing MS patients with free medications and to charitable contributions to non-profit organizations that provide financial assistance to MS patients. Humana alleges breach of contract, fraud and other claims under various state laws and seeks damages, attorneys' fees and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Genentech Litigation</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February 2023 Genentech Inc. filed suit in the U.S. District Court for the Northern District of California claiming that it was owed royalties on sales of TYSABRI that occurred after the expiration of a patent licensed by Genentech to Biogen. In November 2025 the court entered judgment against us for approximately $124.3 million. We appealed and the appeal is pending.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Lender Litigation</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April 2025, by agreement of the parties, the Supreme Court of the State of New York discontinued with prejudice the suit filed in 2024 by BioPharma Credit PLC, BPCR Limited Partnership, and BioPharma Credit Investments V (Master) LP against us and Reata Pharmaceuticals, Inc. alleging breach of a loan agreement.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Antitrust Litigation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October 2025 Local No. 1 Health Fund, the Mayor and City Council of Baltimore, Teamsters Local 237 Welfare Fund, Teamsters Local 237 Retirees' Benefit Fund, UFCW Local 1500 Welfare Fund, and Jacksonville Police Officers and Fire Fighters Health Insurance Trust filed an amended complaint against us in now consolidated proceedings in the U.S. District Court for the Northern District of Illinois (the Illinois federal court). The first complaint was filed in August 2024. The plaintiffs allege violations of federal antitrust laws including 15 U.S.C. §§ 1, 2 and 13(c), the Racketeer Influenced and Corrupt Organizations Act, 18 U.S.C. §1962(c) and of various state laws, based on allegations about our contracts with pharmacy benefit managers related to TECFIDERA and VUMERITY and other allegations. Plaintiffs seek declarations of the actions as class actions, monetary, declaratory and equitable relief, and attorneys' fees and costs.</w:t>
      </w:r>
    </w:p>
    <w:p>
      <w:pPr>
        <w:spacing w:after="0" w:line="7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addition, in September 2025 Walgreen Co. and The Kroger Co. sued us in the Illinois federal court, alleging violations of 15 U.S.C. §§ 1 and 2 based on allegations about our contracts with pharmacy benefit managers related to TECFIDERA and VUMERITY and other allegations. They seek monetary, declaratory and equitable relief, and attorneys' fees and costs.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Neurimmune Litigation</w:t>
      </w:r>
    </w:p>
    <w:p>
      <w:pPr>
        <w:spacing w:after="0" w:line="11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May 2025 we sued Neurimmune Holding AG and Neurimmune Subone AG (collectively, "Neurimmune") in the District Court seeking declaratory judgment and permanent injunctive relief regarding our rights under a terminated collaboration agreement related to aducanumab. In September 2025 Neurimmune counterclaimed for declaratory judgment, breach of contract and unfair competition under Massachusetts G.L. 93A and seeking monetary, declaratory and equitable relief and attorneys' fees and costs.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TECFIDERA E.U. Litigation</w:t>
      </w:r>
    </w:p>
    <w:p>
      <w:pPr>
        <w:spacing w:after="0" w:line="115"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In November 2023 we sued Neuraxpharm Pharmaceuticals S.L. and Neuraxpharm Netherlands B.V. (collectively, Neuraxpharm), Zaklady Farmaceutyzne Polpharma S.A. (Polpharma), Sandoz B.V. (Sandoz), Mylan Ireland Ltd. and Mylan B.V. in the District Court of Amsterdam Netherlands for damages for sales of generic versions of TECFIDERA in violation of our regulatory marketing protection. Neuraxpharm, Polpharma and Sandoz counterclaimed for damages based on our actions to enforce TECFIDERA's regulatory marketing protection.</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June 2024 we sued Sandoz A/S in the Danish Maritime and Commercial High Court for damages for sales of its generic version of TECFIDERA in violation of our regulatory marketing protection. Sandoz A/S counterclaimed for damages based on our actions to enforce TECFIDERA's regulatory marketing protection. These cases are stayed.</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September 2025 the European General Court annulled the May 2023 European Commission decision granting TECFIDERA an additional year of regulatory marketing protection extending until February 2025. We and the European Commission appealed and the appeal is pending.</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Germany Tax Matter</w:t>
      </w:r>
    </w:p>
    <w:p>
      <w:pPr>
        <w:spacing w:after="0" w:line="11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In December 2025 and January 2026 a German tax authority issued assessments against us of approximately $246.5 million including interest, which continues to accrue. We are challenging the assessments.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Other Matters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Government Investigations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April 2025 the SEC Division of Enforcement informed us that it has closed the matter in which we had received subpoenas seeking information relating to ADUHELM and its launch and our equity plans, and in April and May 2025 the DOJ and SEC informed us that they closed the matters in which we had received subpoenas seeking information relating to our business operations in several foreign countries.</w:t>
      </w:r>
    </w:p>
    <w:p>
      <w:pPr>
        <w:spacing w:after="0" w:line="6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In May 2024 the Italian Competition Authority informed us that it is investigating Biogen and other companies in relation to our biosimilar product BYOOVIZ.</w:t>
      </w:r>
    </w:p>
    <w:p>
      <w:pPr>
        <w:spacing w:after="0" w:line="45"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In September 2025 we received a Civil Investigative Demand from the Louisiana Department of Justice for information regarding our policies relating to the purchase of drugs by healthcare organizations that are covered entities under Section 340B of the Public Health Service Act.</w:t>
      </w:r>
    </w:p>
    <w:p>
      <w:pPr>
        <w:spacing w:after="0" w:line="2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In January 2026 we received a request for information regarding TECFIDERA from the European Commission Directorate-General for Competition.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TYSABRI Biosimilar Patent Matter</w:t>
      </w:r>
    </w:p>
    <w:p>
      <w:pPr>
        <w:spacing w:after="0" w:line="11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September 2022 we filed an action in the U.S. District Court for the District of Delaware against Sandoz Inc., other Sandoz entities and Polpharma Biologics S.A. under the Biologics Price Competition and Innovation Act, 42 U.S.C. §262, seeking a declaratory judgment of patent infringement. Trial against Sandoz Inc. is scheduled for April 2027.</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Hatch-Waxman Act Litigation relating to VUMERITY Orange-Book Listed Patents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July 2023 Biogen and Alkermes Pharma Ireland Limited filed patent infringement proceedings relating to VUMERITY Orange-Book listed patents (U.S. Patent Nos. 8,669,281, 9,090,558 and 10,080,733) pursuant to the Drug Price Competition and Patent Term Restoration Act of 1984 (the Hatch-Waxman Act) in the U.S. District Court for the District of Delaware against Zydus Worldwide DMCC, Zydus Pharmaceuticals (USA) Inc. and Zydus Lifesciences Limited. In July 2025 the parties reached a settlement and the court dismissed the case pursuant to the parties' stipulation of dismissal.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Eisai Matter</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June 2025 we filed a request for arbitration in the International Court of Arbitration of the International Chamber of Commerce seeking adoption of a budget and commercialization plan for the European Territory that allocates commercialization activities to Biogen and Eisai in an equitable fashion taking into account our respective capabilities and provides a meaningful role for each party.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Product Liability and Other Legal Proceedings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also involved in product liability claims and other legal proceedings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831215" cy="3429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6">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22:</w:t>
      </w:r>
      <w:r>
        <w:rPr>
          <w:sz w:val="20"/>
          <w:szCs w:val="20"/>
          <w:color w:val="auto"/>
        </w:rPr>
        <w:tab/>
      </w:r>
      <w:r>
        <w:rPr>
          <w:rFonts w:ascii="Arial" w:cs="Arial" w:eastAsia="Arial" w:hAnsi="Arial"/>
          <w:sz w:val="21"/>
          <w:szCs w:val="21"/>
          <w:b w:val="1"/>
          <w:bCs w:val="1"/>
          <w:color w:val="0070C0"/>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7">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Royalty Payments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TYSABRI</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obligated to make contingent payments of 18.0% on annual worldwide net sales of TYSABRI up to $2.0 billion and 25.0% on annual worldwide net sales of TYSABRI that exceed $2.0 billion. Royalty payments are recognized as cost of sales in our consolidated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SPINRAZA</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make royalty payments to Ionis on annual worldwide net sales of SPINRAZA using a tiered royalty rate between 11.0% and 15.0%, which are recognized in cost of sales within our consolidated statements of income.</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QALSODY</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make royalty payments to Ionis on annual worldwide net sales of QALSODY using a tiered royalty rate between 11.0% and 15.0%, which are recognized in cost of sales within our consolidated statements of income.</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VUMERITY</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make royalty payments to Alkermes on worldwide net sales of VUMERITY using a royalty rate of 15.0% on product that Alkermes has manufactured and 16.0% on product manufactured by us or a third-party designee, which are recognized as cost of sales in our consolidated statements of income.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SKYCLARYS</w:t>
      </w:r>
    </w:p>
    <w:p>
      <w:pPr>
        <w:spacing w:after="0" w:line="115"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In connection with our acquisition of Reata in September 2023 we assumed additional contractual obligations related to royalty payments. Reata entered into agreements to pay royalties on annual worldwide net sales of SKYCLARYS, which will cumulatively range in the low to mid-single digit percentages. Royalty payments are recognized as cost of sales in our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Lease Commitments</w:t>
      </w:r>
    </w:p>
    <w:p>
      <w:pPr>
        <w:spacing w:after="0" w:line="12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March 2025 we entered into a lease agreement with MIT Investment Management Company and BioMed Realty for the lease of approximately 580,000 square feet of office and research and development space located at 75 Broadway, Cambridge, Massachusetts, which will be used as our new global corporate headquarters, as well as integrating our research and development and technical operations teams alongside our North American commercial organization.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leases, please read </w:t>
      </w:r>
      <w:r>
        <w:rPr>
          <w:rFonts w:ascii="Arial" w:cs="Arial" w:eastAsia="Arial" w:hAnsi="Arial"/>
          <w:sz w:val="18"/>
          <w:szCs w:val="18"/>
          <w:i w:val="1"/>
          <w:iCs w:val="1"/>
          <w:color w:val="auto"/>
        </w:rPr>
        <w:t>Note 12, Leases</w:t>
      </w:r>
      <w:r>
        <w:rPr>
          <w:rFonts w:ascii="Arial" w:cs="Arial" w:eastAsia="Arial" w:hAnsi="Arial"/>
          <w:sz w:val="18"/>
          <w:szCs w:val="18"/>
          <w:color w:val="auto"/>
        </w:rPr>
        <w:t>, to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Contingent Consideration related to Business Combinations</w:t>
      </w:r>
    </w:p>
    <w:p>
      <w:pPr>
        <w:spacing w:after="0" w:line="1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our acquisition of HI-Bio in July 2024 we may make additional payments based upon the achievement of certain milestone events. We recognized the contingent consideration obligations associated with this acquisition at its fair value on the acquisition date and we revalue this obligation each reporting period. We may pay up to a total of $650.0 million in contingent development and regulatory milestone payments. The acquisition-date fair value of these milestones was approximately $485.1 million.</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During the second quarter of 2025 the first milestone related to the fourth patient dosed in a Phase 3 clinical trial of felzartamab for AMR was achieved, resulting in a $ 150.0 million milestone payment made to the former shareholders of HI-Bio, which was paid during the third quarter of 2025. In October 2025 the second milestone related to the fourth patient dosed in a Phase 3 clinical trial of felzartamab for IgAN was achieved, resulting in a</w:t>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$150.0 million milestone payment made to the former shareholders of HI-Bio, which was paid during the fourth quarter of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HI-Bio,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Contingent Development, Regulatory and Commercial Milestone Payments</w:t>
      </w:r>
    </w:p>
    <w:p>
      <w:pPr>
        <w:spacing w:after="0" w:line="12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Based on our development plans as of December 31, 2025, we could make potential future milestone payments to third parties of up to approximately $5.3 billion, including approximately $0.7 billion in development milestones, approximately $0.8 billion in regulatory milestones and approximately $3.8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December 31, 2025,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58"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color w:val="auto"/>
        </w:rPr>
        <w:t xml:space="preserve">If certain research milestones are met, we may pay up to approximately $67.5 million in additional milestones in 2026 under our current agreements, excluding opt-in payments. This amount includes a </w:t>
      </w:r>
      <w:r>
        <w:rPr>
          <w:rFonts w:ascii="Arial" w:cs="Arial" w:eastAsia="Arial" w:hAnsi="Arial"/>
          <w:sz w:val="18"/>
          <w:szCs w:val="18"/>
          <w:b w:val="1"/>
          <w:bCs w:val="1"/>
          <w:color w:val="auto"/>
        </w:rPr>
        <w:t>$45.0 million milestone payment due upon the initiation of a Phase 3</w:t>
      </w:r>
      <w:r>
        <w:rPr>
          <w:rFonts w:ascii="Arial" w:cs="Arial" w:eastAsia="Arial" w:hAnsi="Arial"/>
          <w:sz w:val="18"/>
          <w:szCs w:val="18"/>
          <w:color w:val="auto"/>
        </w:rPr>
        <w:t xml:space="preserve"> </w:t>
      </w:r>
      <w:r>
        <w:rPr>
          <w:rFonts w:ascii="Arial" w:cs="Arial" w:eastAsia="Arial" w:hAnsi="Arial"/>
          <w:sz w:val="18"/>
          <w:szCs w:val="18"/>
          <w:b w:val="1"/>
          <w:bCs w:val="1"/>
          <w:color w:val="auto"/>
        </w:rPr>
        <w:t>trial of salanersen.</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Funding Commitments</w:t>
      </w:r>
    </w:p>
    <w:p>
      <w:pPr>
        <w:spacing w:after="0" w:line="11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December 31, 2025, we have several ongoing clinical studies in various clinical trial stages. Our most significant clinical trial expenditures are to CROs. The contracts with CROs are generally cancellable, with notice, at our option. We recorded accrued expense of approximately $39.3 million in our consolidated balance sheets for expenditures incurred by CROs as of December 31, 2025. We have approximately $524.9 million in cancellable future commitments based on existing CRO contracts as of December 31, 2025.</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Tax Related Obligations</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2025, we have approximately $166.8 million of liabilities associated with uncertain tax positions.</w:t>
      </w:r>
    </w:p>
    <w:p>
      <w:pPr>
        <w:spacing w:after="0" w:line="6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 xml:space="preserve">As of December 31, 2024, we accrued income tax liabilities of approximately $234.0 million under the Transition Toll Tax, which was subsequently paid in full in April 2025. For additional information on the Transition Toll Tax, please read </w:t>
      </w:r>
      <w:r>
        <w:rPr>
          <w:rFonts w:ascii="Arial" w:cs="Arial" w:eastAsia="Arial" w:hAnsi="Arial"/>
          <w:sz w:val="18"/>
          <w:szCs w:val="18"/>
          <w:i w:val="1"/>
          <w:iCs w:val="1"/>
          <w:color w:val="auto"/>
        </w:rPr>
        <w:t>Note 17, Income Taxes</w:t>
      </w:r>
      <w:r>
        <w:rPr>
          <w:rFonts w:ascii="Arial" w:cs="Arial" w:eastAsia="Arial" w:hAnsi="Arial"/>
          <w:sz w:val="18"/>
          <w:szCs w:val="18"/>
          <w:color w:val="auto"/>
        </w:rPr>
        <w:t>,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831215" cy="3429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9">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7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23:</w:t>
      </w:r>
      <w:r>
        <w:rPr>
          <w:sz w:val="20"/>
          <w:szCs w:val="20"/>
          <w:color w:val="auto"/>
        </w:rPr>
        <w:tab/>
      </w:r>
      <w:r>
        <w:rPr>
          <w:rFonts w:ascii="Arial" w:cs="Arial" w:eastAsia="Arial" w:hAnsi="Arial"/>
          <w:sz w:val="21"/>
          <w:szCs w:val="21"/>
          <w:b w:val="1"/>
          <w:bCs w:val="1"/>
          <w:color w:val="0070C0"/>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0">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and 2024, we did not have significant liabilities recorded for guarantees.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831215" cy="3429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1">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9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24:</w:t>
      </w:r>
      <w:r>
        <w:rPr>
          <w:sz w:val="20"/>
          <w:szCs w:val="20"/>
          <w:color w:val="auto"/>
        </w:rPr>
        <w:tab/>
      </w:r>
      <w:r>
        <w:rPr>
          <w:rFonts w:ascii="Arial" w:cs="Arial" w:eastAsia="Arial" w:hAnsi="Arial"/>
          <w:sz w:val="21"/>
          <w:szCs w:val="21"/>
          <w:b w:val="1"/>
          <w:bCs w:val="1"/>
          <w:color w:val="0070C0"/>
        </w:rPr>
        <w:t>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2">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We sponsor various retirement and pension plans. Our estimates of liabilities and expense for these plans incorporate a number of assumptions, including expected rates of return on plan assets and interest rates used to discount future benefits.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8" w:right="359"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401(k) Savings Plan</w:t>
      </w:r>
    </w:p>
    <w:p>
      <w:pPr>
        <w:spacing w:after="0" w:line="12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maintain a 401(k) Savings Plan, which is available to substantially all regular employees in the U.S. over the age of 21. Participants may make voluntary contributions. We make matching contributions according to the 401(k) Savings Plan’s matching formula. All matching contributions and participant contributions vest immediately. The 401(k) Savings Plan also holds certain transition contributions on behalf of participants who previously participated in the Biogen, Inc. Retirement Plan. The expense related to our 401(k) Savings Plan primarily consists of our matching contributions.</w:t>
      </w:r>
    </w:p>
    <w:p>
      <w:pPr>
        <w:spacing w:after="0" w:line="71"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Expense related to our 401(k) Savings Plan totaled approximately $52.6 million, $51.5 million and $55.9 million for the years ended December 31, 2025, 2024 and 2023,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Deferred Compensation Plan</w:t>
      </w:r>
    </w:p>
    <w:p>
      <w:pPr>
        <w:spacing w:after="0" w:line="1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a non-qualified deferred compensation plan, known as the SSP, which allows a select group of management employees in the U.S. to defer a portion of their compensation. The SSP also provides certain credits to highly compensated U.S. employees that are paid by the company. These credits are known as the Restoration Match. The deferred compensation amounts are accrued when earned. Such deferred compensation is distributable in cash in accordance with the rules of the SSP. Deferred compensation amounts under such plan as of December 31, 2025 and 2024, totaled approximately $152.8 million and $140.6 million, respectively, and are included in other long-term liabilities in our consolidated balance sheets. The SSP also holds certain transition contributions on behalf of participants who previously participated in the Biogen, Inc. Retirement Plan. The Restoration Match and participant contributions vest immediately. Distributions to participants can be either in one lump sum payment or annual installments as elected by the participants.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Pension Plans</w:t>
      </w:r>
    </w:p>
    <w:p>
      <w:pPr>
        <w:spacing w:after="0" w:line="126"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Our retiree benefit plans include defined benefit plans for employees in our affiliates in Switzerland and Germany as well as other insignificant defined benefit plans in certain other countries where we maintain an operating presence.</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Swiss plan is a government-mandated retirement fund that provides employees with a minimum investment return. The minimum investment return is determined annually by the Swiss government and was 1.75% in 2025, 1.00% in 2024 and 1.75% in 2023. Under the Swiss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December 31, 2025 and 2024, the Swiss plan had an unfunded net pension obligation of $72.9 million and $61.5 million, respectively, and plan assets that totaled $285.3 million and $224.7 million, respectively. In 2025, 2024 and 2023 we recognized net expense totaling $16.8 million, $17.5 million and $17.6 million, respectively, related to our Swiss plan, of which $7.5 million, $6.0 million and $5.1 million, respectively, was included in other (income) expense, net in our consolidated statements of income.</w:t>
      </w:r>
    </w:p>
    <w:p>
      <w:pPr>
        <w:spacing w:after="0" w:line="7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obligations under the German plans are unfunded and totaled $45.8 million and $45.6 million as of December 31, 2025 and 2024, respectively. Net periodic pension cost related to the German plans totaled $3.9 million, $3.8 million and $3.6 million for the years ended December 31, 2025, 2024 and 2023, respectively, of which $1.2 million, $1.1 million and $0.8 million, respectively, was included in other (income) expense, net in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831215" cy="3429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4">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7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25:</w:t>
      </w:r>
      <w:r>
        <w:rPr>
          <w:sz w:val="20"/>
          <w:szCs w:val="20"/>
          <w:color w:val="auto"/>
        </w:rPr>
        <w:tab/>
      </w:r>
      <w:r>
        <w:rPr>
          <w:rFonts w:ascii="Arial" w:cs="Arial" w:eastAsia="Arial" w:hAnsi="Arial"/>
          <w:sz w:val="21"/>
          <w:szCs w:val="21"/>
          <w:b w:val="1"/>
          <w:bCs w:val="1"/>
          <w:color w:val="0070C0"/>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5">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0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operate and are managed as one operating segment, and derive revenue from activities related to the discovery, development and delivery of innovative therapies for people living with serious and complex diseases.</w:t>
      </w:r>
    </w:p>
    <w:p>
      <w:pPr>
        <w:spacing w:after="0" w:line="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research and development organization is responsible for the research and discovery of new product candidates and supports development and registration efforts for potential future products. Our pharmaceutical, operations and technology organization manages the development of the manufacturing processes, clinical trial supply, commercial product supply, distribution, buildings and facilities. Our commercial organization is responsible for U.S. and international development of our commercial products. We are also supported by corporate staff functions.</w:t>
      </w:r>
    </w:p>
    <w:p>
      <w:pPr>
        <w:spacing w:after="0" w:line="71"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Our CEO, as the CODM, manages and allocates resources to the operations of our company on a total company basis by assessing the overall level of resources available and deciding how to best deploy these resources across</w:t>
      </w:r>
    </w:p>
    <w:p>
      <w:pPr>
        <w:sectPr>
          <w:pgSz w:w="11900" w:h="16838" w:orient="portrait"/>
          <w:cols w:equalWidth="0" w:num="1">
            <w:col w:w="11200"/>
          </w:cols>
          <w:pgMar w:left="320" w:top="238" w:right="37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type w:val="continuous"/>
        </w:sectPr>
      </w:pPr>
    </w:p>
    <w:bookmarkStart w:id="186" w:name="page187"/>
    <w:bookmarkEnd w:id="186"/>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functions, therapeutic areas and research and development projects that are in line with our long-term company-wide strategic goals. In making these decisions, our CEO is provided with and uses consolidated financial information for purposes of evaluating performance, forecasting future period financial results, allocating resources and setting incentive targets. The CODM performs this assessment based on the segment’s net income. Through this analysis, which includes a comparison to budgeted results, the CODM assesses performance and how to allocate resources across the functions discussed above. The measure of segment assets used in determining how to manage and allocate resources is reported within our consolidated balance sheets as total assets.</w:t>
      </w:r>
    </w:p>
    <w:p>
      <w:pPr>
        <w:spacing w:after="0" w:line="7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The tables presented below, which were prepared in accordance with the accounting policies discussed in </w:t>
      </w:r>
      <w:r>
        <w:rPr>
          <w:rFonts w:ascii="Arial" w:cs="Arial" w:eastAsia="Arial" w:hAnsi="Arial"/>
          <w:sz w:val="18"/>
          <w:szCs w:val="18"/>
          <w:i w:val="1"/>
          <w:iCs w:val="1"/>
          <w:color w:val="auto"/>
        </w:rPr>
        <w:t>Note 1,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w:t>
      </w:r>
      <w:r>
        <w:rPr>
          <w:rFonts w:ascii="Arial" w:cs="Arial" w:eastAsia="Arial" w:hAnsi="Arial"/>
          <w:sz w:val="18"/>
          <w:szCs w:val="18"/>
          <w:color w:val="auto"/>
        </w:rPr>
        <w:t>, contain additional information on enterprise-wide disclosures about product revenue, other revenue and long-lived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as well as our segment’s revenue and profits, including significant segment expense and other segment items. Revenue is primarily attributed to individual countries based on location of the customer or licensee.</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Geographic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contain certain financial information by geographic area: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160" w:type="dxa"/>
            <w:vAlign w:val="bottom"/>
            <w:tcBorders>
              <w:bottom w:val="single" w:sz="8" w:color="auto"/>
            </w:tcBorders>
            <w:gridSpan w:val="5"/>
            <w:shd w:val="clear" w:color="auto" w:fill="DBDBDB"/>
          </w:tcPr>
          <w:p>
            <w:pPr>
              <w:ind w:left="300"/>
              <w:spacing w:after="0"/>
              <w:rPr>
                <w:sz w:val="20"/>
                <w:szCs w:val="20"/>
                <w:color w:val="auto"/>
              </w:rPr>
            </w:pPr>
            <w:r>
              <w:rPr>
                <w:rFonts w:ascii="Arial" w:cs="Arial" w:eastAsia="Arial" w:hAnsi="Arial"/>
                <w:sz w:val="14"/>
                <w:szCs w:val="14"/>
                <w:b w:val="1"/>
                <w:bCs w:val="1"/>
                <w:color w:val="0070C0"/>
              </w:rPr>
              <w:t>December 31, 2025</w:t>
            </w:r>
          </w:p>
        </w:tc>
        <w:tc>
          <w:tcPr>
            <w:tcW w:w="22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r>
      <w:tr>
        <w:trPr>
          <w:trHeight w:val="196"/>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U.S.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8"/>
              <w:spacing w:after="0" w:line="196" w:lineRule="exact"/>
              <w:rPr>
                <w:sz w:val="20"/>
                <w:szCs w:val="20"/>
                <w:color w:val="auto"/>
              </w:rPr>
            </w:pPr>
            <w:r>
              <w:rPr>
                <w:rFonts w:ascii="Arial" w:cs="Arial" w:eastAsia="Arial" w:hAnsi="Arial"/>
                <w:sz w:val="14"/>
                <w:szCs w:val="14"/>
                <w:b w:val="1"/>
                <w:bCs w:val="1"/>
                <w:color w:val="auto"/>
              </w:rPr>
              <w:t>Europe</w:t>
            </w:r>
            <w:r>
              <w:rPr>
                <w:rFonts w:ascii="Arial" w:cs="Arial" w:eastAsia="Arial" w:hAnsi="Arial"/>
                <w:sz w:val="18"/>
                <w:szCs w:val="18"/>
                <w:b w:val="1"/>
                <w:bCs w:val="1"/>
                <w:color w:val="auto"/>
                <w:vertAlign w:val="superscript"/>
              </w:rPr>
              <w:t>(1)</w:t>
            </w:r>
          </w:p>
        </w:tc>
        <w:tc>
          <w:tcPr>
            <w:tcW w:w="12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Germany</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Asia</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88"/>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Product revenue from external customers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3,547.9</w:t>
            </w:r>
          </w:p>
        </w:tc>
        <w:tc>
          <w:tcPr>
            <w:tcW w:w="30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2573BA"/>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1,871.6</w:t>
            </w:r>
          </w:p>
        </w:tc>
        <w:tc>
          <w:tcPr>
            <w:tcW w:w="120" w:type="dxa"/>
            <w:vAlign w:val="bottom"/>
            <w:shd w:val="clear" w:color="auto" w:fill="DBDBDB"/>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853.0</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3BA"/>
              </w:rPr>
              <w:t>$</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419.1</w:t>
            </w: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427.8</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3BA"/>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7,119.4</w:t>
            </w:r>
          </w:p>
        </w:tc>
      </w:tr>
      <w:tr>
        <w:trPr>
          <w:trHeight w:val="203"/>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1,775.4</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w:t>
            </w: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40" w:type="dxa"/>
            <w:vAlign w:val="bottom"/>
            <w:shd w:val="clear" w:color="auto" w:fill="DBDBDB"/>
          </w:tcPr>
          <w:p>
            <w:pPr>
              <w:spacing w:after="0"/>
              <w:rPr>
                <w:sz w:val="17"/>
                <w:szCs w:val="17"/>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2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83.4</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1,860.6</w:t>
            </w:r>
          </w:p>
        </w:tc>
      </w:tr>
      <w:tr>
        <w:trPr>
          <w:trHeight w:val="203"/>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414.7</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10.8</w:t>
            </w: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40" w:type="dxa"/>
            <w:vAlign w:val="bottom"/>
            <w:shd w:val="clear" w:color="auto" w:fill="DBDBDB"/>
          </w:tcPr>
          <w:p>
            <w:pPr>
              <w:spacing w:after="0"/>
              <w:rPr>
                <w:sz w:val="17"/>
                <w:szCs w:val="17"/>
                <w:color w:val="auto"/>
              </w:rPr>
            </w:pP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307.4</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4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732.9</w:t>
            </w:r>
          </w:p>
        </w:tc>
      </w:tr>
      <w:tr>
        <w:trPr>
          <w:trHeight w:val="211"/>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Long-lived assets</w:t>
            </w:r>
          </w:p>
        </w:tc>
        <w:tc>
          <w:tcPr>
            <w:tcW w:w="24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1,236.7</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2,053.8</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12.2</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5.9</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12.2</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3,320.8</w:t>
            </w:r>
          </w:p>
        </w:tc>
      </w:tr>
    </w:tbl>
    <w:p>
      <w:pPr>
        <w:spacing w:after="0" w:line="166" w:lineRule="exact"/>
        <w:rPr>
          <w:sz w:val="20"/>
          <w:szCs w:val="20"/>
          <w:color w:val="auto"/>
        </w:rPr>
      </w:pPr>
    </w:p>
    <w:p>
      <w:pPr>
        <w:ind w:left="7140"/>
        <w:spacing w:after="0"/>
        <w:rPr>
          <w:sz w:val="20"/>
          <w:szCs w:val="20"/>
          <w:color w:val="auto"/>
        </w:rPr>
      </w:pPr>
      <w:r>
        <w:rPr>
          <w:rFonts w:ascii="Arial" w:cs="Arial" w:eastAsia="Arial" w:hAnsi="Arial"/>
          <w:sz w:val="14"/>
          <w:szCs w:val="14"/>
          <w:b w:val="1"/>
          <w:bCs w:val="1"/>
          <w:color w:val="auto"/>
        </w:rPr>
        <w:t>December 31, 2024</w:t>
      </w:r>
    </w:p>
    <w:p>
      <w:pPr>
        <w:sectPr>
          <w:pgSz w:w="11900" w:h="16838" w:orient="portrait"/>
          <w:cols w:equalWidth="0" w:num="1">
            <w:col w:w="11240"/>
          </w:cols>
          <w:pgMar w:left="320" w:top="238" w:right="339" w:bottom="1440" w:gutter="0" w:footer="0" w:header="0"/>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000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 from external customers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 from anti-CD20 therapeutic programs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Contract manufacturing, royalty and other revenue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000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8">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 from external customers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 from anti-CD20 therapeutic programs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Contract manufacturing, royalty and other revenue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27774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60"/>
              <w:spacing w:after="0" w:line="198" w:lineRule="exact"/>
              <w:rPr>
                <w:sz w:val="20"/>
                <w:szCs w:val="20"/>
                <w:color w:val="auto"/>
              </w:rPr>
            </w:pPr>
            <w:r>
              <w:rPr>
                <w:rFonts w:ascii="Arial" w:cs="Arial" w:eastAsia="Arial" w:hAnsi="Arial"/>
                <w:sz w:val="14"/>
                <w:szCs w:val="14"/>
                <w:b w:val="1"/>
                <w:bCs w:val="1"/>
                <w:color w:val="auto"/>
              </w:rPr>
              <w:t>Europe</w:t>
            </w:r>
            <w:r>
              <w:rPr>
                <w:rFonts w:ascii="Arial" w:cs="Arial" w:eastAsia="Arial" w:hAnsi="Arial"/>
                <w:sz w:val="18"/>
                <w:szCs w:val="18"/>
                <w:b w:val="1"/>
                <w:bCs w:val="1"/>
                <w:color w:val="auto"/>
                <w:vertAlign w:val="superscript"/>
              </w:rPr>
              <w:t>(1)</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Germany</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Asia</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88"/>
        </w:trPr>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3,237.3</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2,171.5</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955.6</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366.9</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482.2</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7,213.5</w:t>
            </w:r>
          </w:p>
        </w:tc>
      </w:tr>
      <w:tr>
        <w:trPr>
          <w:trHeight w:val="202"/>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1,673.6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1,749.9</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652.6</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3,537.7</w:t>
            </w:r>
          </w:p>
        </w:tc>
      </w:tr>
      <w:tr>
        <w:trPr>
          <w:trHeight w:val="372"/>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97"/>
        </w:trPr>
        <w:tc>
          <w:tcPr>
            <w:tcW w:w="24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1000" w:type="dxa"/>
            <w:vAlign w:val="bottom"/>
            <w:gridSpan w:val="2"/>
          </w:tcPr>
          <w:p>
            <w:pPr>
              <w:ind w:left="60"/>
              <w:spacing w:after="0" w:line="197" w:lineRule="exact"/>
              <w:rPr>
                <w:sz w:val="20"/>
                <w:szCs w:val="20"/>
                <w:color w:val="auto"/>
              </w:rPr>
            </w:pPr>
            <w:r>
              <w:rPr>
                <w:rFonts w:ascii="Arial" w:cs="Arial" w:eastAsia="Arial" w:hAnsi="Arial"/>
                <w:sz w:val="14"/>
                <w:szCs w:val="14"/>
                <w:b w:val="1"/>
                <w:bCs w:val="1"/>
                <w:color w:val="auto"/>
              </w:rPr>
              <w:t>Europe</w:t>
            </w:r>
            <w:r>
              <w:rPr>
                <w:rFonts w:ascii="Arial" w:cs="Arial" w:eastAsia="Arial" w:hAnsi="Arial"/>
                <w:sz w:val="18"/>
                <w:szCs w:val="18"/>
                <w:b w:val="1"/>
                <w:bCs w:val="1"/>
                <w:color w:val="auto"/>
                <w:vertAlign w:val="superscript"/>
              </w:rPr>
              <w:t>(1)</w:t>
            </w:r>
          </w:p>
        </w:tc>
        <w:tc>
          <w:tcPr>
            <w:tcW w:w="1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Germany</w:t>
            </w:r>
          </w:p>
        </w:tc>
        <w:tc>
          <w:tcPr>
            <w:tcW w:w="24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Asia</w:t>
            </w: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88"/>
        </w:trPr>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3,141.4</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2,127.4</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868.0</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649.4</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460.5</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7,246.7</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1,618.5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1,689.6</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899.3</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2,248.0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3,729.7</w:t>
            </w:r>
          </w:p>
        </w:tc>
      </w:tr>
    </w:tbl>
    <w:p>
      <w:pPr>
        <w:spacing w:after="0" w:line="200" w:lineRule="exact"/>
        <w:rPr>
          <w:sz w:val="20"/>
          <w:szCs w:val="20"/>
          <w:color w:val="auto"/>
        </w:rPr>
      </w:pPr>
    </w:p>
    <w:p>
      <w:pPr>
        <w:sectPr>
          <w:pgSz w:w="11900" w:h="16838" w:orient="portrait"/>
          <w:cols w:equalWidth="0" w:num="2">
            <w:col w:w="3640" w:space="720"/>
            <w:col w:w="6880"/>
          </w:cols>
          <w:pgMar w:left="320" w:top="238" w:right="339" w:bottom="1440" w:gutter="0" w:footer="0" w:header="0"/>
          <w:type w:val="continuous"/>
        </w:sectPr>
      </w:pPr>
    </w:p>
    <w:p>
      <w:pPr>
        <w:spacing w:after="0" w:line="69" w:lineRule="exact"/>
        <w:rPr>
          <w:sz w:val="20"/>
          <w:szCs w:val="20"/>
          <w:color w:val="auto"/>
        </w:rPr>
      </w:pPr>
    </w:p>
    <w:p>
      <w:pPr>
        <w:ind w:left="160" w:hanging="152"/>
        <w:spacing w:after="0"/>
        <w:tabs>
          <w:tab w:leader="none" w:pos="160" w:val="left"/>
        </w:tabs>
        <w:numPr>
          <w:ilvl w:val="0"/>
          <w:numId w:val="126"/>
        </w:numPr>
        <w:rPr>
          <w:rFonts w:ascii="Arial" w:cs="Arial" w:eastAsia="Arial" w:hAnsi="Arial"/>
          <w:sz w:val="9"/>
          <w:szCs w:val="9"/>
          <w:color w:val="auto"/>
        </w:rPr>
      </w:pPr>
      <w:r>
        <w:rPr>
          <w:rFonts w:ascii="Arial" w:cs="Arial" w:eastAsia="Arial" w:hAnsi="Arial"/>
          <w:sz w:val="14"/>
          <w:szCs w:val="14"/>
          <w:color w:val="auto"/>
        </w:rPr>
        <w:t>Represents amounts related to Europe less those attributable to Germany.</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Long-Lived Assets</w:t>
      </w:r>
    </w:p>
    <w:p>
      <w:pPr>
        <w:spacing w:after="0" w:line="12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of December 31, 2025, 2024 and 2023, approximately $2.0 billion, $2.1 billion and $2.2 billion, respectively, of our long-lived assets were related to the construction of our large-scale biologics manufacturing facility in Solothurn, Switzerland.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4"/>
          <w:szCs w:val="14"/>
          <w:u w:val="single" w:color="auto"/>
          <w:color w:val="0000FF"/>
        </w:rPr>
        <w:t>Table of Contents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41"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Additional Segment Information</w:t>
      </w:r>
    </w:p>
    <w:p>
      <w:pPr>
        <w:spacing w:after="0" w:line="99"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The following table includes additional information about reported segment revenue, significant segment expense and segment measure of profitability: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7"/>
                <w:szCs w:val="17"/>
                <w:color w:val="auto"/>
              </w:rPr>
            </w:pPr>
          </w:p>
        </w:tc>
      </w:tr>
      <w:tr>
        <w:trPr>
          <w:trHeight w:val="197"/>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3BA"/>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r>
      <w:tr>
        <w:trPr>
          <w:trHeight w:val="189"/>
        </w:trPr>
        <w:tc>
          <w:tcPr>
            <w:tcW w:w="7160" w:type="dxa"/>
            <w:vAlign w:val="bottom"/>
            <w:gridSpan w:val="2"/>
          </w:tcPr>
          <w:p>
            <w:pPr>
              <w:ind w:left="2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9,890.6</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9,675.9</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9,835.6</w:t>
            </w:r>
          </w:p>
        </w:tc>
      </w:tr>
      <w:tr>
        <w:trPr>
          <w:trHeight w:val="203"/>
        </w:trPr>
        <w:tc>
          <w:tcPr>
            <w:tcW w:w="7160" w:type="dxa"/>
            <w:vAlign w:val="bottom"/>
            <w:gridSpan w:val="2"/>
          </w:tcPr>
          <w:p>
            <w:pPr>
              <w:ind w:left="20"/>
              <w:spacing w:after="0"/>
              <w:rPr>
                <w:sz w:val="20"/>
                <w:szCs w:val="20"/>
                <w:color w:val="auto"/>
              </w:rPr>
            </w:pPr>
            <w:r>
              <w:rPr>
                <w:rFonts w:ascii="Arial" w:cs="Arial" w:eastAsia="Arial" w:hAnsi="Arial"/>
                <w:sz w:val="14"/>
                <w:szCs w:val="14"/>
                <w:color w:val="auto"/>
              </w:rPr>
              <w:t>Less cost and expense:</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7160" w:type="dxa"/>
            <w:vAlign w:val="bottom"/>
            <w:gridSpan w:val="2"/>
          </w:tcPr>
          <w:p>
            <w:pPr>
              <w:ind w:left="140"/>
              <w:spacing w:after="0"/>
              <w:rPr>
                <w:sz w:val="20"/>
                <w:szCs w:val="20"/>
                <w:color w:val="auto"/>
              </w:rPr>
            </w:pPr>
            <w:r>
              <w:rPr>
                <w:rFonts w:ascii="Arial" w:cs="Arial" w:eastAsia="Arial" w:hAnsi="Arial"/>
                <w:sz w:val="14"/>
                <w:szCs w:val="14"/>
                <w:color w:val="auto"/>
              </w:rPr>
              <w:t>Cost of sales, excluding amortization and impairment of acquired intangible assets: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Product cost of sales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1,587.2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1,604.2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1,787.2</w:t>
            </w: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Royalty cost of sales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817.0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706.2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746.2</w:t>
            </w:r>
          </w:p>
        </w:tc>
      </w:tr>
      <w:tr>
        <w:trPr>
          <w:trHeight w:val="203"/>
        </w:trPr>
        <w:tc>
          <w:tcPr>
            <w:tcW w:w="7160" w:type="dxa"/>
            <w:vAlign w:val="bottom"/>
            <w:gridSpan w:val="2"/>
          </w:tcPr>
          <w:p>
            <w:pPr>
              <w:ind w:left="14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Research and discovery</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183.2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212.5</w:t>
            </w: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Early stage programs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257.7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286.6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361.0</w:t>
            </w: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Late stage programs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232.0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250.5</w:t>
            </w: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Marketed products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412.8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534.7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766.1</w:t>
            </w:r>
          </w:p>
        </w:tc>
      </w:tr>
      <w:tr>
        <w:trPr>
          <w:trHeight w:val="203"/>
        </w:trPr>
        <w:tc>
          <w:tcPr>
            <w:tcW w:w="7160" w:type="dxa"/>
            <w:vAlign w:val="bottom"/>
            <w:gridSpan w:val="2"/>
          </w:tcPr>
          <w:p>
            <w:pPr>
              <w:ind w:left="360"/>
              <w:spacing w:after="0"/>
              <w:rPr>
                <w:sz w:val="20"/>
                <w:szCs w:val="20"/>
                <w:color w:val="auto"/>
              </w:rPr>
            </w:pPr>
            <w:r>
              <w:rPr>
                <w:rFonts w:ascii="Arial" w:cs="Arial" w:eastAsia="Arial" w:hAnsi="Arial"/>
                <w:sz w:val="14"/>
                <w:szCs w:val="14"/>
                <w:color w:val="auto"/>
              </w:rPr>
              <w:t>Other research and development costs</w:t>
            </w:r>
            <w:r>
              <w:rPr>
                <w:rFonts w:ascii="Arial" w:cs="Arial" w:eastAsia="Arial" w:hAnsi="Arial"/>
                <w:sz w:val="9"/>
                <w:szCs w:val="9"/>
                <w:color w:val="auto"/>
              </w:rPr>
              <w:t>(1)</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692.9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747.8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855.3</w:t>
            </w:r>
          </w:p>
        </w:tc>
      </w:tr>
      <w:tr>
        <w:trPr>
          <w:trHeight w:val="203"/>
        </w:trPr>
        <w:tc>
          <w:tcPr>
            <w:tcW w:w="7160" w:type="dxa"/>
            <w:vAlign w:val="bottom"/>
            <w:gridSpan w:val="2"/>
          </w:tcPr>
          <w:p>
            <w:pPr>
              <w:ind w:left="140"/>
              <w:spacing w:after="0"/>
              <w:rPr>
                <w:sz w:val="20"/>
                <w:szCs w:val="20"/>
                <w:color w:val="auto"/>
              </w:rPr>
            </w:pPr>
            <w:r>
              <w:rPr>
                <w:rFonts w:ascii="Arial" w:cs="Arial" w:eastAsia="Arial" w:hAnsi="Arial"/>
                <w:sz w:val="14"/>
                <w:szCs w:val="14"/>
                <w:color w:val="auto"/>
              </w:rPr>
              <w:t>Acquired in-process research and development, upfront and milestone expense</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471.8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03"/>
        </w:trPr>
        <w:tc>
          <w:tcPr>
            <w:tcW w:w="7160" w:type="dxa"/>
            <w:vAlign w:val="bottom"/>
            <w:gridSpan w:val="2"/>
          </w:tcPr>
          <w:p>
            <w:pPr>
              <w:ind w:left="140"/>
              <w:spacing w:after="0"/>
              <w:rPr>
                <w:sz w:val="20"/>
                <w:szCs w:val="20"/>
                <w:color w:val="auto"/>
              </w:rPr>
            </w:pPr>
            <w:r>
              <w:rPr>
                <w:rFonts w:ascii="Arial" w:cs="Arial" w:eastAsia="Arial" w:hAnsi="Arial"/>
                <w:sz w:val="14"/>
                <w:szCs w:val="14"/>
                <w:color w:val="auto"/>
              </w:rPr>
              <w:t>Selling, general and administrative</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2,433.6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2,403.7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2,549.7</w:t>
            </w:r>
          </w:p>
        </w:tc>
      </w:tr>
      <w:tr>
        <w:trPr>
          <w:trHeight w:val="207"/>
        </w:trPr>
        <w:tc>
          <w:tcPr>
            <w:tcW w:w="7160" w:type="dxa"/>
            <w:vAlign w:val="bottom"/>
            <w:gridSpan w:val="2"/>
          </w:tcPr>
          <w:p>
            <w:pPr>
              <w:ind w:left="140"/>
              <w:spacing w:after="0"/>
              <w:rPr>
                <w:sz w:val="20"/>
                <w:szCs w:val="20"/>
                <w:color w:val="auto"/>
              </w:rPr>
            </w:pPr>
            <w:r>
              <w:rPr>
                <w:rFonts w:ascii="Arial" w:cs="Arial" w:eastAsia="Arial" w:hAnsi="Arial"/>
                <w:sz w:val="14"/>
                <w:szCs w:val="14"/>
                <w:color w:val="auto"/>
              </w:rPr>
              <w:t>Other segment expense</w:t>
            </w:r>
            <w:r>
              <w:rPr>
                <w:rFonts w:ascii="Arial" w:cs="Arial" w:eastAsia="Arial" w:hAnsi="Arial"/>
                <w:sz w:val="9"/>
                <w:szCs w:val="9"/>
                <w:color w:val="auto"/>
              </w:rPr>
              <w:t>(2)</w:t>
            </w:r>
          </w:p>
        </w:tc>
        <w:tc>
          <w:tcPr>
            <w:tcW w:w="30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1,509.5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1,287.8</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1,129.4</w:t>
            </w:r>
          </w:p>
        </w:tc>
      </w:tr>
      <w:tr>
        <w:trPr>
          <w:trHeight w:val="220"/>
        </w:trPr>
        <w:tc>
          <w:tcPr>
            <w:tcW w:w="716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Biogen Inc.</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1,292.9</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1,632.2</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1,161.1</w:t>
            </w:r>
          </w:p>
        </w:tc>
      </w:tr>
      <w:tr>
        <w:trPr>
          <w:trHeight w:val="20"/>
        </w:trPr>
        <w:tc>
          <w:tcPr>
            <w:tcW w:w="7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7774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62" w:lineRule="exact"/>
        <w:rPr>
          <w:sz w:val="20"/>
          <w:szCs w:val="20"/>
          <w:color w:val="auto"/>
        </w:rPr>
      </w:pPr>
    </w:p>
    <w:p>
      <w:pPr>
        <w:jc w:val="both"/>
        <w:ind w:left="180" w:right="460" w:hanging="172"/>
        <w:spacing w:after="0" w:line="234" w:lineRule="auto"/>
        <w:tabs>
          <w:tab w:leader="none" w:pos="172" w:val="left"/>
        </w:tabs>
        <w:numPr>
          <w:ilvl w:val="0"/>
          <w:numId w:val="127"/>
        </w:numPr>
        <w:rPr>
          <w:rFonts w:ascii="Arial" w:cs="Arial" w:eastAsia="Arial" w:hAnsi="Arial"/>
          <w:sz w:val="19"/>
          <w:szCs w:val="19"/>
          <w:color w:val="auto"/>
          <w:vertAlign w:val="superscript"/>
        </w:rPr>
      </w:pPr>
      <w:r>
        <w:rPr>
          <w:rFonts w:ascii="Arial" w:cs="Arial" w:eastAsia="Arial" w:hAnsi="Arial"/>
          <w:sz w:val="14"/>
          <w:szCs w:val="14"/>
          <w:color w:val="auto"/>
        </w:rPr>
        <w:t>Other research and development costs primarily consist of indirect costs incurred in support of overall research and development activities and non-specific programs, including activities that benefit multiple programs, such as management costs, as well as depreciation, information technology and facility-based expenses and are not allocated to a specific program or stage.</w:t>
      </w:r>
    </w:p>
    <w:p>
      <w:pPr>
        <w:spacing w:after="0" w:line="26" w:lineRule="exact"/>
        <w:rPr>
          <w:rFonts w:ascii="Arial" w:cs="Arial" w:eastAsia="Arial" w:hAnsi="Arial"/>
          <w:sz w:val="19"/>
          <w:szCs w:val="19"/>
          <w:color w:val="auto"/>
          <w:vertAlign w:val="superscript"/>
        </w:rPr>
      </w:pPr>
    </w:p>
    <w:p>
      <w:pPr>
        <w:jc w:val="both"/>
        <w:ind w:left="180" w:right="460" w:hanging="172"/>
        <w:spacing w:after="0" w:line="234" w:lineRule="auto"/>
        <w:tabs>
          <w:tab w:leader="none" w:pos="172" w:val="left"/>
        </w:tabs>
        <w:numPr>
          <w:ilvl w:val="0"/>
          <w:numId w:val="127"/>
        </w:numPr>
        <w:rPr>
          <w:rFonts w:ascii="Arial" w:cs="Arial" w:eastAsia="Arial" w:hAnsi="Arial"/>
          <w:sz w:val="19"/>
          <w:szCs w:val="19"/>
          <w:color w:val="auto"/>
          <w:vertAlign w:val="superscript"/>
        </w:rPr>
      </w:pPr>
      <w:r>
        <w:rPr>
          <w:rFonts w:ascii="Arial" w:cs="Arial" w:eastAsia="Arial" w:hAnsi="Arial"/>
          <w:sz w:val="14"/>
          <w:szCs w:val="14"/>
          <w:color w:val="auto"/>
        </w:rPr>
        <w:t>Other segment expense includes: amortization and impairment of acquired intangible assets; collaboration profit sharing/(loss reimbursement); (gain) loss on fair value remeasurement of contingent consideration; impairment of ROU asset; restructuring charges; gain on sale of priority review voucher, net; other (income) expense, net; income tax (benefit) expense; and net income attributable to noncontrolling interests, net of tax.</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68"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Shareholders of Biogen Inc.</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spacing w:after="0" w:line="241" w:lineRule="auto"/>
        <w:rPr>
          <w:sz w:val="20"/>
          <w:szCs w:val="20"/>
          <w:color w:val="auto"/>
        </w:rPr>
      </w:pPr>
      <w:r>
        <w:rPr>
          <w:rFonts w:ascii="Georgia" w:cs="Georgia" w:eastAsia="Georgia" w:hAnsi="Georgia"/>
          <w:sz w:val="18"/>
          <w:szCs w:val="18"/>
          <w:color w:val="auto"/>
        </w:rPr>
        <w:t>We have audited the accompanying consolidated balance sheets of Biogen Inc. and its subsidiaries (the “Company”) as of December 31, 2025 and 2024, and the related consolidated statements of income, of comprehensive income, of equity and of cash flow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161" w:lineRule="exact"/>
        <w:rPr>
          <w:sz w:val="20"/>
          <w:szCs w:val="20"/>
          <w:color w:val="auto"/>
        </w:rPr>
      </w:pPr>
    </w:p>
    <w:p>
      <w:pPr>
        <w:ind w:right="140"/>
        <w:spacing w:after="0" w:line="245" w:lineRule="auto"/>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spacing w:after="0" w:line="102"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75" w:lineRule="exact"/>
        <w:rPr>
          <w:sz w:val="20"/>
          <w:szCs w:val="20"/>
          <w:color w:val="auto"/>
        </w:rPr>
      </w:pPr>
    </w:p>
    <w:p>
      <w:pPr>
        <w:ind w:right="80"/>
        <w:spacing w:after="0" w:line="242"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100"/>
        <w:spacing w:after="0" w:line="244"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9" w:lineRule="exact"/>
        <w:rPr>
          <w:sz w:val="20"/>
          <w:szCs w:val="20"/>
          <w:color w:val="auto"/>
        </w:rPr>
      </w:pPr>
    </w:p>
    <w:p>
      <w:pPr>
        <w:spacing w:after="0" w:line="244"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spacing w:after="0" w:line="241"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8" w:right="399"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40"/>
        <w:spacing w:after="0" w:line="244"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75" w:lineRule="exact"/>
        <w:rPr>
          <w:sz w:val="20"/>
          <w:szCs w:val="20"/>
          <w:color w:val="auto"/>
        </w:rPr>
      </w:pPr>
    </w:p>
    <w:p>
      <w:pPr>
        <w:ind w:right="100"/>
        <w:spacing w:after="0" w:line="243"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Reserves for Medicaid and Managed Care Rebates in the U.S.</w:t>
      </w:r>
    </w:p>
    <w:p>
      <w:pPr>
        <w:spacing w:after="0" w:line="161" w:lineRule="exact"/>
        <w:rPr>
          <w:sz w:val="20"/>
          <w:szCs w:val="20"/>
          <w:color w:val="auto"/>
        </w:rPr>
      </w:pPr>
    </w:p>
    <w:p>
      <w:pPr>
        <w:spacing w:after="0" w:line="243" w:lineRule="auto"/>
        <w:rPr>
          <w:sz w:val="20"/>
          <w:szCs w:val="20"/>
          <w:color w:val="auto"/>
        </w:rPr>
      </w:pPr>
      <w:r>
        <w:rPr>
          <w:rFonts w:ascii="Georgia" w:cs="Georgia" w:eastAsia="Georgia" w:hAnsi="Georgia"/>
          <w:sz w:val="18"/>
          <w:szCs w:val="18"/>
          <w:color w:val="auto"/>
        </w:rPr>
        <w:t>As described in Notes 1 and 5 to the consolidated financial statements, the Company recognized revenue from product sales, net of reserves, including contractual adjustments related to Medicaid and managed care rebates in the U.S. Within accrued expense and other, revenue-related reserves amounted to $1,000.4 million as of December 31, 2025. A portion of this balance includes contractual adjustments for Medicaid and managed care rebates in the U.S. Medicaid rebates relate to the Company’s estimated obligations to states under established reimbursement arrangements. The Company’s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 Managed care rebates in the U.S. represent the Company’s estimated obligations to third-parties, primarily pharmacy benefit managers. These rebates result from performance-based goals, formulary position and price increase limit allowances (price protection). The calculation of the accrual for these rebates is based on an estimate of the coverage patterns and the resulting applicable contractual rebate rate(s) to be earned over a contractual period. Rebate accruals for Medicaid and managed care in the U.S. are recorded in the same period the related revenue is recognized, resulting in a reduction of product revenue and the establishment of a liability which is included in accrued expense and other current liabilities. The estimates of the reserves for Medicaid and managed care in the U.S. reflect historical experience, current contractual and statutory requirements, specific known market events and trends, industry data and forecasted customer buying and payment patterns.</w:t>
      </w:r>
    </w:p>
    <w:p>
      <w:pPr>
        <w:spacing w:after="0" w:line="161" w:lineRule="exact"/>
        <w:rPr>
          <w:sz w:val="20"/>
          <w:szCs w:val="20"/>
          <w:color w:val="auto"/>
        </w:rPr>
      </w:pPr>
    </w:p>
    <w:p>
      <w:pPr>
        <w:ind w:right="20"/>
        <w:spacing w:after="0" w:line="245"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reserves for Medicaid and managed care rebates in the U.S. is a critical audit matter are (i) the significant judgment by management due to the significant measurement uncertainty when developing the estimate of the reserves and (ii) a high degree of auditor judgment, subjectivity, and effort in performing procedures and evaluating management's significant assumptions related to historical experience, current contractual requirements, specific known market events, and forecasted customer buying and payment patterns.</w:t>
      </w:r>
    </w:p>
    <w:p>
      <w:pPr>
        <w:spacing w:after="0" w:line="158" w:lineRule="exact"/>
        <w:rPr>
          <w:sz w:val="20"/>
          <w:szCs w:val="20"/>
          <w:color w:val="auto"/>
        </w:rPr>
      </w:pPr>
    </w:p>
    <w:p>
      <w:pPr>
        <w:ind w:right="160"/>
        <w:spacing w:after="0" w:line="241"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reserves for Medicaid and managed care rebates in the U.S. These procedures also included, among others (i) developing an independent estimate of the reserves for Medicaid and managed care rebates in the U.S. by utilizing third-party data related to product demand, data related to price changes, the terms of the specific rebate programs, the historical trend of actual rebate claims paid and consideration of contractual requirement changes and market events; (ii) comparing the independent estimate to management’s estimate to evaluate the reasonableness of management's estimate; and (iii) testing, on a sample basis, rebate claims paid by the Company, including evaluating the claims for consistency with the contractual terms of the Company’s rebate agreements.</w:t>
      </w:r>
    </w:p>
    <w:p>
      <w:pPr>
        <w:spacing w:after="0" w:line="218" w:lineRule="exact"/>
        <w:rPr>
          <w:sz w:val="20"/>
          <w:szCs w:val="20"/>
          <w:color w:val="auto"/>
        </w:rPr>
      </w:pPr>
    </w:p>
    <w:p>
      <w:pPr>
        <w:spacing w:after="0"/>
        <w:rPr>
          <w:sz w:val="20"/>
          <w:szCs w:val="20"/>
          <w:color w:val="auto"/>
        </w:rPr>
      </w:pPr>
      <w:r>
        <w:rPr>
          <w:rFonts w:ascii="Georgia" w:cs="Georgia" w:eastAsia="Georgia" w:hAnsi="Georgia"/>
          <w:sz w:val="18"/>
          <w:szCs w:val="18"/>
          <w:color w:val="auto"/>
        </w:rPr>
        <w:t>/s/PricewaterhouseCoopers LLP</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color w:val="auto"/>
        </w:rPr>
        <w:t>Boston, Massachusetts</w:t>
      </w:r>
    </w:p>
    <w:p>
      <w:pPr>
        <w:spacing w:after="0" w:line="119"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6, 2026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2003.</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320" w:top="238"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color w:val="auto"/>
        </w:rPr>
        <w:t>Exhibit 19.1</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Global Insider Trading and Information Policy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3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u w:val="single" w:color="auto"/>
          <w:color w:val="auto"/>
        </w:rPr>
        <w:t>Introduction.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federal and state securities laws prohibit the purchase or sale of a company’s securities by persons who possess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Nonpublic Information. These laws also prohibit persons from making Selective Disclosure. Many countries in addition to the U.S. also have laws prohibiting Insider Trading.</w:t>
      </w:r>
    </w:p>
    <w:p>
      <w:pPr>
        <w:spacing w:after="0" w:line="90"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adopted this Policy to establish guidelines that prohibit (a) the purchase or sale of securities by persons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 Material, Nonpublic Information and (b) making Selective Disclosure.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Scope</w:t>
      </w:r>
    </w:p>
    <w:p>
      <w:pPr>
        <w:spacing w:after="0" w:line="23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Covered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is applicable to all Covered Persons. Temporary staff are not Biogen employees, and nothing in this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be construed to the contrary. This Policy is applicable globally, inside and outside the U.S. alike, and applies to Covered Persons who are citizens of countries other than the U.S. Even if the activities prohibited by this Policy are not prohibited in the country where the Covered Person is located, the Company’s requirements for Insider Trading compliance and the disclosure of Material, Nonpublic Information apply to all Covered Persons regardless of geographic location.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w:t>
      </w:r>
    </w:p>
    <w:p>
      <w:pPr>
        <w:spacing w:after="0" w:line="23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2.0</w:t>
        <w:tab/>
        <w:t>Insider Trading and Unauthorized or Selective Disclosure Prohibited</w:t>
      </w:r>
    </w:p>
    <w:p>
      <w:pPr>
        <w:spacing w:after="0" w:line="25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Policy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the Company’s policy to comply with all U.S. and international securities laws and regulations, including 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Trading laws and regulations and Regulation FD. This Policy sets forth the requirements for Covered Persons’ compliance with (a) Insider Trading laws and regulations and (b) the disclosure of Material, Nonpublic Information, including Regulation FD. Covered Persons may not:</w:t>
      </w:r>
    </w:p>
    <w:p>
      <w:pPr>
        <w:spacing w:after="0" w:line="103"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8"/>
          <w:szCs w:val="18"/>
          <w:color w:val="auto"/>
        </w:rPr>
        <w:t>purchase or sell any type of security while possessing Material, Nonpublic Information relating to the issuer of the security, whether the issuer of that security is the Company or any Other Company;</w:t>
      </w:r>
    </w:p>
    <w:p>
      <w:pPr>
        <w:spacing w:after="0" w:line="94" w:lineRule="exact"/>
        <w:rPr>
          <w:sz w:val="20"/>
          <w:szCs w:val="20"/>
          <w:color w:val="auto"/>
        </w:rPr>
      </w:pPr>
    </w:p>
    <w:p>
      <w:pPr>
        <w:jc w:val="both"/>
        <w:ind w:left="1940" w:hanging="647"/>
        <w:spacing w:after="0" w:line="266"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8"/>
          <w:szCs w:val="18"/>
          <w:color w:val="auto"/>
        </w:rPr>
        <w:t>directly or indirectly pass along, disclose or provide Material, Nonpublic Information concerning the Company or any Other Company to anyone who may purchase or sell that company’s securities while possessing such Material, Nonpublic Information;</w:t>
      </w:r>
    </w:p>
    <w:p>
      <w:pPr>
        <w:spacing w:after="0" w:line="95" w:lineRule="exact"/>
        <w:rPr>
          <w:sz w:val="20"/>
          <w:szCs w:val="20"/>
          <w:color w:val="auto"/>
        </w:rPr>
      </w:pPr>
    </w:p>
    <w:p>
      <w:pPr>
        <w:jc w:val="both"/>
        <w:ind w:left="1940" w:hanging="647"/>
        <w:spacing w:after="0" w:line="266"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8"/>
          <w:szCs w:val="18"/>
          <w:color w:val="auto"/>
        </w:rPr>
        <w:t>recommend to any other person (including Immediate Family members) to purchase, sell, or hold securities while in possession of Material, Nonpublic Information about the issuer of the security, whether the issuer of that security is the Company or any Other Company; and</w:t>
      </w:r>
    </w:p>
    <w:p>
      <w:pPr>
        <w:spacing w:after="0" w:line="108" w:lineRule="exact"/>
        <w:rPr>
          <w:sz w:val="20"/>
          <w:szCs w:val="20"/>
          <w:color w:val="auto"/>
        </w:rPr>
      </w:pPr>
    </w:p>
    <w:p>
      <w:pPr>
        <w:jc w:val="both"/>
        <w:ind w:left="1940" w:hanging="647"/>
        <w:spacing w:after="0" w:line="282"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8"/>
          <w:szCs w:val="18"/>
          <w:color w:val="auto"/>
        </w:rPr>
        <w:t>make unauthorized disclosure of Material, Nonpublic Information concerning the Company or any Other Company or Selective Disclosure.</w:t>
      </w:r>
    </w:p>
    <w:p>
      <w:pPr>
        <w:spacing w:after="0" w:line="94"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u w:val="single" w:color="auto"/>
          <w:color w:val="auto"/>
        </w:rPr>
        <w:t>Individual Responsibility.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Covered Person is responsible for ensuring that he or she does not violate Insider Trading laws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the Company’s requirements for the disclosure of Material, Nonpublic Information, Regulation FD, and/or this Policy</w:t>
      </w:r>
    </w:p>
    <w:p>
      <w:pPr>
        <w:spacing w:after="0" w:line="4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5"/>
          <w:szCs w:val="25"/>
          <w:b w:val="1"/>
          <w:bCs w:val="1"/>
          <w:color w:val="auto"/>
        </w:rPr>
        <w:t>3.0</w:t>
      </w:r>
      <w:r>
        <w:rPr>
          <w:sz w:val="20"/>
          <w:szCs w:val="20"/>
          <w:color w:val="auto"/>
        </w:rPr>
        <w:tab/>
      </w:r>
      <w:r>
        <w:rPr>
          <w:rFonts w:ascii="Times New Roman" w:cs="Times New Roman" w:eastAsia="Times New Roman" w:hAnsi="Times New Roman"/>
          <w:sz w:val="24"/>
          <w:szCs w:val="24"/>
          <w:b w:val="1"/>
          <w:bCs w:val="1"/>
          <w:color w:val="auto"/>
        </w:rPr>
        <w:t>Prohibited Transactions and Actions</w:t>
      </w:r>
    </w:p>
    <w:p>
      <w:pPr>
        <w:spacing w:after="0" w:line="24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No Short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may not engage in short sales of the Company’s securities (i.e., sale of stock that the seller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or a sale that is completed by delivery of borrowed stock).</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No Margin Accounts or Pledges.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may not purchase Company stock on margin (using a loan from your brokerage firm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invest in more securities than the cash in your brokerage account would</w:t>
      </w:r>
    </w:p>
    <w:p>
      <w:pPr>
        <w:sectPr>
          <w:pgSz w:w="11900" w:h="16838" w:orient="portrait"/>
          <w:cols w:equalWidth="0" w:num="1">
            <w:col w:w="11240"/>
          </w:cols>
          <w:pgMar w:left="320" w:top="100"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allow), or borrow against any account in which Company securities are held, or pledge Company securities as collateral for a loan.</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No Hedging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may not engage in hedging transactions with respect to the Company’s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by the Covered Person.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No Derivative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may not engage in any derivative or similar transactions with respect to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including, but not limited to, purchases or sales of puts and calls (whether written or purchased or sold), options (whether covered or not), forward contracts, including, but not limited to prepaid variable forward contracts, put and call collars (European or American), equity or performance swap or exchange fund agreements, or any similar agreements or arrangements however denominated in Company securities.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No Unauthorized or Selective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may not make unauthorized disclosure of 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the Company or any Other Company or Selective Disclosure</w:t>
      </w:r>
      <w:r>
        <w:rPr>
          <w:rFonts w:ascii="Times New Roman" w:cs="Times New Roman" w:eastAsia="Times New Roman" w:hAnsi="Times New Roman"/>
          <w:sz w:val="18"/>
          <w:szCs w:val="18"/>
          <w:color w:val="0000FF"/>
        </w:rPr>
        <w:t>.</w:t>
      </w:r>
    </w:p>
    <w:p>
      <w:pPr>
        <w:spacing w:after="0" w:line="13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4.0</w:t>
        <w:tab/>
        <w:t>Permitted Transactions and Actions</w:t>
      </w:r>
    </w:p>
    <w:p>
      <w:pPr>
        <w:spacing w:after="0" w:line="15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Employee Stock Purchase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does not apply to purchases of Company stock through the ESPP. This Policy’s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do apply to sales of Company securities purchased under the ESPP.</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Stock Option Exercises; 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does not apply to the withholding of shares subject to an option or other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to satisfy tax withholding requirements. However, this Policy does apply to any sale of stock as part of a broker-assisted cashless exercise of an option, or any other market sale for the purpose of generating the cash needed to pay the exercise price of an option.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Gifts.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Covered Persons who are Trading Group A members or Trading Group B members, gifts of Company stock must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during the Company’s open Trading Window periods. All Covered Persons are prohibited from making gifts of Company stock while in possession of Material, Nonpublic Information concerning the Company to (i) public charities or (ii) when such Covered Person has actual knowledge that the recipient intends to sell the Company’s stock.</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Authorized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who are authorized to speak for the Company may disclose 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the Company if such disclosure complies with the requirements of Regulation FD. Following Regulation FD compliant disclosure, such information shall no longer be considered Nonpublic Information. People who are authorized to speak for the Company include the Company’s CEO; CFO; Head of Research; Head of Development; members of the Investor Relations department; members of the Global Corporate Affairs department; and such other persons who may from time to time be authorized to speak by the Company’s CEO or CFO.</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Financial Guidance.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from time to time, with the approval of the CEO and CFO, after consultation with the Audit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provide Guidance. All disclosures of Guidance must be in compliance with Regulation FD. The Company’s most recent Guidance will be posted on the Investor Relations section of the Company’s website accompanied by a forward-looking safe harbor statement that includes a statement that the Guidance is as of the date it was first given and has not been updated. An Investor Relations Spokesperson may inform investors that the Company’s most recent Guidance is available on the Company’s website. In addition, Investor Relations Spokespeople may repeat the Company’s most recent Guidance during the period extending from the time the Guidance is given until the earlier of (a) the closing of the next Trading Window and (b) the next Special Blackout Period. Repetition of Guidance must be accompanied by a clear statement that the Guidance is as of the date it was given and is not being updated at the time of its repetition and otherwise be in accordance with the requirements of Regulation FD. Under no circumstances shall any Covered Person, including authorized</w:t>
      </w:r>
    </w:p>
    <w:p>
      <w:pPr>
        <w:sectPr>
          <w:pgSz w:w="11900" w:h="16838" w:orient="portrait"/>
          <w:cols w:equalWidth="0" w:num="1">
            <w:col w:w="11240"/>
          </w:cols>
          <w:pgMar w:left="320" w:top="904" w:right="339" w:bottom="1440" w:gutter="0" w:footer="0" w:header="0"/>
        </w:sectPr>
      </w:pPr>
    </w:p>
    <w:bookmarkStart w:id="192" w:name="page193"/>
    <w:bookmarkEnd w:id="192"/>
    <w:p>
      <w:pPr>
        <w:jc w:val="both"/>
        <w:spacing w:after="0" w:line="282" w:lineRule="auto"/>
        <w:rPr>
          <w:sz w:val="20"/>
          <w:szCs w:val="20"/>
          <w:color w:val="auto"/>
        </w:rPr>
      </w:pPr>
      <w:r>
        <w:rPr>
          <w:rFonts w:ascii="Times New Roman" w:cs="Times New Roman" w:eastAsia="Times New Roman" w:hAnsi="Times New Roman"/>
          <w:sz w:val="18"/>
          <w:szCs w:val="18"/>
          <w:color w:val="auto"/>
        </w:rPr>
        <w:t>spokespersons, provide Material, Nonpublic Information or additional financial guidance at any time except in compliance with this Policy and U.S. and international securities laws, including, without limitation, Regulation FD.</w:t>
      </w:r>
    </w:p>
    <w:p>
      <w:pPr>
        <w:spacing w:after="0" w:line="16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b w:val="1"/>
          <w:bCs w:val="1"/>
          <w:color w:val="auto"/>
        </w:rPr>
        <w:t xml:space="preserve">4.6 </w:t>
      </w:r>
      <w:r>
        <w:rPr>
          <w:rFonts w:ascii="Times New Roman" w:cs="Times New Roman" w:eastAsia="Times New Roman" w:hAnsi="Times New Roman"/>
          <w:sz w:val="17"/>
          <w:szCs w:val="17"/>
          <w:b w:val="1"/>
          <w:bCs w:val="1"/>
          <w:u w:val="single" w:color="auto"/>
          <w:color w:val="auto"/>
        </w:rPr>
        <w:t>Limitations on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The Company may not, directly or indirectly, buy or sell Company securities while in possession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7"/>
          <w:szCs w:val="17"/>
          <w:color w:val="auto"/>
        </w:rPr>
        <w:t>Material, Nonpublic Information related to the Company unless such trading activity otherwise complies with all applicable securities laws.</w:t>
      </w:r>
    </w:p>
    <w:p>
      <w:pPr>
        <w:spacing w:after="0" w:line="12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5.0</w:t>
      </w:r>
      <w:r>
        <w:rPr>
          <w:sz w:val="20"/>
          <w:szCs w:val="20"/>
          <w:color w:val="auto"/>
        </w:rPr>
        <w:tab/>
      </w:r>
      <w:r>
        <w:rPr>
          <w:rFonts w:ascii="Times New Roman" w:cs="Times New Roman" w:eastAsia="Times New Roman" w:hAnsi="Times New Roman"/>
          <w:sz w:val="24"/>
          <w:szCs w:val="24"/>
          <w:b w:val="1"/>
          <w:bCs w:val="1"/>
          <w:color w:val="auto"/>
        </w:rPr>
        <w:t>10b5-1 Trading Plans</w:t>
      </w:r>
    </w:p>
    <w:p>
      <w:pPr>
        <w:spacing w:after="0" w:line="16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Rule 10b5-1 Affirmative Defense.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10b5-1 provides a person with an affirmative defense against Insider Trading liability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made pursuant to a qualifying written plan that is adopted prior to possessing Material, Nonpublic Information. Once a 10b5-1 Trading Plan is adopted, the Rule 10b5-1 affirmative defense may be lost if the plan is altered without satisfying the amendment requirements set forth in Section 5.3 of this Policy or otherwise fails to satisfy the requirements of Rule 10b5-1.</w:t>
      </w:r>
    </w:p>
    <w:p>
      <w:pPr>
        <w:spacing w:after="0" w:line="17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Approved 10b5-1 Trading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Policy allows Covered Persons to sell Company stock when they possess Material, Nonpublic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if the sale is made pursuant to a 10b5-1 Trading Plan that is adopted while the Covered Person does not possess Material, Nonpublic Information and otherwise satisfies the requirements for a 10b5-1 Trading Plan. The procedures for establishing a 10b5-1 Trading Plan are set forth in the 10b5-1 Trading Plan Guidelines, attached as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to this Policy.</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7"/>
          <w:szCs w:val="17"/>
          <w:b w:val="1"/>
          <w:bCs w:val="1"/>
          <w:u w:val="single" w:color="auto"/>
          <w:color w:val="auto"/>
        </w:rPr>
        <w:t>10b5-1 Trading Plan Requirements.</w:t>
      </w:r>
    </w:p>
    <w:p>
      <w:pPr>
        <w:spacing w:after="0" w:line="225" w:lineRule="exact"/>
        <w:rPr>
          <w:sz w:val="20"/>
          <w:szCs w:val="20"/>
          <w:color w:val="auto"/>
        </w:rPr>
      </w:pPr>
    </w:p>
    <w:p>
      <w:pPr>
        <w:jc w:val="both"/>
        <w:ind w:left="1860" w:hanging="647"/>
        <w:spacing w:after="0" w:line="261"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5.3.1</w:t>
      </w:r>
      <w:r>
        <w:rPr>
          <w:sz w:val="20"/>
          <w:szCs w:val="20"/>
          <w:color w:val="auto"/>
        </w:rPr>
        <w:tab/>
      </w:r>
      <w:r>
        <w:rPr>
          <w:rFonts w:ascii="Times New Roman" w:cs="Times New Roman" w:eastAsia="Times New Roman" w:hAnsi="Times New Roman"/>
          <w:sz w:val="18"/>
          <w:szCs w:val="18"/>
          <w:color w:val="auto"/>
        </w:rPr>
        <w:t>10b5-1 Trading Plans and all amendments must be in writing and entered into with a broker. The form of the contract, instruction, plan, or trust document will be provided to the Covered Person by the Covered Person’s broker and must, in each case, be approved by the Company’s Legal Department prior to implementation. It is the Covered Person’s responsibility to seek and obtain approval from the Legal Department of a 10b5-1 Trading Plan and any amendments thereto, prior to implementation.</w:t>
      </w:r>
    </w:p>
    <w:p>
      <w:pPr>
        <w:spacing w:after="0" w:line="180" w:lineRule="exact"/>
        <w:rPr>
          <w:sz w:val="20"/>
          <w:szCs w:val="20"/>
          <w:color w:val="auto"/>
        </w:rPr>
      </w:pPr>
    </w:p>
    <w:p>
      <w:pPr>
        <w:jc w:val="both"/>
        <w:ind w:left="1860" w:hanging="647"/>
        <w:spacing w:after="0" w:line="282"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5.3.2</w:t>
      </w:r>
      <w:r>
        <w:rPr>
          <w:sz w:val="20"/>
          <w:szCs w:val="20"/>
          <w:color w:val="auto"/>
        </w:rPr>
        <w:tab/>
      </w:r>
      <w:r>
        <w:rPr>
          <w:rFonts w:ascii="Times New Roman" w:cs="Times New Roman" w:eastAsia="Times New Roman" w:hAnsi="Times New Roman"/>
          <w:sz w:val="18"/>
          <w:szCs w:val="18"/>
          <w:color w:val="auto"/>
        </w:rPr>
        <w:t>10b5-1 Trading Plans must be adopted (or amended, as the case may be) only when a Covered Person does not possess Material, Nonpublic Information concerning the Company and must entered into and operated in good faith.</w:t>
      </w:r>
    </w:p>
    <w:p>
      <w:pPr>
        <w:spacing w:after="0" w:line="162" w:lineRule="exact"/>
        <w:rPr>
          <w:sz w:val="20"/>
          <w:szCs w:val="20"/>
          <w:color w:val="auto"/>
        </w:rPr>
      </w:pPr>
    </w:p>
    <w:p>
      <w:pPr>
        <w:ind w:left="122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5.3.3</w:t>
      </w:r>
      <w:r>
        <w:rPr>
          <w:sz w:val="20"/>
          <w:szCs w:val="20"/>
          <w:color w:val="auto"/>
        </w:rPr>
        <w:tab/>
      </w:r>
      <w:r>
        <w:rPr>
          <w:rFonts w:ascii="Times New Roman" w:cs="Times New Roman" w:eastAsia="Times New Roman" w:hAnsi="Times New Roman"/>
          <w:sz w:val="17"/>
          <w:szCs w:val="17"/>
          <w:color w:val="auto"/>
        </w:rPr>
        <w:t>Cooling-Off Period</w:t>
      </w:r>
    </w:p>
    <w:p>
      <w:pPr>
        <w:spacing w:after="0" w:line="225" w:lineRule="exact"/>
        <w:rPr>
          <w:sz w:val="20"/>
          <w:szCs w:val="20"/>
          <w:color w:val="auto"/>
        </w:rPr>
      </w:pPr>
    </w:p>
    <w:p>
      <w:pPr>
        <w:ind w:left="260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5.3.3.1 </w:t>
      </w:r>
      <w:r>
        <w:rPr>
          <w:rFonts w:ascii="Times New Roman" w:cs="Times New Roman" w:eastAsia="Times New Roman" w:hAnsi="Times New Roman"/>
          <w:sz w:val="18"/>
          <w:szCs w:val="18"/>
          <w:color w:val="auto"/>
        </w:rPr>
        <w:t>For Covered Persons who are not D&amp;Os, the first trade under a 10b5-1 Trading Plan shall not occur until at least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after adoption of the 10b5-1 Trading Plan.</w:t>
      </w:r>
    </w:p>
    <w:p>
      <w:pPr>
        <w:spacing w:after="0" w:line="155" w:lineRule="exact"/>
        <w:rPr>
          <w:sz w:val="20"/>
          <w:szCs w:val="20"/>
          <w:color w:val="auto"/>
        </w:rPr>
      </w:pPr>
    </w:p>
    <w:p>
      <w:pPr>
        <w:ind w:left="260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5.3.3.2 </w:t>
      </w:r>
      <w:r>
        <w:rPr>
          <w:rFonts w:ascii="Times New Roman" w:cs="Times New Roman" w:eastAsia="Times New Roman" w:hAnsi="Times New Roman"/>
          <w:sz w:val="18"/>
          <w:szCs w:val="18"/>
          <w:color w:val="auto"/>
        </w:rPr>
        <w:t>For Covered Persons who are D&amp;Os, the first trade under a 10b5-1 Trading Plan shall not occur prior to the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D&amp;O Cooling-off Period.</w:t>
      </w:r>
    </w:p>
    <w:p>
      <w:pPr>
        <w:spacing w:after="0" w:line="155" w:lineRule="exact"/>
        <w:rPr>
          <w:sz w:val="20"/>
          <w:szCs w:val="20"/>
          <w:color w:val="auto"/>
        </w:rPr>
      </w:pPr>
    </w:p>
    <w:p>
      <w:pPr>
        <w:jc w:val="both"/>
        <w:ind w:left="1860" w:hanging="647"/>
        <w:spacing w:after="0" w:line="282"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5.3.4</w:t>
      </w:r>
      <w:r>
        <w:rPr>
          <w:sz w:val="20"/>
          <w:szCs w:val="20"/>
          <w:color w:val="auto"/>
        </w:rPr>
        <w:tab/>
      </w:r>
      <w:r>
        <w:rPr>
          <w:rFonts w:ascii="Times New Roman" w:cs="Times New Roman" w:eastAsia="Times New Roman" w:hAnsi="Times New Roman"/>
          <w:sz w:val="18"/>
          <w:szCs w:val="18"/>
          <w:color w:val="auto"/>
        </w:rPr>
        <w:t>A single trade 10b5-1 Trading Plan cannot be put into place if the Covered Person has entered into another 10b5-1 Trading Plan within the past 12 months.</w:t>
      </w:r>
    </w:p>
    <w:p>
      <w:pPr>
        <w:spacing w:after="0" w:line="162" w:lineRule="exact"/>
        <w:rPr>
          <w:sz w:val="20"/>
          <w:szCs w:val="20"/>
          <w:color w:val="auto"/>
        </w:rPr>
      </w:pPr>
    </w:p>
    <w:p>
      <w:pPr>
        <w:jc w:val="both"/>
        <w:ind w:left="1860" w:hanging="647"/>
        <w:spacing w:after="0" w:line="255"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5.3.5</w:t>
      </w:r>
      <w:r>
        <w:rPr>
          <w:sz w:val="20"/>
          <w:szCs w:val="20"/>
          <w:color w:val="auto"/>
        </w:rPr>
        <w:tab/>
      </w:r>
      <w:r>
        <w:rPr>
          <w:rFonts w:ascii="Times New Roman" w:cs="Times New Roman" w:eastAsia="Times New Roman" w:hAnsi="Times New Roman"/>
          <w:sz w:val="18"/>
          <w:szCs w:val="18"/>
          <w:color w:val="auto"/>
        </w:rPr>
        <w:t>10b5-1 Trading Plans may be amended only when a Covered Person does not possess Material, Nonpublic Information. For all Covered Persons other than D&amp;Os, the first trade under an amended 10b5-1 Trading Plan shall not occur before 30 days after the amendment. For D&amp;Os, the first trade under an amended 10b5-1 Trading Plan shall not occur until after the expiration of the D&amp;O Cooling-off Period). For purposes of this Section 5.1.3, modifications to a 10b5-1 Trading Plan that do not change the sales or purchase prices or price ranges, the amount of securities to be sold or purchased, or the timing of transactions under a Rule 10b5-1 plan (such as an adjustment for stock splits or a change in account information) shall not be deemed amendments to the applicable 10b5-1 Trading Plan. The number and timing of amendments should be reviewed carefully so as</w:t>
      </w:r>
    </w:p>
    <w:p>
      <w:pPr>
        <w:sectPr>
          <w:pgSz w:w="11900" w:h="16838" w:orient="portrait"/>
          <w:cols w:equalWidth="0" w:num="1">
            <w:col w:w="11240"/>
          </w:cols>
          <w:pgMar w:left="320" w:top="1039" w:right="339" w:bottom="1440" w:gutter="0" w:footer="0" w:header="0"/>
        </w:sectPr>
      </w:pPr>
    </w:p>
    <w:bookmarkStart w:id="193" w:name="page194"/>
    <w:bookmarkEnd w:id="193"/>
    <w:p>
      <w:pPr>
        <w:jc w:val="both"/>
        <w:ind w:left="1880"/>
        <w:spacing w:after="0" w:line="256" w:lineRule="auto"/>
        <w:rPr>
          <w:sz w:val="20"/>
          <w:szCs w:val="20"/>
          <w:color w:val="auto"/>
        </w:rPr>
      </w:pPr>
      <w:r>
        <w:rPr>
          <w:rFonts w:ascii="Times New Roman" w:cs="Times New Roman" w:eastAsia="Times New Roman" w:hAnsi="Times New Roman"/>
          <w:sz w:val="18"/>
          <w:szCs w:val="18"/>
          <w:color w:val="auto"/>
        </w:rPr>
        <w:t>to avoid any implication that the 10b5-1 Trading Plan was not entered into in good faith or was part of a scheme to evade Insider Trading laws. The Company also discourages Covered Persons from repeatedly amending their 10b5-1 Trading Plans, because such frequent amendments can create the appearance of wrongdoing and may weaken the affirmative defense against Insider Trading liability. Any modification or change to the amount, price or timing of the purchase or sale of Company Securities underlying a 10b5-1 Trading Plan is considered a termination of such 10b5-1 Trading Plan and the adoption of a new 10b5-1 Trading Plan. Such a new 10b5-1 plan must comply with the applicable cooling-off period in Section 5.3.3.</w:t>
      </w:r>
    </w:p>
    <w:p>
      <w:pPr>
        <w:spacing w:after="0" w:line="183" w:lineRule="exact"/>
        <w:rPr>
          <w:sz w:val="20"/>
          <w:szCs w:val="20"/>
          <w:color w:val="auto"/>
        </w:rPr>
      </w:pPr>
    </w:p>
    <w:p>
      <w:pPr>
        <w:jc w:val="both"/>
        <w:ind w:left="1940" w:hanging="647"/>
        <w:spacing w:after="0" w:line="261"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5.3.6</w:t>
      </w:r>
      <w:r>
        <w:rPr>
          <w:sz w:val="20"/>
          <w:szCs w:val="20"/>
          <w:color w:val="auto"/>
        </w:rPr>
        <w:tab/>
      </w:r>
      <w:r>
        <w:rPr>
          <w:rFonts w:ascii="Times New Roman" w:cs="Times New Roman" w:eastAsia="Times New Roman" w:hAnsi="Times New Roman"/>
          <w:sz w:val="18"/>
          <w:szCs w:val="18"/>
          <w:color w:val="auto"/>
        </w:rPr>
        <w:t>All 10b5-1 Trading Plans must include a representation in the 10b5-1 Trading Plan certifying that, on the date of adoption of the plan, such person is not aware of Material Nonpublic Information about the Company or its securities and such person is adopting the 10b5-1 Trading Plan in good faith and not as part of a plan or scheme to evade the prohibitions of Exchange Act Section 10(b) and Exchange Act Rule 10b-5.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2397125</wp:posOffset>
            </wp:positionH>
            <wp:positionV relativeFrom="paragraph">
              <wp:posOffset>-445770</wp:posOffset>
            </wp:positionV>
            <wp:extent cx="2857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0" w:lineRule="exact"/>
        <w:rPr>
          <w:sz w:val="20"/>
          <w:szCs w:val="20"/>
          <w:color w:val="auto"/>
        </w:rPr>
      </w:pPr>
    </w:p>
    <w:p>
      <w:pPr>
        <w:jc w:val="both"/>
        <w:ind w:left="1940" w:hanging="647"/>
        <w:spacing w:after="0" w:line="253"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5.3.7</w:t>
      </w:r>
      <w:r>
        <w:rPr>
          <w:sz w:val="20"/>
          <w:szCs w:val="20"/>
          <w:color w:val="auto"/>
        </w:rPr>
        <w:tab/>
      </w:r>
      <w:r>
        <w:rPr>
          <w:rFonts w:ascii="Times New Roman" w:cs="Times New Roman" w:eastAsia="Times New Roman" w:hAnsi="Times New Roman"/>
          <w:sz w:val="18"/>
          <w:szCs w:val="18"/>
          <w:color w:val="auto"/>
        </w:rPr>
        <w:t>10b5-1 Trading Plans may have provisions that allow Covered Persons to terminate the 10b5-1 Trading Plan. Termination of a plan could affect the availability of the affirmative defense for previous purchases or sales of Company stock under the 10b5-1 Trading Plan if the facts and circumstances surrounding the termination call into question whether the 10b5-1 Trading Plan was entered into in good faith and not as part of a scheme to evade Insider Trading laws. All D&amp;Os must notify the Legal Department of any termination of any 10b5-1 Trading Plan. The Company prohibits Covered Persons from entering into multiple 10b5-1 Trading Plans, except in the case of (i) trades conducted by multiple brokers, when taken together, satisfy the requirements for a 10b5-1 Trading Plan, (ii) a 10b5-1 Trading Plan that will only commence only after the first 10b5-1 Trading Plan expires or all transactions under the first 10b5-1 Trading Plan have been completed and (iii) a 10b5-1 Trading Plan that is only in place to satisfy tax withholding obligations upon vesting of compensatory awards and such person does not exercise control over the timing of such sales.</w:t>
      </w:r>
    </w:p>
    <w:p>
      <w:pPr>
        <w:spacing w:after="0" w:line="194" w:lineRule="exact"/>
        <w:rPr>
          <w:sz w:val="20"/>
          <w:szCs w:val="20"/>
          <w:color w:val="auto"/>
        </w:rPr>
      </w:pPr>
    </w:p>
    <w:p>
      <w:pPr>
        <w:ind w:left="1860" w:hanging="647"/>
        <w:spacing w:after="0" w:line="282"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5.3.8</w:t>
      </w:r>
      <w:r>
        <w:rPr>
          <w:sz w:val="20"/>
          <w:szCs w:val="20"/>
          <w:color w:val="auto"/>
        </w:rPr>
        <w:tab/>
      </w:r>
      <w:r>
        <w:rPr>
          <w:rFonts w:ascii="Times New Roman" w:cs="Times New Roman" w:eastAsia="Times New Roman" w:hAnsi="Times New Roman"/>
          <w:sz w:val="18"/>
          <w:szCs w:val="18"/>
          <w:color w:val="auto"/>
        </w:rPr>
        <w:t>10b5-1 Trading Plans should have suspension provisions which automatically suspend the plan in the event a transaction would violate applicable law, including Section 16 of the Exchange Act or if the Board of Directors suspends trading.</w:t>
      </w:r>
    </w:p>
    <w:p>
      <w:pPr>
        <w:spacing w:after="0" w:line="162" w:lineRule="exact"/>
        <w:rPr>
          <w:sz w:val="20"/>
          <w:szCs w:val="20"/>
          <w:color w:val="auto"/>
        </w:rPr>
      </w:pPr>
    </w:p>
    <w:p>
      <w:pPr>
        <w:ind w:left="1860" w:hanging="647"/>
        <w:spacing w:after="0" w:line="282" w:lineRule="auto"/>
        <w:tabs>
          <w:tab w:leader="none" w:pos="1840" w:val="left"/>
        </w:tabs>
        <w:rPr>
          <w:sz w:val="20"/>
          <w:szCs w:val="20"/>
          <w:color w:val="auto"/>
        </w:rPr>
      </w:pPr>
      <w:r>
        <w:rPr>
          <w:rFonts w:ascii="Times New Roman" w:cs="Times New Roman" w:eastAsia="Times New Roman" w:hAnsi="Times New Roman"/>
          <w:sz w:val="18"/>
          <w:szCs w:val="18"/>
          <w:b w:val="1"/>
          <w:bCs w:val="1"/>
          <w:color w:val="auto"/>
        </w:rPr>
        <w:t>5.3.9</w:t>
      </w:r>
      <w:r>
        <w:rPr>
          <w:sz w:val="20"/>
          <w:szCs w:val="20"/>
          <w:color w:val="auto"/>
        </w:rPr>
        <w:tab/>
      </w:r>
      <w:r>
        <w:rPr>
          <w:rFonts w:ascii="Times New Roman" w:cs="Times New Roman" w:eastAsia="Times New Roman" w:hAnsi="Times New Roman"/>
          <w:sz w:val="18"/>
          <w:szCs w:val="18"/>
          <w:color w:val="auto"/>
        </w:rPr>
        <w:t xml:space="preserve">Additional information regarding the procedures and requirements for establishing a 10b5-1 Trading Plan are set forth in 10b5-1 Trading Plan Guidelines, attached as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color w:val="auto"/>
        </w:rPr>
        <w:t xml:space="preserve"> to this Policy.</w:t>
      </w:r>
    </w:p>
    <w:p>
      <w:pPr>
        <w:spacing w:after="0" w:line="14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6.0</w:t>
      </w:r>
      <w:r>
        <w:rPr>
          <w:sz w:val="20"/>
          <w:szCs w:val="20"/>
          <w:color w:val="auto"/>
        </w:rPr>
        <w:tab/>
      </w:r>
      <w:r>
        <w:rPr>
          <w:rFonts w:ascii="Times New Roman" w:cs="Times New Roman" w:eastAsia="Times New Roman" w:hAnsi="Times New Roman"/>
          <w:sz w:val="24"/>
          <w:szCs w:val="24"/>
          <w:b w:val="1"/>
          <w:bCs w:val="1"/>
          <w:color w:val="auto"/>
        </w:rPr>
        <w:t>Trading Groups and Applicable Trading Restrictions</w:t>
      </w:r>
    </w:p>
    <w:p>
      <w:pPr>
        <w:spacing w:after="0" w:line="15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Trading Groups.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has identified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Policy (as may be updated from time to time, the “Trading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Designations Criteria”) three distinct trading groups (Trading Group A, B, and C), the applicable descriptions of the trading restrictions that apply to each trading group, and the titles or other description of those Covered Persons who have been designated as members of each of the Trading Groups. The trading restrictions applicable to each trading group are summarized below:</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6.1.1</w:t>
      </w:r>
      <w:r>
        <w:rPr>
          <w:sz w:val="20"/>
          <w:szCs w:val="20"/>
          <w:color w:val="auto"/>
        </w:rPr>
        <w:tab/>
      </w:r>
      <w:r>
        <w:rPr>
          <w:rFonts w:ascii="Times New Roman" w:cs="Times New Roman" w:eastAsia="Times New Roman" w:hAnsi="Times New Roman"/>
          <w:sz w:val="17"/>
          <w:szCs w:val="17"/>
          <w:b w:val="1"/>
          <w:bCs w:val="1"/>
          <w:u w:val="single" w:color="auto"/>
          <w:color w:val="auto"/>
        </w:rPr>
        <w:t>Trading Group A.</w:t>
      </w:r>
    </w:p>
    <w:p>
      <w:pPr>
        <w:spacing w:after="0" w:line="227" w:lineRule="exact"/>
        <w:rPr>
          <w:sz w:val="20"/>
          <w:szCs w:val="20"/>
          <w:color w:val="auto"/>
        </w:rPr>
      </w:pPr>
    </w:p>
    <w:p>
      <w:pPr>
        <w:jc w:val="both"/>
        <w:ind w:left="2600" w:hanging="648"/>
        <w:spacing w:after="0" w:line="267" w:lineRule="auto"/>
        <w:tabs>
          <w:tab w:leader="none" w:pos="25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Prior Legal Department Review</w:t>
      </w:r>
      <w:r>
        <w:rPr>
          <w:rFonts w:ascii="Times New Roman" w:cs="Times New Roman" w:eastAsia="Times New Roman" w:hAnsi="Times New Roman"/>
          <w:sz w:val="18"/>
          <w:szCs w:val="18"/>
          <w:color w:val="auto"/>
        </w:rPr>
        <w:t>. Trading Group A members are required to obtain Legal Department review at least 48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hours prior to any transaction in Company stock (including purchases, sales or gifts) not covered by a 10b5-1 Trading Plan, or entering into or amending a 10b5-1 Trading Plan.</w:t>
      </w:r>
    </w:p>
    <w:p>
      <w:pPr>
        <w:spacing w:after="0" w:line="173" w:lineRule="exact"/>
        <w:rPr>
          <w:rFonts w:ascii="Times New Roman" w:cs="Times New Roman" w:eastAsia="Times New Roman" w:hAnsi="Times New Roman"/>
          <w:sz w:val="18"/>
          <w:szCs w:val="18"/>
          <w:color w:val="auto"/>
        </w:rPr>
      </w:pPr>
    </w:p>
    <w:p>
      <w:pPr>
        <w:ind w:left="2600" w:right="20" w:hanging="648"/>
        <w:spacing w:after="0" w:line="284" w:lineRule="auto"/>
        <w:tabs>
          <w:tab w:leader="none" w:pos="25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Transactions by Trading Group A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Trading Group A are limited to selling Company stock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10b5-1 Trading Plan, which plan</w:t>
      </w:r>
    </w:p>
    <w:p>
      <w:pPr>
        <w:sectPr>
          <w:pgSz w:w="11900" w:h="16838" w:orient="portrait"/>
          <w:cols w:equalWidth="0" w:num="1">
            <w:col w:w="11240"/>
          </w:cols>
          <w:pgMar w:left="320" w:top="904" w:right="339" w:bottom="1440" w:gutter="0" w:footer="0" w:header="0"/>
        </w:sectPr>
      </w:pPr>
    </w:p>
    <w:bookmarkStart w:id="194" w:name="page195"/>
    <w:bookmarkEnd w:id="194"/>
    <w:p>
      <w:pPr>
        <w:jc w:val="both"/>
        <w:ind w:left="2600"/>
        <w:spacing w:after="0" w:line="261" w:lineRule="auto"/>
        <w:rPr>
          <w:sz w:val="20"/>
          <w:szCs w:val="20"/>
          <w:color w:val="auto"/>
        </w:rPr>
      </w:pPr>
      <w:r>
        <w:rPr>
          <w:rFonts w:ascii="Times New Roman" w:cs="Times New Roman" w:eastAsia="Times New Roman" w:hAnsi="Times New Roman"/>
          <w:sz w:val="18"/>
          <w:szCs w:val="18"/>
          <w:color w:val="auto"/>
        </w:rPr>
        <w:t>may only be entered into or amended during the Company’s open Trading Window periods and when not in possession of Material, Nonpublic Information concerning the Company. All other transactions (including gifting) in Company stock may only be effected during the Company’s open Trading Window periods and when they are not in possession of Material, Nonpublic Information concerning the Company.</w:t>
      </w:r>
    </w:p>
    <w:p>
      <w:pPr>
        <w:spacing w:after="0" w:line="176" w:lineRule="exact"/>
        <w:rPr>
          <w:sz w:val="20"/>
          <w:szCs w:val="20"/>
          <w:color w:val="auto"/>
        </w:rPr>
      </w:pPr>
    </w:p>
    <w:p>
      <w:pPr>
        <w:jc w:val="both"/>
        <w:ind w:left="1940" w:hanging="647"/>
        <w:spacing w:after="0" w:line="259"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6.1.2</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Trading Group B. </w:t>
      </w:r>
      <w:r>
        <w:rPr>
          <w:rFonts w:ascii="Times New Roman" w:cs="Times New Roman" w:eastAsia="Times New Roman" w:hAnsi="Times New Roman"/>
          <w:sz w:val="18"/>
          <w:szCs w:val="18"/>
          <w:color w:val="auto"/>
        </w:rPr>
        <w:t>Trading Group B members are limited to trading in, and gifting, Company stock only during the Company’s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quarterly open Trading Window periods and when they are not in possession of Material, Nonpublic Information concerning the Company. At their discretion, members of Trading Group B may choose to adopt and trade under a 10b5-1 Trading Plan. Members of Trading Group B may only enter into or amend a 10b5-1 Trading Plan during the Company’s quarterly open Trading Window periods and when they are not in possession of Material, Nonpublic Information concerning the Company.</w:t>
      </w:r>
    </w:p>
    <w:p>
      <w:pPr>
        <w:spacing w:after="0" w:line="179" w:lineRule="exact"/>
        <w:rPr>
          <w:sz w:val="20"/>
          <w:szCs w:val="20"/>
          <w:color w:val="auto"/>
        </w:rPr>
      </w:pPr>
    </w:p>
    <w:p>
      <w:pPr>
        <w:jc w:val="both"/>
        <w:ind w:left="1940" w:hanging="647"/>
        <w:spacing w:after="0" w:line="262"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6.1.3</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Trading Group C. </w:t>
      </w:r>
      <w:r>
        <w:rPr>
          <w:rFonts w:ascii="Times New Roman" w:cs="Times New Roman" w:eastAsia="Times New Roman" w:hAnsi="Times New Roman"/>
          <w:sz w:val="18"/>
          <w:szCs w:val="18"/>
          <w:color w:val="auto"/>
        </w:rPr>
        <w:t>Trading Group C members may trade in, and gift, Company stock at any time that they are not in possession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of Material, Nonpublic Information concerning the Company. At their discretion, members of Trading Group C may choose to adopt and trade under a 10b5-1 Trading Plan. Members of Trading Group C may only enter into or amend a 10b5-1 Trading Plan when they are not in possession of Material, Nonpublic Information concerning the Company.</w:t>
      </w:r>
    </w:p>
    <w:p>
      <w:pPr>
        <w:spacing w:after="0" w:line="176" w:lineRule="exact"/>
        <w:rPr>
          <w:sz w:val="20"/>
          <w:szCs w:val="20"/>
          <w:color w:val="auto"/>
        </w:rPr>
      </w:pPr>
    </w:p>
    <w:p>
      <w:pPr>
        <w:jc w:val="both"/>
        <w:ind w:left="1940" w:hanging="647"/>
        <w:spacing w:after="0" w:line="257" w:lineRule="auto"/>
        <w:tabs>
          <w:tab w:leader="none" w:pos="1920" w:val="left"/>
        </w:tabs>
        <w:rPr>
          <w:sz w:val="20"/>
          <w:szCs w:val="20"/>
          <w:color w:val="auto"/>
        </w:rPr>
      </w:pPr>
      <w:r>
        <w:rPr>
          <w:rFonts w:ascii="Times New Roman" w:cs="Times New Roman" w:eastAsia="Times New Roman" w:hAnsi="Times New Roman"/>
          <w:sz w:val="18"/>
          <w:szCs w:val="18"/>
          <w:b w:val="1"/>
          <w:bCs w:val="1"/>
          <w:color w:val="auto"/>
        </w:rPr>
        <w:t>6.1.4</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Trading Group Designations. </w:t>
      </w:r>
      <w:r>
        <w:rPr>
          <w:rFonts w:ascii="Times New Roman" w:cs="Times New Roman" w:eastAsia="Times New Roman" w:hAnsi="Times New Roman"/>
          <w:sz w:val="18"/>
          <w:szCs w:val="18"/>
          <w:color w:val="auto"/>
        </w:rPr>
        <w:t>Trading group designations are made based on the Trading Group Designation Criteria listed in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Attachment 2</w:t>
      </w:r>
      <w:r>
        <w:rPr>
          <w:rFonts w:ascii="Times New Roman" w:cs="Times New Roman" w:eastAsia="Times New Roman" w:hAnsi="Times New Roman"/>
          <w:sz w:val="18"/>
          <w:szCs w:val="18"/>
          <w:color w:val="auto"/>
        </w:rPr>
        <w:t xml:space="preserve"> to this Policy, as may be updated from time to time. The Legal Department will maintain the list of those Covered Persons who have been designated as members of Trading Group A and Trading Group B. Each department is responsible for notifying the Legal Department of any changes that are made to the Trading Groups’ membership list from time to time to add or remove Covered Persons as appropriate. If a Covered Person is added to Trading Group A or Trading Group B, they will be notified by the Legal Department or its designee.</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Trading Window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Trading Window in any fiscal quarter (a) opens one full Trading Day after the Company’s quarterly,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or fiscal year-end earnings release information has been filed or furnished with the SEC, and (b) ends at the close of business on the day that is fifteen (15) days prior to the close of each fiscal quarter. The Legal Department will provide Trading Groups A and B with email notification of when the Trading Window period opens and closes.</w:t>
      </w:r>
    </w:p>
    <w:p>
      <w:pPr>
        <w:sectPr>
          <w:pgSz w:w="11900" w:h="16838" w:orient="portrait"/>
          <w:cols w:equalWidth="0" w:num="1">
            <w:col w:w="11240"/>
          </w:cols>
          <w:pgMar w:left="320" w:top="904" w:right="339" w:bottom="1440" w:gutter="0" w:footer="0" w:header="0"/>
        </w:sectPr>
      </w:pPr>
    </w:p>
    <w:bookmarkStart w:id="195" w:name="page196"/>
    <w:bookmarkEnd w:id="195"/>
    <w:p>
      <w:pPr>
        <w:jc w:val="both"/>
        <w:ind w:left="1500" w:right="200" w:hanging="1414"/>
        <w:spacing w:after="0" w:line="266" w:lineRule="auto"/>
        <w:tabs>
          <w:tab w:leader="none" w:pos="1480" w:val="left"/>
        </w:tabs>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267970</wp:posOffset>
            </wp:positionH>
            <wp:positionV relativeFrom="page">
              <wp:posOffset>603250</wp:posOffset>
            </wp:positionV>
            <wp:extent cx="6995160" cy="33686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5">
                      <a:extLst>
                        <a:ext uri="{28A0092B-C50C-407E-A947-70E740481C1C}"/>
                      </a:extLst>
                    </a:blip>
                    <a:srcRect/>
                    <a:stretch>
                      <a:fillRect/>
                    </a:stretch>
                  </pic:blipFill>
                  <pic:spPr bwMode="auto">
                    <a:xfrm>
                      <a:off x="0" y="0"/>
                      <a:ext cx="6995160" cy="3368675"/>
                    </a:xfrm>
                    <a:prstGeom prst="rect">
                      <a:avLst/>
                    </a:prstGeom>
                    <a:noFill/>
                  </pic:spPr>
                </pic:pic>
              </a:graphicData>
            </a:graphic>
          </wp:anchor>
        </w:drawing>
        <w:t>For Example:</w:t>
      </w:r>
      <w:r>
        <w:rPr>
          <w:sz w:val="20"/>
          <w:szCs w:val="20"/>
          <w:color w:val="auto"/>
        </w:rPr>
        <w:tab/>
      </w:r>
      <w:r>
        <w:rPr>
          <w:rFonts w:ascii="Times New Roman" w:cs="Times New Roman" w:eastAsia="Times New Roman" w:hAnsi="Times New Roman"/>
          <w:sz w:val="18"/>
          <w:szCs w:val="18"/>
          <w:color w:val="auto"/>
        </w:rPr>
        <w:t>If the Company publicly announces earnings via a press release, a live webcast, or an SEC filing on Tuesday morning before the Nasdaq Stock Market opens, and provided that the Covered Person is not in possession of Material, Nonpublic Information concerning the Company,</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92"/>
        </w:trPr>
        <w:tc>
          <w:tcPr>
            <w:tcW w:w="23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Group A</w:t>
            </w:r>
          </w:p>
        </w:tc>
        <w:tc>
          <w:tcPr>
            <w:tcW w:w="8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Covered Person may establish or amend a 10b5-1 Trading Plan when the Nasdaq Stock Market opens after one</w:t>
            </w:r>
          </w:p>
        </w:tc>
      </w:tr>
      <w:tr>
        <w:trPr>
          <w:trHeight w:val="216"/>
        </w:trPr>
        <w:tc>
          <w:tcPr>
            <w:tcW w:w="2380" w:type="dxa"/>
            <w:vAlign w:val="bottom"/>
            <w:tcBorders>
              <w:right w:val="single" w:sz="8" w:color="auto"/>
            </w:tcBorders>
          </w:tcPr>
          <w:p>
            <w:pPr>
              <w:spacing w:after="0"/>
              <w:rPr>
                <w:sz w:val="18"/>
                <w:szCs w:val="18"/>
                <w:color w:val="auto"/>
              </w:rPr>
            </w:pPr>
          </w:p>
        </w:tc>
        <w:tc>
          <w:tcPr>
            <w:tcW w:w="8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full trading day (in this example after Wednesday morning), subject to compliance with the requirements for</w:t>
            </w:r>
          </w:p>
        </w:tc>
      </w:tr>
      <w:tr>
        <w:trPr>
          <w:trHeight w:val="234"/>
        </w:trPr>
        <w:tc>
          <w:tcPr>
            <w:tcW w:w="2380" w:type="dxa"/>
            <w:vAlign w:val="bottom"/>
            <w:tcBorders>
              <w:right w:val="single" w:sz="8" w:color="auto"/>
            </w:tcBorders>
          </w:tcPr>
          <w:p>
            <w:pPr>
              <w:spacing w:after="0"/>
              <w:rPr>
                <w:sz w:val="20"/>
                <w:szCs w:val="20"/>
                <w:color w:val="auto"/>
              </w:rPr>
            </w:pPr>
          </w:p>
        </w:tc>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establishing or amending a 10b5-1 Trading Plan as set forth in Section 5.3 of this Policy.</w:t>
            </w:r>
          </w:p>
        </w:tc>
      </w:tr>
      <w:tr>
        <w:trPr>
          <w:trHeight w:val="306"/>
        </w:trPr>
        <w:tc>
          <w:tcPr>
            <w:tcW w:w="2380" w:type="dxa"/>
            <w:vAlign w:val="bottom"/>
            <w:tcBorders>
              <w:right w:val="single" w:sz="8" w:color="auto"/>
            </w:tcBorders>
          </w:tcPr>
          <w:p>
            <w:pPr>
              <w:spacing w:after="0"/>
              <w:rPr>
                <w:sz w:val="24"/>
                <w:szCs w:val="24"/>
                <w:color w:val="auto"/>
              </w:rPr>
            </w:pPr>
          </w:p>
        </w:tc>
        <w:tc>
          <w:tcPr>
            <w:tcW w:w="8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Covered Person may begin buying (but not selling) or gifting Company stock after one full trading day (in this</w:t>
            </w:r>
          </w:p>
        </w:tc>
      </w:tr>
      <w:tr>
        <w:trPr>
          <w:trHeight w:val="216"/>
        </w:trPr>
        <w:tc>
          <w:tcPr>
            <w:tcW w:w="2380" w:type="dxa"/>
            <w:vAlign w:val="bottom"/>
            <w:tcBorders>
              <w:right w:val="single" w:sz="8" w:color="auto"/>
            </w:tcBorders>
          </w:tcPr>
          <w:p>
            <w:pPr>
              <w:spacing w:after="0"/>
              <w:rPr>
                <w:sz w:val="18"/>
                <w:szCs w:val="18"/>
                <w:color w:val="auto"/>
              </w:rPr>
            </w:pPr>
          </w:p>
        </w:tc>
        <w:tc>
          <w:tcPr>
            <w:tcW w:w="8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case when the Nasdaq Stock Market opens on Wednesday morning, subject to prior Legal Department review as</w:t>
            </w:r>
          </w:p>
        </w:tc>
      </w:tr>
      <w:tr>
        <w:trPr>
          <w:trHeight w:val="234"/>
        </w:trPr>
        <w:tc>
          <w:tcPr>
            <w:tcW w:w="2380" w:type="dxa"/>
            <w:vAlign w:val="bottom"/>
            <w:tcBorders>
              <w:right w:val="single" w:sz="8" w:color="auto"/>
            </w:tcBorders>
          </w:tcPr>
          <w:p>
            <w:pPr>
              <w:spacing w:after="0"/>
              <w:rPr>
                <w:sz w:val="20"/>
                <w:szCs w:val="20"/>
                <w:color w:val="auto"/>
              </w:rPr>
            </w:pPr>
          </w:p>
        </w:tc>
        <w:tc>
          <w:tcPr>
            <w:tcW w:w="8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set forth in Section 6.1.1 of this Policy.</w:t>
            </w:r>
          </w:p>
        </w:tc>
      </w:tr>
      <w:tr>
        <w:trPr>
          <w:trHeight w:val="135"/>
        </w:trPr>
        <w:tc>
          <w:tcPr>
            <w:tcW w:w="2380" w:type="dxa"/>
            <w:vAlign w:val="bottom"/>
            <w:tcBorders>
              <w:bottom w:val="single" w:sz="8" w:color="auto"/>
              <w:right w:val="single" w:sz="8" w:color="auto"/>
            </w:tcBorders>
          </w:tcPr>
          <w:p>
            <w:pPr>
              <w:spacing w:after="0"/>
              <w:rPr>
                <w:sz w:val="11"/>
                <w:szCs w:val="11"/>
                <w:color w:val="auto"/>
              </w:rPr>
            </w:pPr>
          </w:p>
        </w:tc>
        <w:tc>
          <w:tcPr>
            <w:tcW w:w="8640" w:type="dxa"/>
            <w:vAlign w:val="bottom"/>
            <w:tcBorders>
              <w:bottom w:val="single" w:sz="8" w:color="auto"/>
            </w:tcBorders>
          </w:tcPr>
          <w:p>
            <w:pPr>
              <w:spacing w:after="0"/>
              <w:rPr>
                <w:sz w:val="11"/>
                <w:szCs w:val="11"/>
                <w:color w:val="auto"/>
              </w:rPr>
            </w:pPr>
          </w:p>
        </w:tc>
      </w:tr>
      <w:tr>
        <w:trPr>
          <w:trHeight w:val="272"/>
        </w:trPr>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Group B</w:t>
            </w:r>
          </w:p>
        </w:tc>
        <w:tc>
          <w:tcPr>
            <w:tcW w:w="8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   Covered Person may begin buying, selling or gifting Company stock after one full trading day after</w:t>
            </w:r>
          </w:p>
        </w:tc>
      </w:tr>
      <w:tr>
        <w:trPr>
          <w:trHeight w:val="216"/>
        </w:trPr>
        <w:tc>
          <w:tcPr>
            <w:tcW w:w="2380" w:type="dxa"/>
            <w:vAlign w:val="bottom"/>
            <w:tcBorders>
              <w:right w:val="single" w:sz="8" w:color="auto"/>
            </w:tcBorders>
          </w:tcPr>
          <w:p>
            <w:pPr>
              <w:spacing w:after="0"/>
              <w:rPr>
                <w:sz w:val="18"/>
                <w:szCs w:val="18"/>
                <w:color w:val="auto"/>
              </w:rPr>
            </w:pPr>
          </w:p>
        </w:tc>
        <w:tc>
          <w:tcPr>
            <w:tcW w:w="8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the above disclosure (in this example when the Nasdaq Stock Market opens on Wednesday</w:t>
            </w:r>
          </w:p>
        </w:tc>
      </w:tr>
      <w:tr>
        <w:trPr>
          <w:trHeight w:val="234"/>
        </w:trPr>
        <w:tc>
          <w:tcPr>
            <w:tcW w:w="2380" w:type="dxa"/>
            <w:vAlign w:val="bottom"/>
            <w:tcBorders>
              <w:right w:val="single" w:sz="8" w:color="auto"/>
            </w:tcBorders>
          </w:tcPr>
          <w:p>
            <w:pPr>
              <w:spacing w:after="0"/>
              <w:rPr>
                <w:sz w:val="20"/>
                <w:szCs w:val="20"/>
                <w:color w:val="auto"/>
              </w:rPr>
            </w:pPr>
          </w:p>
        </w:tc>
        <w:tc>
          <w:tcPr>
            <w:tcW w:w="86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morning).</w:t>
            </w:r>
          </w:p>
        </w:tc>
      </w:tr>
      <w:tr>
        <w:trPr>
          <w:trHeight w:val="306"/>
        </w:trPr>
        <w:tc>
          <w:tcPr>
            <w:tcW w:w="2380" w:type="dxa"/>
            <w:vAlign w:val="bottom"/>
            <w:tcBorders>
              <w:right w:val="single" w:sz="8" w:color="auto"/>
            </w:tcBorders>
          </w:tcPr>
          <w:p>
            <w:pPr>
              <w:spacing w:after="0"/>
              <w:rPr>
                <w:sz w:val="24"/>
                <w:szCs w:val="24"/>
                <w:color w:val="auto"/>
              </w:rPr>
            </w:pPr>
          </w:p>
        </w:tc>
        <w:tc>
          <w:tcPr>
            <w:tcW w:w="8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   Covered Person may establish or amend a 10b5-1 Trading Plan when the Nasdaq Stock Market</w:t>
            </w:r>
          </w:p>
        </w:tc>
      </w:tr>
      <w:tr>
        <w:trPr>
          <w:trHeight w:val="216"/>
        </w:trPr>
        <w:tc>
          <w:tcPr>
            <w:tcW w:w="2380" w:type="dxa"/>
            <w:vAlign w:val="bottom"/>
            <w:tcBorders>
              <w:right w:val="single" w:sz="8" w:color="auto"/>
            </w:tcBorders>
          </w:tcPr>
          <w:p>
            <w:pPr>
              <w:spacing w:after="0"/>
              <w:rPr>
                <w:sz w:val="18"/>
                <w:szCs w:val="18"/>
                <w:color w:val="auto"/>
              </w:rPr>
            </w:pPr>
          </w:p>
        </w:tc>
        <w:tc>
          <w:tcPr>
            <w:tcW w:w="8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opens after one full trading day (in this example after Wednesday morning), subject to compliance</w:t>
            </w:r>
          </w:p>
        </w:tc>
      </w:tr>
      <w:tr>
        <w:trPr>
          <w:trHeight w:val="216"/>
        </w:trPr>
        <w:tc>
          <w:tcPr>
            <w:tcW w:w="2380" w:type="dxa"/>
            <w:vAlign w:val="bottom"/>
            <w:tcBorders>
              <w:right w:val="single" w:sz="8" w:color="auto"/>
            </w:tcBorders>
          </w:tcPr>
          <w:p>
            <w:pPr>
              <w:spacing w:after="0"/>
              <w:rPr>
                <w:sz w:val="18"/>
                <w:szCs w:val="18"/>
                <w:color w:val="auto"/>
              </w:rPr>
            </w:pPr>
          </w:p>
        </w:tc>
        <w:tc>
          <w:tcPr>
            <w:tcW w:w="8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 the requirements for establishing or amending a 10b5-1 Trading Plan as set forth in Section</w:t>
            </w:r>
          </w:p>
        </w:tc>
      </w:tr>
      <w:tr>
        <w:trPr>
          <w:trHeight w:val="234"/>
        </w:trPr>
        <w:tc>
          <w:tcPr>
            <w:tcW w:w="2380" w:type="dxa"/>
            <w:vAlign w:val="bottom"/>
            <w:tcBorders>
              <w:right w:val="single" w:sz="8" w:color="auto"/>
            </w:tcBorders>
          </w:tcPr>
          <w:p>
            <w:pPr>
              <w:spacing w:after="0"/>
              <w:rPr>
                <w:sz w:val="20"/>
                <w:szCs w:val="20"/>
                <w:color w:val="auto"/>
              </w:rPr>
            </w:pPr>
          </w:p>
        </w:tc>
        <w:tc>
          <w:tcPr>
            <w:tcW w:w="86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5.3 of this Policy.</w:t>
            </w:r>
          </w:p>
        </w:tc>
      </w:tr>
      <w:tr>
        <w:trPr>
          <w:trHeight w:val="135"/>
        </w:trPr>
        <w:tc>
          <w:tcPr>
            <w:tcW w:w="2380" w:type="dxa"/>
            <w:vAlign w:val="bottom"/>
            <w:tcBorders>
              <w:bottom w:val="single" w:sz="8" w:color="auto"/>
              <w:right w:val="single" w:sz="8" w:color="auto"/>
            </w:tcBorders>
          </w:tcPr>
          <w:p>
            <w:pPr>
              <w:spacing w:after="0"/>
              <w:rPr>
                <w:sz w:val="11"/>
                <w:szCs w:val="11"/>
                <w:color w:val="auto"/>
              </w:rPr>
            </w:pPr>
          </w:p>
        </w:tc>
        <w:tc>
          <w:tcPr>
            <w:tcW w:w="8640" w:type="dxa"/>
            <w:vAlign w:val="bottom"/>
            <w:tcBorders>
              <w:bottom w:val="single" w:sz="8" w:color="auto"/>
            </w:tcBorders>
          </w:tcPr>
          <w:p>
            <w:pPr>
              <w:spacing w:after="0"/>
              <w:rPr>
                <w:sz w:val="11"/>
                <w:szCs w:val="11"/>
                <w:color w:val="auto"/>
              </w:rPr>
            </w:pPr>
          </w:p>
        </w:tc>
      </w:tr>
      <w:tr>
        <w:trPr>
          <w:trHeight w:val="291"/>
        </w:trPr>
        <w:tc>
          <w:tcPr>
            <w:tcW w:w="23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Group C</w:t>
            </w: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  Covered Person may buy, sell or gift Company stock at any time.</w:t>
            </w:r>
          </w:p>
        </w:tc>
      </w:tr>
      <w:tr>
        <w:trPr>
          <w:trHeight w:val="324"/>
        </w:trPr>
        <w:tc>
          <w:tcPr>
            <w:tcW w:w="2380" w:type="dxa"/>
            <w:vAlign w:val="bottom"/>
            <w:tcBorders>
              <w:right w:val="single" w:sz="8" w:color="auto"/>
            </w:tcBorders>
          </w:tcPr>
          <w:p>
            <w:pPr>
              <w:spacing w:after="0"/>
              <w:rPr>
                <w:sz w:val="24"/>
                <w:szCs w:val="24"/>
                <w:color w:val="auto"/>
              </w:rPr>
            </w:pPr>
          </w:p>
        </w:tc>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  Covered Person may establish or amend a 10b5-1 Trading Plan at any time.</w:t>
            </w:r>
          </w:p>
        </w:tc>
      </w:tr>
      <w:tr>
        <w:trPr>
          <w:trHeight w:val="135"/>
        </w:trPr>
        <w:tc>
          <w:tcPr>
            <w:tcW w:w="2380" w:type="dxa"/>
            <w:vAlign w:val="bottom"/>
            <w:tcBorders>
              <w:bottom w:val="single" w:sz="8" w:color="auto"/>
              <w:right w:val="single" w:sz="8" w:color="auto"/>
            </w:tcBorders>
          </w:tcPr>
          <w:p>
            <w:pPr>
              <w:spacing w:after="0"/>
              <w:rPr>
                <w:sz w:val="11"/>
                <w:szCs w:val="11"/>
                <w:color w:val="auto"/>
              </w:rPr>
            </w:pPr>
          </w:p>
        </w:tc>
        <w:tc>
          <w:tcPr>
            <w:tcW w:w="8640" w:type="dxa"/>
            <w:vAlign w:val="bottom"/>
            <w:tcBorders>
              <w:bottom w:val="single" w:sz="8" w:color="auto"/>
            </w:tcBorders>
          </w:tcPr>
          <w:p>
            <w:pPr>
              <w:spacing w:after="0"/>
              <w:rPr>
                <w:sz w:val="11"/>
                <w:szCs w:val="11"/>
                <w:color w:val="auto"/>
              </w:rPr>
            </w:pPr>
          </w:p>
        </w:tc>
      </w:tr>
    </w:tbl>
    <w:p>
      <w:pPr>
        <w:spacing w:after="0" w:line="2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Special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there may be Material, Nonpublic Information concerning the Company that is known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certain Covered Persons. So long as this information remains Material and nonpublic, it is against this Policy for those Covered Persons who possesses the information that is being subject to a Special Blackout Period (a) to establish or amend a 10b5-1 Trading Plan during a Special Blackout Period, (b) to purchase, gift or sell Company securities during a Special Blackout Period, unless the purchase or sale is made pursuant to a pre-established 10b5-1 Trading Plan, or (c) to make an election or change to a contribution election under the ESPP. No Covered Persons, whether or not subject to a Special Blackout Period, may disclose to any outside third party that a Special Blackout Period exists. Covered Persons that are subject to a Special Blackout Period will be notified by the Legal Department by email as promptly as practical when the Special Blackout Period begins and ends.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Hardship Exceptions.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Covered Person who is subject to the Trading Window requirements and who has an extraordinary,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unanticipated, and urgent need to sell Company stock in order to generate cash may, in appropriate circumstances, be permitted to sell Company stock even if the Trading Window period has closed. A hardship exception may be granted only by the unanimous decision of the CEO, the CLO, and the CFO and must be requested at least two business days in advance of the proposed trade. Such officers are under no obligation to approve a hardship exception, and neither the Company nor such officers will have any liability for any refusal to grant a hardship exception or for any delay in making or communicating a decision. Under no circumstance will a hardship exception be granted during a Special Blackout Period</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or for ordinary, anticipated, and non-urgent events, such as purchasing a home or paying college tuition. All requests for a hardship exception should be submitted by email or in writing to the CLO.</w:t>
      </w:r>
    </w:p>
    <w:p>
      <w:pPr>
        <w:spacing w:after="0" w:line="16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7.0</w:t>
        <w:tab/>
        <w:t>Post-Employment Transactions</w:t>
      </w:r>
    </w:p>
    <w:p>
      <w:pPr>
        <w:spacing w:after="0" w:line="16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color w:val="auto"/>
        </w:rPr>
        <w:t>If a Covered Person possesses Material, Nonpublic Information when the Covered Person’s employment, service as a director, or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relationship with the Company terminates, the Covered Person may not</w:t>
      </w:r>
    </w:p>
    <w:p>
      <w:pPr>
        <w:sectPr>
          <w:pgSz w:w="11900" w:h="16838" w:orient="portrait"/>
          <w:cols w:equalWidth="0" w:num="1">
            <w:col w:w="11240"/>
          </w:cols>
          <w:pgMar w:left="320" w:top="1076" w:right="339" w:bottom="1440" w:gutter="0" w:footer="0" w:header="0"/>
        </w:sectPr>
      </w:pPr>
    </w:p>
    <w:bookmarkStart w:id="196" w:name="page197"/>
    <w:bookmarkEnd w:id="19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purchase, gift or sell Company securities or disclose such Material, Nonpublic Information until that information has been made public by the Company or it is no longer Material.</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color w:val="auto"/>
        </w:rPr>
        <w:t>If a Covered Person is subject to the Trading Window or Special Blackout Period restrictions imposed by this Policy and the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employment terminates or, service as a director or service relationship with the Company terminates during a closed Trading Window or a Special Blackout Period, the Covered Person will continue to be subject to this Policy and the ongoing prohibition against purchasing selling or gifting Company securities, until the Trading Window period opens or the Special Blackout Period ends.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color w:val="auto"/>
        </w:rPr>
        <w:t>If a Covered Person has questions as to whether the Covered Person possesses Material, Nonpublic Information or if the Covered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subject to the Trading Window or a Special Blackout Period restrictions after the Covered Person’s employment or service as a director of the Company terminates, the Covered Person should direct questions to the Chief Corporation Counsel.</w:t>
      </w:r>
    </w:p>
    <w:p>
      <w:pPr>
        <w:spacing w:after="0" w:line="150"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8.0</w:t>
        <w:tab/>
        <w:t>Penalties for Noncompliance</w:t>
      </w:r>
    </w:p>
    <w:p>
      <w:pPr>
        <w:spacing w:after="0" w:line="16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Potential Civil and Criminal Penalties.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penalties for violating U.S. and international securities laws and regulations,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laws and regulations and Regulation FD may include imprisonment for up to 20 years, criminal fines up to U.S. $5 million, and civil fines of up to three times the profit gained or loss avoided.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Company Disciplinary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 to comply with this Policy or U.S. or international securities laws and regulations,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laws and regulations and Regulations FD by any Covered Person may also subject the Covered Person to disciplinary action by the Company up to and including termination of the Covered Person’s employment, whether or not the Covered Person’s failure to comply with this Policy results in a violation of U.S. or International securities laws and regulations, including Insider Trading laws and regulations and Regulation FD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Failure to comply with this Policy or U.S. and international securities laws and regulations, including Insider Trading laws and regulations and Regulation FD may also be deemed to be a violation of the Biogen Code of Business Conduct.</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Reporting Insider Trading and Information Violations.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Covered Person who violates this Policy or any U.S. or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laws and regulations, including Insider Trading laws and regulations and Regulation FD, or who knows of any actual or potential violation by any other Covered Person, must report the violation immediately to the Compliance Helpline, Human Resource Department, Corporate Compliance Department, the Chief Compliance Officer, the CLO, the Head of Human Resources, the Chief Corporation Counsel, or the Chair of the Audit Committee.</w:t>
      </w:r>
    </w:p>
    <w:p>
      <w:pPr>
        <w:sectPr>
          <w:pgSz w:w="11900" w:h="16838" w:orient="portrait"/>
          <w:cols w:equalWidth="0" w:num="1">
            <w:col w:w="11240"/>
          </w:cols>
          <w:pgMar w:left="320" w:top="1039" w:right="339" w:bottom="1440" w:gutter="0" w:footer="0" w:header="0"/>
        </w:sectPr>
      </w:pPr>
    </w:p>
    <w:bookmarkStart w:id="197" w:name="page198"/>
    <w:bookmarkEnd w:id="197"/>
    <w:p>
      <w:pPr>
        <w:spacing w:after="0"/>
        <w:tabs>
          <w:tab w:leader="none" w:pos="580" w:val="left"/>
        </w:tabs>
        <w:rPr>
          <w:sz w:val="20"/>
          <w:szCs w:val="20"/>
          <w:color w:val="auto"/>
        </w:rPr>
      </w:pPr>
      <w:r>
        <w:rPr>
          <w:rFonts w:ascii="Times New Roman" w:cs="Times New Roman" w:eastAsia="Times New Roman" w:hAnsi="Times New Roman"/>
          <w:sz w:val="25"/>
          <w:szCs w:val="25"/>
          <w:b w:val="1"/>
          <w:bCs w:val="1"/>
          <w:color w:val="auto"/>
        </w:rPr>
        <w:t>9.0</w:t>
        <w:tab/>
        <w:t>Definitions</w:t>
      </w:r>
    </w:p>
    <w:p>
      <w:pPr>
        <w:spacing w:after="0" w:line="23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10b5-1 Trading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written, pre-planned trading plan entered into with a broker, in which the broker is instructed to purchase or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securities at a future date according to instructions meeting certain requirements at the time the plan is put in place.</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10b5-1 Trading Plan Guidelines.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procedures for establishing a 10b5-1 Trading Plan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Attachment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Policy,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updated from time to time.</w:t>
      </w:r>
    </w:p>
    <w:p>
      <w:pPr>
        <w:spacing w:after="0" w:line="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Audit Committee. </w:t>
      </w:r>
      <w:r>
        <w:rPr>
          <w:rFonts w:ascii="Times New Roman" w:cs="Times New Roman" w:eastAsia="Times New Roman" w:hAnsi="Times New Roman"/>
          <w:sz w:val="18"/>
          <w:szCs w:val="18"/>
          <w:color w:val="auto"/>
        </w:rPr>
        <w:t>Audit Committee of the Board of Directors.</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Biogen. </w:t>
      </w:r>
      <w:r>
        <w:rPr>
          <w:rFonts w:ascii="Times New Roman" w:cs="Times New Roman" w:eastAsia="Times New Roman" w:hAnsi="Times New Roman"/>
          <w:sz w:val="17"/>
          <w:szCs w:val="17"/>
          <w:color w:val="auto"/>
        </w:rPr>
        <w:t>Biogen Inc. and its subsidiaries.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9.5</w:t>
      </w:r>
      <w:r>
        <w:rPr>
          <w:sz w:val="20"/>
          <w:szCs w:val="20"/>
          <w:color w:val="auto"/>
        </w:rPr>
        <w:tab/>
      </w:r>
      <w:r>
        <w:rPr>
          <w:rFonts w:ascii="Times New Roman" w:cs="Times New Roman" w:eastAsia="Times New Roman" w:hAnsi="Times New Roman"/>
          <w:sz w:val="17"/>
          <w:szCs w:val="17"/>
          <w:b w:val="1"/>
          <w:bCs w:val="1"/>
          <w:u w:val="single" w:color="auto"/>
          <w:color w:val="auto"/>
        </w:rPr>
        <w:t>CEO</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The Company’s Chief Executive Officer.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9.6</w:t>
      </w:r>
      <w:r>
        <w:rPr>
          <w:sz w:val="20"/>
          <w:szCs w:val="20"/>
          <w:color w:val="auto"/>
        </w:rPr>
        <w:tab/>
      </w:r>
      <w:r>
        <w:rPr>
          <w:rFonts w:ascii="Times New Roman" w:cs="Times New Roman" w:eastAsia="Times New Roman" w:hAnsi="Times New Roman"/>
          <w:sz w:val="17"/>
          <w:szCs w:val="17"/>
          <w:b w:val="1"/>
          <w:bCs w:val="1"/>
          <w:u w:val="single" w:color="auto"/>
          <w:color w:val="auto"/>
        </w:rPr>
        <w:t>CFO</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The Company’s Chief Financial Officer.</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9.7</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CLO. </w:t>
      </w:r>
      <w:r>
        <w:rPr>
          <w:rFonts w:ascii="Times New Roman" w:cs="Times New Roman" w:eastAsia="Times New Roman" w:hAnsi="Times New Roman"/>
          <w:sz w:val="17"/>
          <w:szCs w:val="17"/>
          <w:color w:val="auto"/>
        </w:rPr>
        <w:t>The Company’s Chief Legal Officer.</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9.8</w:t>
      </w:r>
      <w:r>
        <w:rPr>
          <w:sz w:val="20"/>
          <w:szCs w:val="20"/>
          <w:color w:val="auto"/>
        </w:rPr>
        <w:tab/>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Biogen Inc. and its subsidiaries.</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9.9 </w:t>
      </w:r>
      <w:r>
        <w:rPr>
          <w:rFonts w:ascii="Times New Roman" w:cs="Times New Roman" w:eastAsia="Times New Roman" w:hAnsi="Times New Roman"/>
          <w:sz w:val="18"/>
          <w:szCs w:val="18"/>
          <w:b w:val="1"/>
          <w:bCs w:val="1"/>
          <w:u w:val="single" w:color="auto"/>
          <w:color w:val="auto"/>
        </w:rPr>
        <w:t>Covered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Company employees, officers, directors, and temporary staff worldwide and members of their Immediate Family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family trusts (or similar entities) controlled by or benefiting individuals subject to this Policy.</w:t>
      </w:r>
    </w:p>
    <w:p>
      <w:pPr>
        <w:spacing w:after="0" w:line="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9.10</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D&amp;O. </w:t>
      </w:r>
      <w:r>
        <w:rPr>
          <w:rFonts w:ascii="Times New Roman" w:cs="Times New Roman" w:eastAsia="Times New Roman" w:hAnsi="Times New Roman"/>
          <w:sz w:val="17"/>
          <w:szCs w:val="17"/>
          <w:color w:val="auto"/>
        </w:rPr>
        <w:t>All members of the Board of Directors, executive officers and the Chief Accounting Officer.</w:t>
      </w:r>
    </w:p>
    <w:p>
      <w:pPr>
        <w:spacing w:after="0" w:line="158" w:lineRule="exact"/>
        <w:rPr>
          <w:sz w:val="20"/>
          <w:szCs w:val="20"/>
          <w:color w:val="auto"/>
        </w:rPr>
      </w:pPr>
    </w:p>
    <w:p>
      <w:pPr>
        <w:jc w:val="both"/>
        <w:ind w:left="1280" w:hanging="647"/>
        <w:spacing w:after="0" w:line="262" w:lineRule="auto"/>
        <w:tabs>
          <w:tab w:leader="none" w:pos="1260" w:val="left"/>
        </w:tabs>
        <w:rPr>
          <w:sz w:val="20"/>
          <w:szCs w:val="20"/>
          <w:color w:val="auto"/>
        </w:rPr>
      </w:pPr>
      <w:r>
        <w:rPr>
          <w:rFonts w:ascii="Times New Roman" w:cs="Times New Roman" w:eastAsia="Times New Roman" w:hAnsi="Times New Roman"/>
          <w:sz w:val="18"/>
          <w:szCs w:val="18"/>
          <w:b w:val="1"/>
          <w:bCs w:val="1"/>
          <w:color w:val="auto"/>
        </w:rPr>
        <w:t>9.11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D&amp;O Cooling-Off Period. </w:t>
      </w:r>
      <w:r>
        <w:rPr>
          <w:rFonts w:ascii="Times New Roman" w:cs="Times New Roman" w:eastAsia="Times New Roman" w:hAnsi="Times New Roman"/>
          <w:sz w:val="18"/>
          <w:szCs w:val="18"/>
          <w:color w:val="auto"/>
        </w:rPr>
        <w:t>A period not shorter than the later of (i) 90 days after adoption of the 10b5-1 Trading Plan or (ii) two business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days after the filing by the Company of a 10-Q or 10-K (not including the day of filing; e.g. if a 10-K is filed on Monday the first sale could occur no earlier than Thursday, assuming no federal holidays), but in no event longer than 120 days after the adoption or modification of such 10b5-1 Trading Plan.</w:t>
      </w:r>
    </w:p>
    <w:p>
      <w:pPr>
        <w:spacing w:after="0" w:line="11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9.12</w:t>
      </w:r>
      <w:r>
        <w:rPr>
          <w:sz w:val="20"/>
          <w:szCs w:val="20"/>
          <w:color w:val="auto"/>
        </w:rPr>
        <w:tab/>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Securities Exchange Act of 1934, as amended.</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9.13</w:t>
      </w:r>
      <w:r>
        <w:rPr>
          <w:sz w:val="20"/>
          <w:szCs w:val="20"/>
          <w:color w:val="auto"/>
        </w:rPr>
        <w:tab/>
      </w:r>
      <w:r>
        <w:rPr>
          <w:rFonts w:ascii="Times New Roman" w:cs="Times New Roman" w:eastAsia="Times New Roman" w:hAnsi="Times New Roman"/>
          <w:sz w:val="17"/>
          <w:szCs w:val="17"/>
          <w:b w:val="1"/>
          <w:bCs w:val="1"/>
          <w:u w:val="single" w:color="auto"/>
          <w:color w:val="auto"/>
        </w:rPr>
        <w:t>ESPP</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Company’s Employee Stock Purchase Plan, as amended from time to time.</w:t>
      </w:r>
    </w:p>
    <w:p>
      <w:pPr>
        <w:spacing w:after="0" w:line="19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Guidance. </w:t>
      </w:r>
      <w:r>
        <w:rPr>
          <w:rFonts w:ascii="Times New Roman" w:cs="Times New Roman" w:eastAsia="Times New Roman" w:hAnsi="Times New Roman"/>
          <w:sz w:val="17"/>
          <w:szCs w:val="17"/>
          <w:color w:val="auto"/>
        </w:rPr>
        <w:t>Guidance as to the Company’s expected future financial performance.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9.15 </w:t>
      </w:r>
      <w:r>
        <w:rPr>
          <w:rFonts w:ascii="Times New Roman" w:cs="Times New Roman" w:eastAsia="Times New Roman" w:hAnsi="Times New Roman"/>
          <w:sz w:val="18"/>
          <w:szCs w:val="18"/>
          <w:b w:val="1"/>
          <w:bCs w:val="1"/>
          <w:u w:val="single" w:color="auto"/>
          <w:color w:val="auto"/>
        </w:rPr>
        <w:t>Immediate Family.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persons are considered members of a Covered Person’s “Immediate Family”: the Covered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spouse, parents, children, and siblings, including any such relationship that arises through marriage or by adoption. A Covered Person’s “Immediate Family” also includes anyone else who lives in the Covered Person’s household, whether or not they are related to the Covered Person, and any family members who do not live in the Covered Person’s household but whose transactions in Company securities are directed by the Covered Person or are subject to the Covered Person’s influence and control (such as parents or children who consult with the Covered Person before they buy or sell Company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The applicable Covered Person is responsible for ensuring that these other individuals and entities comply with this Policy.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9.16</w:t>
      </w:r>
      <w:r>
        <w:rPr>
          <w:sz w:val="20"/>
          <w:szCs w:val="20"/>
          <w:color w:val="auto"/>
        </w:rPr>
        <w:tab/>
      </w:r>
      <w:r>
        <w:rPr>
          <w:rFonts w:ascii="Times New Roman" w:cs="Times New Roman" w:eastAsia="Times New Roman" w:hAnsi="Times New Roman"/>
          <w:sz w:val="17"/>
          <w:szCs w:val="17"/>
          <w:b w:val="1"/>
          <w:bCs w:val="1"/>
          <w:u w:val="single" w:color="auto"/>
          <w:color w:val="auto"/>
        </w:rPr>
        <w:t>Insider Trading</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color w:val="auto"/>
        </w:rPr>
        <w:t>The purchase or sale of a company’s securities by persons who possess Material, Nonpublic Information.</w:t>
      </w:r>
    </w:p>
    <w:p>
      <w:pPr>
        <w:spacing w:after="0" w:line="173"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8"/>
          <w:szCs w:val="18"/>
          <w:b w:val="1"/>
          <w:bCs w:val="1"/>
          <w:color w:val="auto"/>
        </w:rPr>
        <w:t xml:space="preserve">9.17 </w:t>
      </w:r>
      <w:r>
        <w:rPr>
          <w:rFonts w:ascii="Times New Roman" w:cs="Times New Roman" w:eastAsia="Times New Roman" w:hAnsi="Times New Roman"/>
          <w:sz w:val="18"/>
          <w:szCs w:val="18"/>
          <w:b w:val="1"/>
          <w:bCs w:val="1"/>
          <w:u w:val="single" w:color="auto"/>
          <w:color w:val="auto"/>
        </w:rPr>
        <w:t>Investor Relations Spokespeople</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Persons in the Company’s Investor Relations department who are authorized to speak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CFO.</w:t>
      </w:r>
    </w:p>
    <w:p>
      <w:pPr>
        <w:spacing w:after="0" w:line="1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9.18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Legal Department. </w:t>
      </w:r>
      <w:r>
        <w:rPr>
          <w:rFonts w:ascii="Times New Roman" w:cs="Times New Roman" w:eastAsia="Times New Roman" w:hAnsi="Times New Roman"/>
          <w:sz w:val="17"/>
          <w:szCs w:val="17"/>
          <w:color w:val="auto"/>
        </w:rPr>
        <w:t>The Company’s legal department.</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9.19 </w:t>
      </w:r>
      <w:r>
        <w:rPr>
          <w:rFonts w:ascii="Times New Roman" w:cs="Times New Roman" w:eastAsia="Times New Roman" w:hAnsi="Times New Roman"/>
          <w:sz w:val="18"/>
          <w:szCs w:val="18"/>
          <w:b w:val="1"/>
          <w:bCs w:val="1"/>
          <w:u w:val="single" w:color="auto"/>
          <w:color w:val="auto"/>
        </w:rPr>
        <w:t>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Nonpublic Information is Material information concerning the Company or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has not been previously disclosed to the general public through</w:t>
      </w:r>
    </w:p>
    <w:p>
      <w:pPr>
        <w:sectPr>
          <w:pgSz w:w="11900" w:h="16838" w:orient="portrait"/>
          <w:cols w:equalWidth="0" w:num="1">
            <w:col w:w="11240"/>
          </w:cols>
          <w:pgMar w:left="320" w:top="894"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color w:val="auto"/>
        </w:rPr>
        <w:t>press releases, live webcasts, SEC filings or furnished to the SEC and is otherwise not available to the general public.</w:t>
      </w:r>
    </w:p>
    <w:p>
      <w:pPr>
        <w:spacing w:after="0" w:line="140"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9.19.1 </w:t>
      </w:r>
      <w:r>
        <w:rPr>
          <w:rFonts w:ascii="Times New Roman" w:cs="Times New Roman" w:eastAsia="Times New Roman" w:hAnsi="Times New Roman"/>
          <w:sz w:val="18"/>
          <w:szCs w:val="18"/>
          <w:b w:val="1"/>
          <w:bCs w:val="1"/>
          <w:u w:val="single" w:color="auto"/>
          <w:color w:val="auto"/>
        </w:rPr>
        <w:t>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(positive or negative) is “Material” if there is a substantial likelihood that a reasonable investor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it important in deciding whether to buy or sell a company’s securities. In making a determination as to whether information is “Material”, Covered Persons should consider whether the information would significantly alter the total mix of information available to an investor considering trading in company stock. Any information that could reasonably be expected to affect the price of the security is Material. Examples of categories of information that may be considered Material include:</w:t>
      </w:r>
    </w:p>
    <w:p>
      <w:pPr>
        <w:spacing w:after="0" w:line="116" w:lineRule="exact"/>
        <w:rPr>
          <w:sz w:val="20"/>
          <w:szCs w:val="20"/>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results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regarding a major product or program</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significant technology or new products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licensing deals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information about a partner or other third party with whom we do business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or patent-related events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restatements of financial results or significant impairments, write-offs or changes in reserves</w:t>
      </w:r>
    </w:p>
    <w:p>
      <w:pPr>
        <w:spacing w:after="0" w:line="117" w:lineRule="exact"/>
        <w:rPr>
          <w:rFonts w:ascii="Times New Roman" w:cs="Times New Roman" w:eastAsia="Times New Roman" w:hAnsi="Times New Roman"/>
          <w:sz w:val="18"/>
          <w:szCs w:val="18"/>
          <w:color w:val="auto"/>
        </w:rPr>
      </w:pPr>
    </w:p>
    <w:p>
      <w:pPr>
        <w:ind w:left="1200" w:right="80" w:hanging="328"/>
        <w:spacing w:after="0" w:line="312" w:lineRule="auto"/>
        <w:tabs>
          <w:tab w:leader="none" w:pos="119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cybersecurity incidents, such as a data breach, or any other significant disruption in the Company’s operations or loss, potential loss, breach, or unauthorized access of its property or assets, whether at its facilities or through its information technology infrastructure</w:t>
      </w:r>
    </w:p>
    <w:p>
      <w:pPr>
        <w:spacing w:after="0" w:line="31" w:lineRule="exact"/>
        <w:rPr>
          <w:rFonts w:ascii="Times New Roman" w:cs="Times New Roman" w:eastAsia="Times New Roman" w:hAnsi="Times New Roman"/>
          <w:sz w:val="17"/>
          <w:szCs w:val="17"/>
          <w:color w:val="auto"/>
        </w:rPr>
      </w:pPr>
    </w:p>
    <w:p>
      <w:pPr>
        <w:ind w:left="1200" w:right="40" w:hanging="328"/>
        <w:spacing w:after="0" w:line="282" w:lineRule="auto"/>
        <w:tabs>
          <w:tab w:leader="none" w:pos="11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 failure to obtain regulatory approval, or significant change in existing regulatory approval for products, new formulations of products, or devices to administer products</w:t>
      </w:r>
    </w:p>
    <w:p>
      <w:pPr>
        <w:spacing w:after="0" w:line="53"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 changes that may affect prescribing behavior</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decisions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merger, acquisition, tender offer, or other significant transaction</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or sale of additional securities</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top management</w:t>
      </w:r>
    </w:p>
    <w:p>
      <w:pPr>
        <w:spacing w:after="0" w:line="11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substantial customer or supplier</w:t>
      </w:r>
    </w:p>
    <w:p>
      <w:pPr>
        <w:spacing w:after="0" w:line="117" w:lineRule="exact"/>
        <w:rPr>
          <w:rFonts w:ascii="Times New Roman" w:cs="Times New Roman" w:eastAsia="Times New Roman" w:hAnsi="Times New Roman"/>
          <w:sz w:val="18"/>
          <w:szCs w:val="18"/>
          <w:color w:val="auto"/>
        </w:rPr>
      </w:pPr>
    </w:p>
    <w:p>
      <w:pPr>
        <w:ind w:left="1200" w:right="780" w:hanging="328"/>
        <w:spacing w:after="0" w:line="282" w:lineRule="auto"/>
        <w:tabs>
          <w:tab w:leader="none" w:pos="11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a product that may result in significant financial consequences for the Company or involve serious product safety, manufacturing, or supply issues</w:t>
      </w:r>
    </w:p>
    <w:p>
      <w:pPr>
        <w:spacing w:after="0" w:line="5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9.19.2 </w:t>
      </w:r>
      <w:r>
        <w:rPr>
          <w:rFonts w:ascii="Times New Roman" w:cs="Times New Roman" w:eastAsia="Times New Roman" w:hAnsi="Times New Roman"/>
          <w:sz w:val="18"/>
          <w:szCs w:val="18"/>
          <w:b w:val="1"/>
          <w:bCs w:val="1"/>
          <w:u w:val="single" w:color="auto"/>
          <w:color w:val="auto"/>
        </w:rPr>
        <w:t>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Nonpublic Information is information that is not generally known or available to the public.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generally discloses information to the public either via press releases, live webcasts, or in its SEC filings. Information is considered “public” only after it has been publicly available through press releases, live webcasts, SEC filings or furnished to the SEC, or otherwise, for at least 24 hours.</w:t>
      </w:r>
    </w:p>
    <w:p>
      <w:pPr>
        <w:spacing w:after="0" w:line="1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9.20</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Nasdaq. </w:t>
      </w:r>
      <w:r>
        <w:rPr>
          <w:rFonts w:ascii="Times New Roman" w:cs="Times New Roman" w:eastAsia="Times New Roman" w:hAnsi="Times New Roman"/>
          <w:sz w:val="17"/>
          <w:szCs w:val="17"/>
          <w:color w:val="auto"/>
        </w:rPr>
        <w:t>The National Association of Securities Dealers Automated Quotation System.</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9.21</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Other Company. </w:t>
      </w:r>
      <w:r>
        <w:rPr>
          <w:rFonts w:ascii="Times New Roman" w:cs="Times New Roman" w:eastAsia="Times New Roman" w:hAnsi="Times New Roman"/>
          <w:sz w:val="17"/>
          <w:szCs w:val="17"/>
          <w:color w:val="auto"/>
        </w:rPr>
        <w:t>Any other public company with which the Company does business.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9.22 </w:t>
      </w:r>
      <w:r>
        <w:rPr>
          <w:rFonts w:ascii="Times New Roman" w:cs="Times New Roman" w:eastAsia="Times New Roman" w:hAnsi="Times New Roman"/>
          <w:sz w:val="18"/>
          <w:szCs w:val="18"/>
          <w:b w:val="1"/>
          <w:bCs w:val="1"/>
          <w:u w:val="single" w:color="auto"/>
          <w:color w:val="auto"/>
        </w:rPr>
        <w:t>Regulation FD.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Fair Disclosure of the Exchange Act prohibits the Selective Disclosure of Material, Nonpublic Information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specified persons, including: (a) broker/dealers and persons associated with them, including investment analysts, (b) investment advisors, certain institutional investment managers, and their associated staff, (c) investment companies, hedge funds, and affiliated persons, and (d) any</w:t>
      </w:r>
    </w:p>
    <w:p>
      <w:pPr>
        <w:sectPr>
          <w:pgSz w:w="11900" w:h="16838" w:orient="portrait"/>
          <w:cols w:equalWidth="0" w:num="1">
            <w:col w:w="11240"/>
          </w:cols>
          <w:pgMar w:left="320" w:top="904" w:right="339" w:bottom="1440" w:gutter="0" w:footer="0" w:header="0"/>
        </w:sectPr>
      </w:pPr>
    </w:p>
    <w:bookmarkStart w:id="199" w:name="page200"/>
    <w:bookmarkEnd w:id="199"/>
    <w:p>
      <w:pPr>
        <w:jc w:val="both"/>
        <w:spacing w:after="0" w:line="282" w:lineRule="auto"/>
        <w:rPr>
          <w:sz w:val="20"/>
          <w:szCs w:val="20"/>
          <w:color w:val="auto"/>
        </w:rPr>
      </w:pPr>
      <w:r>
        <w:rPr>
          <w:rFonts w:ascii="Times New Roman" w:cs="Times New Roman" w:eastAsia="Times New Roman" w:hAnsi="Times New Roman"/>
          <w:sz w:val="18"/>
          <w:szCs w:val="18"/>
          <w:color w:val="auto"/>
        </w:rPr>
        <w:t>security holder of the Company, including employees, under circumstances in which it is reasonably foreseeable that the security holder would purchase or sell securities on the basis of the information.</w:t>
      </w:r>
    </w:p>
    <w:p>
      <w:pPr>
        <w:spacing w:after="0" w:line="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9.23</w:t>
      </w:r>
      <w:r>
        <w:rPr>
          <w:sz w:val="20"/>
          <w:szCs w:val="20"/>
          <w:color w:val="auto"/>
        </w:rPr>
        <w:tab/>
      </w:r>
      <w:r>
        <w:rPr>
          <w:rFonts w:ascii="Times New Roman" w:cs="Times New Roman" w:eastAsia="Times New Roman" w:hAnsi="Times New Roman"/>
          <w:sz w:val="17"/>
          <w:szCs w:val="17"/>
          <w:b w:val="1"/>
          <w:bCs w:val="1"/>
          <w:u w:val="single" w:color="auto"/>
          <w:color w:val="auto"/>
        </w:rPr>
        <w:t>Rule 10b5-1</w:t>
      </w:r>
      <w:r>
        <w:rPr>
          <w:rFonts w:ascii="Times New Roman" w:cs="Times New Roman" w:eastAsia="Times New Roman" w:hAnsi="Times New Roman"/>
          <w:sz w:val="17"/>
          <w:szCs w:val="17"/>
          <w:color w:val="auto"/>
        </w:rPr>
        <w:t>. SEC Rule 10b5-1, promulgated under the Securities Exchange Act of 1934, amended.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9.24</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SEC. </w:t>
      </w:r>
      <w:r>
        <w:rPr>
          <w:rFonts w:ascii="Times New Roman" w:cs="Times New Roman" w:eastAsia="Times New Roman" w:hAnsi="Times New Roman"/>
          <w:sz w:val="17"/>
          <w:szCs w:val="17"/>
          <w:color w:val="auto"/>
        </w:rPr>
        <w:t>The U.S. Securities and Exchange Commission.</w:t>
      </w:r>
    </w:p>
    <w:p>
      <w:pPr>
        <w:spacing w:after="0" w:line="158" w:lineRule="exact"/>
        <w:rPr>
          <w:sz w:val="20"/>
          <w:szCs w:val="20"/>
          <w:color w:val="auto"/>
        </w:rPr>
      </w:pPr>
    </w:p>
    <w:p>
      <w:pPr>
        <w:ind w:left="130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9.25</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Securities. </w:t>
      </w:r>
      <w:r>
        <w:rPr>
          <w:rFonts w:ascii="Times New Roman" w:cs="Times New Roman" w:eastAsia="Times New Roman" w:hAnsi="Times New Roman"/>
          <w:sz w:val="18"/>
          <w:szCs w:val="18"/>
          <w:color w:val="auto"/>
        </w:rPr>
        <w:t>Any stock, preferred stock, bonds, debentures, notes, or other debt securities, options, warrants, or other derivative or</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financial instrument issued by or based upon the performance of a company.</w:t>
      </w:r>
    </w:p>
    <w:p>
      <w:pPr>
        <w:spacing w:after="0" w:line="7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9.26 </w:t>
      </w:r>
      <w:r>
        <w:rPr>
          <w:rFonts w:ascii="Times New Roman" w:cs="Times New Roman" w:eastAsia="Times New Roman" w:hAnsi="Times New Roman"/>
          <w:sz w:val="18"/>
          <w:szCs w:val="18"/>
          <w:b w:val="1"/>
          <w:bCs w:val="1"/>
          <w:u w:val="single" w:color="auto"/>
          <w:color w:val="auto"/>
        </w:rPr>
        <w:t>Selective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disclosure of Material, Nonpublic Information concerning the Company or any Other Company that does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comply with the requirements of Regulation FD.</w:t>
      </w:r>
    </w:p>
    <w:p>
      <w:pPr>
        <w:spacing w:after="0" w:line="8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9.27 </w:t>
      </w:r>
      <w:r>
        <w:rPr>
          <w:rFonts w:ascii="Times New Roman" w:cs="Times New Roman" w:eastAsia="Times New Roman" w:hAnsi="Times New Roman"/>
          <w:sz w:val="18"/>
          <w:szCs w:val="18"/>
          <w:b w:val="1"/>
          <w:bCs w:val="1"/>
          <w:u w:val="single" w:color="auto"/>
          <w:color w:val="auto"/>
        </w:rPr>
        <w:t>Special Blackout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certain period of time designated by the Company during which certain Covered Persons have been notified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because they possess certain Material, Nonpublic Information they may not (a) create or amend a 10b5-1 Trading Plan, (b) purchase, sell or gift Company securities even though the Trading Window may otherwise be open, or (c) make an election or change to contribution elections under the ESPP.</w:t>
      </w:r>
    </w:p>
    <w:p>
      <w:pPr>
        <w:spacing w:after="0" w:line="1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9.28</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Trading Day. </w:t>
      </w:r>
      <w:r>
        <w:rPr>
          <w:rFonts w:ascii="Times New Roman" w:cs="Times New Roman" w:eastAsia="Times New Roman" w:hAnsi="Times New Roman"/>
          <w:sz w:val="17"/>
          <w:szCs w:val="17"/>
          <w:color w:val="auto"/>
        </w:rPr>
        <w:t>A business day on which national stock exchanges and the Nasdaq Stock Market are open for business.</w:t>
      </w:r>
    </w:p>
    <w:p>
      <w:pPr>
        <w:spacing w:after="0" w:line="229" w:lineRule="exact"/>
        <w:rPr>
          <w:sz w:val="20"/>
          <w:szCs w:val="20"/>
          <w:color w:val="auto"/>
        </w:rPr>
      </w:pPr>
    </w:p>
    <w:p>
      <w:pPr>
        <w:jc w:val="both"/>
        <w:ind w:right="20" w:firstLine="648"/>
        <w:spacing w:after="0" w:line="288" w:lineRule="auto"/>
        <w:rPr>
          <w:sz w:val="20"/>
          <w:szCs w:val="20"/>
          <w:color w:val="auto"/>
        </w:rPr>
      </w:pPr>
      <w:r>
        <w:rPr>
          <w:rFonts w:ascii="Times New Roman" w:cs="Times New Roman" w:eastAsia="Times New Roman" w:hAnsi="Times New Roman"/>
          <w:sz w:val="18"/>
          <w:szCs w:val="18"/>
          <w:b w:val="1"/>
          <w:bCs w:val="1"/>
          <w:color w:val="auto"/>
        </w:rPr>
        <w:t xml:space="preserve">9.29 </w:t>
      </w:r>
      <w:r>
        <w:rPr>
          <w:rFonts w:ascii="Times New Roman" w:cs="Times New Roman" w:eastAsia="Times New Roman" w:hAnsi="Times New Roman"/>
          <w:sz w:val="18"/>
          <w:szCs w:val="18"/>
          <w:b w:val="1"/>
          <w:bCs w:val="1"/>
          <w:u w:val="single" w:color="auto"/>
          <w:color w:val="auto"/>
        </w:rPr>
        <w:t>Trading Window</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period of time during which the Company permits Covered Persons to purchase, gift or sell Company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enter into or amend 10b5-1 Trading Plans. See Section 6.2 of this Policy.</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9.30</w:t>
      </w:r>
      <w:r>
        <w:rPr>
          <w:sz w:val="20"/>
          <w:szCs w:val="20"/>
          <w:color w:val="auto"/>
        </w:rPr>
        <w:tab/>
      </w:r>
      <w:r>
        <w:rPr>
          <w:rFonts w:ascii="Times New Roman" w:cs="Times New Roman" w:eastAsia="Times New Roman" w:hAnsi="Times New Roman"/>
          <w:sz w:val="17"/>
          <w:szCs w:val="17"/>
          <w:b w:val="1"/>
          <w:bCs w:val="1"/>
          <w:u w:val="single" w:color="auto"/>
          <w:color w:val="auto"/>
        </w:rPr>
        <w:t xml:space="preserve">U.S. </w:t>
      </w:r>
      <w:r>
        <w:rPr>
          <w:rFonts w:ascii="Times New Roman" w:cs="Times New Roman" w:eastAsia="Times New Roman" w:hAnsi="Times New Roman"/>
          <w:sz w:val="17"/>
          <w:szCs w:val="17"/>
          <w:color w:val="auto"/>
        </w:rPr>
        <w:t>The United States.</w:t>
      </w:r>
    </w:p>
    <w:p>
      <w:pPr>
        <w:spacing w:after="0" w:line="2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5"/>
          <w:szCs w:val="25"/>
          <w:b w:val="1"/>
          <w:bCs w:val="1"/>
          <w:color w:val="auto"/>
        </w:rPr>
        <w:t>10.0</w:t>
        <w:tab/>
        <w:t>Questions</w:t>
      </w:r>
    </w:p>
    <w:p>
      <w:pPr>
        <w:spacing w:after="0" w:line="23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7"/>
          <w:szCs w:val="17"/>
          <w:color w:val="auto"/>
        </w:rPr>
        <w:t>Please direct questions as to any of the matters discussed in this Policy to the Company’s Chief Corporation Counsel.</w:t>
      </w:r>
    </w:p>
    <w:p>
      <w:pPr>
        <w:sectPr>
          <w:pgSz w:w="11900" w:h="16838" w:orient="portrait"/>
          <w:cols w:equalWidth="0" w:num="1">
            <w:col w:w="11240"/>
          </w:cols>
          <w:pgMar w:left="320" w:top="904"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color w:val="auto"/>
        </w:rPr>
        <w:t>Attachment 1 - 10b5-1 Trading Plan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40575" cy="13544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8">
                      <a:extLst>
                        <a:ext uri="{28A0092B-C50C-407E-A947-70E740481C1C}"/>
                      </a:extLst>
                    </a:blip>
                    <a:srcRect/>
                    <a:stretch>
                      <a:fillRect/>
                    </a:stretch>
                  </pic:blipFill>
                  <pic:spPr bwMode="auto">
                    <a:xfrm>
                      <a:off x="0" y="0"/>
                      <a:ext cx="7140575" cy="13544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364"/>
        </w:trPr>
        <w:tc>
          <w:tcPr>
            <w:tcW w:w="80" w:type="dxa"/>
            <w:vAlign w:val="bottom"/>
            <w:shd w:val="clear" w:color="auto" w:fill="D9D9D9"/>
          </w:tcPr>
          <w:p>
            <w:pPr>
              <w:spacing w:after="0"/>
              <w:rPr>
                <w:sz w:val="24"/>
                <w:szCs w:val="24"/>
                <w:color w:val="auto"/>
              </w:rPr>
            </w:pPr>
          </w:p>
        </w:tc>
        <w:tc>
          <w:tcPr>
            <w:tcW w:w="398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To Set Up 10b5-1 Trading Plan</w:t>
            </w:r>
          </w:p>
        </w:tc>
        <w:tc>
          <w:tcPr>
            <w:tcW w:w="7180" w:type="dxa"/>
            <w:vAlign w:val="bottom"/>
            <w:shd w:val="clear" w:color="auto" w:fill="D9D9D9"/>
          </w:tcPr>
          <w:p>
            <w:pPr>
              <w:ind w:left="1600"/>
              <w:spacing w:after="0"/>
              <w:rPr>
                <w:sz w:val="20"/>
                <w:szCs w:val="20"/>
                <w:color w:val="auto"/>
              </w:rPr>
            </w:pPr>
            <w:r>
              <w:rPr>
                <w:rFonts w:ascii="Times New Roman" w:cs="Times New Roman" w:eastAsia="Times New Roman" w:hAnsi="Times New Roman"/>
                <w:sz w:val="18"/>
                <w:szCs w:val="18"/>
                <w:b w:val="1"/>
                <w:bCs w:val="1"/>
                <w:color w:val="auto"/>
              </w:rPr>
              <w:t>Questions for the Legal Department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 w:type="dxa"/>
            <w:vAlign w:val="bottom"/>
            <w:tcBorders>
              <w:bottom w:val="single" w:sz="8" w:color="auto"/>
            </w:tcBorders>
            <w:shd w:val="clear" w:color="auto" w:fill="D9D9D9"/>
          </w:tcPr>
          <w:p>
            <w:pPr>
              <w:spacing w:after="0"/>
              <w:rPr>
                <w:sz w:val="11"/>
                <w:szCs w:val="11"/>
                <w:color w:val="auto"/>
              </w:rPr>
            </w:pPr>
          </w:p>
        </w:tc>
        <w:tc>
          <w:tcPr>
            <w:tcW w:w="500" w:type="dxa"/>
            <w:vAlign w:val="bottom"/>
            <w:tcBorders>
              <w:bottom w:val="single" w:sz="8" w:color="auto"/>
            </w:tcBorders>
            <w:shd w:val="clear" w:color="auto" w:fill="D9D9D9"/>
          </w:tcPr>
          <w:p>
            <w:pPr>
              <w:spacing w:after="0"/>
              <w:rPr>
                <w:sz w:val="11"/>
                <w:szCs w:val="11"/>
                <w:color w:val="auto"/>
              </w:rPr>
            </w:pPr>
          </w:p>
        </w:tc>
        <w:tc>
          <w:tcPr>
            <w:tcW w:w="3480" w:type="dxa"/>
            <w:vAlign w:val="bottom"/>
            <w:tcBorders>
              <w:bottom w:val="single" w:sz="8" w:color="auto"/>
            </w:tcBorders>
            <w:shd w:val="clear" w:color="auto" w:fill="D9D9D9"/>
          </w:tcPr>
          <w:p>
            <w:pPr>
              <w:spacing w:after="0"/>
              <w:rPr>
                <w:sz w:val="11"/>
                <w:szCs w:val="11"/>
                <w:color w:val="auto"/>
              </w:rPr>
            </w:pPr>
          </w:p>
        </w:tc>
        <w:tc>
          <w:tcPr>
            <w:tcW w:w="7180" w:type="dxa"/>
            <w:vAlign w:val="bottom"/>
            <w:tcBorders>
              <w:bottom w:val="single" w:sz="8" w:color="auto"/>
            </w:tcBorders>
            <w:shd w:val="clear" w:color="auto" w:fill="D9D9D9"/>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Fidelity</w:t>
            </w:r>
          </w:p>
        </w:tc>
        <w:tc>
          <w:tcPr>
            <w:tcW w:w="718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3980" w:type="dxa"/>
            <w:vAlign w:val="bottom"/>
            <w:gridSpan w:val="2"/>
            <w:vMerge w:val="continue"/>
          </w:tcPr>
          <w:p>
            <w:pPr>
              <w:spacing w:after="0"/>
              <w:rPr>
                <w:sz w:val="9"/>
                <w:szCs w:val="9"/>
                <w:color w:val="auto"/>
              </w:rPr>
            </w:pPr>
          </w:p>
        </w:tc>
        <w:tc>
          <w:tcPr>
            <w:tcW w:w="718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Phone:</w:t>
            </w:r>
          </w:p>
        </w:tc>
        <w:tc>
          <w:tcPr>
            <w:tcW w:w="7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80" w:type="dxa"/>
            <w:vAlign w:val="bottom"/>
            <w:gridSpan w:val="2"/>
            <w:vMerge w:val="continue"/>
          </w:tcPr>
          <w:p>
            <w:pPr>
              <w:spacing w:after="0"/>
              <w:rPr>
                <w:sz w:val="5"/>
                <w:szCs w:val="5"/>
                <w:color w:val="auto"/>
              </w:rPr>
            </w:pPr>
          </w:p>
        </w:tc>
        <w:tc>
          <w:tcPr>
            <w:tcW w:w="71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(800) 823-0217</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Email:</w:t>
      </w:r>
    </w:p>
    <w:p>
      <w:pPr>
        <w:spacing w:after="0" w:line="27" w:lineRule="exact"/>
        <w:rPr>
          <w:sz w:val="20"/>
          <w:szCs w:val="20"/>
          <w:color w:val="auto"/>
        </w:rPr>
      </w:pPr>
    </w:p>
    <w:p>
      <w:pPr>
        <w:ind w:left="200" w:hanging="111"/>
        <w:spacing w:after="0"/>
        <w:tabs>
          <w:tab w:leader="none" w:pos="200" w:val="left"/>
        </w:tabs>
        <w:numPr>
          <w:ilvl w:val="0"/>
          <w:numId w:val="13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22"/>
          <w:szCs w:val="22"/>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Procedures for Establishing a 10b5-1 Trading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6" w:lineRule="exact"/>
        <w:rPr>
          <w:sz w:val="20"/>
          <w:szCs w:val="20"/>
          <w:color w:val="auto"/>
        </w:rPr>
      </w:pPr>
    </w:p>
    <w:p>
      <w:pPr>
        <w:jc w:val="both"/>
        <w:ind w:left="660" w:right="20" w:hanging="652"/>
        <w:spacing w:after="0" w:line="257" w:lineRule="auto"/>
        <w:tabs>
          <w:tab w:leader="none" w:pos="657" w:val="left"/>
        </w:tabs>
        <w:numPr>
          <w:ilvl w:val="0"/>
          <w:numId w:val="131"/>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Contact a broker.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Biogen has worked with Fidelity (the administrator of Biogen’s equity plans) to create a form of 10b5-1 Trading Plan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meets the requirements of this Policy and there is some benefit in working with Fidelity if a Covered Person intends to include Biogen equity plan awards or shares to be purchased under the Biogen ESPP in their 10b5-1 Trading Plan. Covered Persons should contact Fidelity if they would like to use Fidelity as their broker. Other brokerage firms may also be able to provide Covered Persons with assistance in establishing a 10b5-1 Trading Plan. If you choose to use a broker other than Fidelity, the Covered Person should work with such other broker to follow the procedures and requirements described in these guidelines and this Policy.</w:t>
      </w:r>
    </w:p>
    <w:p>
      <w:pPr>
        <w:spacing w:after="0" w:line="111" w:lineRule="exact"/>
        <w:rPr>
          <w:rFonts w:ascii="Courier New" w:cs="Courier New" w:eastAsia="Courier New" w:hAnsi="Courier New"/>
          <w:sz w:val="18"/>
          <w:szCs w:val="18"/>
          <w:color w:val="auto"/>
        </w:rPr>
      </w:pPr>
    </w:p>
    <w:p>
      <w:pPr>
        <w:ind w:left="660" w:right="20" w:hanging="652"/>
        <w:spacing w:after="0" w:line="284" w:lineRule="auto"/>
        <w:tabs>
          <w:tab w:leader="none" w:pos="657" w:val="left"/>
        </w:tabs>
        <w:numPr>
          <w:ilvl w:val="0"/>
          <w:numId w:val="131"/>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Develop a 10b5-1 Trading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Once a Covered Person has contacted Fidelity, the Covered Person should work with Fidelity to establish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10b5-1 Trading Plan that meets the Covered Person’s needs and fulfills the requirements and criteria set forth in this Policy.</w:t>
      </w:r>
    </w:p>
    <w:p>
      <w:pPr>
        <w:spacing w:after="0" w:line="72" w:lineRule="exact"/>
        <w:rPr>
          <w:rFonts w:ascii="Courier New" w:cs="Courier New" w:eastAsia="Courier New" w:hAnsi="Courier New"/>
          <w:sz w:val="18"/>
          <w:szCs w:val="18"/>
          <w:color w:val="auto"/>
        </w:rPr>
      </w:pPr>
    </w:p>
    <w:p>
      <w:pPr>
        <w:jc w:val="both"/>
        <w:ind w:left="660" w:right="20" w:hanging="652"/>
        <w:spacing w:after="0" w:line="284" w:lineRule="auto"/>
        <w:tabs>
          <w:tab w:leader="none" w:pos="657" w:val="left"/>
        </w:tabs>
        <w:numPr>
          <w:ilvl w:val="0"/>
          <w:numId w:val="131"/>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Trading Schedules.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key parts of the 10b5-1 Trading Plan are the Trading Schedules attached to the 10b5-1 Trading Plan. The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Schedules contain the details of the Covered Person’s planned trades (number of shares to be purchased or sold, desired price, date(s) of sale, etc.).</w:t>
      </w:r>
    </w:p>
    <w:p>
      <w:pPr>
        <w:spacing w:after="0" w:line="88" w:lineRule="exact"/>
        <w:rPr>
          <w:rFonts w:ascii="Courier New" w:cs="Courier New" w:eastAsia="Courier New" w:hAnsi="Courier New"/>
          <w:sz w:val="18"/>
          <w:szCs w:val="18"/>
          <w:color w:val="auto"/>
        </w:rPr>
      </w:pPr>
    </w:p>
    <w:p>
      <w:pPr>
        <w:ind w:left="1300" w:right="20" w:hanging="648"/>
        <w:spacing w:after="0" w:line="27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t>
      </w:r>
      <w:r>
        <w:rPr>
          <w:rFonts w:ascii="Times New Roman" w:cs="Times New Roman" w:eastAsia="Times New Roman" w:hAnsi="Times New Roman"/>
          <w:sz w:val="18"/>
          <w:szCs w:val="18"/>
          <w:color w:val="auto"/>
        </w:rPr>
        <w:t>Fidelity has access to each Covered Persons’ equity award records, and Covered Persons should work directly with Fidelity on their Trading Schedules. To expedite the process, Covered Persons should think about their trading goals prior to calling Fidelity and keep their Trading Schedules simple.</w:t>
      </w:r>
    </w:p>
    <w:p>
      <w:pPr>
        <w:spacing w:after="0" w:line="98" w:lineRule="exact"/>
        <w:rPr>
          <w:rFonts w:ascii="Courier New" w:cs="Courier New" w:eastAsia="Courier New" w:hAnsi="Courier New"/>
          <w:sz w:val="18"/>
          <w:szCs w:val="18"/>
          <w:color w:val="auto"/>
        </w:rPr>
      </w:pPr>
    </w:p>
    <w:p>
      <w:pPr>
        <w:jc w:val="both"/>
        <w:ind w:left="660" w:right="20" w:hanging="652"/>
        <w:spacing w:after="0" w:line="258" w:lineRule="auto"/>
        <w:tabs>
          <w:tab w:leader="none" w:pos="657" w:val="left"/>
        </w:tabs>
        <w:numPr>
          <w:ilvl w:val="0"/>
          <w:numId w:val="131"/>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Execute a written 10b5-1 Trading Plan; Approval by Legal Department and Fidelity.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Once a Covered Person reviews the 10b5-1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and agrees with its content, including the Trading Schedules, the 10b5-1 Trading Plan will need to be signed by both the Covered Person, a representative of the Legal Department and Fidelity, and will need to be reviewed and approved by the Legal Department. It is the Covered Person’s responsibility to seek and obtain approval from the Legal Department of a 10b5-1 Trading Plan and any amendments thereto, prior to implementation.</w:t>
      </w:r>
    </w:p>
    <w:p>
      <w:pPr>
        <w:spacing w:after="0" w:line="99" w:lineRule="exact"/>
        <w:rPr>
          <w:rFonts w:ascii="Courier New" w:cs="Courier New" w:eastAsia="Courier New" w:hAnsi="Courier New"/>
          <w:sz w:val="18"/>
          <w:szCs w:val="18"/>
          <w:color w:val="auto"/>
        </w:rPr>
      </w:pPr>
    </w:p>
    <w:p>
      <w:pPr>
        <w:jc w:val="both"/>
        <w:ind w:left="660" w:right="20" w:hanging="652"/>
        <w:spacing w:after="0" w:line="261" w:lineRule="auto"/>
        <w:tabs>
          <w:tab w:leader="none" w:pos="657" w:val="left"/>
        </w:tabs>
        <w:numPr>
          <w:ilvl w:val="0"/>
          <w:numId w:val="131"/>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File Form 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Covered Person is a D&amp;O, the Covered Person will need to sign and the Covered Person’s broker will need to file a Form 144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simultaneously with the first purchase or sale under the 10b5-1 Trading Plan. The Form 144 should report all purchases or sales expected to take place within the next three (3) months. Additional Forms 144 should be filed by the Covered Person’s broker on a rolling basis simultaneously with the first purchase or sale in each subsequent three-month period.</w:t>
      </w:r>
    </w:p>
    <w:p>
      <w:pPr>
        <w:spacing w:after="0" w:line="109" w:lineRule="exact"/>
        <w:rPr>
          <w:rFonts w:ascii="Courier New" w:cs="Courier New" w:eastAsia="Courier New" w:hAnsi="Courier New"/>
          <w:sz w:val="18"/>
          <w:szCs w:val="18"/>
          <w:color w:val="auto"/>
        </w:rPr>
      </w:pPr>
    </w:p>
    <w:p>
      <w:pPr>
        <w:jc w:val="both"/>
        <w:ind w:left="660" w:right="20" w:hanging="652"/>
        <w:spacing w:after="0" w:line="261" w:lineRule="auto"/>
        <w:tabs>
          <w:tab w:leader="none" w:pos="657" w:val="left"/>
        </w:tabs>
        <w:numPr>
          <w:ilvl w:val="0"/>
          <w:numId w:val="131"/>
        </w:numPr>
        <w:rPr>
          <w:rFonts w:ascii="Courier New" w:cs="Courier New" w:eastAsia="Courier New" w:hAnsi="Courier New"/>
          <w:sz w:val="18"/>
          <w:szCs w:val="18"/>
          <w:color w:val="auto"/>
        </w:rPr>
      </w:pPr>
      <w:r>
        <w:rPr>
          <w:rFonts w:ascii="Times New Roman" w:cs="Times New Roman" w:eastAsia="Times New Roman" w:hAnsi="Times New Roman"/>
          <w:sz w:val="18"/>
          <w:szCs w:val="18"/>
          <w:b w:val="1"/>
          <w:bCs w:val="1"/>
          <w:u w:val="single" w:color="auto"/>
          <w:color w:val="auto"/>
        </w:rPr>
        <w:t>File Form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Covered Person is a member of Trading Group A-I, the Covered Person or the Covered Person’s broker must notify Biogen’s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Department within 24 hours of a purchase, gift or sale under the 10b5-1 Trading Plan so that a Form 4 can be timely prepared and filed with the SEC. The Legal Department will prepare and file the Covered Person’s Form 4, unless the Covered Person elects to have his/her own representative prepare and file the Form 4 on the Covered Person’s behalf.</w:t>
      </w:r>
    </w:p>
    <w:p>
      <w:pPr>
        <w:sectPr>
          <w:pgSz w:w="11900" w:h="16838" w:orient="portrait"/>
          <w:cols w:equalWidth="0" w:num="1">
            <w:col w:w="11260"/>
          </w:cols>
          <w:pgMar w:left="320" w:top="968" w:right="319" w:bottom="1440" w:gutter="0" w:footer="0" w:header="0"/>
        </w:sectPr>
      </w:pPr>
    </w:p>
    <w:bookmarkStart w:id="201" w:name="page202"/>
    <w:bookmarkEnd w:id="201"/>
    <w:p>
      <w:pPr>
        <w:ind w:left="7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10b5-1 Trading Plan Key Requirements and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0" w:lineRule="exact"/>
        <w:rPr>
          <w:sz w:val="20"/>
          <w:szCs w:val="20"/>
          <w:color w:val="auto"/>
        </w:rPr>
      </w:pPr>
    </w:p>
    <w:p>
      <w:pPr>
        <w:jc w:val="both"/>
        <w:ind w:left="332" w:hanging="332"/>
        <w:spacing w:after="0" w:line="264" w:lineRule="auto"/>
        <w:tabs>
          <w:tab w:leader="none" w:pos="329" w:val="left"/>
        </w:tabs>
        <w:numPr>
          <w:ilvl w:val="0"/>
          <w:numId w:val="13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Two key 10b5-1 Trading Plan requirements are as follows: (a) at the time a Covered Person enters into or amends a 10b5-1 Trading Plan, the Covered Person cannot be in possession of Material, Nonpublic Information concerning the Company, and (b) the first trade under a 10b5-1 Trading Plan may not occur until at least 30 days (or the D&amp;O Cooling-off Period for Covered Persons who are D&amp;Os)</w:t>
      </w:r>
    </w:p>
    <w:p>
      <w:pPr>
        <w:spacing w:after="0" w:line="110" w:lineRule="exact"/>
        <w:rPr>
          <w:rFonts w:ascii="Courier New" w:cs="Courier New" w:eastAsia="Courier New" w:hAnsi="Courier New"/>
          <w:sz w:val="18"/>
          <w:szCs w:val="18"/>
          <w:color w:val="auto"/>
        </w:rPr>
      </w:pPr>
    </w:p>
    <w:p>
      <w:pPr>
        <w:jc w:val="both"/>
        <w:ind w:left="332" w:hanging="332"/>
        <w:spacing w:after="0" w:line="264" w:lineRule="auto"/>
        <w:tabs>
          <w:tab w:leader="none" w:pos="329" w:val="left"/>
        </w:tabs>
        <w:numPr>
          <w:ilvl w:val="0"/>
          <w:numId w:val="13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after a Covered Person adopts or amends (excluding modifications that do not change the sales or purchase prices or price ranges, the amount of securities to be sold or purchased, or the timing of transactions under a Rule 10b5-1 plan) a 10b5-1 Trading Plan. Please refer to this Policy for additional requirements for 10b5-1 Trading Plans.</w:t>
      </w:r>
    </w:p>
    <w:p>
      <w:pPr>
        <w:spacing w:after="0" w:line="96" w:lineRule="exact"/>
        <w:rPr>
          <w:rFonts w:ascii="Courier New" w:cs="Courier New" w:eastAsia="Courier New" w:hAnsi="Courier New"/>
          <w:sz w:val="18"/>
          <w:szCs w:val="18"/>
          <w:color w:val="auto"/>
        </w:rPr>
      </w:pPr>
    </w:p>
    <w:p>
      <w:pPr>
        <w:jc w:val="both"/>
        <w:ind w:left="652" w:hanging="652"/>
        <w:spacing w:after="0" w:line="255" w:lineRule="auto"/>
        <w:tabs>
          <w:tab w:leader="none" w:pos="649" w:val="left"/>
        </w:tabs>
        <w:numPr>
          <w:ilvl w:val="0"/>
          <w:numId w:val="13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10b5-1 Trading Plans may include unvested equity awards. Please note that, upon vesting, only Biogen employees will have the option of paying required tax withholdings through the netting of vested shares. The remaining shares would then be delivered to the Covered Person’s account at Fidelity. This “netting” of shares is not subject to Insider Trading laws and, therefore, knowledge of Material, Nonpublic Information on the vesting date will not impact a Covered Person’s ability to take advantage of the netting procedure. As a result, a Covered Person may want to reconsider entering into a 10b5-1 Trading Plan if the primary reason for doing so is to cover the Covered Person’s tax obligations upon vesting of restricted stock and restricted stock units. Members of the Board of Directors who are not Biogen employees may not pay required tax withholdings through the netting of vested shares.</w:t>
      </w:r>
    </w:p>
    <w:p>
      <w:pPr>
        <w:spacing w:after="0" w:line="118" w:lineRule="exact"/>
        <w:rPr>
          <w:rFonts w:ascii="Courier New" w:cs="Courier New" w:eastAsia="Courier New" w:hAnsi="Courier New"/>
          <w:sz w:val="18"/>
          <w:szCs w:val="18"/>
          <w:color w:val="auto"/>
        </w:rPr>
      </w:pPr>
    </w:p>
    <w:p>
      <w:pPr>
        <w:ind w:left="652" w:hanging="652"/>
        <w:spacing w:after="0"/>
        <w:tabs>
          <w:tab w:leader="none" w:pos="652" w:val="left"/>
        </w:tabs>
        <w:numPr>
          <w:ilvl w:val="0"/>
          <w:numId w:val="13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10b5-1 Trading Plans may not include equity awards that a Covered Person has not yet received, e.g., awards not yet granted.</w:t>
      </w:r>
    </w:p>
    <w:p>
      <w:pPr>
        <w:spacing w:after="0" w:line="155" w:lineRule="exact"/>
        <w:rPr>
          <w:rFonts w:ascii="Courier New" w:cs="Courier New" w:eastAsia="Courier New" w:hAnsi="Courier New"/>
          <w:sz w:val="18"/>
          <w:szCs w:val="18"/>
          <w:color w:val="auto"/>
        </w:rPr>
      </w:pPr>
    </w:p>
    <w:p>
      <w:pPr>
        <w:jc w:val="both"/>
        <w:ind w:left="652" w:hanging="652"/>
        <w:spacing w:after="0" w:line="259" w:lineRule="auto"/>
        <w:tabs>
          <w:tab w:leader="none" w:pos="649" w:val="left"/>
        </w:tabs>
        <w:numPr>
          <w:ilvl w:val="0"/>
          <w:numId w:val="13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There may be up to a 3-5 day time lag between the vesting of restricted stock and restricted stock units or the purchase of shares under the ESPP and the delivery of the shares (either gross or net) into a Covered Person’s account at Fidelity. As a result, sales of vested restricted stock, shares purchased under the ESPP, or shares delivered in settlement of restricted stock units may not be completed by Fidelity or your broker for up to 10 days after the vesting date or the ESPP purchase date, as the case may be.</w:t>
      </w:r>
    </w:p>
    <w:p>
      <w:pPr>
        <w:spacing w:after="0" w:line="102" w:lineRule="exact"/>
        <w:rPr>
          <w:rFonts w:ascii="Courier New" w:cs="Courier New" w:eastAsia="Courier New" w:hAnsi="Courier New"/>
          <w:sz w:val="18"/>
          <w:szCs w:val="18"/>
          <w:color w:val="auto"/>
        </w:rPr>
      </w:pPr>
    </w:p>
    <w:p>
      <w:pPr>
        <w:ind w:left="652" w:right="20" w:hanging="652"/>
        <w:spacing w:after="0" w:line="280" w:lineRule="auto"/>
        <w:tabs>
          <w:tab w:leader="none" w:pos="649" w:val="left"/>
        </w:tabs>
        <w:numPr>
          <w:ilvl w:val="0"/>
          <w:numId w:val="13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10b5-1 Trading Plan Trading Schedules are very flexible in terms of the types of selling or buying orders that may be established, the number of shares that may be sold or bought at any given time and the like. Please work directly with Fidelity or your broker on the trading details.</w:t>
      </w:r>
    </w:p>
    <w:p>
      <w:pPr>
        <w:sectPr>
          <w:pgSz w:w="11900" w:h="16838" w:orient="portrait"/>
          <w:cols w:equalWidth="0" w:num="1">
            <w:col w:w="11232"/>
          </w:cols>
          <w:pgMar w:left="328" w:top="995"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t>Attachment 2 - Trading Groups</w:t>
      </w:r>
    </w:p>
    <w:p>
      <w:pPr>
        <w:spacing w:after="0" w:line="200" w:lineRule="exact"/>
        <w:rPr>
          <w:sz w:val="20"/>
          <w:szCs w:val="20"/>
          <w:color w:val="auto"/>
        </w:rPr>
      </w:pPr>
    </w:p>
    <w:p>
      <w:pPr>
        <w:spacing w:after="0" w:line="324"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1900" w:type="dxa"/>
            <w:vAlign w:val="bottom"/>
            <w:tcBorders>
              <w:top w:val="single" w:sz="8" w:color="auto"/>
              <w:left w:val="single" w:sz="8" w:color="auto"/>
              <w:right w:val="single" w:sz="8" w:color="auto"/>
            </w:tcBorders>
            <w:gridSpan w:val="3"/>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Trading Group</w:t>
            </w:r>
          </w:p>
        </w:tc>
        <w:tc>
          <w:tcPr>
            <w:tcW w:w="1780" w:type="dxa"/>
            <w:vAlign w:val="bottom"/>
            <w:tcBorders>
              <w:top w:val="single" w:sz="8" w:color="auto"/>
            </w:tcBorders>
          </w:tcPr>
          <w:p>
            <w:pPr>
              <w:spacing w:after="0"/>
              <w:rPr>
                <w:sz w:val="19"/>
                <w:szCs w:val="19"/>
                <w:color w:val="auto"/>
              </w:rPr>
            </w:pPr>
          </w:p>
        </w:tc>
        <w:tc>
          <w:tcPr>
            <w:tcW w:w="340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Trading Restrictions</w:t>
            </w:r>
          </w:p>
        </w:tc>
        <w:tc>
          <w:tcPr>
            <w:tcW w:w="300" w:type="dxa"/>
            <w:vAlign w:val="bottom"/>
            <w:tcBorders>
              <w:top w:val="single" w:sz="8" w:color="auto"/>
            </w:tcBorders>
          </w:tcPr>
          <w:p>
            <w:pPr>
              <w:spacing w:after="0"/>
              <w:rPr>
                <w:sz w:val="19"/>
                <w:szCs w:val="19"/>
                <w:color w:val="auto"/>
              </w:rPr>
            </w:pPr>
          </w:p>
        </w:tc>
        <w:tc>
          <w:tcPr>
            <w:tcW w:w="3880" w:type="dxa"/>
            <w:vAlign w:val="bottom"/>
            <w:tcBorders>
              <w:top w:val="single" w:sz="8" w:color="auto"/>
              <w:right w:val="single" w:sz="8" w:color="auto"/>
            </w:tcBorders>
            <w:gridSpan w:val="3"/>
          </w:tcPr>
          <w:p>
            <w:pPr>
              <w:ind w:left="700"/>
              <w:spacing w:after="0" w:line="189" w:lineRule="exact"/>
              <w:rPr>
                <w:sz w:val="20"/>
                <w:szCs w:val="20"/>
                <w:color w:val="auto"/>
              </w:rPr>
            </w:pPr>
            <w:r>
              <w:rPr>
                <w:rFonts w:ascii="Times New Roman" w:cs="Times New Roman" w:eastAsia="Times New Roman" w:hAnsi="Times New Roman"/>
                <w:sz w:val="18"/>
                <w:szCs w:val="18"/>
                <w:b w:val="1"/>
                <w:bCs w:val="1"/>
                <w:color w:val="auto"/>
              </w:rPr>
              <w:t>Members of Trading Group</w:t>
            </w:r>
          </w:p>
        </w:tc>
        <w:tc>
          <w:tcPr>
            <w:tcW w:w="0" w:type="dxa"/>
            <w:vAlign w:val="bottom"/>
          </w:tcPr>
          <w:p>
            <w:pPr>
              <w:spacing w:after="0"/>
              <w:rPr>
                <w:sz w:val="1"/>
                <w:szCs w:val="1"/>
                <w:color w:val="auto"/>
              </w:rPr>
            </w:pPr>
          </w:p>
        </w:tc>
      </w:tr>
      <w:tr>
        <w:trPr>
          <w:trHeight w:val="41"/>
        </w:trPr>
        <w:tc>
          <w:tcPr>
            <w:tcW w:w="40" w:type="dxa"/>
            <w:vAlign w:val="bottom"/>
            <w:tcBorders>
              <w:left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140" w:type="dxa"/>
            <w:vAlign w:val="bottom"/>
            <w:tcBorders>
              <w:top w:val="single" w:sz="8" w:color="auto"/>
              <w:bottom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1"/>
        </w:trPr>
        <w:tc>
          <w:tcPr>
            <w:tcW w:w="40" w:type="dxa"/>
            <w:vAlign w:val="bottom"/>
            <w:tcBorders>
              <w:left w:val="single" w:sz="8" w:color="auto"/>
            </w:tcBorders>
          </w:tcPr>
          <w:p>
            <w:pPr>
              <w:spacing w:after="0"/>
              <w:rPr>
                <w:sz w:val="24"/>
                <w:szCs w:val="24"/>
                <w:color w:val="auto"/>
              </w:rPr>
            </w:pPr>
          </w:p>
        </w:tc>
        <w:tc>
          <w:tcPr>
            <w:tcW w:w="1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Trading Group A</w:t>
            </w:r>
          </w:p>
        </w:tc>
        <w:tc>
          <w:tcPr>
            <w:tcW w:w="51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Legal Department prior review required of all transactions in</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Members of the Board of Directors</w:t>
            </w: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Company stock not covered by a 10b5-1 Trading Plan. See</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All Executive Officers (Executive Committee),</w:t>
            </w:r>
          </w:p>
        </w:tc>
        <w:tc>
          <w:tcPr>
            <w:tcW w:w="0" w:type="dxa"/>
            <w:vAlign w:val="bottom"/>
          </w:tcPr>
          <w:p>
            <w:pPr>
              <w:spacing w:after="0"/>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Section 6.1.1 of this Policy.</w:t>
            </w:r>
          </w:p>
        </w:tc>
        <w:tc>
          <w:tcPr>
            <w:tcW w:w="300" w:type="dxa"/>
            <w:vAlign w:val="bottom"/>
          </w:tcPr>
          <w:p>
            <w:pPr>
              <w:spacing w:after="0"/>
              <w:rPr>
                <w:sz w:val="23"/>
                <w:szCs w:val="23"/>
                <w:color w:val="auto"/>
              </w:rPr>
            </w:pPr>
          </w:p>
        </w:tc>
        <w:tc>
          <w:tcPr>
            <w:tcW w:w="38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 and Treasurer</w:t>
            </w:r>
          </w:p>
        </w:tc>
        <w:tc>
          <w:tcPr>
            <w:tcW w:w="0" w:type="dxa"/>
            <w:vAlign w:val="bottom"/>
          </w:tcPr>
          <w:p>
            <w:pPr>
              <w:spacing w:after="0"/>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1160" w:type="dxa"/>
            <w:vAlign w:val="bottom"/>
          </w:tcPr>
          <w:p>
            <w:pPr>
              <w:spacing w:after="0"/>
              <w:rPr>
                <w:sz w:val="23"/>
                <w:szCs w:val="23"/>
                <w:color w:val="auto"/>
              </w:rPr>
            </w:pPr>
          </w:p>
        </w:tc>
        <w:tc>
          <w:tcPr>
            <w:tcW w:w="700" w:type="dxa"/>
            <w:vAlign w:val="bottom"/>
            <w:tcBorders>
              <w:right w:val="single" w:sz="8" w:color="auto"/>
            </w:tcBorders>
          </w:tcPr>
          <w:p>
            <w:pPr>
              <w:spacing w:after="0"/>
              <w:rPr>
                <w:sz w:val="23"/>
                <w:szCs w:val="23"/>
                <w:color w:val="auto"/>
              </w:rPr>
            </w:pPr>
          </w:p>
        </w:tc>
        <w:tc>
          <w:tcPr>
            <w:tcW w:w="51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Sell Company stock only under a 10b5-1 Trading Plan, which</w:t>
            </w:r>
          </w:p>
        </w:tc>
        <w:tc>
          <w:tcPr>
            <w:tcW w:w="41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All Executive Vice Presidents (EVPs)</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gridSpan w:val="3"/>
            <w:vMerge w:val="continue"/>
          </w:tcPr>
          <w:p>
            <w:pPr>
              <w:spacing w:after="0"/>
              <w:rPr>
                <w:sz w:val="10"/>
                <w:szCs w:val="10"/>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All Senior Vice Presidents (SVPs)</w:t>
            </w:r>
          </w:p>
        </w:tc>
        <w:tc>
          <w:tcPr>
            <w:tcW w:w="0" w:type="dxa"/>
            <w:vAlign w:val="bottom"/>
          </w:tcPr>
          <w:p>
            <w:pPr>
              <w:spacing w:after="0"/>
              <w:rPr>
                <w:sz w:val="1"/>
                <w:szCs w:val="1"/>
                <w:color w:val="auto"/>
              </w:rPr>
            </w:pPr>
          </w:p>
        </w:tc>
      </w:tr>
      <w:tr>
        <w:trPr>
          <w:trHeight w:val="153"/>
        </w:trPr>
        <w:tc>
          <w:tcPr>
            <w:tcW w:w="40" w:type="dxa"/>
            <w:vAlign w:val="bottom"/>
            <w:tcBorders>
              <w:left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18"/>
                <w:szCs w:val="18"/>
                <w:color w:val="auto"/>
              </w:rPr>
              <w:t>plan must be entered into or amended only (i) during an open</w:t>
            </w:r>
          </w:p>
        </w:tc>
        <w:tc>
          <w:tcPr>
            <w:tcW w:w="300" w:type="dxa"/>
            <w:vAlign w:val="bottom"/>
            <w:vMerge w:val="continue"/>
          </w:tcPr>
          <w:p>
            <w:pPr>
              <w:spacing w:after="0"/>
              <w:rPr>
                <w:sz w:val="13"/>
                <w:szCs w:val="13"/>
                <w:color w:val="auto"/>
              </w:rPr>
            </w:pPr>
          </w:p>
        </w:tc>
        <w:tc>
          <w:tcPr>
            <w:tcW w:w="3880" w:type="dxa"/>
            <w:vAlign w:val="bottom"/>
            <w:tcBorders>
              <w:right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5180" w:type="dxa"/>
            <w:vAlign w:val="bottom"/>
            <w:tcBorders>
              <w:right w:val="single" w:sz="8" w:color="auto"/>
            </w:tcBorders>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38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Chiefs of Staff to Executive Officers</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Trading Window period, and (ii) when not in possession of any</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Material, Nonpublic Information concerning the Company, and</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All members of the Legal Department</w:t>
            </w: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(iii) subject to compliance with the requirements set forth in</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Executive Assistants to Trading Group A</w:t>
            </w: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5180" w:type="dxa"/>
            <w:vAlign w:val="bottom"/>
            <w:tcBorders>
              <w:right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18"/>
                <w:szCs w:val="18"/>
                <w:color w:val="auto"/>
              </w:rPr>
              <w:t>Section 5.3 of this Policy.</w:t>
            </w:r>
          </w:p>
        </w:tc>
        <w:tc>
          <w:tcPr>
            <w:tcW w:w="300" w:type="dxa"/>
            <w:vAlign w:val="bottom"/>
            <w:vMerge w:val="continue"/>
          </w:tcPr>
          <w:p>
            <w:pPr>
              <w:spacing w:after="0"/>
              <w:rPr>
                <w:sz w:val="7"/>
                <w:szCs w:val="7"/>
                <w:color w:val="auto"/>
              </w:rPr>
            </w:pPr>
          </w:p>
        </w:tc>
        <w:tc>
          <w:tcPr>
            <w:tcW w:w="38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40" w:type="dxa"/>
            <w:vAlign w:val="bottom"/>
            <w:tcBorders>
              <w:left w:val="single" w:sz="8" w:color="auto"/>
            </w:tcBorders>
          </w:tcPr>
          <w:p>
            <w:pPr>
              <w:spacing w:after="0"/>
              <w:rPr>
                <w:sz w:val="13"/>
                <w:szCs w:val="13"/>
                <w:color w:val="auto"/>
              </w:rPr>
            </w:pPr>
          </w:p>
        </w:tc>
        <w:tc>
          <w:tcPr>
            <w:tcW w:w="11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5180" w:type="dxa"/>
            <w:vAlign w:val="bottom"/>
            <w:tcBorders>
              <w:right w:val="single" w:sz="8" w:color="auto"/>
            </w:tcBorders>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38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Members</w:t>
            </w:r>
          </w:p>
        </w:tc>
        <w:tc>
          <w:tcPr>
            <w:tcW w:w="0" w:type="dxa"/>
            <w:vAlign w:val="bottom"/>
          </w:tcPr>
          <w:p>
            <w:pPr>
              <w:spacing w:after="0"/>
              <w:rPr>
                <w:sz w:val="1"/>
                <w:szCs w:val="1"/>
                <w:color w:val="auto"/>
              </w:rPr>
            </w:pPr>
          </w:p>
        </w:tc>
      </w:tr>
      <w:tr>
        <w:trPr>
          <w:trHeight w:val="81"/>
        </w:trPr>
        <w:tc>
          <w:tcPr>
            <w:tcW w:w="40" w:type="dxa"/>
            <w:vAlign w:val="bottom"/>
            <w:tcBorders>
              <w:lef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7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388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40" w:type="dxa"/>
            <w:vAlign w:val="bottom"/>
            <w:tcBorders>
              <w:lef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51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All other transactions in Company stock to be effected only (i)</w:t>
            </w:r>
          </w:p>
        </w:tc>
        <w:tc>
          <w:tcPr>
            <w:tcW w:w="418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Other Covered Persons designated by the CEO or</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5180" w:type="dxa"/>
            <w:vAlign w:val="bottom"/>
            <w:tcBorders>
              <w:right w:val="single" w:sz="8" w:color="auto"/>
            </w:tcBorders>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388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CLO</w:t>
            </w:r>
          </w:p>
        </w:tc>
        <w:tc>
          <w:tcPr>
            <w:tcW w:w="0" w:type="dxa"/>
            <w:vAlign w:val="bottom"/>
          </w:tcPr>
          <w:p>
            <w:pPr>
              <w:spacing w:after="0"/>
              <w:rPr>
                <w:sz w:val="1"/>
                <w:szCs w:val="1"/>
                <w:color w:val="auto"/>
              </w:rPr>
            </w:pPr>
          </w:p>
        </w:tc>
      </w:tr>
      <w:tr>
        <w:trPr>
          <w:trHeight w:val="126"/>
        </w:trPr>
        <w:tc>
          <w:tcPr>
            <w:tcW w:w="40" w:type="dxa"/>
            <w:vAlign w:val="bottom"/>
            <w:tcBorders>
              <w:left w:val="single" w:sz="8" w:color="auto"/>
            </w:tcBorders>
          </w:tcPr>
          <w:p>
            <w:pPr>
              <w:spacing w:after="0"/>
              <w:rPr>
                <w:sz w:val="10"/>
                <w:szCs w:val="10"/>
                <w:color w:val="auto"/>
              </w:rPr>
            </w:pPr>
          </w:p>
        </w:tc>
        <w:tc>
          <w:tcPr>
            <w:tcW w:w="11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5180" w:type="dxa"/>
            <w:vAlign w:val="bottom"/>
            <w:tcBorders>
              <w:right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18"/>
                <w:szCs w:val="18"/>
                <w:color w:val="auto"/>
              </w:rPr>
              <w:t>during open an Trading Window period and (ii) when not in</w:t>
            </w:r>
          </w:p>
        </w:tc>
        <w:tc>
          <w:tcPr>
            <w:tcW w:w="300" w:type="dxa"/>
            <w:vAlign w:val="bottom"/>
          </w:tcPr>
          <w:p>
            <w:pPr>
              <w:spacing w:after="0"/>
              <w:rPr>
                <w:sz w:val="10"/>
                <w:szCs w:val="10"/>
                <w:color w:val="auto"/>
              </w:rPr>
            </w:pPr>
          </w:p>
        </w:tc>
        <w:tc>
          <w:tcPr>
            <w:tcW w:w="388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5180" w:type="dxa"/>
            <w:vAlign w:val="bottom"/>
            <w:tcBorders>
              <w:right w:val="single" w:sz="8" w:color="auto"/>
            </w:tcBorders>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possession of any Material, Nonpublic Information concerning</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 xml:space="preserve">the Company. </w:t>
            </w:r>
            <w:r>
              <w:rPr>
                <w:rFonts w:ascii="Times New Roman" w:cs="Times New Roman" w:eastAsia="Times New Roman" w:hAnsi="Times New Roman"/>
                <w:sz w:val="18"/>
                <w:szCs w:val="18"/>
                <w:b w:val="1"/>
                <w:bCs w:val="1"/>
                <w:color w:val="auto"/>
              </w:rPr>
              <w:t>Optional</w:t>
            </w:r>
            <w:r>
              <w:rPr>
                <w:rFonts w:ascii="Times New Roman" w:cs="Times New Roman" w:eastAsia="Times New Roman" w:hAnsi="Times New Roman"/>
                <w:sz w:val="18"/>
                <w:szCs w:val="18"/>
                <w:color w:val="auto"/>
              </w:rPr>
              <w:t xml:space="preserve"> use of 10b5-1 Trading Plans for other</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transactions in Company stock, which plan must be entered into</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or amended only (x) during an open Trading Window period and</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(y) when not in possession of any Material, Nonpublic</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Information concerning the Company, and (z) subject to</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compliance with the requirements set forth in Section 5.3 of this</w:t>
            </w: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Policy.</w:t>
            </w: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68" w:right="319" w:bottom="1440" w:gutter="0" w:footer="0" w:header="0"/>
        </w:sectPr>
      </w:pPr>
    </w:p>
    <w:bookmarkStart w:id="203" w:name="page204"/>
    <w:bookmarkEnd w:id="20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481"/>
        </w:trPr>
        <w:tc>
          <w:tcPr>
            <w:tcW w:w="19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Group B</w:t>
            </w:r>
          </w:p>
        </w:tc>
        <w:tc>
          <w:tcPr>
            <w:tcW w:w="51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Buy or sell Company stock only during open Trading Window</w:t>
            </w:r>
          </w:p>
        </w:tc>
        <w:tc>
          <w:tcPr>
            <w:tcW w:w="3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All Vice Presidents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periods and when not in possession of any Material, Nonpublic</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All members of the Finance Department</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Information concerning the Company.</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Business Development and External Innovation</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Group</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b w:val="1"/>
                <w:bCs w:val="1"/>
                <w:color w:val="auto"/>
              </w:rPr>
              <w:t>Optional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use of 10b5-1 Trading Plans. Enter into or amend a</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Customer &amp; Market Insights Group</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10b5-1 Trading Plan</w:t>
            </w:r>
          </w:p>
        </w:tc>
        <w:tc>
          <w:tcPr>
            <w:tcW w:w="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Customer Information Management</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only (i) during an open Trading Window period, and (ii) when</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Senior Directors and above in Corporate Affairs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not in possession of any Material, Nonpublic Information</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Administrative Assistants of Trading Group B</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concerning the Company, and (iii) subject to compliance with</w:t>
            </w:r>
          </w:p>
        </w:tc>
        <w:tc>
          <w:tcPr>
            <w:tcW w:w="300" w:type="dxa"/>
            <w:vAlign w:val="bottom"/>
          </w:tcPr>
          <w:p>
            <w:pPr>
              <w:spacing w:after="0"/>
              <w:rPr>
                <w:sz w:val="18"/>
                <w:szCs w:val="18"/>
                <w:color w:val="auto"/>
              </w:rPr>
            </w:pP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Members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the requirements set forth in Section 5.3 of this Policy.</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Other Covered Persons designated by the CEO or</w:t>
            </w: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518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38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CLO</w:t>
            </w:r>
          </w:p>
        </w:tc>
      </w:tr>
      <w:tr>
        <w:trPr>
          <w:trHeight w:val="81"/>
        </w:trPr>
        <w:tc>
          <w:tcPr>
            <w:tcW w:w="1900" w:type="dxa"/>
            <w:vAlign w:val="bottom"/>
            <w:tcBorders>
              <w:left w:val="single" w:sz="8" w:color="auto"/>
              <w:bottom w:val="single" w:sz="8" w:color="auto"/>
              <w:right w:val="single" w:sz="8" w:color="auto"/>
            </w:tcBorders>
          </w:tcPr>
          <w:p>
            <w:pPr>
              <w:spacing w:after="0"/>
              <w:rPr>
                <w:sz w:val="7"/>
                <w:szCs w:val="7"/>
                <w:color w:val="auto"/>
              </w:rPr>
            </w:pPr>
          </w:p>
        </w:tc>
        <w:tc>
          <w:tcPr>
            <w:tcW w:w="5180" w:type="dxa"/>
            <w:vAlign w:val="bottom"/>
            <w:tcBorders>
              <w:bottom w:val="single" w:sz="8" w:color="auto"/>
              <w:right w:val="single" w:sz="8" w:color="auto"/>
            </w:tcBorders>
          </w:tcPr>
          <w:p>
            <w:pPr>
              <w:spacing w:after="0"/>
              <w:rPr>
                <w:sz w:val="7"/>
                <w:szCs w:val="7"/>
                <w:color w:val="auto"/>
              </w:rPr>
            </w:pPr>
          </w:p>
        </w:tc>
        <w:tc>
          <w:tcPr>
            <w:tcW w:w="4180" w:type="dxa"/>
            <w:vAlign w:val="bottom"/>
            <w:tcBorders>
              <w:bottom w:val="single" w:sz="8" w:color="auto"/>
              <w:right w:val="single" w:sz="8" w:color="auto"/>
            </w:tcBorders>
            <w:gridSpan w:val="2"/>
          </w:tcPr>
          <w:p>
            <w:pPr>
              <w:spacing w:after="0"/>
              <w:rPr>
                <w:sz w:val="7"/>
                <w:szCs w:val="7"/>
                <w:color w:val="auto"/>
              </w:rPr>
            </w:pPr>
          </w:p>
        </w:tc>
      </w:tr>
      <w:tr>
        <w:trPr>
          <w:trHeight w:val="461"/>
        </w:trPr>
        <w:tc>
          <w:tcPr>
            <w:tcW w:w="19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Trading Group C</w:t>
            </w:r>
          </w:p>
        </w:tc>
        <w:tc>
          <w:tcPr>
            <w:tcW w:w="5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Buying or selling Company stock is allowed at any time in</w:t>
            </w:r>
          </w:p>
        </w:tc>
        <w:tc>
          <w:tcPr>
            <w:tcW w:w="418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All other Covered Persons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compliance with this Policy (i.e., at any time when the Covered</w:t>
            </w:r>
          </w:p>
        </w:tc>
        <w:tc>
          <w:tcPr>
            <w:tcW w:w="30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Person is not in possession of any Material, Nonpublic</w:t>
            </w:r>
          </w:p>
        </w:tc>
        <w:tc>
          <w:tcPr>
            <w:tcW w:w="30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Information concerning the Company).</w:t>
            </w:r>
          </w:p>
        </w:tc>
        <w:tc>
          <w:tcPr>
            <w:tcW w:w="30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r>
      <w:tr>
        <w:trPr>
          <w:trHeight w:val="441"/>
        </w:trPr>
        <w:tc>
          <w:tcPr>
            <w:tcW w:w="1900" w:type="dxa"/>
            <w:vAlign w:val="bottom"/>
            <w:tcBorders>
              <w:left w:val="single" w:sz="8" w:color="auto"/>
              <w:right w:val="single" w:sz="8" w:color="auto"/>
            </w:tcBorders>
          </w:tcPr>
          <w:p>
            <w:pPr>
              <w:spacing w:after="0"/>
              <w:rPr>
                <w:sz w:val="24"/>
                <w:szCs w:val="24"/>
                <w:color w:val="auto"/>
              </w:rPr>
            </w:pPr>
          </w:p>
        </w:tc>
        <w:tc>
          <w:tcPr>
            <w:tcW w:w="51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b w:val="1"/>
                <w:bCs w:val="1"/>
                <w:color w:val="auto"/>
              </w:rPr>
              <w:t>Optional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use of 10b5-1 Trading Plans. Enter into or amend a</w:t>
            </w:r>
          </w:p>
        </w:tc>
        <w:tc>
          <w:tcPr>
            <w:tcW w:w="300" w:type="dxa"/>
            <w:vAlign w:val="bottom"/>
          </w:tcPr>
          <w:p>
            <w:pPr>
              <w:spacing w:after="0"/>
              <w:rPr>
                <w:sz w:val="24"/>
                <w:szCs w:val="24"/>
                <w:color w:val="auto"/>
              </w:rPr>
            </w:pPr>
          </w:p>
        </w:tc>
        <w:tc>
          <w:tcPr>
            <w:tcW w:w="3880" w:type="dxa"/>
            <w:vAlign w:val="bottom"/>
            <w:tcBorders>
              <w:right w:val="single" w:sz="8" w:color="auto"/>
            </w:tcBorders>
          </w:tcPr>
          <w:p>
            <w:pPr>
              <w:spacing w:after="0"/>
              <w:rPr>
                <w:sz w:val="24"/>
                <w:szCs w:val="24"/>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10b5-1 Trading Plan when not in possession of any Material,</w:t>
            </w:r>
          </w:p>
        </w:tc>
        <w:tc>
          <w:tcPr>
            <w:tcW w:w="30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Nonpublic Information concerning the Company and subject to</w:t>
            </w:r>
          </w:p>
        </w:tc>
        <w:tc>
          <w:tcPr>
            <w:tcW w:w="30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compliance with the requirements set forth in Section 5.3 of this</w:t>
            </w:r>
          </w:p>
        </w:tc>
        <w:tc>
          <w:tcPr>
            <w:tcW w:w="300" w:type="dxa"/>
            <w:vAlign w:val="bottom"/>
          </w:tcPr>
          <w:p>
            <w:pPr>
              <w:spacing w:after="0"/>
              <w:rPr>
                <w:sz w:val="18"/>
                <w:szCs w:val="18"/>
                <w:color w:val="auto"/>
              </w:rPr>
            </w:pPr>
          </w:p>
        </w:tc>
        <w:tc>
          <w:tcPr>
            <w:tcW w:w="3880" w:type="dxa"/>
            <w:vAlign w:val="bottom"/>
            <w:tcBorders>
              <w:right w:val="single" w:sz="8" w:color="auto"/>
            </w:tcBorders>
          </w:tcPr>
          <w:p>
            <w:pPr>
              <w:spacing w:after="0"/>
              <w:rPr>
                <w:sz w:val="18"/>
                <w:szCs w:val="18"/>
                <w:color w:val="auto"/>
              </w:rPr>
            </w:pP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518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Policy.</w:t>
            </w:r>
          </w:p>
        </w:tc>
        <w:tc>
          <w:tcPr>
            <w:tcW w:w="300" w:type="dxa"/>
            <w:vAlign w:val="bottom"/>
          </w:tcPr>
          <w:p>
            <w:pPr>
              <w:spacing w:after="0"/>
              <w:rPr>
                <w:sz w:val="20"/>
                <w:szCs w:val="20"/>
                <w:color w:val="auto"/>
              </w:rPr>
            </w:pPr>
          </w:p>
        </w:tc>
        <w:tc>
          <w:tcPr>
            <w:tcW w:w="3880" w:type="dxa"/>
            <w:vAlign w:val="bottom"/>
            <w:tcBorders>
              <w:right w:val="single" w:sz="8" w:color="auto"/>
            </w:tcBorders>
          </w:tcPr>
          <w:p>
            <w:pPr>
              <w:spacing w:after="0"/>
              <w:rPr>
                <w:sz w:val="20"/>
                <w:szCs w:val="20"/>
                <w:color w:val="auto"/>
              </w:rPr>
            </w:pPr>
          </w:p>
        </w:tc>
      </w:tr>
      <w:tr>
        <w:trPr>
          <w:trHeight w:val="27"/>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r>
      <w:tr>
        <w:trPr>
          <w:trHeight w:val="655"/>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Implementation</w:t>
            </w: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0"/>
        </w:trPr>
        <w:tc>
          <w:tcPr>
            <w:tcW w:w="1900" w:type="dxa"/>
            <w:vAlign w:val="bottom"/>
            <w:tcBorders>
              <w:bottom w:val="single" w:sz="8" w:color="002060"/>
            </w:tcBorders>
          </w:tcPr>
          <w:p>
            <w:pPr>
              <w:spacing w:after="0"/>
              <w:rPr>
                <w:sz w:val="24"/>
                <w:szCs w:val="24"/>
                <w:color w:val="auto"/>
              </w:rPr>
            </w:pPr>
          </w:p>
        </w:tc>
        <w:tc>
          <w:tcPr>
            <w:tcW w:w="5180" w:type="dxa"/>
            <w:vAlign w:val="bottom"/>
            <w:tcBorders>
              <w:bottom w:val="single" w:sz="8" w:color="002060"/>
            </w:tcBorders>
          </w:tcPr>
          <w:p>
            <w:pPr>
              <w:spacing w:after="0"/>
              <w:rPr>
                <w:sz w:val="24"/>
                <w:szCs w:val="24"/>
                <w:color w:val="auto"/>
              </w:rPr>
            </w:pPr>
          </w:p>
        </w:tc>
        <w:tc>
          <w:tcPr>
            <w:tcW w:w="300" w:type="dxa"/>
            <w:vAlign w:val="bottom"/>
            <w:tcBorders>
              <w:bottom w:val="single" w:sz="8" w:color="002060"/>
            </w:tcBorders>
          </w:tcPr>
          <w:p>
            <w:pPr>
              <w:spacing w:after="0"/>
              <w:rPr>
                <w:sz w:val="24"/>
                <w:szCs w:val="24"/>
                <w:color w:val="auto"/>
              </w:rPr>
            </w:pPr>
          </w:p>
        </w:tc>
        <w:tc>
          <w:tcPr>
            <w:tcW w:w="3880" w:type="dxa"/>
            <w:vAlign w:val="bottom"/>
            <w:tcBorders>
              <w:bottom w:val="single" w:sz="8" w:color="002060"/>
            </w:tcBorders>
          </w:tcPr>
          <w:p>
            <w:pPr>
              <w:spacing w:after="0"/>
              <w:rPr>
                <w:sz w:val="24"/>
                <w:szCs w:val="24"/>
                <w:color w:val="auto"/>
              </w:rPr>
            </w:pPr>
          </w:p>
        </w:tc>
      </w:tr>
      <w:tr>
        <w:trPr>
          <w:trHeight w:val="257"/>
        </w:trPr>
        <w:tc>
          <w:tcPr>
            <w:tcW w:w="1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5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80" w:type="dxa"/>
            <w:vAlign w:val="bottom"/>
          </w:tcPr>
          <w:p>
            <w:pPr>
              <w:spacing w:after="0"/>
              <w:rPr>
                <w:sz w:val="22"/>
                <w:szCs w:val="22"/>
                <w:color w:val="auto"/>
              </w:rPr>
            </w:pPr>
          </w:p>
        </w:tc>
      </w:tr>
      <w:tr>
        <w:trPr>
          <w:trHeight w:val="48"/>
        </w:trPr>
        <w:tc>
          <w:tcPr>
            <w:tcW w:w="1900" w:type="dxa"/>
            <w:vAlign w:val="bottom"/>
            <w:tcBorders>
              <w:bottom w:val="single" w:sz="8" w:color="002060"/>
            </w:tcBorders>
          </w:tcPr>
          <w:p>
            <w:pPr>
              <w:spacing w:after="0"/>
              <w:rPr>
                <w:sz w:val="4"/>
                <w:szCs w:val="4"/>
                <w:color w:val="auto"/>
              </w:rPr>
            </w:pPr>
          </w:p>
        </w:tc>
        <w:tc>
          <w:tcPr>
            <w:tcW w:w="5180" w:type="dxa"/>
            <w:vAlign w:val="bottom"/>
            <w:tcBorders>
              <w:bottom w:val="single" w:sz="8" w:color="002060"/>
            </w:tcBorders>
          </w:tcPr>
          <w:p>
            <w:pPr>
              <w:spacing w:after="0"/>
              <w:rPr>
                <w:sz w:val="4"/>
                <w:szCs w:val="4"/>
                <w:color w:val="auto"/>
              </w:rPr>
            </w:pPr>
          </w:p>
        </w:tc>
        <w:tc>
          <w:tcPr>
            <w:tcW w:w="300" w:type="dxa"/>
            <w:vAlign w:val="bottom"/>
            <w:tcBorders>
              <w:bottom w:val="single" w:sz="8" w:color="002060"/>
            </w:tcBorders>
          </w:tcPr>
          <w:p>
            <w:pPr>
              <w:spacing w:after="0"/>
              <w:rPr>
                <w:sz w:val="4"/>
                <w:szCs w:val="4"/>
                <w:color w:val="auto"/>
              </w:rPr>
            </w:pPr>
          </w:p>
        </w:tc>
        <w:tc>
          <w:tcPr>
            <w:tcW w:w="3880" w:type="dxa"/>
            <w:vAlign w:val="bottom"/>
            <w:tcBorders>
              <w:bottom w:val="single" w:sz="8" w:color="002060"/>
            </w:tcBorders>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implement a global education program for all Company directors, officers, employees, and temporary staff, including:</w:t>
      </w:r>
    </w:p>
    <w:p>
      <w:pPr>
        <w:spacing w:after="0" w:line="26" w:lineRule="exact"/>
        <w:rPr>
          <w:sz w:val="20"/>
          <w:szCs w:val="20"/>
          <w:color w:val="auto"/>
        </w:rPr>
      </w:pPr>
    </w:p>
    <w:p>
      <w:pPr>
        <w:ind w:left="700" w:hanging="395"/>
        <w:spacing w:after="0"/>
        <w:tabs>
          <w:tab w:leader="none" w:pos="700" w:val="left"/>
        </w:tabs>
        <w:numPr>
          <w:ilvl w:val="0"/>
          <w:numId w:val="133"/>
        </w:numPr>
        <w:rPr>
          <w:rFonts w:ascii="Arial" w:cs="Arial" w:eastAsia="Arial" w:hAnsi="Arial"/>
          <w:sz w:val="18"/>
          <w:szCs w:val="18"/>
          <w:color w:val="auto"/>
        </w:rPr>
      </w:pPr>
      <w:r>
        <w:rPr>
          <w:rFonts w:ascii="Times New Roman" w:cs="Times New Roman" w:eastAsia="Times New Roman" w:hAnsi="Times New Roman"/>
          <w:sz w:val="18"/>
          <w:szCs w:val="18"/>
          <w:color w:val="auto"/>
        </w:rPr>
        <w:t>Training as part of the onboarding process for a new director, officer, employee, or temporary staff;</w:t>
      </w:r>
    </w:p>
    <w:p>
      <w:pPr>
        <w:spacing w:after="0" w:line="10" w:lineRule="exact"/>
        <w:rPr>
          <w:rFonts w:ascii="Arial" w:cs="Arial" w:eastAsia="Arial" w:hAnsi="Arial"/>
          <w:sz w:val="18"/>
          <w:szCs w:val="18"/>
          <w:color w:val="auto"/>
        </w:rPr>
      </w:pPr>
    </w:p>
    <w:p>
      <w:pPr>
        <w:ind w:left="700" w:hanging="395"/>
        <w:spacing w:after="0"/>
        <w:tabs>
          <w:tab w:leader="none" w:pos="700" w:val="left"/>
        </w:tabs>
        <w:numPr>
          <w:ilvl w:val="0"/>
          <w:numId w:val="133"/>
        </w:numPr>
        <w:rPr>
          <w:rFonts w:ascii="Arial" w:cs="Arial" w:eastAsia="Arial" w:hAnsi="Arial"/>
          <w:sz w:val="18"/>
          <w:szCs w:val="18"/>
          <w:color w:val="auto"/>
        </w:rPr>
      </w:pPr>
      <w:r>
        <w:rPr>
          <w:rFonts w:ascii="Times New Roman" w:cs="Times New Roman" w:eastAsia="Times New Roman" w:hAnsi="Times New Roman"/>
          <w:sz w:val="18"/>
          <w:szCs w:val="18"/>
          <w:color w:val="auto"/>
        </w:rPr>
        <w:t>Annual distribution of this Policy; and</w:t>
      </w:r>
    </w:p>
    <w:p>
      <w:pPr>
        <w:spacing w:after="0" w:line="8" w:lineRule="exact"/>
        <w:rPr>
          <w:rFonts w:ascii="Arial" w:cs="Arial" w:eastAsia="Arial" w:hAnsi="Arial"/>
          <w:sz w:val="18"/>
          <w:szCs w:val="18"/>
          <w:color w:val="auto"/>
        </w:rPr>
      </w:pPr>
    </w:p>
    <w:p>
      <w:pPr>
        <w:ind w:left="700" w:hanging="395"/>
        <w:spacing w:after="0"/>
        <w:tabs>
          <w:tab w:leader="none" w:pos="700" w:val="left"/>
        </w:tabs>
        <w:numPr>
          <w:ilvl w:val="0"/>
          <w:numId w:val="133"/>
        </w:numPr>
        <w:rPr>
          <w:rFonts w:ascii="Arial" w:cs="Arial" w:eastAsia="Arial" w:hAnsi="Arial"/>
          <w:sz w:val="18"/>
          <w:szCs w:val="18"/>
          <w:color w:val="auto"/>
        </w:rPr>
      </w:pPr>
      <w:r>
        <w:rPr>
          <w:rFonts w:ascii="Times New Roman" w:cs="Times New Roman" w:eastAsia="Times New Roman" w:hAnsi="Times New Roman"/>
          <w:sz w:val="18"/>
          <w:szCs w:val="18"/>
          <w:color w:val="auto"/>
        </w:rPr>
        <w:t>Annual certification of receipt, read, understood, and compliance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of each of the Company’s affiliates or other organizational units must:</w:t>
      </w:r>
    </w:p>
    <w:p>
      <w:pPr>
        <w:spacing w:after="0" w:line="26" w:lineRule="exact"/>
        <w:rPr>
          <w:sz w:val="20"/>
          <w:szCs w:val="20"/>
          <w:color w:val="auto"/>
        </w:rPr>
      </w:pPr>
    </w:p>
    <w:p>
      <w:pPr>
        <w:ind w:left="700" w:hanging="395"/>
        <w:spacing w:after="0"/>
        <w:tabs>
          <w:tab w:leader="none" w:pos="700" w:val="left"/>
        </w:tabs>
        <w:numPr>
          <w:ilvl w:val="0"/>
          <w:numId w:val="134"/>
        </w:numPr>
        <w:rPr>
          <w:rFonts w:ascii="Arial" w:cs="Arial" w:eastAsia="Arial" w:hAnsi="Arial"/>
          <w:sz w:val="18"/>
          <w:szCs w:val="18"/>
          <w:color w:val="auto"/>
        </w:rPr>
      </w:pPr>
      <w:r>
        <w:rPr>
          <w:rFonts w:ascii="Times New Roman" w:cs="Times New Roman" w:eastAsia="Times New Roman" w:hAnsi="Times New Roman"/>
          <w:sz w:val="18"/>
          <w:szCs w:val="18"/>
          <w:color w:val="auto"/>
        </w:rPr>
        <w:t>Ensure that this Policy is embedded in the business and adhered to;</w:t>
      </w:r>
    </w:p>
    <w:p>
      <w:pPr>
        <w:spacing w:after="0" w:line="10" w:lineRule="exact"/>
        <w:rPr>
          <w:rFonts w:ascii="Arial" w:cs="Arial" w:eastAsia="Arial" w:hAnsi="Arial"/>
          <w:sz w:val="18"/>
          <w:szCs w:val="18"/>
          <w:color w:val="auto"/>
        </w:rPr>
      </w:pPr>
    </w:p>
    <w:p>
      <w:pPr>
        <w:ind w:left="700" w:hanging="395"/>
        <w:spacing w:after="0"/>
        <w:tabs>
          <w:tab w:leader="none" w:pos="700" w:val="left"/>
        </w:tabs>
        <w:numPr>
          <w:ilvl w:val="0"/>
          <w:numId w:val="134"/>
        </w:numPr>
        <w:rPr>
          <w:rFonts w:ascii="Arial" w:cs="Arial" w:eastAsia="Arial" w:hAnsi="Arial"/>
          <w:sz w:val="18"/>
          <w:szCs w:val="18"/>
          <w:color w:val="auto"/>
        </w:rPr>
      </w:pPr>
      <w:r>
        <w:rPr>
          <w:rFonts w:ascii="Times New Roman" w:cs="Times New Roman" w:eastAsia="Times New Roman" w:hAnsi="Times New Roman"/>
          <w:sz w:val="18"/>
          <w:szCs w:val="18"/>
          <w:color w:val="auto"/>
        </w:rPr>
        <w:t>Oversee and supervise the activities of Covered Persons; and</w:t>
      </w:r>
    </w:p>
    <w:p>
      <w:pPr>
        <w:spacing w:after="0" w:line="8" w:lineRule="exact"/>
        <w:rPr>
          <w:rFonts w:ascii="Arial" w:cs="Arial" w:eastAsia="Arial" w:hAnsi="Arial"/>
          <w:sz w:val="18"/>
          <w:szCs w:val="18"/>
          <w:color w:val="auto"/>
        </w:rPr>
      </w:pPr>
    </w:p>
    <w:p>
      <w:pPr>
        <w:ind w:left="700" w:hanging="395"/>
        <w:spacing w:after="0"/>
        <w:tabs>
          <w:tab w:leader="none" w:pos="700" w:val="left"/>
        </w:tabs>
        <w:numPr>
          <w:ilvl w:val="0"/>
          <w:numId w:val="134"/>
        </w:numPr>
        <w:rPr>
          <w:rFonts w:ascii="Arial" w:cs="Arial" w:eastAsia="Arial" w:hAnsi="Arial"/>
          <w:sz w:val="18"/>
          <w:szCs w:val="18"/>
          <w:color w:val="auto"/>
        </w:rPr>
      </w:pPr>
      <w:r>
        <w:rPr>
          <w:rFonts w:ascii="Times New Roman" w:cs="Times New Roman" w:eastAsia="Times New Roman" w:hAnsi="Times New Roman"/>
          <w:sz w:val="18"/>
          <w:szCs w:val="18"/>
          <w:color w:val="auto"/>
        </w:rPr>
        <w:t>Implement processes, awareness, training and controls, in line with the minimum corporate standards set forth in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follow the principles and steps set out in this Policy may result in disciplinary action, up to and including termination.</w:t>
      </w:r>
    </w:p>
    <w:p>
      <w:pPr>
        <w:sectPr>
          <w:pgSz w:w="11900" w:h="16838" w:orient="portrait"/>
          <w:cols w:equalWidth="0" w:num="1">
            <w:col w:w="11260"/>
          </w:cols>
          <w:pgMar w:left="320" w:top="930" w:right="319" w:bottom="1440" w:gutter="0" w:footer="0" w:header="0"/>
        </w:sectPr>
      </w:pPr>
    </w:p>
    <w:bookmarkStart w:id="204" w:name="page205"/>
    <w:bookmarkEnd w:id="20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b w:val="1"/>
          <w:bCs w:val="1"/>
          <w:color w:val="auto"/>
        </w:rPr>
        <w:t>Exhibit 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BIOGEN INC.</w:t>
      </w:r>
    </w:p>
    <w:p>
      <w:pPr>
        <w:spacing w:after="0" w:line="249" w:lineRule="exact"/>
        <w:rPr>
          <w:sz w:val="20"/>
          <w:szCs w:val="20"/>
          <w:color w:val="auto"/>
        </w:rPr>
      </w:pPr>
    </w:p>
    <w:p>
      <w:pPr>
        <w:ind w:right="600"/>
        <w:spacing w:after="0" w:line="272" w:lineRule="auto"/>
        <w:rPr>
          <w:sz w:val="20"/>
          <w:szCs w:val="20"/>
          <w:color w:val="auto"/>
        </w:rPr>
      </w:pPr>
      <w:r>
        <w:rPr>
          <w:rFonts w:ascii="Arial" w:cs="Arial" w:eastAsia="Arial" w:hAnsi="Arial"/>
          <w:sz w:val="22"/>
          <w:szCs w:val="22"/>
          <w:color w:val="auto"/>
        </w:rPr>
        <w:t>The following is a list of subsidiaries of Biogen Inc. as of December 31, 2025, omitting some subsidiaries which, considered in the aggregate, would not constitute a significant subsidiary.</w:t>
      </w:r>
    </w:p>
    <w:tbl>
      <w:tblPr>
        <w:tblLayout w:type="fixed"/>
        <w:tblInd w:w="0" w:type="dxa"/>
        <w:tblCellMar>
          <w:top w:w="0" w:type="dxa"/>
          <w:left w:w="0" w:type="dxa"/>
          <w:bottom w:w="0" w:type="dxa"/>
          <w:right w:w="0" w:type="dxa"/>
        </w:tblCellMar>
      </w:tblPr>
      <w:tr>
        <w:trPr>
          <w:trHeight w:val="204"/>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STATE OR OTHER JURISDICTION OF</w:t>
            </w:r>
          </w:p>
        </w:tc>
      </w:tr>
      <w:tr>
        <w:trPr>
          <w:trHeight w:val="261"/>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SUBSIDIARY</w:t>
            </w:r>
          </w:p>
        </w:tc>
        <w:tc>
          <w:tcPr>
            <w:tcW w:w="120" w:type="dxa"/>
            <w:vAlign w:val="bottom"/>
          </w:tcPr>
          <w:p>
            <w:pPr>
              <w:spacing w:after="0"/>
              <w:rPr>
                <w:sz w:val="22"/>
                <w:szCs w:val="22"/>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INCORPORATION OR ORGANIZATION</w:t>
            </w:r>
          </w:p>
        </w:tc>
      </w:tr>
      <w:tr>
        <w:trPr>
          <w:trHeight w:val="241"/>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Foundation Inc.</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MA Inc.</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Realty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Realty Limited Partnership</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Limited Partnership</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Alcyone Therapeutics,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(RTP) Realty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Chesapeake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Digital Health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Digital Health Global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Holding I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Holding II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OUS Holding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Manufacturing Holding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New Ventures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SRO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Therapeutics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Pacific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West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Conforma Therapeutics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Human Immunology Biosciences,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Stromedix,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Nightstar,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Pharmaceuticals Global,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Pharmaceuticals Holdings,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Pharmaceuticals,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(Argentina) SRL</w:t>
            </w:r>
          </w:p>
        </w:tc>
        <w:tc>
          <w:tcPr>
            <w:tcW w:w="426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Australia PTY Ltd</w:t>
            </w:r>
          </w:p>
        </w:tc>
        <w:tc>
          <w:tcPr>
            <w:tcW w:w="426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Austria GmbH</w:t>
            </w:r>
          </w:p>
        </w:tc>
        <w:tc>
          <w:tcPr>
            <w:tcW w:w="426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Belgium N.V./S.A.</w:t>
            </w:r>
          </w:p>
        </w:tc>
        <w:tc>
          <w:tcPr>
            <w:tcW w:w="426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International Holding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(Bermuda) Technologies Ltd.</w:t>
            </w:r>
          </w:p>
        </w:tc>
        <w:tc>
          <w:tcPr>
            <w:tcW w:w="426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Brasil Produtos Farmaceuticos LTDA</w:t>
            </w:r>
          </w:p>
        </w:tc>
        <w:tc>
          <w:tcPr>
            <w:tcW w:w="42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Canada Inc.</w:t>
            </w:r>
          </w:p>
        </w:tc>
        <w:tc>
          <w:tcPr>
            <w:tcW w:w="42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Chile SpA</w:t>
            </w:r>
          </w:p>
        </w:tc>
        <w:tc>
          <w:tcPr>
            <w:tcW w:w="426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Biotechnology (Shanghai) Co., Ltd</w:t>
            </w:r>
          </w:p>
        </w:tc>
        <w:tc>
          <w:tcPr>
            <w:tcW w:w="426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BIIB Colombia S.A.S.</w:t>
            </w:r>
          </w:p>
        </w:tc>
        <w:tc>
          <w:tcPr>
            <w:tcW w:w="426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Pharma d.o.o.</w:t>
            </w:r>
          </w:p>
        </w:tc>
        <w:tc>
          <w:tcPr>
            <w:tcW w:w="4260" w:type="dxa"/>
            <w:vAlign w:val="bottom"/>
          </w:tcPr>
          <w:p>
            <w:pPr>
              <w:ind w:left="20"/>
              <w:spacing w:after="0"/>
              <w:rPr>
                <w:sz w:val="20"/>
                <w:szCs w:val="20"/>
                <w:color w:val="auto"/>
              </w:rPr>
            </w:pPr>
            <w:r>
              <w:rPr>
                <w:rFonts w:ascii="Arial" w:cs="Arial" w:eastAsia="Arial" w:hAnsi="Arial"/>
                <w:sz w:val="18"/>
                <w:szCs w:val="18"/>
                <w:color w:val="auto"/>
              </w:rPr>
              <w:t>Croatia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(Czech Republic) s.r.o.</w:t>
            </w:r>
          </w:p>
        </w:tc>
        <w:tc>
          <w:tcPr>
            <w:tcW w:w="426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(Denmark) A/S</w:t>
            </w:r>
          </w:p>
        </w:tc>
        <w:tc>
          <w:tcPr>
            <w:tcW w:w="4260" w:type="dxa"/>
            <w:vAlign w:val="bottom"/>
          </w:tcPr>
          <w:p>
            <w:pPr>
              <w:ind w:left="20"/>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1240"/>
          </w:cols>
          <w:pgMar w:left="320" w:top="692" w:right="339" w:bottom="1440" w:gutter="0" w:footer="0" w:header="0"/>
        </w:sectPr>
      </w:pPr>
    </w:p>
    <w:bookmarkStart w:id="206" w:name="page207"/>
    <w:bookmarkEnd w:id="2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STATE OR OTHER JURISDICTION OF</w:t>
            </w:r>
          </w:p>
        </w:tc>
      </w:tr>
      <w:tr>
        <w:trPr>
          <w:trHeight w:val="257"/>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22"/>
                <w:szCs w:val="22"/>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INCORPORATION OR ORGANIZATION</w:t>
            </w:r>
          </w:p>
        </w:tc>
      </w:tr>
      <w:tr>
        <w:trPr>
          <w:trHeight w:val="245"/>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Estonia OU</w:t>
            </w:r>
          </w:p>
        </w:tc>
        <w:tc>
          <w:tcPr>
            <w:tcW w:w="4260" w:type="dxa"/>
            <w:vAlign w:val="bottom"/>
          </w:tcPr>
          <w:p>
            <w:pPr>
              <w:ind w:left="20"/>
              <w:spacing w:after="0"/>
              <w:rPr>
                <w:sz w:val="20"/>
                <w:szCs w:val="20"/>
                <w:color w:val="auto"/>
              </w:rPr>
            </w:pPr>
            <w:r>
              <w:rPr>
                <w:rFonts w:ascii="Arial" w:cs="Arial" w:eastAsia="Arial" w:hAnsi="Arial"/>
                <w:sz w:val="18"/>
                <w:szCs w:val="18"/>
                <w:color w:val="auto"/>
              </w:rPr>
              <w:t>Estonia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Finland OY</w:t>
            </w:r>
          </w:p>
        </w:tc>
        <w:tc>
          <w:tcPr>
            <w:tcW w:w="4260" w:type="dxa"/>
            <w:vAlign w:val="bottom"/>
          </w:tcPr>
          <w:p>
            <w:pPr>
              <w:ind w:left="20"/>
              <w:spacing w:after="0"/>
              <w:rPr>
                <w:sz w:val="20"/>
                <w:szCs w:val="20"/>
                <w:color w:val="auto"/>
              </w:rPr>
            </w:pPr>
            <w:r>
              <w:rPr>
                <w:rFonts w:ascii="Arial" w:cs="Arial" w:eastAsia="Arial" w:hAnsi="Arial"/>
                <w:sz w:val="18"/>
                <w:szCs w:val="18"/>
                <w:color w:val="auto"/>
              </w:rPr>
              <w:t>Finland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France S.A.S.</w:t>
            </w:r>
          </w:p>
        </w:tc>
        <w:tc>
          <w:tcPr>
            <w:tcW w:w="42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GmbH</w:t>
            </w:r>
          </w:p>
        </w:tc>
        <w:tc>
          <w:tcPr>
            <w:tcW w:w="42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Germany GmbH</w:t>
            </w:r>
          </w:p>
        </w:tc>
        <w:tc>
          <w:tcPr>
            <w:tcW w:w="42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Hong Kong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Hungary KFT</w:t>
            </w:r>
          </w:p>
        </w:tc>
        <w:tc>
          <w:tcPr>
            <w:tcW w:w="4260" w:type="dxa"/>
            <w:vAlign w:val="bottom"/>
          </w:tcPr>
          <w:p>
            <w:pPr>
              <w:ind w:left="20"/>
              <w:spacing w:after="0"/>
              <w:rPr>
                <w:sz w:val="20"/>
                <w:szCs w:val="20"/>
                <w:color w:val="auto"/>
              </w:rPr>
            </w:pPr>
            <w:r>
              <w:rPr>
                <w:rFonts w:ascii="Arial" w:cs="Arial" w:eastAsia="Arial" w:hAnsi="Arial"/>
                <w:sz w:val="18"/>
                <w:szCs w:val="18"/>
                <w:color w:val="auto"/>
              </w:rPr>
              <w:t>Hungary</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Biotech India Pvt. Ltd.</w:t>
            </w:r>
          </w:p>
        </w:tc>
        <w:tc>
          <w:tcPr>
            <w:tcW w:w="42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Capability Center India Private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(Ireland) Ltd.</w:t>
            </w:r>
          </w:p>
        </w:tc>
        <w:tc>
          <w:tcPr>
            <w:tcW w:w="42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Nightstar Europa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Distribution Services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Italia S.R.L.</w:t>
            </w:r>
          </w:p>
        </w:tc>
        <w:tc>
          <w:tcPr>
            <w:tcW w:w="426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Japan Ltd.</w:t>
            </w:r>
          </w:p>
        </w:tc>
        <w:tc>
          <w:tcPr>
            <w:tcW w:w="426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Korea LLC</w:t>
            </w:r>
          </w:p>
        </w:tc>
        <w:tc>
          <w:tcPr>
            <w:tcW w:w="4260" w:type="dxa"/>
            <w:vAlign w:val="bottom"/>
          </w:tcPr>
          <w:p>
            <w:pPr>
              <w:ind w:left="20"/>
              <w:spacing w:after="0"/>
              <w:rPr>
                <w:sz w:val="20"/>
                <w:szCs w:val="20"/>
                <w:color w:val="auto"/>
              </w:rPr>
            </w:pPr>
            <w:r>
              <w:rPr>
                <w:rFonts w:ascii="Arial" w:cs="Arial" w:eastAsia="Arial" w:hAnsi="Arial"/>
                <w:sz w:val="18"/>
                <w:szCs w:val="18"/>
                <w:color w:val="auto"/>
              </w:rPr>
              <w:t>Korea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Latvia SIA</w:t>
            </w:r>
          </w:p>
        </w:tc>
        <w:tc>
          <w:tcPr>
            <w:tcW w:w="4260" w:type="dxa"/>
            <w:vAlign w:val="bottom"/>
          </w:tcPr>
          <w:p>
            <w:pPr>
              <w:ind w:left="20"/>
              <w:spacing w:after="0"/>
              <w:rPr>
                <w:sz w:val="20"/>
                <w:szCs w:val="20"/>
                <w:color w:val="auto"/>
              </w:rPr>
            </w:pPr>
            <w:r>
              <w:rPr>
                <w:rFonts w:ascii="Arial" w:cs="Arial" w:eastAsia="Arial" w:hAnsi="Arial"/>
                <w:sz w:val="18"/>
                <w:szCs w:val="18"/>
                <w:color w:val="auto"/>
              </w:rPr>
              <w:t>Latvia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Lithuania UAB</w:t>
            </w:r>
          </w:p>
        </w:tc>
        <w:tc>
          <w:tcPr>
            <w:tcW w:w="4260" w:type="dxa"/>
            <w:vAlign w:val="bottom"/>
          </w:tcPr>
          <w:p>
            <w:pPr>
              <w:ind w:left="20"/>
              <w:spacing w:after="0"/>
              <w:rPr>
                <w:sz w:val="20"/>
                <w:szCs w:val="20"/>
                <w:color w:val="auto"/>
              </w:rPr>
            </w:pPr>
            <w:r>
              <w:rPr>
                <w:rFonts w:ascii="Arial" w:cs="Arial" w:eastAsia="Arial" w:hAnsi="Arial"/>
                <w:sz w:val="18"/>
                <w:szCs w:val="18"/>
                <w:color w:val="auto"/>
              </w:rPr>
              <w:t>Lithuania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Luxembourg Holding S.a.r.l.</w:t>
            </w:r>
          </w:p>
        </w:tc>
        <w:tc>
          <w:tcPr>
            <w:tcW w:w="426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Mexico S. de R.L. de C.V.</w:t>
            </w:r>
          </w:p>
        </w:tc>
        <w:tc>
          <w:tcPr>
            <w:tcW w:w="42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NZ Biopharma Ltd.</w:t>
            </w:r>
          </w:p>
        </w:tc>
        <w:tc>
          <w:tcPr>
            <w:tcW w:w="426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Norway AS</w:t>
            </w:r>
          </w:p>
        </w:tc>
        <w:tc>
          <w:tcPr>
            <w:tcW w:w="426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Poland Sp. z.o.o.</w:t>
            </w:r>
          </w:p>
        </w:tc>
        <w:tc>
          <w:tcPr>
            <w:tcW w:w="426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Portugal Sociedade Farmaceutica, Unipessoal Lda.</w:t>
            </w:r>
          </w:p>
        </w:tc>
        <w:tc>
          <w:tcPr>
            <w:tcW w:w="4260" w:type="dxa"/>
            <w:vAlign w:val="bottom"/>
          </w:tcPr>
          <w:p>
            <w:pPr>
              <w:ind w:left="20"/>
              <w:spacing w:after="0"/>
              <w:rPr>
                <w:sz w:val="20"/>
                <w:szCs w:val="20"/>
                <w:color w:val="auto"/>
              </w:rPr>
            </w:pPr>
            <w:r>
              <w:rPr>
                <w:rFonts w:ascii="Arial" w:cs="Arial" w:eastAsia="Arial" w:hAnsi="Arial"/>
                <w:sz w:val="18"/>
                <w:szCs w:val="18"/>
                <w:color w:val="auto"/>
              </w:rPr>
              <w:t>Portugal</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Arabia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Saudi Arabia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Regional Headquarters LLC</w:t>
            </w:r>
          </w:p>
        </w:tc>
        <w:tc>
          <w:tcPr>
            <w:tcW w:w="4260" w:type="dxa"/>
            <w:vAlign w:val="bottom"/>
          </w:tcPr>
          <w:p>
            <w:pPr>
              <w:ind w:left="20"/>
              <w:spacing w:after="0"/>
              <w:rPr>
                <w:sz w:val="20"/>
                <w:szCs w:val="20"/>
                <w:color w:val="auto"/>
              </w:rPr>
            </w:pPr>
            <w:r>
              <w:rPr>
                <w:rFonts w:ascii="Arial" w:cs="Arial" w:eastAsia="Arial" w:hAnsi="Arial"/>
                <w:sz w:val="18"/>
                <w:szCs w:val="18"/>
                <w:color w:val="auto"/>
              </w:rPr>
              <w:t>Saudi Arabia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Slovakia s.r.o.</w:t>
            </w:r>
          </w:p>
        </w:tc>
        <w:tc>
          <w:tcPr>
            <w:tcW w:w="4260" w:type="dxa"/>
            <w:vAlign w:val="bottom"/>
          </w:tcPr>
          <w:p>
            <w:pPr>
              <w:ind w:left="20"/>
              <w:spacing w:after="0"/>
              <w:rPr>
                <w:sz w:val="20"/>
                <w:szCs w:val="20"/>
                <w:color w:val="auto"/>
              </w:rPr>
            </w:pPr>
            <w:r>
              <w:rPr>
                <w:rFonts w:ascii="Arial" w:cs="Arial" w:eastAsia="Arial" w:hAnsi="Arial"/>
                <w:sz w:val="18"/>
                <w:szCs w:val="18"/>
                <w:color w:val="auto"/>
              </w:rPr>
              <w:t>Slovak Republic</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Pharma, farmacevtska in biotehnoloska druzba, d.o.o.</w:t>
            </w:r>
          </w:p>
        </w:tc>
        <w:tc>
          <w:tcPr>
            <w:tcW w:w="4260" w:type="dxa"/>
            <w:vAlign w:val="bottom"/>
          </w:tcPr>
          <w:p>
            <w:pPr>
              <w:ind w:left="20"/>
              <w:spacing w:after="0"/>
              <w:rPr>
                <w:sz w:val="20"/>
                <w:szCs w:val="20"/>
                <w:color w:val="auto"/>
              </w:rPr>
            </w:pPr>
            <w:r>
              <w:rPr>
                <w:rFonts w:ascii="Arial" w:cs="Arial" w:eastAsia="Arial" w:hAnsi="Arial"/>
                <w:sz w:val="18"/>
                <w:szCs w:val="18"/>
                <w:color w:val="auto"/>
              </w:rPr>
              <w:t>Slovenia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Spain, S.L.</w:t>
            </w:r>
          </w:p>
        </w:tc>
        <w:tc>
          <w:tcPr>
            <w:tcW w:w="426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Sweden AB</w:t>
            </w:r>
          </w:p>
        </w:tc>
        <w:tc>
          <w:tcPr>
            <w:tcW w:w="426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Digital Health International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International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International Neuroscience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Management Services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Switzerland AG</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Eidetica Biopharma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Taiwan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Taiwan</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Turkey Ilac Ticaret Limited Sirketi</w:t>
            </w:r>
          </w:p>
        </w:tc>
        <w:tc>
          <w:tcPr>
            <w:tcW w:w="426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B.V.</w:t>
            </w:r>
          </w:p>
        </w:tc>
        <w:tc>
          <w:tcPr>
            <w:tcW w:w="42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Netherlands B.V.</w:t>
            </w:r>
          </w:p>
        </w:tc>
        <w:tc>
          <w:tcPr>
            <w:tcW w:w="42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Research Ltd.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Convergence Pharmaceuticals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Convergence Pharmaceuticals Holdings Ltd.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Old Convergence Pharmaceuticals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U.K.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0"/>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STATE OR OTHER JURISDICTION OF</w:t>
            </w:r>
          </w:p>
        </w:tc>
      </w:tr>
      <w:tr>
        <w:trPr>
          <w:trHeight w:val="257"/>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22"/>
                <w:szCs w:val="22"/>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INCORPORATION OR ORGANIZATION</w:t>
            </w:r>
          </w:p>
        </w:tc>
      </w:tr>
      <w:tr>
        <w:trPr>
          <w:trHeight w:val="245"/>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Silver Acquisition Co. Ltd.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240"/>
          </w:cols>
          <w:pgMar w:left="320" w:top="737" w:right="339" w:bottom="1440" w:gutter="0" w:footer="0" w:header="0"/>
        </w:sectPr>
      </w:pPr>
    </w:p>
    <w:bookmarkStart w:id="207" w:name="page208"/>
    <w:bookmarkEnd w:id="207"/>
    <w:p>
      <w:pPr>
        <w:spacing w:after="0"/>
        <w:rPr>
          <w:sz w:val="20"/>
          <w:szCs w:val="20"/>
          <w:color w:val="auto"/>
        </w:rPr>
      </w:pPr>
      <w:r>
        <w:rPr>
          <w:rFonts w:ascii="Arial" w:cs="Arial" w:eastAsia="Arial" w:hAnsi="Arial"/>
          <w:sz w:val="17"/>
          <w:szCs w:val="17"/>
          <w:color w:val="auto"/>
        </w:rPr>
        <w:t>Nightstar Therapeutics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ectPr>
          <w:pgSz w:w="11900" w:h="16838" w:orient="portrait"/>
          <w:cols w:equalWidth="0" w:num="2">
            <w:col w:w="6260" w:space="720"/>
            <w:col w:w="3139"/>
          </w:cols>
          <w:pgMar w:left="340" w:top="742" w:right="1440" w:bottom="1440" w:gutter="0" w:footer="0" w:header="0"/>
        </w:sectPr>
      </w:pPr>
    </w:p>
    <w:p>
      <w:pPr>
        <w:spacing w:after="0"/>
        <w:rPr>
          <w:sz w:val="20"/>
          <w:szCs w:val="20"/>
          <w:color w:val="auto"/>
        </w:rPr>
      </w:pPr>
      <w:r>
        <w:rPr>
          <w:rFonts w:ascii="Arial" w:cs="Arial" w:eastAsia="Arial" w:hAnsi="Arial"/>
          <w:sz w:val="18"/>
          <w:szCs w:val="18"/>
          <w:color w:val="auto"/>
        </w:rPr>
        <w:t>NightstaRx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ectPr>
          <w:pgSz w:w="11900" w:h="16838" w:orient="portrait"/>
          <w:cols w:equalWidth="0" w:num="2">
            <w:col w:w="6260" w:space="720"/>
            <w:col w:w="3139"/>
          </w:cols>
          <w:pgMar w:left="340" w:top="742" w:right="1440" w:bottom="1440" w:gutter="0" w:footer="0" w:header="0"/>
          <w:type w:val="continuous"/>
        </w:sectPr>
      </w:pPr>
    </w:p>
    <w:p>
      <w:pPr>
        <w:spacing w:after="0"/>
        <w:rPr>
          <w:sz w:val="20"/>
          <w:szCs w:val="20"/>
          <w:color w:val="auto"/>
        </w:rPr>
      </w:pPr>
      <w:r>
        <w:rPr>
          <w:rFonts w:ascii="Arial" w:cs="Arial" w:eastAsia="Arial" w:hAnsi="Arial"/>
          <w:sz w:val="17"/>
          <w:szCs w:val="17"/>
          <w:color w:val="auto"/>
        </w:rPr>
        <w:t>Tungsten Bidco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Kingdom</w:t>
      </w:r>
    </w:p>
    <w:p>
      <w:pPr>
        <w:spacing w:after="0" w:line="61" w:lineRule="exact"/>
        <w:rPr>
          <w:sz w:val="20"/>
          <w:szCs w:val="20"/>
          <w:color w:val="auto"/>
        </w:rPr>
      </w:pPr>
    </w:p>
    <w:p>
      <w:pPr>
        <w:sectPr>
          <w:pgSz w:w="11900" w:h="16838" w:orient="portrait"/>
          <w:cols w:equalWidth="0" w:num="2">
            <w:col w:w="6260" w:space="720"/>
            <w:col w:w="3139"/>
          </w:cols>
          <w:pgMar w:left="340" w:top="742" w:right="1440" w:bottom="1440" w:gutter="0" w:footer="0" w:header="0"/>
          <w:type w:val="continuous"/>
        </w:sectPr>
      </w:pPr>
    </w:p>
    <w:p>
      <w:pPr>
        <w:spacing w:after="0"/>
        <w:rPr>
          <w:sz w:val="20"/>
          <w:szCs w:val="20"/>
          <w:color w:val="auto"/>
        </w:rPr>
      </w:pPr>
      <w:r>
        <w:rPr>
          <w:rFonts w:ascii="Arial" w:cs="Arial" w:eastAsia="Arial" w:hAnsi="Arial"/>
          <w:sz w:val="18"/>
          <w:szCs w:val="18"/>
          <w:color w:val="auto"/>
        </w:rPr>
        <w:t>Biogen Idec Uruguay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Uruguay</w:t>
      </w:r>
    </w:p>
    <w:p>
      <w:pPr>
        <w:sectPr>
          <w:pgSz w:w="11900" w:h="16838" w:orient="portrait"/>
          <w:cols w:equalWidth="0" w:num="2">
            <w:col w:w="6260" w:space="720"/>
            <w:col w:w="3139"/>
          </w:cols>
          <w:pgMar w:left="340" w:top="742" w:right="1440" w:bottom="1440" w:gutter="0" w:footer="0" w:header="0"/>
          <w:type w:val="continuous"/>
        </w:sectPr>
      </w:pPr>
    </w:p>
    <w:bookmarkStart w:id="208" w:name="page209"/>
    <w:bookmarkEnd w:id="208"/>
    <w:p>
      <w:pPr>
        <w:jc w:val="right"/>
        <w:spacing w:after="0"/>
        <w:rPr>
          <w:sz w:val="20"/>
          <w:szCs w:val="20"/>
          <w:color w:val="auto"/>
        </w:rPr>
      </w:pPr>
      <w:r>
        <w:rPr>
          <w:rFonts w:ascii="Arial" w:cs="Arial" w:eastAsia="Arial" w:hAnsi="Arial"/>
          <w:sz w:val="22"/>
          <w:szCs w:val="22"/>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247" w:lineRule="exact"/>
        <w:rPr>
          <w:sz w:val="20"/>
          <w:szCs w:val="20"/>
          <w:color w:val="auto"/>
        </w:rPr>
      </w:pPr>
    </w:p>
    <w:p>
      <w:pPr>
        <w:ind w:right="80"/>
        <w:spacing w:after="0" w:line="244" w:lineRule="auto"/>
        <w:rPr>
          <w:sz w:val="20"/>
          <w:szCs w:val="20"/>
          <w:color w:val="auto"/>
        </w:rPr>
      </w:pPr>
      <w:r>
        <w:rPr>
          <w:rFonts w:ascii="Arial" w:cs="Arial" w:eastAsia="Arial" w:hAnsi="Arial"/>
          <w:sz w:val="22"/>
          <w:szCs w:val="22"/>
          <w:color w:val="auto"/>
        </w:rPr>
        <w:t>We hereby consent to the incorporation by reference in the Registration Statements on Form S-3 (No. 333-286915) and Form S-8 (Nos. 333-280360 and 333-218799) of Biogen Inc. of our report dated February 6, 2026,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February 6, 2026</w:t>
      </w:r>
    </w:p>
    <w:p>
      <w:pPr>
        <w:sectPr>
          <w:pgSz w:w="11900" w:h="16838" w:orient="portrait"/>
          <w:cols w:equalWidth="0" w:num="1">
            <w:col w:w="11240"/>
          </w:cols>
          <w:pgMar w:left="320" w:top="1205"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2"/>
          <w:szCs w:val="22"/>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Viehbacher, certify that:</w:t>
      </w:r>
    </w:p>
    <w:p>
      <w:pPr>
        <w:spacing w:after="0" w:line="171" w:lineRule="exact"/>
        <w:rPr>
          <w:sz w:val="20"/>
          <w:szCs w:val="20"/>
          <w:color w:val="auto"/>
        </w:rPr>
      </w:pPr>
    </w:p>
    <w:p>
      <w:pPr>
        <w:ind w:left="640" w:hanging="632"/>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annual report of Biogen Inc.;</w:t>
      </w:r>
    </w:p>
    <w:p>
      <w:pPr>
        <w:spacing w:after="0" w:line="252"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right="240" w:hanging="652"/>
        <w:spacing w:after="0" w:line="268" w:lineRule="auto"/>
        <w:tabs>
          <w:tab w:leader="none" w:pos="64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100" w:hanging="644"/>
        <w:spacing w:after="0" w:line="268" w:lineRule="auto"/>
        <w:tabs>
          <w:tab w:leader="none" w:pos="130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644"/>
        <w:spacing w:after="0" w:line="291" w:lineRule="auto"/>
        <w:tabs>
          <w:tab w:leader="none" w:pos="1304" w:val="left"/>
        </w:tabs>
        <w:numPr>
          <w:ilvl w:val="1"/>
          <w:numId w:val="1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644"/>
        <w:spacing w:after="0" w:line="268" w:lineRule="auto"/>
        <w:tabs>
          <w:tab w:leader="none" w:pos="1307"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644"/>
        <w:spacing w:after="0" w:line="268" w:lineRule="auto"/>
        <w:tabs>
          <w:tab w:leader="none" w:pos="130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644"/>
        <w:spacing w:after="0" w:line="268" w:lineRule="auto"/>
        <w:tabs>
          <w:tab w:leader="none" w:pos="130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6,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Viehbacher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4"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Robin C. Kramer, certify that:</w:t>
      </w:r>
    </w:p>
    <w:p>
      <w:pPr>
        <w:spacing w:after="0" w:line="171" w:lineRule="exact"/>
        <w:rPr>
          <w:sz w:val="20"/>
          <w:szCs w:val="20"/>
          <w:color w:val="auto"/>
        </w:rPr>
      </w:pPr>
    </w:p>
    <w:p>
      <w:pPr>
        <w:ind w:left="640" w:hanging="632"/>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of Biogen Inc.;</w:t>
      </w:r>
    </w:p>
    <w:p>
      <w:pPr>
        <w:spacing w:after="0" w:line="252"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right="240" w:hanging="652"/>
        <w:spacing w:after="0" w:line="268" w:lineRule="auto"/>
        <w:tabs>
          <w:tab w:leader="none" w:pos="6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100" w:hanging="644"/>
        <w:spacing w:after="0" w:line="268" w:lineRule="auto"/>
        <w:tabs>
          <w:tab w:leader="none" w:pos="130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644"/>
        <w:spacing w:after="0" w:line="291" w:lineRule="auto"/>
        <w:tabs>
          <w:tab w:leader="none" w:pos="1304"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644"/>
        <w:spacing w:after="0" w:line="268" w:lineRule="auto"/>
        <w:tabs>
          <w:tab w:leader="none" w:pos="130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644"/>
        <w:spacing w:after="0" w:line="268" w:lineRule="auto"/>
        <w:tabs>
          <w:tab w:leader="none" w:pos="130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644"/>
        <w:spacing w:after="0" w:line="268" w:lineRule="auto"/>
        <w:tabs>
          <w:tab w:leader="none" w:pos="130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6,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Robin C. Kramer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Robin C. Kramer</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4"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15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1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Annual Report on Form 10-K for the year ended December 31, 2025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6,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Viehbacher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6, 2026</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Robin C. Kramer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Robin C. Kramer</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1)"/>
      <w:numFmt w:val="decimal"/>
      <w:start w:val="1"/>
    </w:lvl>
  </w:abstractNum>
  <w:abstractNum w:abstractNumId="25">
    <w:nsid w:val="60B6DF70"/>
    <w:multiLevelType w:val="hybridMultilevel"/>
    <w:lvl w:ilvl="0">
      <w:lvlJc w:val="left"/>
      <w:lvlText w:val="(%1)"/>
      <w:numFmt w:val="decimal"/>
      <w:start w:val="1"/>
    </w:lvl>
  </w:abstractNum>
  <w:abstractNum w:abstractNumId="26">
    <w:nsid w:val="6A5EE64"/>
    <w:multiLevelType w:val="hybridMultilevel"/>
    <w:lvl w:ilvl="0">
      <w:lvlJc w:val="left"/>
      <w:lvlText w:val="(%1)"/>
      <w:numFmt w:val="decimal"/>
      <w:start w:val="2"/>
    </w:lvl>
  </w:abstractNum>
  <w:abstractNum w:abstractNumId="27">
    <w:nsid w:val="14330624"/>
    <w:multiLevelType w:val="hybridMultilevel"/>
    <w:lvl w:ilvl="0">
      <w:lvlJc w:val="left"/>
      <w:lvlText w:val="(%1)"/>
      <w:numFmt w:val="decimal"/>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l"/>
      <w:numFmt w:val="bullet"/>
      <w:start w:val="1"/>
    </w:lvl>
  </w:abstractNum>
  <w:abstractNum w:abstractNumId="37">
    <w:nsid w:val="76272110"/>
    <w:multiLevelType w:val="hybridMultilevel"/>
    <w:lvl w:ilvl="0">
      <w:lvlJc w:val="left"/>
      <w:lvlText w:val="l"/>
      <w:numFmt w:val="bullet"/>
      <w:start w:val="1"/>
    </w:lvl>
  </w:abstractNum>
  <w:abstractNum w:abstractNumId="38">
    <w:nsid w:val="4C04A8AF"/>
    <w:multiLevelType w:val="hybridMultilevel"/>
    <w:lvl w:ilvl="0">
      <w:lvlJc w:val="left"/>
      <w:lvlText w:val="l"/>
      <w:numFmt w:val="bullet"/>
      <w:start w:val="1"/>
    </w:lvl>
  </w:abstractNum>
  <w:abstractNum w:abstractNumId="39">
    <w:nsid w:val="1716703B"/>
    <w:multiLevelType w:val="hybridMultilevel"/>
    <w:lvl w:ilvl="0">
      <w:lvlJc w:val="left"/>
      <w:lvlText w:val="&amp;"/>
      <w:numFmt w:val="bullet"/>
      <w:start w:val="1"/>
    </w:lvl>
  </w:abstractNum>
  <w:abstractNum w:abstractNumId="40">
    <w:nsid w:val="14E17E33"/>
    <w:multiLevelType w:val="hybridMultilevel"/>
    <w:lvl w:ilvl="0">
      <w:lvlJc w:val="left"/>
      <w:lvlText w:val="l"/>
      <w:numFmt w:val="bullet"/>
      <w:start w:val="1"/>
    </w:lvl>
  </w:abstractNum>
  <w:abstractNum w:abstractNumId="41">
    <w:nsid w:val="3222E7CD"/>
    <w:multiLevelType w:val="hybridMultilevel"/>
    <w:lvl w:ilvl="0">
      <w:lvlJc w:val="left"/>
      <w:lvlText w:val="l"/>
      <w:numFmt w:val="bullet"/>
      <w:start w:val="1"/>
    </w:lvl>
  </w:abstractNum>
  <w:abstractNum w:abstractNumId="42">
    <w:nsid w:val="74DE0EE3"/>
    <w:multiLevelType w:val="hybridMultilevel"/>
    <w:lvl w:ilvl="0">
      <w:lvlJc w:val="left"/>
      <w:lvlText w:val="l"/>
      <w:numFmt w:val="bullet"/>
      <w:start w:val="1"/>
    </w:lvl>
  </w:abstractNum>
  <w:abstractNum w:abstractNumId="43">
    <w:nsid w:val="68EBC550"/>
    <w:multiLevelType w:val="hybridMultilevel"/>
    <w:lvl w:ilvl="0">
      <w:lvlJc w:val="left"/>
      <w:lvlText w:val="l"/>
      <w:numFmt w:val="bullet"/>
      <w:start w:val="1"/>
    </w:lvl>
  </w:abstractNum>
  <w:abstractNum w:abstractNumId="44">
    <w:nsid w:val="2DF6D648"/>
    <w:multiLevelType w:val="hybridMultilevel"/>
    <w:lvl w:ilvl="0">
      <w:lvlJc w:val="left"/>
      <w:lvlText w:val="l"/>
      <w:numFmt w:val="bullet"/>
      <w:start w:val="1"/>
    </w:lvl>
  </w:abstractNum>
  <w:abstractNum w:abstractNumId="45">
    <w:nsid w:val="46B7D447"/>
    <w:multiLevelType w:val="hybridMultilevel"/>
    <w:lvl w:ilvl="0">
      <w:lvlJc w:val="left"/>
      <w:lvlText w:val="l"/>
      <w:numFmt w:val="bullet"/>
      <w:start w:val="1"/>
    </w:lvl>
  </w:abstractNum>
  <w:abstractNum w:abstractNumId="46">
    <w:nsid w:val="4A2AC315"/>
    <w:multiLevelType w:val="hybridMultilevel"/>
    <w:lvl w:ilvl="0">
      <w:lvlJc w:val="left"/>
      <w:lvlText w:val="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1)"/>
      <w:numFmt w:val="decimal"/>
      <w:start w:val="1"/>
    </w:lvl>
  </w:abstractNum>
  <w:abstractNum w:abstractNumId="62">
    <w:nsid w:val="6FC75AF8"/>
    <w:multiLevelType w:val="hybridMultilevel"/>
    <w:lvl w:ilvl="0">
      <w:lvlJc w:val="left"/>
      <w:lvlText w:val="(%1)"/>
      <w:numFmt w:val="decimal"/>
      <w:start w:val="1"/>
    </w:lvl>
  </w:abstractNum>
  <w:abstractNum w:abstractNumId="63">
    <w:nsid w:val="6A5F7029"/>
    <w:multiLevelType w:val="hybridMultilevel"/>
    <w:lvl w:ilvl="0">
      <w:lvlJc w:val="left"/>
      <w:lvlText w:val="(%1)"/>
      <w:numFmt w:val="lowerRoman"/>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
      <w:numFmt w:val="bullet"/>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1)"/>
      <w:numFmt w:val="decimal"/>
      <w:start w:val="1"/>
    </w:lvl>
  </w:abstractNum>
  <w:abstractNum w:abstractNumId="80">
    <w:nsid w:val="2A155DBC"/>
    <w:multiLevelType w:val="hybridMultilevel"/>
    <w:lvl w:ilvl="0">
      <w:lvlJc w:val="left"/>
      <w:lvlText w:val="(%1)"/>
      <w:numFmt w:val="decimal"/>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
      <w:numFmt w:val="bullet"/>
      <w:start w:val="1"/>
    </w:lvl>
  </w:abstractNum>
  <w:abstractNum w:abstractNumId="85">
    <w:nsid w:val="53584BCB"/>
    <w:multiLevelType w:val="hybridMultilevel"/>
    <w:lvl w:ilvl="0">
      <w:lvlJc w:val="left"/>
      <w:lvlText w:val="•"/>
      <w:numFmt w:val="bullet"/>
      <w:start w:val="1"/>
    </w:lvl>
  </w:abstractNum>
  <w:abstractNum w:abstractNumId="86">
    <w:nsid w:val="415E286C"/>
    <w:multiLevelType w:val="hybridMultilevel"/>
    <w:lvl w:ilvl="0">
      <w:lvlJc w:val="left"/>
      <w:lvlText w:val="•"/>
      <w:numFmt w:val="bullet"/>
      <w:start w:val="1"/>
    </w:lvl>
  </w:abstractNum>
  <w:abstractNum w:abstractNumId="87">
    <w:nsid w:val="7C58FD05"/>
    <w:multiLevelType w:val="hybridMultilevel"/>
    <w:lvl w:ilvl="0">
      <w:lvlJc w:val="left"/>
      <w:lvlText w:val="•"/>
      <w:numFmt w:val="bullet"/>
      <w:start w:val="1"/>
    </w:lvl>
  </w:abstractNum>
  <w:abstractNum w:abstractNumId="88">
    <w:nsid w:val="23D86AAC"/>
    <w:multiLevelType w:val="hybridMultilevel"/>
    <w:lvl w:ilvl="0">
      <w:lvlJc w:val="left"/>
      <w:lvlText w:val="•"/>
      <w:numFmt w:val="bullet"/>
      <w:start w:val="1"/>
    </w:lvl>
  </w:abstractNum>
  <w:abstractNum w:abstractNumId="89">
    <w:nsid w:val="45E6D486"/>
    <w:multiLevelType w:val="hybridMultilevel"/>
    <w:lvl w:ilvl="0">
      <w:lvlJc w:val="left"/>
      <w:lvlText w:val="•"/>
      <w:numFmt w:val="bullet"/>
      <w:start w:val="1"/>
    </w:lvl>
  </w:abstractNum>
  <w:abstractNum w:abstractNumId="90">
    <w:nsid w:val="5C10FE21"/>
    <w:multiLevelType w:val="hybridMultilevel"/>
    <w:lvl w:ilvl="0">
      <w:lvlJc w:val="left"/>
      <w:lvlText w:val="(%1)"/>
      <w:numFmt w:val="decimal"/>
      <w:start w:val="1"/>
    </w:lvl>
  </w:abstractNum>
  <w:abstractNum w:abstractNumId="91">
    <w:nsid w:val="E7FFA2B"/>
    <w:multiLevelType w:val="hybridMultilevel"/>
    <w:lvl w:ilvl="0">
      <w:lvlJc w:val="left"/>
      <w:lvlText w:val="•"/>
      <w:numFmt w:val="bullet"/>
      <w:start w:val="1"/>
    </w:lvl>
  </w:abstractNum>
  <w:abstractNum w:abstractNumId="92">
    <w:nsid w:val="3C5991AA"/>
    <w:multiLevelType w:val="hybridMultilevel"/>
    <w:lvl w:ilvl="0">
      <w:lvlJc w:val="left"/>
      <w:lvlText w:val="(%1)"/>
      <w:numFmt w:val="decimal"/>
      <w:start w:val="1"/>
    </w:lvl>
  </w:abstractNum>
  <w:abstractNum w:abstractNumId="93">
    <w:nsid w:val="4BD8591A"/>
    <w:multiLevelType w:val="hybridMultilevel"/>
    <w:lvl w:ilvl="0">
      <w:lvlJc w:val="left"/>
      <w:lvlText w:val="•"/>
      <w:numFmt w:val="bullet"/>
      <w:start w:val="1"/>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
      <w:numFmt w:val="bullet"/>
      <w:start w:val="1"/>
    </w:lvl>
  </w:abstractNum>
  <w:abstractNum w:abstractNumId="96">
    <w:nsid w:val="2B0D8DBE"/>
    <w:multiLevelType w:val="hybridMultilevel"/>
    <w:lvl w:ilvl="0">
      <w:lvlJc w:val="left"/>
      <w:lvlText w:val="*"/>
      <w:numFmt w:val="bullet"/>
      <w:start w:val="1"/>
    </w:lvl>
  </w:abstractNum>
  <w:abstractNum w:abstractNumId="97">
    <w:nsid w:val="6C80EC70"/>
    <w:multiLevelType w:val="hybridMultilevel"/>
    <w:lvl w:ilvl="0">
      <w:lvlJc w:val="left"/>
      <w:lvlText w:val="†"/>
      <w:numFmt w:val="bullet"/>
      <w:start w:val="1"/>
    </w:lvl>
  </w:abstractNum>
  <w:abstractNum w:abstractNumId="98">
    <w:nsid w:val="379E21B5"/>
    <w:multiLevelType w:val="hybridMultilevel"/>
    <w:lvl w:ilvl="0">
      <w:lvlJc w:val="left"/>
      <w:lvlText w:val="++"/>
      <w:numFmt w:val="bullet"/>
      <w:start w:val="1"/>
    </w:lvl>
  </w:abstractNum>
  <w:abstractNum w:abstractNumId="99">
    <w:nsid w:val="69E373"/>
    <w:multiLevelType w:val="hybridMultilevel"/>
    <w:lvl w:ilvl="0">
      <w:lvlJc w:val="left"/>
      <w:lvlText w:val="•"/>
      <w:numFmt w:val="bullet"/>
      <w:start w:val="1"/>
    </w:lvl>
  </w:abstractNum>
  <w:abstractNum w:abstractNumId="100">
    <w:nsid w:val="2C27173B"/>
    <w:multiLevelType w:val="hybridMultilevel"/>
    <w:lvl w:ilvl="0">
      <w:lvlJc w:val="left"/>
      <w:lvlText w:val="•"/>
      <w:numFmt w:val="bullet"/>
      <w:start w:val="1"/>
    </w:lvl>
  </w:abstractNum>
  <w:abstractNum w:abstractNumId="101">
    <w:nsid w:val="4C9B0904"/>
    <w:multiLevelType w:val="hybridMultilevel"/>
    <w:lvl w:ilvl="0">
      <w:lvlJc w:val="left"/>
      <w:lvlText w:val="(%1)"/>
      <w:numFmt w:val="lowerRoman"/>
      <w:start w:val="1"/>
    </w:lvl>
  </w:abstractNum>
  <w:abstractNum w:abstractNumId="102">
    <w:nsid w:val="6AA7B75C"/>
    <w:multiLevelType w:val="hybridMultilevel"/>
    <w:lvl w:ilvl="0">
      <w:lvlJc w:val="left"/>
      <w:lvlText w:val="(%1)"/>
      <w:numFmt w:val="lowerRoman"/>
      <w:start w:val="2"/>
    </w:lvl>
  </w:abstractNum>
  <w:abstractNum w:abstractNumId="103">
    <w:nsid w:val="1DF029D3"/>
    <w:multiLevelType w:val="hybridMultilevel"/>
    <w:lvl w:ilvl="0">
      <w:lvlJc w:val="left"/>
      <w:lvlText w:val="•"/>
      <w:numFmt w:val="bullet"/>
      <w:start w:val="1"/>
    </w:lvl>
  </w:abstractNum>
  <w:abstractNum w:abstractNumId="104">
    <w:nsid w:val="5675FF36"/>
    <w:multiLevelType w:val="hybridMultilevel"/>
    <w:lvl w:ilvl="0">
      <w:lvlJc w:val="left"/>
      <w:lvlText w:val="(%1)"/>
      <w:numFmt w:val="decimal"/>
      <w:start w:val="1"/>
    </w:lvl>
  </w:abstractNum>
  <w:abstractNum w:abstractNumId="105">
    <w:nsid w:val="3DD15094"/>
    <w:multiLevelType w:val="hybridMultilevel"/>
    <w:lvl w:ilvl="0">
      <w:lvlJc w:val="left"/>
      <w:lvlText w:val="(%1)"/>
      <w:numFmt w:val="decimal"/>
      <w:start w:val="1"/>
    </w:lvl>
  </w:abstractNum>
  <w:abstractNum w:abstractNumId="106">
    <w:nsid w:val="3DB012B3"/>
    <w:multiLevelType w:val="hybridMultilevel"/>
    <w:lvl w:ilvl="0">
      <w:lvlJc w:val="left"/>
      <w:lvlText w:val="(%1)"/>
      <w:numFmt w:val="decimal"/>
      <w:start w:val="1"/>
    </w:lvl>
  </w:abstractNum>
  <w:abstractNum w:abstractNumId="107">
    <w:nsid w:val="2708C9AF"/>
    <w:multiLevelType w:val="hybridMultilevel"/>
    <w:lvl w:ilvl="0">
      <w:lvlJc w:val="left"/>
      <w:lvlText w:val="(%1)"/>
      <w:numFmt w:val="decimal"/>
      <w:start w:val="1"/>
    </w:lvl>
  </w:abstractNum>
  <w:abstractNum w:abstractNumId="108">
    <w:nsid w:val="5B25ACE2"/>
    <w:multiLevelType w:val="hybridMultilevel"/>
    <w:lvl w:ilvl="0">
      <w:lvlJc w:val="left"/>
      <w:lvlText w:val="(%1)"/>
      <w:numFmt w:val="decimal"/>
      <w:start w:val="1"/>
    </w:lvl>
  </w:abstractNum>
  <w:abstractNum w:abstractNumId="109">
    <w:nsid w:val="175DFCF0"/>
    <w:multiLevelType w:val="hybridMultilevel"/>
    <w:lvl w:ilvl="0">
      <w:lvlJc w:val="left"/>
      <w:lvlText w:val="(%1)"/>
      <w:numFmt w:val="decimal"/>
      <w:start w:val="1"/>
    </w:lvl>
  </w:abstractNum>
  <w:abstractNum w:abstractNumId="110">
    <w:nsid w:val="4F97E3E4"/>
    <w:multiLevelType w:val="hybridMultilevel"/>
    <w:lvl w:ilvl="0">
      <w:lvlJc w:val="left"/>
      <w:lvlText w:val="(%1)"/>
      <w:numFmt w:val="decimal"/>
      <w:start w:val="1"/>
    </w:lvl>
  </w:abstractNum>
  <w:abstractNum w:abstractNumId="111">
    <w:nsid w:val="53B0A9E"/>
    <w:multiLevelType w:val="hybridMultilevel"/>
    <w:lvl w:ilvl="0">
      <w:lvlJc w:val="left"/>
      <w:lvlText w:val="$"/>
      <w:numFmt w:val="bullet"/>
      <w:start w:val="1"/>
    </w:lvl>
  </w:abstractNum>
  <w:abstractNum w:abstractNumId="112">
    <w:nsid w:val="34FD6B4F"/>
    <w:multiLevelType w:val="hybridMultilevel"/>
    <w:lvl w:ilvl="0">
      <w:lvlJc w:val="left"/>
      <w:lvlText w:val="$"/>
      <w:numFmt w:val="bullet"/>
      <w:start w:val="1"/>
    </w:lvl>
  </w:abstractNum>
  <w:abstractNum w:abstractNumId="113">
    <w:nsid w:val="5915FF32"/>
    <w:multiLevelType w:val="hybridMultilevel"/>
    <w:lvl w:ilvl="0">
      <w:lvlJc w:val="left"/>
      <w:lvlText w:val="$"/>
      <w:numFmt w:val="bullet"/>
      <w:start w:val="1"/>
    </w:lvl>
  </w:abstractNum>
  <w:abstractNum w:abstractNumId="114">
    <w:nsid w:val="56438D15"/>
    <w:multiLevelType w:val="hybridMultilevel"/>
    <w:lvl w:ilvl="0">
      <w:lvlJc w:val="left"/>
      <w:lvlText w:val="(%1)"/>
      <w:numFmt w:val="decimal"/>
      <w:start w:val="1"/>
    </w:lvl>
  </w:abstractNum>
  <w:abstractNum w:abstractNumId="115">
    <w:nsid w:val="519E3149"/>
    <w:multiLevelType w:val="hybridMultilevel"/>
    <w:lvl w:ilvl="0">
      <w:lvlJc w:val="left"/>
      <w:lvlText w:val="(%1)"/>
      <w:numFmt w:val="decimal"/>
      <w:start w:val="1"/>
    </w:lvl>
  </w:abstractNum>
  <w:abstractNum w:abstractNumId="116">
    <w:nsid w:val="2C6E4AFD"/>
    <w:multiLevelType w:val="hybridMultilevel"/>
    <w:lvl w:ilvl="0">
      <w:lvlJc w:val="left"/>
      <w:lvlText w:val="•"/>
      <w:numFmt w:val="bullet"/>
      <w:start w:val="1"/>
    </w:lvl>
  </w:abstractNum>
  <w:abstractNum w:abstractNumId="117">
    <w:nsid w:val="17A1B582"/>
    <w:multiLevelType w:val="hybridMultilevel"/>
    <w:lvl w:ilvl="0">
      <w:lvlJc w:val="left"/>
      <w:lvlText w:val="•"/>
      <w:numFmt w:val="bullet"/>
      <w:start w:val="1"/>
    </w:lvl>
  </w:abstractNum>
  <w:abstractNum w:abstractNumId="118">
    <w:nsid w:val="4DF72E4E"/>
    <w:multiLevelType w:val="hybridMultilevel"/>
    <w:lvl w:ilvl="0">
      <w:lvlJc w:val="left"/>
      <w:lvlText w:val="•"/>
      <w:numFmt w:val="bullet"/>
      <w:start w:val="1"/>
    </w:lvl>
  </w:abstractNum>
  <w:abstractNum w:abstractNumId="119">
    <w:nsid w:val="5046B5A9"/>
    <w:multiLevelType w:val="hybridMultilevel"/>
    <w:lvl w:ilvl="0">
      <w:lvlJc w:val="left"/>
      <w:lvlText w:val="•"/>
      <w:numFmt w:val="bullet"/>
      <w:start w:val="1"/>
    </w:lvl>
  </w:abstractNum>
  <w:abstractNum w:abstractNumId="120">
    <w:nsid w:val="5D888A08"/>
    <w:multiLevelType w:val="hybridMultilevel"/>
    <w:lvl w:ilvl="0">
      <w:lvlJc w:val="left"/>
      <w:lvlText w:val="(%1)"/>
      <w:numFmt w:val="decimal"/>
      <w:start w:val="1"/>
    </w:lvl>
  </w:abstractNum>
  <w:abstractNum w:abstractNumId="121">
    <w:nsid w:val="2A082C70"/>
    <w:multiLevelType w:val="hybridMultilevel"/>
    <w:lvl w:ilvl="0">
      <w:lvlJc w:val="left"/>
      <w:lvlText w:val="(%1)"/>
      <w:numFmt w:val="decimal"/>
      <w:start w:val="1"/>
    </w:lvl>
  </w:abstractNum>
  <w:abstractNum w:abstractNumId="122">
    <w:nsid w:val="5EC6AFD4"/>
    <w:multiLevelType w:val="hybridMultilevel"/>
    <w:lvl w:ilvl="0">
      <w:lvlJc w:val="left"/>
      <w:lvlText w:val="(%1)"/>
      <w:numFmt w:val="decimal"/>
      <w:start w:val="1"/>
    </w:lvl>
  </w:abstractNum>
  <w:abstractNum w:abstractNumId="123">
    <w:nsid w:val="19E21BB2"/>
    <w:multiLevelType w:val="hybridMultilevel"/>
    <w:lvl w:ilvl="0">
      <w:lvlJc w:val="left"/>
      <w:lvlText w:val="(%1)"/>
      <w:numFmt w:val="decimal"/>
      <w:start w:val="1"/>
    </w:lvl>
  </w:abstractNum>
  <w:abstractNum w:abstractNumId="124">
    <w:nsid w:val="75E0858A"/>
    <w:multiLevelType w:val="hybridMultilevel"/>
    <w:lvl w:ilvl="0">
      <w:lvlJc w:val="left"/>
      <w:lvlText w:val="•"/>
      <w:numFmt w:val="bullet"/>
      <w:start w:val="1"/>
    </w:lvl>
  </w:abstractNum>
  <w:abstractNum w:abstractNumId="125">
    <w:nsid w:val="57A61A29"/>
    <w:multiLevelType w:val="hybridMultilevel"/>
    <w:lvl w:ilvl="0">
      <w:lvlJc w:val="left"/>
      <w:lvlText w:val="(%1)"/>
      <w:numFmt w:val="decimal"/>
      <w:start w:val="1"/>
    </w:lvl>
  </w:abstractNum>
  <w:abstractNum w:abstractNumId="126">
    <w:nsid w:val="5399C654"/>
    <w:multiLevelType w:val="hybridMultilevel"/>
    <w:lvl w:ilvl="0">
      <w:lvlJc w:val="left"/>
      <w:lvlText w:val="(%1)"/>
      <w:numFmt w:val="decimal"/>
      <w:start w:val="1"/>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o"/>
      <w:numFmt w:val="bullet"/>
      <w:start w:val="1"/>
    </w:lvl>
  </w:abstractNum>
  <w:abstractNum w:abstractNumId="131">
    <w:nsid w:val="704E1DD5"/>
    <w:multiLevelType w:val="hybridMultilevel"/>
    <w:lvl w:ilvl="0">
      <w:lvlJc w:val="left"/>
      <w:lvlText w:val="o"/>
      <w:numFmt w:val="bullet"/>
      <w:start w:val="1"/>
    </w:lvl>
  </w:abstractNum>
  <w:abstractNum w:abstractNumId="132">
    <w:nsid w:val="57D2F10E"/>
    <w:multiLevelType w:val="hybridMultilevel"/>
    <w:lvl w:ilvl="0">
      <w:lvlJc w:val="left"/>
      <w:lvlText w:val="•"/>
      <w:numFmt w:val="bullet"/>
      <w:start w:val="1"/>
    </w:lvl>
  </w:abstractNum>
  <w:abstractNum w:abstractNumId="133">
    <w:nsid w:val="BFFAE18"/>
    <w:multiLevelType w:val="hybridMultilevel"/>
    <w:lvl w:ilvl="0">
      <w:lvlJc w:val="left"/>
      <w:lvlText w:val="•"/>
      <w:numFmt w:val="bullet"/>
      <w:start w:val="1"/>
    </w:lvl>
  </w:abstractNum>
  <w:abstractNum w:abstractNumId="134">
    <w:nsid w:val="E3E47A8"/>
    <w:multiLevelType w:val="hybridMultilevel"/>
    <w:lvl w:ilvl="0">
      <w:lvlJc w:val="left"/>
      <w:lvlText w:val="%1."/>
      <w:numFmt w:val="decimal"/>
      <w:start w:val="1"/>
    </w:lvl>
    <w:lvl w:ilvl="1">
      <w:lvlJc w:val="left"/>
      <w:lvlText w:val="(%2)"/>
      <w:numFmt w:val="lowerLetter"/>
      <w:start w:val="1"/>
    </w:lvl>
  </w:abstractNum>
  <w:abstractNum w:abstractNumId="135">
    <w:nsid w:val="2E48F04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64" Type="http://schemas.openxmlformats.org/officeDocument/2006/relationships/image" Target="media/image216.png"/><Relationship Id="rId265" Type="http://schemas.openxmlformats.org/officeDocument/2006/relationships/image" Target="media/image217.png"/><Relationship Id="rId266" Type="http://schemas.openxmlformats.org/officeDocument/2006/relationships/image" Target="media/image218.png"/><Relationship Id="rId267" Type="http://schemas.openxmlformats.org/officeDocument/2006/relationships/image" Target="media/image219.png"/><Relationship Id="rId268" Type="http://schemas.openxmlformats.org/officeDocument/2006/relationships/image" Target="media/image220.png"/><Relationship Id="rId269" Type="http://schemas.openxmlformats.org/officeDocument/2006/relationships/image" Target="media/image221.png"/><Relationship Id="rId270" Type="http://schemas.openxmlformats.org/officeDocument/2006/relationships/image" Target="media/image222.png"/><Relationship Id="rId271" Type="http://schemas.openxmlformats.org/officeDocument/2006/relationships/image" Target="media/image223.png"/><Relationship Id="rId272" Type="http://schemas.openxmlformats.org/officeDocument/2006/relationships/image" Target="media/image224.png"/><Relationship Id="rId273" Type="http://schemas.openxmlformats.org/officeDocument/2006/relationships/image" Target="media/image225.png"/><Relationship Id="rId274" Type="http://schemas.openxmlformats.org/officeDocument/2006/relationships/image" Target="media/image226.png"/><Relationship Id="rId275" Type="http://schemas.openxmlformats.org/officeDocument/2006/relationships/image" Target="media/image227.png"/><Relationship Id="rId276" Type="http://schemas.openxmlformats.org/officeDocument/2006/relationships/image" Target="media/image228.png"/><Relationship Id="rId277" Type="http://schemas.openxmlformats.org/officeDocument/2006/relationships/image" Target="media/image229.png"/><Relationship Id="rId278" Type="http://schemas.openxmlformats.org/officeDocument/2006/relationships/image" Target="media/image230.png"/><Relationship Id="rId279" Type="http://schemas.openxmlformats.org/officeDocument/2006/relationships/image" Target="media/image231.png"/><Relationship Id="rId280" Type="http://schemas.openxmlformats.org/officeDocument/2006/relationships/image" Target="media/image232.png"/><Relationship Id="rId281" Type="http://schemas.openxmlformats.org/officeDocument/2006/relationships/image" Target="media/image233.png"/><Relationship Id="rId282" Type="http://schemas.openxmlformats.org/officeDocument/2006/relationships/image" Target="media/image234.png"/><Relationship Id="rId283" Type="http://schemas.openxmlformats.org/officeDocument/2006/relationships/image" Target="media/image235.png"/><Relationship Id="rId284" Type="http://schemas.openxmlformats.org/officeDocument/2006/relationships/image" Target="media/image236.png"/><Relationship Id="rId285" Type="http://schemas.openxmlformats.org/officeDocument/2006/relationships/image" Target="media/image237.png"/><Relationship Id="rId286" Type="http://schemas.openxmlformats.org/officeDocument/2006/relationships/image" Target="media/image238.png"/><Relationship Id="rId287" Type="http://schemas.openxmlformats.org/officeDocument/2006/relationships/image" Target="media/image239.png"/><Relationship Id="rId288" Type="http://schemas.openxmlformats.org/officeDocument/2006/relationships/image" Target="media/image240.png"/><Relationship Id="rId289" Type="http://schemas.openxmlformats.org/officeDocument/2006/relationships/image" Target="media/image241.png"/><Relationship Id="rId290" Type="http://schemas.openxmlformats.org/officeDocument/2006/relationships/image" Target="media/image242.png"/><Relationship Id="rId291" Type="http://schemas.openxmlformats.org/officeDocument/2006/relationships/image" Target="media/image243.png"/><Relationship Id="rId292" Type="http://schemas.openxmlformats.org/officeDocument/2006/relationships/image" Target="media/image244.png"/><Relationship Id="rId293" Type="http://schemas.openxmlformats.org/officeDocument/2006/relationships/image" Target="media/image245.png"/><Relationship Id="rId294" Type="http://schemas.openxmlformats.org/officeDocument/2006/relationships/image" Target="media/image246.png"/><Relationship Id="rId295" Type="http://schemas.openxmlformats.org/officeDocument/2006/relationships/image" Target="media/image247.png"/><Relationship Id="rId296" Type="http://schemas.openxmlformats.org/officeDocument/2006/relationships/image" Target="media/image248.png"/><Relationship Id="rId297" Type="http://schemas.openxmlformats.org/officeDocument/2006/relationships/image" Target="media/image249.png"/><Relationship Id="rId298" Type="http://schemas.openxmlformats.org/officeDocument/2006/relationships/image" Target="media/image250.png"/><Relationship Id="rId299" Type="http://schemas.openxmlformats.org/officeDocument/2006/relationships/image" Target="media/image251.png"/><Relationship Id="rId300" Type="http://schemas.openxmlformats.org/officeDocument/2006/relationships/image" Target="media/image252.png"/><Relationship Id="rId301" Type="http://schemas.openxmlformats.org/officeDocument/2006/relationships/image" Target="media/image253.png"/><Relationship Id="rId302" Type="http://schemas.openxmlformats.org/officeDocument/2006/relationships/image" Target="media/image254.png"/><Relationship Id="rId303" Type="http://schemas.openxmlformats.org/officeDocument/2006/relationships/image" Target="media/image255.png"/><Relationship Id="rId304" Type="http://schemas.openxmlformats.org/officeDocument/2006/relationships/image" Target="media/image256.png"/><Relationship Id="rId305" Type="http://schemas.openxmlformats.org/officeDocument/2006/relationships/image" Target="media/image257.png"/><Relationship Id="rId306" Type="http://schemas.openxmlformats.org/officeDocument/2006/relationships/image" Target="media/image258.png"/><Relationship Id="rId307" Type="http://schemas.openxmlformats.org/officeDocument/2006/relationships/image" Target="media/image259.png"/><Relationship Id="rId308" Type="http://schemas.openxmlformats.org/officeDocument/2006/relationships/image" Target="media/image260.png"/><Relationship Id="rId309" Type="http://schemas.openxmlformats.org/officeDocument/2006/relationships/image" Target="media/image261.png"/><Relationship Id="rId310" Type="http://schemas.openxmlformats.org/officeDocument/2006/relationships/image" Target="media/image262.png"/><Relationship Id="rId311" Type="http://schemas.openxmlformats.org/officeDocument/2006/relationships/image" Target="media/image263.png"/><Relationship Id="rId312" Type="http://schemas.openxmlformats.org/officeDocument/2006/relationships/image" Target="media/image264.png"/><Relationship Id="rId313" Type="http://schemas.openxmlformats.org/officeDocument/2006/relationships/image" Target="media/image265.png"/><Relationship Id="rId314" Type="http://schemas.openxmlformats.org/officeDocument/2006/relationships/image" Target="media/image266.png"/><Relationship Id="rId315" Type="http://schemas.openxmlformats.org/officeDocument/2006/relationships/image" Target="media/image267.png"/><Relationship Id="rId316" Type="http://schemas.openxmlformats.org/officeDocument/2006/relationships/image" Target="media/image268.png"/><Relationship Id="rId317" Type="http://schemas.openxmlformats.org/officeDocument/2006/relationships/image" Target="media/image269.png"/><Relationship Id="rId318" Type="http://schemas.openxmlformats.org/officeDocument/2006/relationships/image" Target="media/image270.png"/><Relationship Id="rId319" Type="http://schemas.openxmlformats.org/officeDocument/2006/relationships/image" Target="media/image271.png"/><Relationship Id="rId320" Type="http://schemas.openxmlformats.org/officeDocument/2006/relationships/image" Target="media/image272.png"/><Relationship Id="rId321" Type="http://schemas.openxmlformats.org/officeDocument/2006/relationships/image" Target="media/image273.png"/><Relationship Id="rId322" Type="http://schemas.openxmlformats.org/officeDocument/2006/relationships/image" Target="media/image274.png"/><Relationship Id="rId323" Type="http://schemas.openxmlformats.org/officeDocument/2006/relationships/image" Target="media/image275.png"/><Relationship Id="rId324" Type="http://schemas.openxmlformats.org/officeDocument/2006/relationships/image" Target="media/image276.png"/><Relationship Id="rId325" Type="http://schemas.openxmlformats.org/officeDocument/2006/relationships/image" Target="media/image277.png"/><Relationship Id="rId326" Type="http://schemas.openxmlformats.org/officeDocument/2006/relationships/image" Target="media/image278.png"/><Relationship Id="rId327" Type="http://schemas.openxmlformats.org/officeDocument/2006/relationships/image" Target="media/image279.png"/><Relationship Id="rId328" Type="http://schemas.openxmlformats.org/officeDocument/2006/relationships/image" Target="media/image280.png"/><Relationship Id="rId329" Type="http://schemas.openxmlformats.org/officeDocument/2006/relationships/image" Target="media/image281.png"/><Relationship Id="rId330" Type="http://schemas.openxmlformats.org/officeDocument/2006/relationships/image" Target="media/image282.png"/><Relationship Id="rId331" Type="http://schemas.openxmlformats.org/officeDocument/2006/relationships/image" Target="media/image283.png"/><Relationship Id="rId332" Type="http://schemas.openxmlformats.org/officeDocument/2006/relationships/image" Target="media/image284.png"/><Relationship Id="rId333" Type="http://schemas.openxmlformats.org/officeDocument/2006/relationships/image" Target="media/image285.png"/><Relationship Id="rId334" Type="http://schemas.openxmlformats.org/officeDocument/2006/relationships/image" Target="media/image286.png"/><Relationship Id="rId335" Type="http://schemas.openxmlformats.org/officeDocument/2006/relationships/image" Target="media/image287.png"/><Relationship Id="rId336" Type="http://schemas.openxmlformats.org/officeDocument/2006/relationships/image" Target="media/image288.png"/><Relationship Id="rId337" Type="http://schemas.openxmlformats.org/officeDocument/2006/relationships/image" Target="media/image289.png"/><Relationship Id="rId338" Type="http://schemas.openxmlformats.org/officeDocument/2006/relationships/image" Target="media/image290.png"/><Relationship Id="rId339" Type="http://schemas.openxmlformats.org/officeDocument/2006/relationships/image" Target="media/image291.png"/><Relationship Id="rId340" Type="http://schemas.openxmlformats.org/officeDocument/2006/relationships/image" Target="media/image292.png"/><Relationship Id="rId341" Type="http://schemas.openxmlformats.org/officeDocument/2006/relationships/image" Target="media/image293.png"/><Relationship Id="rId342" Type="http://schemas.openxmlformats.org/officeDocument/2006/relationships/image" Target="media/image294.png"/><Relationship Id="rId343" Type="http://schemas.openxmlformats.org/officeDocument/2006/relationships/image" Target="media/image295.png"/><Relationship Id="rId344" Type="http://schemas.openxmlformats.org/officeDocument/2006/relationships/image" Target="media/image296.png"/><Relationship Id="rId345" Type="http://schemas.openxmlformats.org/officeDocument/2006/relationships/image" Target="media/image297.png"/><Relationship Id="rId346" Type="http://schemas.openxmlformats.org/officeDocument/2006/relationships/image" Target="media/image298.png"/><Relationship Id="rId347" Type="http://schemas.openxmlformats.org/officeDocument/2006/relationships/image" Target="media/image299.png"/><Relationship Id="rId348" Type="http://schemas.openxmlformats.org/officeDocument/2006/relationships/image" Target="media/image300.png"/><Relationship Id="rId349" Type="http://schemas.openxmlformats.org/officeDocument/2006/relationships/image" Target="media/image301.png"/><Relationship Id="rId350" Type="http://schemas.openxmlformats.org/officeDocument/2006/relationships/image" Target="media/image302.png"/><Relationship Id="rId351" Type="http://schemas.openxmlformats.org/officeDocument/2006/relationships/image" Target="media/image303.png"/><Relationship Id="rId352" Type="http://schemas.openxmlformats.org/officeDocument/2006/relationships/image" Target="media/image304.png"/><Relationship Id="rId353" Type="http://schemas.openxmlformats.org/officeDocument/2006/relationships/image" Target="media/image305.png"/><Relationship Id="rId354" Type="http://schemas.openxmlformats.org/officeDocument/2006/relationships/image" Target="media/image306.png"/><Relationship Id="rId355" Type="http://schemas.openxmlformats.org/officeDocument/2006/relationships/image" Target="media/image307.png"/><Relationship Id="rId356" Type="http://schemas.openxmlformats.org/officeDocument/2006/relationships/image" Target="media/image308.png"/><Relationship Id="rId357" Type="http://schemas.openxmlformats.org/officeDocument/2006/relationships/image" Target="media/image309.png"/><Relationship Id="rId358" Type="http://schemas.openxmlformats.org/officeDocument/2006/relationships/image" Target="media/image310.png"/><Relationship Id="rId359" Type="http://schemas.openxmlformats.org/officeDocument/2006/relationships/image" Target="media/image311.png"/><Relationship Id="rId360" Type="http://schemas.openxmlformats.org/officeDocument/2006/relationships/image" Target="media/image312.png"/><Relationship Id="rId361" Type="http://schemas.openxmlformats.org/officeDocument/2006/relationships/image" Target="media/image313.png"/><Relationship Id="rId362" Type="http://schemas.openxmlformats.org/officeDocument/2006/relationships/image" Target="media/image314.png"/><Relationship Id="rId363" Type="http://schemas.openxmlformats.org/officeDocument/2006/relationships/image" Target="media/image315.png"/><Relationship Id="rId364" Type="http://schemas.openxmlformats.org/officeDocument/2006/relationships/image" Target="media/image316.png"/><Relationship Id="rId365" Type="http://schemas.openxmlformats.org/officeDocument/2006/relationships/image" Target="media/image317.png"/><Relationship Id="rId366" Type="http://schemas.openxmlformats.org/officeDocument/2006/relationships/image" Target="media/image318.png"/><Relationship Id="rId367" Type="http://schemas.openxmlformats.org/officeDocument/2006/relationships/image" Target="media/image319.png"/><Relationship Id="rId368" Type="http://schemas.openxmlformats.org/officeDocument/2006/relationships/image" Target="media/image320.png"/><Relationship Id="rId369" Type="http://schemas.openxmlformats.org/officeDocument/2006/relationships/image" Target="media/image321.png"/><Relationship Id="rId370" Type="http://schemas.openxmlformats.org/officeDocument/2006/relationships/image" Target="media/image322.png"/><Relationship Id="rId371" Type="http://schemas.openxmlformats.org/officeDocument/2006/relationships/image" Target="media/image323.png"/><Relationship Id="rId372" Type="http://schemas.openxmlformats.org/officeDocument/2006/relationships/image" Target="media/image324.png"/><Relationship Id="rId373" Type="http://schemas.openxmlformats.org/officeDocument/2006/relationships/image" Target="media/image325.png"/><Relationship Id="rId374" Type="http://schemas.openxmlformats.org/officeDocument/2006/relationships/image" Target="media/image326.png"/><Relationship Id="rId375" Type="http://schemas.openxmlformats.org/officeDocument/2006/relationships/image" Target="media/image327.png"/><Relationship Id="rId376" Type="http://schemas.openxmlformats.org/officeDocument/2006/relationships/image" Target="media/image328.png"/><Relationship Id="rId377" Type="http://schemas.openxmlformats.org/officeDocument/2006/relationships/image" Target="media/image329.png"/><Relationship Id="rId378" Type="http://schemas.openxmlformats.org/officeDocument/2006/relationships/image" Target="media/image330.png"/><Relationship Id="rId379" Type="http://schemas.openxmlformats.org/officeDocument/2006/relationships/image" Target="media/image331.png"/><Relationship Id="rId380" Type="http://schemas.openxmlformats.org/officeDocument/2006/relationships/image" Target="media/image332.png"/><Relationship Id="rId381" Type="http://schemas.openxmlformats.org/officeDocument/2006/relationships/image" Target="media/image333.png"/><Relationship Id="rId382" Type="http://schemas.openxmlformats.org/officeDocument/2006/relationships/image" Target="media/image334.png"/><Relationship Id="rId383" Type="http://schemas.openxmlformats.org/officeDocument/2006/relationships/image" Target="media/image335.png"/><Relationship Id="rId384" Type="http://schemas.openxmlformats.org/officeDocument/2006/relationships/image" Target="media/image336.png"/><Relationship Id="rId385" Type="http://schemas.openxmlformats.org/officeDocument/2006/relationships/image" Target="media/image337.png"/><Relationship Id="rId386" Type="http://schemas.openxmlformats.org/officeDocument/2006/relationships/image" Target="media/image338.png"/><Relationship Id="rId387" Type="http://schemas.openxmlformats.org/officeDocument/2006/relationships/image" Target="media/image339.png"/><Relationship Id="rId388" Type="http://schemas.openxmlformats.org/officeDocument/2006/relationships/image" Target="media/image340.png"/><Relationship Id="rId389" Type="http://schemas.openxmlformats.org/officeDocument/2006/relationships/image" Target="media/image341.png"/><Relationship Id="rId390" Type="http://schemas.openxmlformats.org/officeDocument/2006/relationships/image" Target="media/image342.png"/><Relationship Id="rId391" Type="http://schemas.openxmlformats.org/officeDocument/2006/relationships/image" Target="media/image343.png"/><Relationship Id="rId392" Type="http://schemas.openxmlformats.org/officeDocument/2006/relationships/image" Target="media/image344.png"/><Relationship Id="rId393" Type="http://schemas.openxmlformats.org/officeDocument/2006/relationships/image" Target="media/image345.png"/><Relationship Id="rId394" Type="http://schemas.openxmlformats.org/officeDocument/2006/relationships/image" Target="media/image346.png"/><Relationship Id="rId395" Type="http://schemas.openxmlformats.org/officeDocument/2006/relationships/image" Target="media/image347.png"/><Relationship Id="rId396" Type="http://schemas.openxmlformats.org/officeDocument/2006/relationships/image" Target="media/image348.png"/><Relationship Id="rId397" Type="http://schemas.openxmlformats.org/officeDocument/2006/relationships/image" Target="media/image349.png"/><Relationship Id="rId398" Type="http://schemas.openxmlformats.org/officeDocument/2006/relationships/image" Target="media/image350.png"/><Relationship Id="rId399" Type="http://schemas.openxmlformats.org/officeDocument/2006/relationships/image" Target="media/image351.png"/><Relationship Id="rId400" Type="http://schemas.openxmlformats.org/officeDocument/2006/relationships/image" Target="media/image352.png"/><Relationship Id="rId401" Type="http://schemas.openxmlformats.org/officeDocument/2006/relationships/image" Target="media/image353.png"/><Relationship Id="rId402" Type="http://schemas.openxmlformats.org/officeDocument/2006/relationships/image" Target="media/image354.png"/><Relationship Id="rId403" Type="http://schemas.openxmlformats.org/officeDocument/2006/relationships/image" Target="media/image355.png"/><Relationship Id="rId404" Type="http://schemas.openxmlformats.org/officeDocument/2006/relationships/image" Target="media/image356.png"/><Relationship Id="rId405" Type="http://schemas.openxmlformats.org/officeDocument/2006/relationships/image" Target="media/image357.png"/><Relationship Id="rId406" Type="http://schemas.openxmlformats.org/officeDocument/2006/relationships/image" Target="media/image358.png"/><Relationship Id="rId407" Type="http://schemas.openxmlformats.org/officeDocument/2006/relationships/image" Target="media/image359.png"/><Relationship Id="rId408" Type="http://schemas.openxmlformats.org/officeDocument/2006/relationships/image" Target="media/image360.png"/><Relationship Id="rId409" Type="http://schemas.openxmlformats.org/officeDocument/2006/relationships/image" Target="media/image361.png"/><Relationship Id="rId410" Type="http://schemas.openxmlformats.org/officeDocument/2006/relationships/image" Target="media/image362.png"/><Relationship Id="rId411" Type="http://schemas.openxmlformats.org/officeDocument/2006/relationships/image" Target="media/image363.png"/><Relationship Id="rId412" Type="http://schemas.openxmlformats.org/officeDocument/2006/relationships/image" Target="media/image364.png"/><Relationship Id="rId413" Type="http://schemas.openxmlformats.org/officeDocument/2006/relationships/image" Target="media/image365.png"/><Relationship Id="rId414" Type="http://schemas.openxmlformats.org/officeDocument/2006/relationships/image" Target="media/image366.png"/><Relationship Id="rId415" Type="http://schemas.openxmlformats.org/officeDocument/2006/relationships/image" Target="media/image367.png"/><Relationship Id="rId416" Type="http://schemas.openxmlformats.org/officeDocument/2006/relationships/image" Target="media/image368.png"/><Relationship Id="rId417" Type="http://schemas.openxmlformats.org/officeDocument/2006/relationships/image" Target="media/image369.png"/><Relationship Id="rId418" Type="http://schemas.openxmlformats.org/officeDocument/2006/relationships/image" Target="media/image370.png"/><Relationship Id="rId419" Type="http://schemas.openxmlformats.org/officeDocument/2006/relationships/image" Target="media/image371.png"/><Relationship Id="rId420" Type="http://schemas.openxmlformats.org/officeDocument/2006/relationships/image" Target="media/image372.png"/><Relationship Id="rId421" Type="http://schemas.openxmlformats.org/officeDocument/2006/relationships/image" Target="media/image373.png"/><Relationship Id="rId422" Type="http://schemas.openxmlformats.org/officeDocument/2006/relationships/image" Target="media/image374.png"/><Relationship Id="rId423" Type="http://schemas.openxmlformats.org/officeDocument/2006/relationships/image" Target="media/image375.png"/><Relationship Id="rId424" Type="http://schemas.openxmlformats.org/officeDocument/2006/relationships/image" Target="media/image376.png"/><Relationship Id="rId425" Type="http://schemas.openxmlformats.org/officeDocument/2006/relationships/image" Target="media/image377.png"/><Relationship Id="rId426" Type="http://schemas.openxmlformats.org/officeDocument/2006/relationships/image" Target="media/image378.png"/><Relationship Id="rId427" Type="http://schemas.openxmlformats.org/officeDocument/2006/relationships/image" Target="media/image379.png"/><Relationship Id="rId428" Type="http://schemas.openxmlformats.org/officeDocument/2006/relationships/image" Target="media/image380.png"/><Relationship Id="rId429" Type="http://schemas.openxmlformats.org/officeDocument/2006/relationships/image" Target="media/image381.png"/><Relationship Id="rId430" Type="http://schemas.openxmlformats.org/officeDocument/2006/relationships/image" Target="media/image382.png"/><Relationship Id="rId431" Type="http://schemas.openxmlformats.org/officeDocument/2006/relationships/image" Target="media/image383.png"/><Relationship Id="rId432" Type="http://schemas.openxmlformats.org/officeDocument/2006/relationships/image" Target="media/image384.png"/><Relationship Id="rId433" Type="http://schemas.openxmlformats.org/officeDocument/2006/relationships/image" Target="media/image385.png"/><Relationship Id="rId434" Type="http://schemas.openxmlformats.org/officeDocument/2006/relationships/image" Target="media/image386.png"/><Relationship Id="rId435" Type="http://schemas.openxmlformats.org/officeDocument/2006/relationships/image" Target="media/image387.png"/><Relationship Id="rId436" Type="http://schemas.openxmlformats.org/officeDocument/2006/relationships/image" Target="media/image388.png"/><Relationship Id="rId437" Type="http://schemas.openxmlformats.org/officeDocument/2006/relationships/image" Target="media/image389.png"/><Relationship Id="rId438" Type="http://schemas.openxmlformats.org/officeDocument/2006/relationships/image" Target="media/image390.png"/><Relationship Id="rId439" Type="http://schemas.openxmlformats.org/officeDocument/2006/relationships/image" Target="media/image391.png"/><Relationship Id="rId440" Type="http://schemas.openxmlformats.org/officeDocument/2006/relationships/image" Target="media/image392.png"/><Relationship Id="rId441" Type="http://schemas.openxmlformats.org/officeDocument/2006/relationships/image" Target="media/image393.png"/><Relationship Id="rId442" Type="http://schemas.openxmlformats.org/officeDocument/2006/relationships/image" Target="media/image394.png"/><Relationship Id="rId443" Type="http://schemas.openxmlformats.org/officeDocument/2006/relationships/image" Target="media/image395.png"/><Relationship Id="rId444" Type="http://schemas.openxmlformats.org/officeDocument/2006/relationships/image" Target="media/image396.png"/><Relationship Id="rId445" Type="http://schemas.openxmlformats.org/officeDocument/2006/relationships/image" Target="media/image397.png"/><Relationship Id="rId446" Type="http://schemas.openxmlformats.org/officeDocument/2006/relationships/image" Target="media/image398.png"/><Relationship Id="rId447" Type="http://schemas.openxmlformats.org/officeDocument/2006/relationships/image" Target="media/image399.png"/><Relationship Id="rId448" Type="http://schemas.openxmlformats.org/officeDocument/2006/relationships/image" Target="media/image400.png"/><Relationship Id="rId449" Type="http://schemas.openxmlformats.org/officeDocument/2006/relationships/image" Target="media/image401.png"/><Relationship Id="rId450" Type="http://schemas.openxmlformats.org/officeDocument/2006/relationships/image" Target="media/image402.png"/><Relationship Id="rId451" Type="http://schemas.openxmlformats.org/officeDocument/2006/relationships/image" Target="media/image403.png"/><Relationship Id="rId452" Type="http://schemas.openxmlformats.org/officeDocument/2006/relationships/image" Target="media/image404.png"/><Relationship Id="rId453" Type="http://schemas.openxmlformats.org/officeDocument/2006/relationships/image" Target="media/image405.png"/><Relationship Id="rId454" Type="http://schemas.openxmlformats.org/officeDocument/2006/relationships/image" Target="media/image406.png"/><Relationship Id="rId455" Type="http://schemas.openxmlformats.org/officeDocument/2006/relationships/image" Target="media/image407.png"/><Relationship Id="rId456" Type="http://schemas.openxmlformats.org/officeDocument/2006/relationships/image" Target="media/image408.png"/><Relationship Id="rId221" Type="http://schemas.openxmlformats.org/officeDocument/2006/relationships/hyperlink" Target="https://www.sec.gov/Archives/edgar/data/875045/000119312523198542/d454539dex21.htm" TargetMode="External"/><Relationship Id="rId222" Type="http://schemas.openxmlformats.org/officeDocument/2006/relationships/hyperlink" Target="http://www.sec.gov/Archives/edgar/data/875045/000119312512312222/d362642dex31.htm" TargetMode="External"/><Relationship Id="rId223" Type="http://schemas.openxmlformats.org/officeDocument/2006/relationships/hyperlink" Target="http://www.sec.gov/Archives/edgar/data/875045/000087504515000008/biib-2015x327xexhibit31.htm" TargetMode="External"/><Relationship Id="rId224" Type="http://schemas.openxmlformats.org/officeDocument/2006/relationships/hyperlink" Target="https://www.sec.gov/Archives/edgar/data/0000875045/000087504521000032/formxex31xcertificateofame.htm" TargetMode="External"/><Relationship Id="rId225" Type="http://schemas.openxmlformats.org/officeDocument/2006/relationships/hyperlink" Target="https://www.sec.gov/ix?doc=/Archives/edgar/data/0000875045/000119312524167938/d840763d8k.htm" TargetMode="External"/><Relationship Id="rId226" Type="http://schemas.openxmlformats.org/officeDocument/2006/relationships/hyperlink" Target="https://www.sec.gov/Archives/edgar/data/875045/000119312523293433/d850833dex31.htm" TargetMode="External"/><Relationship Id="rId227" Type="http://schemas.openxmlformats.org/officeDocument/2006/relationships/hyperlink" Target="https://www.sec.gov/Archives/edgar/data/0000875045/000119312520128818/d857739dex42.htm" TargetMode="External"/><Relationship Id="rId228" Type="http://schemas.openxmlformats.org/officeDocument/2006/relationships/hyperlink" Target="http://www.sec.gov/Archives/edgar/data/875045/000119312515320650/d78596dex41.htm" TargetMode="External"/><Relationship Id="rId229" Type="http://schemas.openxmlformats.org/officeDocument/2006/relationships/hyperlink" Target="http://www.sec.gov/Archives/edgar/data/875045/000119312515320650/d78596dex42.htm" TargetMode="External"/><Relationship Id="rId230" Type="http://schemas.openxmlformats.org/officeDocument/2006/relationships/hyperlink" Target="https://www.sec.gov/Archives/edgar/data/875045/000119312521044891/d124092dex42.htm" TargetMode="External"/><Relationship Id="rId231" Type="http://schemas.openxmlformats.org/officeDocument/2006/relationships/hyperlink" Target="https://www.sec.gov/Archives/edgar/data/875045/000119312525117854/d13940dex42.htm" TargetMode="External"/><Relationship Id="rId232" Type="http://schemas.openxmlformats.org/officeDocument/2006/relationships/hyperlink" Target="https://www.sec.gov/ix?doc=/Archives/edgar/data/0000875045/000087504524000009/biib-20231231.htm" TargetMode="External"/><Relationship Id="rId233" Type="http://schemas.openxmlformats.org/officeDocument/2006/relationships/hyperlink" Target="https://www.sec.gov/ix?doc=/Archives/edgar/data/0000875045/000119312524200660/d867868d8k.htm" TargetMode="External"/><Relationship Id="rId234" Type="http://schemas.openxmlformats.org/officeDocument/2006/relationships/hyperlink" Target="https://www.sec.gov/Archives/edgar/data/875045/000119312523227692/d540978dex101.htm" TargetMode="External"/><Relationship Id="rId235" Type="http://schemas.openxmlformats.org/officeDocument/2006/relationships/hyperlink" Target="http://www.sec.gov/Archives/edgar/data/875045/000095012311009300/b83162exv10w5.htm" TargetMode="External"/><Relationship Id="rId236" Type="http://schemas.openxmlformats.org/officeDocument/2006/relationships/hyperlink" Target="http://www.sec.gov/Archives/edgar/data/875045/000095012311009300/b83162exv10w6.htm" TargetMode="External"/><Relationship Id="rId237" Type="http://schemas.openxmlformats.org/officeDocument/2006/relationships/hyperlink" Target="https://www.sec.gov/Archives/edgar/data/875045/000087504524000025/exhibit103-formofpsuawarda.htm" TargetMode="External"/><Relationship Id="rId238" Type="http://schemas.openxmlformats.org/officeDocument/2006/relationships/hyperlink" Target="https://www.sec.gov/Archives/edgar/data/875045/000087504524000025/exhibit104-formofrsuawarda.htm" TargetMode="External"/><Relationship Id="rId239" Type="http://schemas.openxmlformats.org/officeDocument/2006/relationships/hyperlink" Target="https://www.sec.gov/Archives/edgar/data/875045/000087504524000025/exhibit105-formofrsuawarda.htm" TargetMode="External"/><Relationship Id="rId240" Type="http://schemas.openxmlformats.org/officeDocument/2006/relationships/hyperlink" Target="http://www.sec.gov/Archives/edgar/data/875045/000119312517139450/d43428ddef14a.htm#toc43428_63" TargetMode="External"/><Relationship Id="rId241" Type="http://schemas.openxmlformats.org/officeDocument/2006/relationships/hyperlink" Target="http://www.sec.gov/Archives/edgar/data/875045/000087504517000024/biib-2017630xexhibit102.htm" TargetMode="External"/><Relationship Id="rId242" Type="http://schemas.openxmlformats.org/officeDocument/2006/relationships/hyperlink" Target="http://www.sec.gov/Archives/edgar/data/875045/000087504519000029/biib-2019630xex102.htm" TargetMode="External"/><Relationship Id="rId243" Type="http://schemas.openxmlformats.org/officeDocument/2006/relationships/hyperlink" Target="https://www.sec.gov/Archives/edgar/data/875045/000087504523000009/exhibit10ormofnonqualified.htm" TargetMode="External"/><Relationship Id="rId244" Type="http://schemas.openxmlformats.org/officeDocument/2006/relationships/hyperlink" Target="http://www.sec.gov/Archives/edgar/data/875045/000095013508003542/b67068dfdefc14a.htm#152" TargetMode="External"/><Relationship Id="rId245" Type="http://schemas.openxmlformats.org/officeDocument/2006/relationships/hyperlink" Target="http://www.sec.gov/Archives/edgar/data/875045/000087504519000017/biib-2019331xex101.htm" TargetMode="External"/><Relationship Id="rId246" Type="http://schemas.openxmlformats.org/officeDocument/2006/relationships/hyperlink" Target="https://www.sec.gov/Archives/edgar/data/875045/000087504525000009/exhibit1014-voluntaryboard.htm" TargetMode="External"/><Relationship Id="rId249" Type="http://schemas.openxmlformats.org/officeDocument/2006/relationships/hyperlink" Target="https://www.sec.gov/Archives/edgar/data/875045/000087504525000009/exhibit1015-supplementalsa.htm" TargetMode="External"/><Relationship Id="rId250" Type="http://schemas.openxmlformats.org/officeDocument/2006/relationships/hyperlink" Target="https://www.sec.gov/Archives/edgar/data/875045/000087504520000036/exhibit101-severancepo.htm" TargetMode="External"/><Relationship Id="rId251" Type="http://schemas.openxmlformats.org/officeDocument/2006/relationships/hyperlink" Target="http://www.sec.gov/Archives/edgar/data/875045/000087504519000041/biib-2019930xex101.htm" TargetMode="External"/><Relationship Id="rId252" Type="http://schemas.openxmlformats.org/officeDocument/2006/relationships/hyperlink" Target="http://www.sec.gov/Archives/edgar/data/875045/000095012311057276/b86869exv10w1.htm" TargetMode="External"/><Relationship Id="rId253" Type="http://schemas.openxmlformats.org/officeDocument/2006/relationships/hyperlink" Target="https://www.sec.gov/Archives/edgar/data/875045/000119312522281950/d419645dex101.htm" TargetMode="External"/><Relationship Id="rId254" Type="http://schemas.openxmlformats.org/officeDocument/2006/relationships/hyperlink" Target="https://www.sec.gov/Archives/edgar/data/875045/000087504520000036/exhibit102-mcdonnellof.htm" TargetMode="External"/><Relationship Id="rId255" Type="http://schemas.openxmlformats.org/officeDocument/2006/relationships/hyperlink" Target="http://www.sec.gov/Archives/edgar/data/875045/000095012310010528/b77985exv10w58.htm" TargetMode="External"/><Relationship Id="rId256" Type="http://schemas.openxmlformats.org/officeDocument/2006/relationships/hyperlink" Target="https://www.sec.gov/Archives/edgar/data/875045/000087504524000009/exhibit1032-salexanderamen.htm" TargetMode="External"/><Relationship Id="rId257" Type="http://schemas.openxmlformats.org/officeDocument/2006/relationships/hyperlink" Target="https://www.sec.gov/Archives/edgar/data/875045/000087504524000009/exhibit1033-rachidemployme.htm" TargetMode="External"/><Relationship Id="rId258" Type="http://schemas.openxmlformats.org/officeDocument/2006/relationships/hyperlink" Target="https://www.sec.gov/Archives/edgar/data/875045/000087504523000016/exhibit103-nmurphyofferlet.htm" TargetMode="External"/><Relationship Id="rId259" Type="http://schemas.openxmlformats.org/officeDocument/2006/relationships/hyperlink" Target="https://www.sec.gov/ix?doc=/Archives/edgar/data/0000875045/000119312524247628/d890797d8k.htm" TargetMode="External"/><Relationship Id="rId260" Type="http://schemas.openxmlformats.org/officeDocument/2006/relationships/hyperlink" Target="https://www.sec.gov/Archives/edgar/data/875045/000087504525000033/exhibit101-priyasinghalemp.htm" TargetMode="External"/><Relationship Id="rId261" Type="http://schemas.openxmlformats.org/officeDocument/2006/relationships/hyperlink" Target="https://www.sec.gov/Archives/edgar/data/875045/000087504523000009/exhibit1045amendedandresta.htm" TargetMode="External"/><Relationship Id="rId262" Type="http://schemas.openxmlformats.org/officeDocument/2006/relationships/hyperlink" Target="https://www.sec.gov/Archives/edgar/data/875045/000087504523000009/exhibit1046firstamendmentt.htm" TargetMode="External"/><Relationship Id="rId263" Type="http://schemas.openxmlformats.org/officeDocument/2006/relationships/hyperlink" Target="https://www.sec.gov/Archives/edgar/data/875045/000087504524000009/exhibit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2026-02-06T06:55:18Z</dcterms:created>
  <dcterms:modified xsi:type="dcterms:W3CDTF">2026-02-06T06:55:18Z</dcterms:modified>
</cp:coreProperties>
</file>