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rFonts w:ascii="Arial" w:cs="Arial" w:eastAsia="Arial" w:hAnsi="Arial"/>
          <w:sz w:val="22"/>
          <w:szCs w:val="22"/>
          <w:color w:val="0000EE"/>
        </w:rPr>
      </w:pPr>
      <w:hyperlink w:anchor="page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2" w:lineRule="exact"/>
        <w:rPr>
          <w:sz w:val="24"/>
          <w:szCs w:val="24"/>
          <w:color w:val="auto"/>
        </w:rPr>
      </w:pPr>
    </w:p>
    <w:p>
      <w:pPr>
        <w:ind w:left="1380" w:hanging="373"/>
        <w:spacing w:after="0"/>
        <w:tabs>
          <w:tab w:leader="none" w:pos="13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w:t>
      </w:r>
    </w:p>
    <w:p>
      <w:pPr>
        <w:spacing w:after="0" w:line="13" w:lineRule="exact"/>
        <w:rPr>
          <w:sz w:val="24"/>
          <w:szCs w:val="24"/>
          <w:color w:val="auto"/>
        </w:rPr>
      </w:pPr>
    </w:p>
    <w:p>
      <w:pPr>
        <w:ind w:left="1380"/>
        <w:spacing w:after="0"/>
        <w:rPr>
          <w:sz w:val="20"/>
          <w:szCs w:val="20"/>
          <w:color w:val="auto"/>
        </w:rPr>
      </w:pPr>
      <w:r>
        <w:rPr>
          <w:rFonts w:ascii="Arial" w:cs="Arial" w:eastAsia="Arial" w:hAnsi="Arial"/>
          <w:sz w:val="22"/>
          <w:szCs w:val="22"/>
          <w:b w:val="1"/>
          <w:bCs w:val="1"/>
          <w:color w:val="auto"/>
        </w:rPr>
        <w:t>SECURITIES AND EXCHANGE ACT OF 1934</w:t>
      </w:r>
    </w:p>
    <w:p>
      <w:pPr>
        <w:jc w:val="center"/>
        <w:ind w:right="2240"/>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1"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1380" w:right="3020" w:hanging="299"/>
        <w:spacing w:after="0" w:line="234" w:lineRule="auto"/>
        <w:tabs>
          <w:tab w:leader="none" w:pos="1360" w:val="left"/>
        </w:tabs>
        <w:rPr>
          <w:sz w:val="20"/>
          <w:szCs w:val="20"/>
          <w:color w:val="auto"/>
        </w:rPr>
      </w:pPr>
      <w:r>
        <w:rPr>
          <w:rFonts w:ascii="Arial" w:cs="Arial" w:eastAsia="Arial" w:hAnsi="Arial"/>
          <w:sz w:val="22"/>
          <w:szCs w:val="22"/>
          <w:b w:val="1"/>
          <w:bCs w:val="1"/>
          <w:color w:val="auto"/>
        </w:rPr>
        <w:t>o</w:t>
        <w:tab/>
        <w:t>TRANSITION REPORT PURSUANT TO SECTION 13 OR 15(d) OF THE SECURITIES EXCHANGE ACT OF 1934</w:t>
      </w:r>
    </w:p>
    <w:p>
      <w:pPr>
        <w:spacing w:after="0" w:line="2" w:lineRule="exact"/>
        <w:rPr>
          <w:sz w:val="24"/>
          <w:szCs w:val="24"/>
          <w:color w:val="auto"/>
        </w:rPr>
      </w:pPr>
    </w:p>
    <w:p>
      <w:pPr>
        <w:ind w:left="2280"/>
        <w:spacing w:after="0"/>
        <w:tabs>
          <w:tab w:leader="none" w:pos="5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73660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IDEC PHARMACEUTICALS CORPORATION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47" w:orient="portrait"/>
          <w:cols w:equalWidth="0" w:num="1">
            <w:col w:w="11380"/>
          </w:cols>
          <w:pgMar w:left="240" w:top="469" w:right="279" w:bottom="0" w:gutter="0" w:footer="0" w:header="0"/>
        </w:sectPr>
      </w:pPr>
    </w:p>
    <w:p>
      <w:pPr>
        <w:spacing w:after="0" w:line="205"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1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100"/>
        <w:spacing w:after="0"/>
        <w:rPr>
          <w:sz w:val="20"/>
          <w:szCs w:val="20"/>
          <w:color w:val="auto"/>
        </w:rPr>
      </w:pPr>
      <w:r>
        <w:rPr>
          <w:rFonts w:ascii="Arial" w:cs="Arial" w:eastAsia="Arial" w:hAnsi="Arial"/>
          <w:sz w:val="18"/>
          <w:szCs w:val="18"/>
          <w:b w:val="1"/>
          <w:bCs w:val="1"/>
          <w:color w:val="auto"/>
        </w:rPr>
        <w:t>33-0112644</w:t>
      </w:r>
    </w:p>
    <w:p>
      <w:pPr>
        <w:spacing w:after="0" w:line="21"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47" w:orient="portrait"/>
          <w:cols w:equalWidth="0" w:num="2">
            <w:col w:w="7260" w:space="720"/>
            <w:col w:w="3400"/>
          </w:cols>
          <w:pgMar w:left="240" w:top="469" w:right="279" w:bottom="0" w:gutter="0" w:footer="0" w:header="0"/>
          <w:type w:val="continuous"/>
        </w:sectPr>
      </w:pPr>
    </w:p>
    <w:p>
      <w:pPr>
        <w:spacing w:after="0" w:line="36"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3030 Callan Road, San Diego, California 92121</w:t>
      </w:r>
    </w:p>
    <w:p>
      <w:pPr>
        <w:spacing w:after="0" w:line="44"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(Address of principal executive offices) (Zip code)</w:t>
      </w:r>
    </w:p>
    <w:p>
      <w:pPr>
        <w:sectPr>
          <w:pgSz w:w="11900" w:h="16847" w:orient="portrait"/>
          <w:cols w:equalWidth="0" w:num="1">
            <w:col w:w="11380"/>
          </w:cols>
          <w:pgMar w:left="240" w:top="469" w:right="279" w:bottom="0" w:gutter="0" w:footer="0" w:header="0"/>
          <w:type w:val="continuous"/>
        </w:sect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431-8500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Securities registered pursuant to Section 12(b) of the Act: </w:t>
      </w:r>
      <w:r>
        <w:rPr>
          <w:rFonts w:ascii="Arial" w:cs="Arial" w:eastAsia="Arial" w:hAnsi="Arial"/>
          <w:sz w:val="18"/>
          <w:szCs w:val="18"/>
          <w:b w:val="1"/>
          <w:bCs w:val="1"/>
          <w:color w:val="auto"/>
        </w:rPr>
        <w:t>None</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$0.0005 par value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3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6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firstLine="341"/>
        <w:spacing w:after="0" w:line="306" w:lineRule="auto"/>
        <w:rPr>
          <w:sz w:val="20"/>
          <w:szCs w:val="20"/>
          <w:color w:val="auto"/>
        </w:rPr>
      </w:pPr>
      <w:r>
        <w:rPr>
          <w:rFonts w:ascii="Arial" w:cs="Arial" w:eastAsia="Arial" w:hAnsi="Arial"/>
          <w:sz w:val="16"/>
          <w:szCs w:val="16"/>
          <w:color w:val="auto"/>
        </w:rPr>
        <w:t>As of January 31, 2002, the aggregate market value of the voting stock held by non-affiliates of the Registrant was approximately $10,050,171,000. (Based upon the "closing" price as reported by The Nasdaq Stock Market on January 31, 2002). This number is provided only for the purposes of this report and does not represent an admission by either the Registrant or any such person as to the status of such person.</w:t>
      </w:r>
    </w:p>
    <w:p>
      <w:pPr>
        <w:spacing w:after="0" w:line="16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January 31, 2002, the Registrant had 152,958,453 shares of its common stock, $0.0005 par value, issued and outstanding.</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Portions of the Registrant's Proxy Statement for its Annual Meeting of Stockholders to be held on May 23, 2002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IDEC PHARMACEUTICALS CORPORATION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ectPr>
          <w:pgSz w:w="11900" w:h="16847" w:orient="portrait"/>
          <w:cols w:equalWidth="0" w:num="1">
            <w:col w:w="11380"/>
          </w:cols>
          <w:pgMar w:left="240" w:top="469" w:right="2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1100" w:type="dxa"/>
            <w:vAlign w:val="bottom"/>
            <w:shd w:val="clear" w:color="auto" w:fill="CCEEFF"/>
          </w:tcPr>
          <w:p>
            <w:pPr>
              <w:spacing w:after="0"/>
              <w:rPr>
                <w:sz w:val="18"/>
                <w:szCs w:val="18"/>
                <w:color w:val="auto"/>
              </w:rPr>
            </w:pPr>
          </w:p>
        </w:tc>
        <w:tc>
          <w:tcPr>
            <w:tcW w:w="2520" w:type="dxa"/>
            <w:vAlign w:val="bottom"/>
          </w:tcPr>
          <w:p>
            <w:pPr>
              <w:spacing w:after="0"/>
              <w:rPr>
                <w:sz w:val="18"/>
                <w:szCs w:val="18"/>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Item 1. Business</w:t>
            </w:r>
          </w:p>
        </w:tc>
        <w:tc>
          <w:tcPr>
            <w:tcW w:w="3620" w:type="dxa"/>
            <w:vAlign w:val="bottom"/>
            <w:gridSpan w:val="2"/>
          </w:tcPr>
          <w:p>
            <w:pPr>
              <w:ind w:left="1020"/>
              <w:spacing w:after="0"/>
              <w:rPr>
                <w:sz w:val="20"/>
                <w:szCs w:val="20"/>
                <w:color w:val="auto"/>
              </w:rPr>
            </w:pPr>
            <w:r>
              <w:rPr>
                <w:rFonts w:ascii="Arial" w:cs="Arial" w:eastAsia="Arial" w:hAnsi="Arial"/>
                <w:sz w:val="18"/>
                <w:szCs w:val="18"/>
                <w:color w:val="auto"/>
              </w:rPr>
              <w:t>1</w:t>
            </w: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 Properties</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34</w:t>
            </w:r>
          </w:p>
        </w:tc>
        <w:tc>
          <w:tcPr>
            <w:tcW w:w="2520" w:type="dxa"/>
            <w:vAlign w:val="bottom"/>
          </w:tcPr>
          <w:p>
            <w:pPr>
              <w:spacing w:after="0"/>
              <w:rPr>
                <w:sz w:val="24"/>
                <w:szCs w:val="24"/>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Item 3. Legal Proceedings</w:t>
            </w:r>
          </w:p>
        </w:tc>
        <w:tc>
          <w:tcPr>
            <w:tcW w:w="3620" w:type="dxa"/>
            <w:vAlign w:val="bottom"/>
            <w:gridSpan w:val="2"/>
          </w:tcPr>
          <w:p>
            <w:pPr>
              <w:ind w:left="940"/>
              <w:spacing w:after="0"/>
              <w:rPr>
                <w:sz w:val="20"/>
                <w:szCs w:val="20"/>
                <w:color w:val="auto"/>
              </w:rPr>
            </w:pPr>
            <w:r>
              <w:rPr>
                <w:rFonts w:ascii="Arial" w:cs="Arial" w:eastAsia="Arial" w:hAnsi="Arial"/>
                <w:sz w:val="18"/>
                <w:szCs w:val="18"/>
                <w:color w:val="auto"/>
              </w:rPr>
              <w:t>34</w:t>
            </w: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 Submission of Matters to a Vote of Stockholders</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35</w:t>
            </w:r>
          </w:p>
        </w:tc>
        <w:tc>
          <w:tcPr>
            <w:tcW w:w="2520" w:type="dxa"/>
            <w:vAlign w:val="bottom"/>
          </w:tcPr>
          <w:p>
            <w:pPr>
              <w:spacing w:after="0"/>
              <w:rPr>
                <w:sz w:val="24"/>
                <w:szCs w:val="24"/>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5. Market for Registrant's Common Equity and Related Stockholder Matters</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35</w:t>
            </w:r>
          </w:p>
        </w:tc>
        <w:tc>
          <w:tcPr>
            <w:tcW w:w="2520" w:type="dxa"/>
            <w:vAlign w:val="bottom"/>
          </w:tcPr>
          <w:p>
            <w:pPr>
              <w:spacing w:after="0"/>
              <w:rPr>
                <w:sz w:val="24"/>
                <w:szCs w:val="24"/>
                <w:color w:val="auto"/>
              </w:rPr>
            </w:pPr>
          </w:p>
        </w:tc>
      </w:tr>
      <w:tr>
        <w:trPr>
          <w:trHeight w:val="431"/>
        </w:trPr>
        <w:tc>
          <w:tcPr>
            <w:tcW w:w="520" w:type="dxa"/>
            <w:vAlign w:val="bottom"/>
          </w:tcPr>
          <w:p>
            <w:pPr>
              <w:spacing w:after="0"/>
              <w:rPr>
                <w:sz w:val="20"/>
                <w:szCs w:val="20"/>
                <w:color w:val="auto"/>
              </w:rPr>
            </w:pPr>
            <w:r>
              <w:rPr>
                <w:rFonts w:ascii="Arial" w:cs="Arial" w:eastAsia="Arial" w:hAnsi="Arial"/>
                <w:sz w:val="18"/>
                <w:szCs w:val="18"/>
                <w:color w:val="auto"/>
                <w:w w:val="90"/>
              </w:rPr>
              <w:t>Item 6.</w:t>
            </w:r>
          </w:p>
        </w:tc>
        <w:tc>
          <w:tcPr>
            <w:tcW w:w="7280" w:type="dxa"/>
            <w:vAlign w:val="bottom"/>
          </w:tcPr>
          <w:p>
            <w:pPr>
              <w:ind w:left="20"/>
              <w:spacing w:after="0"/>
              <w:rPr>
                <w:sz w:val="20"/>
                <w:szCs w:val="20"/>
                <w:color w:val="auto"/>
              </w:rPr>
            </w:pPr>
            <w:r>
              <w:rPr>
                <w:rFonts w:ascii="Arial" w:cs="Arial" w:eastAsia="Arial" w:hAnsi="Arial"/>
                <w:sz w:val="18"/>
                <w:szCs w:val="18"/>
                <w:color w:val="auto"/>
              </w:rPr>
              <w:t>Selected Financial Data</w:t>
            </w:r>
          </w:p>
        </w:tc>
        <w:tc>
          <w:tcPr>
            <w:tcW w:w="3620" w:type="dxa"/>
            <w:vAlign w:val="bottom"/>
            <w:gridSpan w:val="2"/>
          </w:tcPr>
          <w:p>
            <w:pPr>
              <w:ind w:left="940"/>
              <w:spacing w:after="0"/>
              <w:rPr>
                <w:sz w:val="20"/>
                <w:szCs w:val="20"/>
                <w:color w:val="auto"/>
              </w:rPr>
            </w:pPr>
            <w:r>
              <w:rPr>
                <w:rFonts w:ascii="Arial" w:cs="Arial" w:eastAsia="Arial" w:hAnsi="Arial"/>
                <w:sz w:val="18"/>
                <w:szCs w:val="18"/>
                <w:color w:val="auto"/>
              </w:rPr>
              <w:t>36</w:t>
            </w:r>
          </w:p>
        </w:tc>
      </w:tr>
      <w:tr>
        <w:trPr>
          <w:trHeight w:val="433"/>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Item 7.</w:t>
            </w: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37</w:t>
            </w:r>
          </w:p>
        </w:tc>
        <w:tc>
          <w:tcPr>
            <w:tcW w:w="2520" w:type="dxa"/>
            <w:vAlign w:val="bottom"/>
          </w:tcPr>
          <w:p>
            <w:pPr>
              <w:spacing w:after="0"/>
              <w:rPr>
                <w:sz w:val="24"/>
                <w:szCs w:val="24"/>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3620" w:type="dxa"/>
            <w:vAlign w:val="bottom"/>
            <w:gridSpan w:val="2"/>
          </w:tcPr>
          <w:p>
            <w:pPr>
              <w:ind w:left="940"/>
              <w:spacing w:after="0"/>
              <w:rPr>
                <w:sz w:val="20"/>
                <w:szCs w:val="20"/>
                <w:color w:val="auto"/>
              </w:rPr>
            </w:pPr>
            <w:r>
              <w:rPr>
                <w:rFonts w:ascii="Arial" w:cs="Arial" w:eastAsia="Arial" w:hAnsi="Arial"/>
                <w:sz w:val="18"/>
                <w:szCs w:val="18"/>
                <w:color w:val="auto"/>
              </w:rPr>
              <w:t>45</w:t>
            </w:r>
          </w:p>
        </w:tc>
      </w:tr>
      <w:tr>
        <w:trPr>
          <w:trHeight w:val="433"/>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0"/>
              </w:rPr>
              <w:t>Item 8.</w:t>
            </w:r>
          </w:p>
        </w:tc>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Financial Statements and Supplementary Data</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46</w:t>
            </w:r>
          </w:p>
        </w:tc>
        <w:tc>
          <w:tcPr>
            <w:tcW w:w="2520" w:type="dxa"/>
            <w:vAlign w:val="bottom"/>
          </w:tcPr>
          <w:p>
            <w:pPr>
              <w:spacing w:after="0"/>
              <w:rPr>
                <w:sz w:val="24"/>
                <w:szCs w:val="24"/>
                <w:color w:val="auto"/>
              </w:rPr>
            </w:pPr>
          </w:p>
        </w:tc>
      </w:tr>
      <w:tr>
        <w:trPr>
          <w:trHeight w:val="431"/>
        </w:trPr>
        <w:tc>
          <w:tcPr>
            <w:tcW w:w="520" w:type="dxa"/>
            <w:vAlign w:val="bottom"/>
          </w:tcPr>
          <w:p>
            <w:pPr>
              <w:spacing w:after="0"/>
              <w:rPr>
                <w:sz w:val="20"/>
                <w:szCs w:val="20"/>
                <w:color w:val="auto"/>
              </w:rPr>
            </w:pPr>
            <w:r>
              <w:rPr>
                <w:rFonts w:ascii="Arial" w:cs="Arial" w:eastAsia="Arial" w:hAnsi="Arial"/>
                <w:sz w:val="18"/>
                <w:szCs w:val="18"/>
                <w:color w:val="auto"/>
                <w:w w:val="90"/>
              </w:rPr>
              <w:t>Item 9.</w:t>
            </w:r>
          </w:p>
        </w:tc>
        <w:tc>
          <w:tcPr>
            <w:tcW w:w="7280" w:type="dxa"/>
            <w:vAlign w:val="bottom"/>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620" w:type="dxa"/>
            <w:vAlign w:val="bottom"/>
            <w:gridSpan w:val="2"/>
          </w:tcPr>
          <w:p>
            <w:pPr>
              <w:ind w:left="940"/>
              <w:spacing w:after="0"/>
              <w:rPr>
                <w:sz w:val="20"/>
                <w:szCs w:val="20"/>
                <w:color w:val="auto"/>
              </w:rPr>
            </w:pPr>
            <w:r>
              <w:rPr>
                <w:rFonts w:ascii="Arial" w:cs="Arial" w:eastAsia="Arial" w:hAnsi="Arial"/>
                <w:sz w:val="18"/>
                <w:szCs w:val="18"/>
                <w:color w:val="auto"/>
              </w:rPr>
              <w:t>67</w:t>
            </w: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III:</w:t>
            </w:r>
          </w:p>
        </w:tc>
        <w:tc>
          <w:tcPr>
            <w:tcW w:w="110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Item 10. Directors and Executive Officers of the Registrant</w:t>
            </w:r>
          </w:p>
        </w:tc>
        <w:tc>
          <w:tcPr>
            <w:tcW w:w="3620" w:type="dxa"/>
            <w:vAlign w:val="bottom"/>
            <w:gridSpan w:val="2"/>
          </w:tcPr>
          <w:p>
            <w:pPr>
              <w:ind w:left="940"/>
              <w:spacing w:after="0"/>
              <w:rPr>
                <w:sz w:val="20"/>
                <w:szCs w:val="20"/>
                <w:color w:val="auto"/>
              </w:rPr>
            </w:pPr>
            <w:r>
              <w:rPr>
                <w:rFonts w:ascii="Arial" w:cs="Arial" w:eastAsia="Arial" w:hAnsi="Arial"/>
                <w:sz w:val="18"/>
                <w:szCs w:val="18"/>
                <w:color w:val="auto"/>
              </w:rPr>
              <w:t>67</w:t>
            </w: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11. Executive Compensation</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67</w:t>
            </w:r>
          </w:p>
        </w:tc>
        <w:tc>
          <w:tcPr>
            <w:tcW w:w="2520" w:type="dxa"/>
            <w:vAlign w:val="bottom"/>
          </w:tcPr>
          <w:p>
            <w:pPr>
              <w:spacing w:after="0"/>
              <w:rPr>
                <w:sz w:val="24"/>
                <w:szCs w:val="24"/>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Item 12. Security Ownership of Certain Beneficial Owners and Management</w:t>
            </w:r>
          </w:p>
        </w:tc>
        <w:tc>
          <w:tcPr>
            <w:tcW w:w="3620" w:type="dxa"/>
            <w:vAlign w:val="bottom"/>
            <w:gridSpan w:val="2"/>
          </w:tcPr>
          <w:p>
            <w:pPr>
              <w:ind w:left="940"/>
              <w:spacing w:after="0"/>
              <w:rPr>
                <w:sz w:val="20"/>
                <w:szCs w:val="20"/>
                <w:color w:val="auto"/>
              </w:rPr>
            </w:pPr>
            <w:r>
              <w:rPr>
                <w:rFonts w:ascii="Arial" w:cs="Arial" w:eastAsia="Arial" w:hAnsi="Arial"/>
                <w:sz w:val="18"/>
                <w:szCs w:val="18"/>
                <w:color w:val="auto"/>
              </w:rPr>
              <w:t>67</w:t>
            </w: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13. Certain Relationships and Related Transactions</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67</w:t>
            </w:r>
          </w:p>
        </w:tc>
        <w:tc>
          <w:tcPr>
            <w:tcW w:w="2520" w:type="dxa"/>
            <w:vAlign w:val="bottom"/>
          </w:tcPr>
          <w:p>
            <w:pPr>
              <w:spacing w:after="0"/>
              <w:rPr>
                <w:sz w:val="24"/>
                <w:szCs w:val="24"/>
                <w:color w:val="auto"/>
              </w:rPr>
            </w:pPr>
          </w:p>
        </w:tc>
      </w:tr>
      <w:tr>
        <w:trPr>
          <w:trHeight w:val="431"/>
        </w:trPr>
        <w:tc>
          <w:tcPr>
            <w:tcW w:w="780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33"/>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14. Exhibits, Financial Statement Schedules, and Reports on Form 8-K</w:t>
            </w:r>
          </w:p>
        </w:tc>
        <w:tc>
          <w:tcPr>
            <w:tcW w:w="1100" w:type="dxa"/>
            <w:vAlign w:val="bottom"/>
            <w:shd w:val="clear" w:color="auto" w:fill="CCEEFF"/>
          </w:tcPr>
          <w:p>
            <w:pPr>
              <w:ind w:left="940"/>
              <w:spacing w:after="0"/>
              <w:rPr>
                <w:sz w:val="20"/>
                <w:szCs w:val="20"/>
                <w:color w:val="auto"/>
              </w:rPr>
            </w:pPr>
            <w:r>
              <w:rPr>
                <w:rFonts w:ascii="Arial" w:cs="Arial" w:eastAsia="Arial" w:hAnsi="Arial"/>
                <w:sz w:val="16"/>
                <w:szCs w:val="16"/>
                <w:color w:val="auto"/>
                <w:w w:val="78"/>
              </w:rPr>
              <w:t>67</w:t>
            </w:r>
          </w:p>
        </w:tc>
        <w:tc>
          <w:tcPr>
            <w:tcW w:w="2520" w:type="dxa"/>
            <w:vAlign w:val="bottom"/>
          </w:tcPr>
          <w:p>
            <w:pPr>
              <w:spacing w:after="0"/>
              <w:rPr>
                <w:sz w:val="24"/>
                <w:szCs w:val="24"/>
                <w:color w:val="auto"/>
              </w:rPr>
            </w:pPr>
          </w:p>
        </w:tc>
      </w:tr>
      <w:tr>
        <w:trPr>
          <w:trHeight w:val="118"/>
        </w:trPr>
        <w:tc>
          <w:tcPr>
            <w:tcW w:w="520" w:type="dxa"/>
            <w:vAlign w:val="bottom"/>
            <w:tcBorders>
              <w:bottom w:val="single" w:sz="8" w:color="808080"/>
            </w:tcBorders>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5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IDEC Pharmaceuticals Corporation is a biopharmaceutical company engaged primarily in the research, development, manufacture and commercialization of targeted therapies for the treatment of cancer and autoimmune and inflammatory diseases. Our two commercial products, Rituxan® and ZEVALIN™ (ibritumomab tiuxetan), are for use in the treatment of certain B-cell non-Hodgkin's lymphomas, or B-cell NHLs. B-cell NHLs currently afflict approximately 300,000 patients in the United States. We are also developing products for the treatment of cancer and various autoimmune diseases, such as rheumatoid arthritis, psoriasis, allergic asthma and allergic rhinitis.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November 1997, Rituxan became the first monoclonal antibody approved by the U.S. Food and Drug Administration, or FDA, for a cancer therapy indication. Rituxan, marketed in the United States under a copromotion arrangement between us and Genentech, Inc., achieved U.S. net sales of $779.0 million in 2001, compared to $424.3 million in 2000, an increase of 84%. F. Hoffmann-La Roche Ltd. sells Rituxan under the trade name MabThera outside the United States, except in Japan where it continues development and copromotes Rituxan in collaboration with Zenyaku Kogyo Co. Ltd.</w:t>
      </w:r>
    </w:p>
    <w:p>
      <w:pPr>
        <w:spacing w:after="0" w:line="167" w:lineRule="exact"/>
        <w:rPr>
          <w:sz w:val="20"/>
          <w:szCs w:val="20"/>
          <w:color w:val="auto"/>
        </w:rPr>
      </w:pPr>
    </w:p>
    <w:p>
      <w:pPr>
        <w:ind w:right="500" w:firstLine="351"/>
        <w:spacing w:after="0" w:line="255" w:lineRule="auto"/>
        <w:rPr>
          <w:sz w:val="20"/>
          <w:szCs w:val="20"/>
          <w:color w:val="auto"/>
        </w:rPr>
      </w:pPr>
      <w:r>
        <w:rPr>
          <w:rFonts w:ascii="Arial" w:cs="Arial" w:eastAsia="Arial" w:hAnsi="Arial"/>
          <w:sz w:val="18"/>
          <w:szCs w:val="18"/>
          <w:color w:val="auto"/>
        </w:rPr>
        <w:t>Under our copromotion arrangement with Genentech, we share responsibility with Genentech for selling and continued development of Rituxan in the United States and Canada. Continued development of Rituxan includes conducting supportive research and post-approval clinical studies on Rituxan and obtaining potential approval of Rituxan for additional indications. Genentech provides support functions for the commercialization of Rituxan including marketing, customer service, order entry, distribution, shipping and billing. Since September 1999, Genentech has been responsible for all worldwide manufacturing of Rituxan.</w:t>
      </w:r>
    </w:p>
    <w:p>
      <w:pPr>
        <w:spacing w:after="0" w:line="197"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All U.S. sales of Rituxan and associated costs and expenses are recognized by Genentech and we record our share of the pretax copromotion profits on a quarterly basis. Our profit-sharing formula with Genentech has two tiers; we earn a higher percentage of the pretax copromotion profits at the upper tier once a fixed pretax copromotion profit level is met. The profit-sharing formula resets annually at the beginning of each year to the lower tier.</w:t>
      </w:r>
    </w:p>
    <w:p>
      <w:pPr>
        <w:spacing w:after="0" w:line="16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Rituxan, which is delivered intravenously, is approved as a treatment of relapsed or refractory low-grade or follicular, CD20-positive, B-cell NHL. Typically treatment with Rituxan is given as four weekly intravenous infusions over a 22 day period compared to other available therapies such as chemotherapy, which is typically given in repeated cycles for four to eight months. Because of its proven benefits and safety profile, we believe that Rituxan is a strong candidate for combination therapy, and we are currently researching its possible uses in this role.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May 2001, we announced that the FDA approved a Supplemental Biological License Application, or sBLA, for Rituxan. The new product labeling allows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40" w:right="239" w:bottom="0" w:gutter="0" w:footer="0" w:header="0"/>
        </w:sectPr>
      </w:pPr>
    </w:p>
    <w:bookmarkStart w:id="2" w:name="page3"/>
    <w:bookmarkEnd w:id="2"/>
    <w:p>
      <w:pPr>
        <w:ind w:left="1080"/>
        <w:spacing w:after="0"/>
        <w:rPr>
          <w:sz w:val="20"/>
          <w:szCs w:val="20"/>
          <w:color w:val="auto"/>
        </w:rPr>
      </w:pPr>
      <w:r>
        <w:rPr>
          <w:rFonts w:ascii="Arial" w:cs="Arial" w:eastAsia="Arial" w:hAnsi="Arial"/>
          <w:sz w:val="18"/>
          <w:szCs w:val="18"/>
          <w:color w:val="auto"/>
        </w:rPr>
        <w:t>retreatment with Rituxan after a prior course of Rituxan therapy;</w:t>
      </w:r>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treatment with eight weekly infusions of Rituxan, as an alternative to the prior approved labeling of four weekly infusions;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treatment of NHL patients with bulky disease (tumors greater than ten centimeters).</w:t>
      </w:r>
    </w:p>
    <w:p>
      <w:pPr>
        <w:spacing w:after="0" w:line="225"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The sBLA also amended our Rituxan Package Insert, or PI, to update safety information. In addition, a Dear Healthcare Provider letter was sent to physicians to enhance their understanding of adverse events that may be associated with Rituxan use.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In June 1998, Roche, our European marketing partner for Rituxan, was granted marketing authorization for Rituximab in all European Union countries. In March 2002, the European Medicines Evaluation Agency, or EMEA, approved the use of Rituximab in combination with standard chemotherapy, or CHOP, to treat patients with aggressive NHL. In June 2001, Zenyaku, our Japanese marketing partner for Rituxan, was granted marketing authorization for Rituxan in Japan. Rituxan is the trade name in the United States and Japan for the compound Rituximab. Outside the United States, Canada and Japan, Rituximab is marketed as MabThera. In this Form 10-K, we refer to Rituximab, Rituxan and MabThera collectively as Rituxan, except where we have otherwise indicated.</w:t>
      </w:r>
    </w:p>
    <w:p>
      <w:pPr>
        <w:spacing w:after="0" w:line="170"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February 2002, ZEVALIN became the first radioimmunotherapy approved by the FDA for the treatment of certain B-cell NHL's. ZEVALIN, which is delivered intravenously, is approved as a treatment for relapsed or refractory low-grade, follicular, or transformed B-cell NHL including patients with Rituxan refractory follicular NHL. We have retained all U.S. marketing and distribution rights to ZEVALIN and have granted marketing and distribution rights outside the U.S. to Schering Aktiengesellschaft. In January 2001, the EMEA accepted for filing the ZEVALIN Marketing Authorization Application, or MAA, submitted by Schering AG in the European Union. In March 2002, the "Summary of Product Characteristics" was approved by the European Committee for Proprietary Medicinal Products or CPMP for the treatment of adult patients with Rituximab relapsed or refractory CD20+ follicular B-cell NHL. The CPMP's final approval is pending and subject to the good manufacturing practices, or GMP, inspection at DSM Pharmaceuticals, Inc., formerly Catalytica Pharmaceuticals Inc.</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have four other antibodies in various stages of clinical development for treatment of autoimmune diseases and cancer:</w:t>
      </w:r>
    </w:p>
    <w:p>
      <w:pPr>
        <w:spacing w:after="0" w:line="239" w:lineRule="exact"/>
        <w:rPr>
          <w:sz w:val="20"/>
          <w:szCs w:val="20"/>
          <w:color w:val="auto"/>
        </w:rPr>
      </w:pPr>
    </w:p>
    <w:p>
      <w:pPr>
        <w:ind w:left="1080" w:right="2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Humanized Anti-CD40L (IDEC-131) is being developed as a treatment for autoimmune diseases and we have initiated three separate Phase II clinical trials with IDEC-131 in three different autoimmune indications. In January 2001, we initiated a Phase II study in patients with chronic, refractory immune thrombocytopenic purpura, or ITP, and a separate Phase II study in patients with moderate to severe psoriasis, a T-cell mediated disease. In September 2001, we began a Phase II study in Crohn's disease.</w:t>
      </w:r>
    </w:p>
    <w:p>
      <w:pPr>
        <w:spacing w:after="0" w:line="210" w:lineRule="exact"/>
        <w:rPr>
          <w:rFonts w:ascii="Arial" w:cs="Arial" w:eastAsia="Arial" w:hAnsi="Arial"/>
          <w:sz w:val="18"/>
          <w:szCs w:val="18"/>
          <w:color w:val="auto"/>
        </w:rPr>
      </w:pPr>
    </w:p>
    <w:p>
      <w:pPr>
        <w:ind w:left="1080" w:right="26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PRIMATIZED® Anti-CD80 (Anti-B7.1) (IDEC-114) is being developed as a treatment for psoriasis and NHL. This antibody has successfully completed a Phase I safety trial and a Phase I/II multiple dose clinical trial in psoriasis. In January 2001, we initiated two Phase II clinical trials with IDEC-114 in patients with moderate to severe psoriasis. In January 2002, we initiated a Phase I/II clinical trial with IDEC-114 in patients with relapsed or refractory follicular lymphoma.</w:t>
      </w:r>
    </w:p>
    <w:p>
      <w:pPr>
        <w:spacing w:after="0" w:line="224"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PRIMATIZED Anti-CD4 (IDEC-151) is being developed as a treatment for rheumatoid arthritis. A Phase II trial of this antibody was initiated in August 2000 in combination with methotrexate in patients with moderate to severe rheumatoid arthritis. For this trial, we enrolled approximately 135 patients who were randomized to receive IDEC-151 plus methotrexate or placebo plus methotrexate.</w:t>
      </w:r>
    </w:p>
    <w:p>
      <w:pPr>
        <w:spacing w:after="0" w:line="174"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PRIMATIZED Anti-CD23 (IDEC-152) is being developed as a treatment for allergic asthma and allergic rhinitis. We completed a 30-patient Phase I clinical test with IDEC-152 that demonstrated a favorable safety profile. In February 2002, we initiated a Phase I/II study in allergic asthma.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Antibodies and the Immune System</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immune system is composed of specialized cells, including B cells and T cells, that function in the recognition, destruction and elimination of disease-causing foreign substances and virally infected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malignant cells. The role of these specialized cells is determined by receptors on the cell surface which govern the interaction of the cell with foreign substances and with the rest of the immune system. For example, each differentiated B cell of the immune system has a different antibody anchored to its surface that serves as a receptor to recognize foreign substances. This antibody then triggers the production of additional antibodies which, as free-floating molecules, bind to and eliminate these foreign substances. Each foreign substance is individually identifiable by structures on its surface known as antigens, which serve as binding sites for the specific antibodies. T cells play more diverse roles, including the identification and destruction of virally infected or malignant cells.</w:t>
      </w:r>
    </w:p>
    <w:p>
      <w:pPr>
        <w:spacing w:after="0" w:line="170"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variety of technologies have been developed to produce antibodies as therapeutic agents. These include hybridoma technology and molecular biology techniques such as gene cloning and expression, which can now be applied to the generation, selection and production of hybrid monoclonal antibody varieties known as chimeric and humanized antibodies, as well as strictly human antibodies. Chimeric antibodies are constructed by combining portions of non-human species, typically mouse antibodies, with human antibodies. In these applications, the portion of the antibody responsible for antigen binding, which we refer to as the variable region, is taken from a non-human antibody and the remainder of the antibody, which we refer to as the constant region, is taken from a human antibody. Compared to mouse-derived monoclonal antibodies, chimeric antibodies generally exhibit lower immunogenicity, which is the tendency to trigger an often adverse immune response such as a human anti-mouse antibody, or HAMA response. Chimeric antibodies are also cleared more slowly from the body and function more naturally in the human immune system. Humanized antibodies can be constructed by grafting several small pieces of a murine antibody's variable region onto a constant region framework provided by a human antibody. This process, known as CDR-grafting, reduces the amount of foreign materials in the antibody, rendering it closer to a human antibody. However, the construction of humanized antibodies by CDR-grafting requires complex computer modeling, and the properties of the resulting antibody are not completely predictable and may, in fact, still trigger a HAMA response.</w:t>
      </w:r>
    </w:p>
    <w:p>
      <w:pPr>
        <w:sectPr>
          <w:pgSz w:w="11900" w:h="16838" w:orient="portrait"/>
          <w:cols w:equalWidth="0" w:num="1">
            <w:col w:w="11420"/>
          </w:cols>
          <w:pgMar w:left="240" w:top="131" w:right="239" w:bottom="117" w:gutter="0" w:footer="0" w:header="0"/>
        </w:sectPr>
      </w:pPr>
    </w:p>
    <w:bookmarkStart w:id="3" w:name="page4"/>
    <w:bookmarkEnd w:id="3"/>
    <w:p>
      <w:pPr>
        <w:spacing w:after="0" w:line="7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Monoclonal antibodies may be used to bind to specific subsets of human immune system cells and may act to deplete, to suppress or to up-regulate the activity of the targeted cells. Indeed, the high specificity of monoclonal antibodies enables them to selectively act against different types of B cells or T cells. Depletion of diseased immune cells or suppression of disease-causing immune activities may be possible by using antibodies that attach to specific antigens on the surface of target immune system cells. In particular, the individual B and T cells of the immune system express a broad variety of surface antigens, which are cell surface markers. These antigens not only differentiate one cell type from another, but also differentiate individual cells from other cells with specificity for different antigens. Monoclonal antibodies may also be used to bind to molecules, for example, cytokines, in the plasma which serve as soluble mediators of immune system cell activity. By neutralizing these molecules, monoclonal antibodies may be used to alter immune cell activity or migration, which exists in many inflammatory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Diseases of the Immune System</w:t>
      </w:r>
    </w:p>
    <w:p>
      <w:pPr>
        <w:spacing w:after="0" w:line="231"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with other cell types in the body, B cells and T cells may become malignant and develop into immune system tumors, such as B-cell NHLs. B-cell NHLs are cancers of the immune system which currently afflict approximately 300,000 patients in the United States. Treatment alternatives for B-cell NHL patients include chemotherapy, radiation therapy and, more recently, Rituxan and ZEVALIN. Rituxan is approved for use in low grade or follicular, relapsed or refractory CD20-positive B-cell NHL. ZEVALIN is approved for use in relapsed or refractory low grade, follicular, or transformed B-cell NHL, including patients with Rituxan refractory follicular NHL. B-cell NHLs are diverse with respect to prognosis and treatment, and are generally classified into one of three groups (low, intermediate or high grade) based on histology and clinical features. We estimate that approximately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half of the 300,000 patients afflicted with B-cell NHL in the United States have low grade or follicular disease. Patients with low grade lymphomas have a fairly long life expectancy from the time of diagnosis, with a median survival of 6.6 years, despite the fact that low grade NHLs are almost always incurable. Intermediate grade and high grade lymphomas are more rapidly growing forms of these cancers which, in some cases, may be curable with early, aggressive chemotherapy. New diagnoses of NHLs in the United States are estimated to be 53,900 in 2002. In the United States, more than 85% of all non-Hodgkin's lymphomas are of B-cell origin; the remainder are of T-cell origin.</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Owing to the fluid nature of the immune system, B-cell lymphomas are usually widely disseminated and characterized by multiple tumors at various sites throughout the body upon first presentation. Treatment courses with chemotherapy or radiation therapy often result in a limited number of remissions for patients with B-cell lymphomas. The majority of patients in remission will relapse and ultimately die either from their cancer or from complications of conventional therapy. Fewer patients achieve additional remissions following relapse and those remissions are generally of shorter duration as the tumors become increasingly resistant to subsequent courses of chemotherapy. Therapeutic product development efforts for these cancers have focused on both improving treatment results and minimizing the toxicities associated with standard treatment regimens. Immunotherapies with manageable toxicity and demonstrated efficacy, such as Rituxan and ZEVALIN, might be expected to reduce treatment and hospitalization costs associated with side effects or opportunistic infections, which can result from the use of chemotherapy.</w:t>
      </w:r>
    </w:p>
    <w:p>
      <w:pPr>
        <w:spacing w:after="0" w:line="172"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Psoriasis, inflammatory bowel disease, or IBD, asthma, allergic rhinitis, rheumatoid arthritis, systemic lupus erythematosus, or SLE, ITP and multiple sclerosis, or MS, are autoimmune and inflammatory diseases that require ongoing therapy and afflict millions of patients in the United States. Autoimmune disease occurs when the patient's immune system goes awry, initiating a cascade of events which results in an attack by the patient's immune system against otherwise healthy tissue and often includes inflammation of the involved tissue. Autoimmune diseases are typically treated with products such as steroids and nonsteroidal anti-inflammatory agents. These therapies are limited for several reasons, including their lack of specificity and ineffectiveness when used chronically. Furthermore, steroids suppress the immune system and make the patient susceptible to infections while nonsteroidal, anti-inflammatory agents have limited efficacy and have been implicated in the formation of gastro-intestinal ulcerations.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developing products for the management of immune system cancers and autoimmune and inflammatory diseases. Our antibody products bind to specific subsets of human immune system cells or to soluble mediators of immune cell activity, and act to deplete or to alter the activity of these cells. The products are administered intravenously and target cells or soluble mediators located in easily accessible compartments of the body, specifically the blood, the lymphatic fluid and the synovial fluid. For treatment of B-cell NHLs, our products target a cell surface marker known as CD20 which is present only on B cells but not on B-cell precursors. These products act to reduce total B-cell levels, including both malignant and normal B cells. The depletion of normal B cells observed in clinical experience to date has been only temporary, with regeneration occurring within months from the unaffected B-cell precursors. We believe that Rituxan provides therapeutic alternatives and can complement certain existing treatments of various B-cell NHLs. We also believe that our radioimmunotherapeutic agent, ZEVALIN, will provide an additional alternative for the treatment of certain B-cell NHLs.</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Due to their specificity and affinity for cell surface receptors, monoclonal antibodies are an attractive means by which to treat autoimmune diseases. Attachment of monoclonal antibodies to specific cell surface receptors can be used to suppress aberrant and unwanted immune activity. Historically, however, the use of monoclonal antibodies as an ongoing therapy has been limited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body's rejection of the murine components of the antibodies. Murine monoclonal antibodies, which are structurally different from human antibodies, tend to trigger adverse immune reactions when used as therapies. These reactions include a HAMA response in which the patient's immune system produces antibodies against the therapeutic antibody, thus limiting its effectiveness.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developed the following proprietary technologies for use with and in the development of our products:</w:t>
      </w:r>
    </w:p>
    <w:p>
      <w:pPr>
        <w:spacing w:after="0" w:line="225" w:lineRule="exact"/>
        <w:rPr>
          <w:sz w:val="20"/>
          <w:szCs w:val="20"/>
          <w:color w:val="auto"/>
        </w:rPr>
      </w:pPr>
    </w:p>
    <w:p>
      <w:pPr>
        <w:ind w:right="60" w:firstLine="359"/>
        <w:spacing w:after="0" w:line="294" w:lineRule="auto"/>
        <w:tabs>
          <w:tab w:leader="none" w:pos="456"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PRIMATIZED Antibody Technology. </w:t>
      </w:r>
      <w:r>
        <w:rPr>
          <w:rFonts w:ascii="Arial" w:cs="Arial" w:eastAsia="Arial" w:hAnsi="Arial"/>
          <w:sz w:val="16"/>
          <w:szCs w:val="16"/>
          <w:color w:val="auto"/>
        </w:rPr>
        <w:t>We have developed a proprietary PRIMATIZED antibody technology designed to avoid HAMA responses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immunogenicity problems by developing monoclonal antibodies from primate rather than mouse B cells. These antibodies are characterized by their strong similarity to human antibodies and by the absence of mouse components. In 1998, we were issued a U.S. patent covering our PRIMATIZED antibodies. Underlying this proprietary technology is our discovery that macaque monkeys produce antibodies that are structurally indistinguishable from human antibodies in their variable (antigen-binding) regions. Further, we found that the macaque monkey can be immunized to make antibodies that react with human, but not with</w:t>
      </w:r>
    </w:p>
    <w:p>
      <w:pPr>
        <w:sectPr>
          <w:pgSz w:w="11900" w:h="16909" w:orient="portrait"/>
          <w:cols w:equalWidth="0" w:num="1">
            <w:col w:w="11400"/>
          </w:cols>
          <w:pgMar w:left="240" w:top="131" w:right="259" w:bottom="0" w:gutter="0" w:footer="0" w:header="0"/>
        </w:sectPr>
      </w:pPr>
    </w:p>
    <w:bookmarkStart w:id="4" w:name="page5"/>
    <w:bookmarkEnd w:id="4"/>
    <w:p>
      <w:pPr>
        <w:ind w:right="20"/>
        <w:spacing w:after="0" w:line="291" w:lineRule="auto"/>
        <w:rPr>
          <w:sz w:val="20"/>
          <w:szCs w:val="20"/>
          <w:color w:val="auto"/>
        </w:rPr>
      </w:pPr>
      <w:r>
        <w:rPr>
          <w:rFonts w:ascii="Arial" w:cs="Arial" w:eastAsia="Arial" w:hAnsi="Arial"/>
          <w:sz w:val="16"/>
          <w:szCs w:val="16"/>
          <w:color w:val="auto"/>
        </w:rPr>
        <w:t>macaque, antigens. Genetic engineering techniques are then used to isolate the portions of the macaque antibody gene that encode the variable region from a macaque B cell. This genetic material is combined with constant region genetic material from a human B cell and inserted into a host cell line which then expresses the desired antibody specific to the given antigen. The result is a part-human, part-macaque PRIMATIZED antibody which appears structurally to be so similar to human antibodies that it may be accepted by the patient's immune system as "self." This development allows the possibility of therapeutic intervention in chronic diseases or other conditions that are not amenable to treatment with antibodies containing mouse components. We are currently using our PRIMATIZED technology for the development of our IDEC-151, IDEC-152 and IDEC-114 product candidates.</w:t>
      </w:r>
    </w:p>
    <w:p>
      <w:pPr>
        <w:spacing w:after="0" w:line="174" w:lineRule="exact"/>
        <w:rPr>
          <w:sz w:val="20"/>
          <w:szCs w:val="20"/>
          <w:color w:val="auto"/>
        </w:rPr>
      </w:pPr>
    </w:p>
    <w:p>
      <w:pPr>
        <w:ind w:firstLine="359"/>
        <w:spacing w:after="0" w:line="253" w:lineRule="auto"/>
        <w:tabs>
          <w:tab w:leader="none" w:pos="4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PROVAX™ Antigen Formulation. </w:t>
      </w:r>
      <w:r>
        <w:rPr>
          <w:rFonts w:ascii="Arial" w:cs="Arial" w:eastAsia="Arial" w:hAnsi="Arial"/>
          <w:sz w:val="18"/>
          <w:szCs w:val="18"/>
          <w:color w:val="auto"/>
        </w:rPr>
        <w:t>We have also discovered a proprietary antigen formulation, PROVAX, which has shown the ability to induce cellular</w:t>
      </w:r>
      <w:r>
        <w:rPr>
          <w:rFonts w:ascii="Arial" w:cs="Arial" w:eastAsia="Arial" w:hAnsi="Arial"/>
          <w:sz w:val="18"/>
          <w:szCs w:val="18"/>
          <w:i w:val="1"/>
          <w:iCs w:val="1"/>
          <w:color w:val="auto"/>
        </w:rPr>
        <w:t xml:space="preserve"> </w:t>
      </w:r>
      <w:r>
        <w:rPr>
          <w:rFonts w:ascii="Arial" w:cs="Arial" w:eastAsia="Arial" w:hAnsi="Arial"/>
          <w:sz w:val="18"/>
          <w:szCs w:val="18"/>
          <w:color w:val="auto"/>
        </w:rPr>
        <w:t>immunity, manifested by cytotoxic T lymphocytes, in animals immunized with protein antigens. Cellular immunity is a counterpart to antibody-based immunity and is responsible for the direct destruction of virally infected and malignant cells. PROVAX is a combination of defined chemical entities and may provide a practical means for the development of effective immunotherapies that act through the induction of both antibody and cell-mediated immunity. We believe these immunotherapies may be useful for the treatment of various cancers and viral diseases. Preliminary studies also indicate that PROVAX can be safely administered by injection to human subjects. We intend to make PROVAX available through licenses and collaborations to interested partners for development of immunotherapeutic vaccines.</w:t>
      </w:r>
    </w:p>
    <w:p>
      <w:pPr>
        <w:spacing w:after="0" w:line="201" w:lineRule="exact"/>
        <w:rPr>
          <w:rFonts w:ascii="Arial" w:cs="Arial" w:eastAsia="Arial" w:hAnsi="Arial"/>
          <w:sz w:val="18"/>
          <w:szCs w:val="18"/>
          <w:color w:val="auto"/>
        </w:rPr>
      </w:pPr>
    </w:p>
    <w:p>
      <w:pPr>
        <w:ind w:right="140" w:firstLine="359"/>
        <w:spacing w:after="0" w:line="256" w:lineRule="auto"/>
        <w:tabs>
          <w:tab w:leader="none" w:pos="45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Proprietary Vector Technologies. </w:t>
      </w:r>
      <w:r>
        <w:rPr>
          <w:rFonts w:ascii="Arial" w:cs="Arial" w:eastAsia="Arial" w:hAnsi="Arial"/>
          <w:sz w:val="18"/>
          <w:szCs w:val="18"/>
          <w:color w:val="auto"/>
        </w:rPr>
        <w:t>We have developed methods of engineering mammalian cell cultures using proprietary gene expression technologies, or</w:t>
      </w:r>
      <w:r>
        <w:rPr>
          <w:rFonts w:ascii="Arial" w:cs="Arial" w:eastAsia="Arial" w:hAnsi="Arial"/>
          <w:sz w:val="18"/>
          <w:szCs w:val="18"/>
          <w:i w:val="1"/>
          <w:iCs w:val="1"/>
          <w:color w:val="auto"/>
        </w:rPr>
        <w:t xml:space="preserve"> </w:t>
      </w:r>
      <w:r>
        <w:rPr>
          <w:rFonts w:ascii="Arial" w:cs="Arial" w:eastAsia="Arial" w:hAnsi="Arial"/>
          <w:sz w:val="18"/>
          <w:szCs w:val="18"/>
          <w:color w:val="auto"/>
        </w:rPr>
        <w:t>vector technologies that rapidly and reproducibly select for stable cells, producing high levels of desired proteins. These technologies allow the efficient production of proteins at yields that are competitive with current commercial cell culture manufacturing methods. We have successfully applied one of these technologies to the commercial scale production of Rituxan.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Product Candidates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Rituxan, our first product, and ZEVALIN, our second product approved for marketing in the United States, as well as our other primary products under development, address immune system disorders, such as lymphomas, autoimmune and inflammatory diseases. In addition, we have discovered other product candidates through the application of our technology platform. The products either commercialized or in preclinical and clinical development by our partners and us are described 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We have retained exclusive marketing rights in the United States for all of our products except Rituxan.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ind w:left="840"/>
              <w:spacing w:after="0"/>
              <w:rPr>
                <w:sz w:val="20"/>
                <w:szCs w:val="20"/>
                <w:color w:val="auto"/>
              </w:rPr>
            </w:pPr>
            <w:r>
              <w:rPr>
                <w:rFonts w:ascii="Arial" w:cs="Arial" w:eastAsia="Arial" w:hAnsi="Arial"/>
                <w:sz w:val="14"/>
                <w:szCs w:val="14"/>
                <w:b w:val="1"/>
                <w:bCs w:val="1"/>
                <w:color w:val="auto"/>
              </w:rPr>
              <w:t>Indication</w:t>
            </w:r>
          </w:p>
        </w:tc>
        <w:tc>
          <w:tcPr>
            <w:tcW w:w="200" w:type="dxa"/>
            <w:vAlign w:val="bottom"/>
          </w:tcPr>
          <w:p>
            <w:pPr>
              <w:spacing w:after="0"/>
              <w:rPr>
                <w:sz w:val="15"/>
                <w:szCs w:val="15"/>
                <w:color w:val="auto"/>
              </w:rPr>
            </w:pPr>
          </w:p>
        </w:tc>
        <w:tc>
          <w:tcPr>
            <w:tcW w:w="2480" w:type="dxa"/>
            <w:vAlign w:val="bottom"/>
          </w:tcPr>
          <w:p>
            <w:pPr>
              <w:ind w:left="1060"/>
              <w:spacing w:after="0"/>
              <w:rPr>
                <w:sz w:val="20"/>
                <w:szCs w:val="20"/>
                <w:color w:val="auto"/>
              </w:rPr>
            </w:pPr>
            <w:r>
              <w:rPr>
                <w:rFonts w:ascii="Arial" w:cs="Arial" w:eastAsia="Arial" w:hAnsi="Arial"/>
                <w:sz w:val="14"/>
                <w:szCs w:val="14"/>
                <w:b w:val="1"/>
                <w:bCs w:val="1"/>
                <w:color w:val="auto"/>
              </w:rPr>
              <w:t>Status</w:t>
            </w:r>
          </w:p>
        </w:tc>
        <w:tc>
          <w:tcPr>
            <w:tcW w:w="180" w:type="dxa"/>
            <w:vAlign w:val="bottom"/>
          </w:tcPr>
          <w:p>
            <w:pPr>
              <w:spacing w:after="0"/>
              <w:rPr>
                <w:sz w:val="15"/>
                <w:szCs w:val="15"/>
                <w:color w:val="auto"/>
              </w:rPr>
            </w:pPr>
          </w:p>
        </w:tc>
        <w:tc>
          <w:tcPr>
            <w:tcW w:w="2300" w:type="dxa"/>
            <w:vAlign w:val="bottom"/>
          </w:tcPr>
          <w:p>
            <w:pPr>
              <w:ind w:left="180"/>
              <w:spacing w:after="0"/>
              <w:rPr>
                <w:sz w:val="20"/>
                <w:szCs w:val="20"/>
                <w:color w:val="auto"/>
              </w:rPr>
            </w:pPr>
            <w:r>
              <w:rPr>
                <w:rFonts w:ascii="Arial" w:cs="Arial" w:eastAsia="Arial" w:hAnsi="Arial"/>
                <w:sz w:val="14"/>
                <w:szCs w:val="14"/>
                <w:b w:val="1"/>
                <w:bCs w:val="1"/>
                <w:color w:val="auto"/>
                <w:w w:val="96"/>
              </w:rPr>
              <w:t>Development/Marketing Partners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Immune System Cancer</w:t>
            </w:r>
          </w:p>
        </w:tc>
        <w:tc>
          <w:tcPr>
            <w:tcW w:w="1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w:t>
            </w:r>
          </w:p>
        </w:tc>
        <w:tc>
          <w:tcPr>
            <w:tcW w:w="1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120" w:type="dxa"/>
            <w:vAlign w:val="bottom"/>
            <w:gridSpan w:val="2"/>
          </w:tcPr>
          <w:p>
            <w:pPr>
              <w:spacing w:after="0"/>
              <w:rPr>
                <w:sz w:val="20"/>
                <w:szCs w:val="20"/>
                <w:color w:val="auto"/>
              </w:rPr>
            </w:pPr>
            <w:r>
              <w:rPr>
                <w:rFonts w:ascii="Arial" w:cs="Arial" w:eastAsia="Arial" w:hAnsi="Arial"/>
                <w:sz w:val="18"/>
                <w:szCs w:val="18"/>
                <w:color w:val="auto"/>
              </w:rPr>
              <w:t>Rituxan</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Certain B-cell NHL's</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w w:val="89"/>
              </w:rPr>
              <w:t>U.S., European Union, and Japan:</w:t>
            </w:r>
          </w:p>
        </w:tc>
        <w:tc>
          <w:tcPr>
            <w:tcW w:w="1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3"/>
              </w:rPr>
              <w:t>Genentech (U.S. copromotion)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Approved</w:t>
            </w:r>
          </w:p>
        </w:tc>
        <w:tc>
          <w:tcPr>
            <w:tcW w:w="18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4"/>
              </w:rPr>
              <w:t>Roche (worldwide except U.S.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9"/>
              </w:rPr>
              <w:t>and Japan) Zenyaku (Japan)</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ZEVALIN</w:t>
            </w: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Certain B-cell NHL's</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U.S.: Approved European Union:</w:t>
            </w:r>
          </w:p>
        </w:tc>
        <w:tc>
          <w:tcPr>
            <w:tcW w:w="1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0"/>
              </w:rPr>
              <w:t>Schering AG (worldwide except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(radioimmunotherapy)</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MAA accepted for filing</w:t>
            </w:r>
          </w:p>
        </w:tc>
        <w:tc>
          <w:tcPr>
            <w:tcW w:w="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445"/>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Autoimmune and</w:t>
            </w: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Inflammatory Disease</w:t>
            </w: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Candidates:</w:t>
            </w: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Humanized Anti-CD40L</w:t>
            </w:r>
          </w:p>
        </w:tc>
        <w:tc>
          <w:tcPr>
            <w:tcW w:w="1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(IDEC-131)</w:t>
            </w: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Various autoimmune diseases</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Phase II</w:t>
            </w:r>
          </w:p>
        </w:tc>
        <w:tc>
          <w:tcPr>
            <w:tcW w:w="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Eisai (Europe and Asia)</w:t>
            </w:r>
          </w:p>
        </w:tc>
        <w:tc>
          <w:tcPr>
            <w:tcW w:w="0" w:type="dxa"/>
            <w:vAlign w:val="bottom"/>
          </w:tcPr>
          <w:p>
            <w:pPr>
              <w:spacing w:after="0"/>
              <w:rPr>
                <w:sz w:val="1"/>
                <w:szCs w:val="1"/>
                <w:color w:val="auto"/>
              </w:rPr>
            </w:pPr>
          </w:p>
        </w:tc>
      </w:tr>
      <w:tr>
        <w:trPr>
          <w:trHeight w:val="424"/>
        </w:trPr>
        <w:tc>
          <w:tcPr>
            <w:tcW w:w="2120" w:type="dxa"/>
            <w:vAlign w:val="bottom"/>
            <w:gridSpan w:val="2"/>
          </w:tcPr>
          <w:p>
            <w:pPr>
              <w:spacing w:after="0"/>
              <w:rPr>
                <w:sz w:val="20"/>
                <w:szCs w:val="20"/>
                <w:color w:val="auto"/>
              </w:rPr>
            </w:pPr>
            <w:r>
              <w:rPr>
                <w:rFonts w:ascii="Arial" w:cs="Arial" w:eastAsia="Arial" w:hAnsi="Arial"/>
                <w:sz w:val="18"/>
                <w:szCs w:val="18"/>
                <w:color w:val="auto"/>
              </w:rPr>
              <w:t>PRIMATIZED Anti-CD80</w:t>
            </w: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(Anti-B7.1) (IDEC-114)</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Psoriasis and NHL</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Phase II</w:t>
            </w:r>
          </w:p>
        </w:tc>
        <w:tc>
          <w:tcPr>
            <w:tcW w:w="1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Mitsubishi (Asia)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PRIMATIZED Anti-CD4</w:t>
            </w:r>
          </w:p>
        </w:tc>
        <w:tc>
          <w:tcPr>
            <w:tcW w:w="1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8"/>
              </w:rPr>
              <w:t>IDEC has retained worldwide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8"/>
              </w:rPr>
              <w:t>(IDEC-151) (Clenoliximab)</w:t>
            </w:r>
          </w:p>
        </w:tc>
        <w:tc>
          <w:tcPr>
            <w:tcW w:w="2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Rheumatoid arthritis</w:t>
            </w:r>
          </w:p>
        </w:tc>
        <w:tc>
          <w:tcPr>
            <w:tcW w:w="2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Phase II</w:t>
            </w:r>
          </w:p>
        </w:tc>
        <w:tc>
          <w:tcPr>
            <w:tcW w:w="1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PRIMATIZED Anti-CD23</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Various allergic conditions,</w:t>
            </w: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gridSpan w:val="2"/>
          </w:tcPr>
          <w:p>
            <w:pPr>
              <w:spacing w:after="0"/>
              <w:rPr>
                <w:sz w:val="20"/>
                <w:szCs w:val="20"/>
                <w:color w:val="auto"/>
              </w:rPr>
            </w:pPr>
            <w:r>
              <w:rPr>
                <w:rFonts w:ascii="Arial" w:cs="Arial" w:eastAsia="Arial" w:hAnsi="Arial"/>
                <w:sz w:val="18"/>
                <w:szCs w:val="18"/>
                <w:color w:val="auto"/>
              </w:rPr>
              <w:t>(IDEC-152)</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w w:val="92"/>
              </w:rPr>
              <w:t>allergic asthma, allergic rhinitis</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Phase I/II</w:t>
            </w:r>
          </w:p>
        </w:tc>
        <w:tc>
          <w:tcPr>
            <w:tcW w:w="1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7"/>
              </w:rPr>
              <w:t>Seikagaku (Europe and Asia)</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Other Product Candidate:</w:t>
            </w:r>
          </w:p>
        </w:tc>
        <w:tc>
          <w:tcPr>
            <w:tcW w:w="1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PROVAX (antigen</w:t>
            </w: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w w:val="98"/>
              </w:rPr>
              <w:t>IDEC has retained worldwide</w:t>
            </w:r>
          </w:p>
        </w:tc>
        <w:tc>
          <w:tcPr>
            <w:tcW w:w="0" w:type="dxa"/>
            <w:vAlign w:val="bottom"/>
          </w:tcPr>
          <w:p>
            <w:pPr>
              <w:spacing w:after="0"/>
              <w:rPr>
                <w:sz w:val="1"/>
                <w:szCs w:val="1"/>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formulation)</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w w:val="99"/>
              </w:rPr>
              <w:t>Cancer therapeutic vaccines</w:t>
            </w:r>
          </w:p>
        </w:tc>
        <w:tc>
          <w:tcPr>
            <w:tcW w:w="2680" w:type="dxa"/>
            <w:vAlign w:val="bottom"/>
            <w:gridSpan w:val="2"/>
          </w:tcPr>
          <w:p>
            <w:pPr>
              <w:ind w:left="200"/>
              <w:spacing w:after="0"/>
              <w:rPr>
                <w:sz w:val="20"/>
                <w:szCs w:val="20"/>
                <w:color w:val="auto"/>
              </w:rPr>
            </w:pPr>
            <w:r>
              <w:rPr>
                <w:rFonts w:ascii="Arial" w:cs="Arial" w:eastAsia="Arial" w:hAnsi="Arial"/>
                <w:sz w:val="18"/>
                <w:szCs w:val="18"/>
                <w:color w:val="auto"/>
              </w:rPr>
              <w:t>Preclinical Development</w:t>
            </w:r>
          </w:p>
        </w:tc>
        <w:tc>
          <w:tcPr>
            <w:tcW w:w="18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rights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-3818890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-3818890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-3818890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-3818890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-3818890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-3818890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Cancer Products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objective with respect to treating B-cell NHLs is to use our anti-CD20 antibodies to target, bind and selectively eliminate both the patient's normal and malignant B cells. The following is a brief description of each of our products in this area: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Rituxan</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Rituxan is a genetically engineered, chimeric murine/human monoclonal antibody designed to harness the patient's own immune mechanisms to destroy normal and malignant B cells. In November 1997, Rituxan was approved in the United States for treatment of various B-cell NHLs. We market Rituxan in the United States with Genentech under a copromotion arrangement. Roche sells</w:t>
      </w:r>
    </w:p>
    <w:p>
      <w:pPr>
        <w:sectPr>
          <w:pgSz w:w="11900" w:h="16838" w:orient="portrait"/>
          <w:cols w:equalWidth="0" w:num="1">
            <w:col w:w="11400"/>
          </w:cols>
          <w:pgMar w:left="240" w:top="131" w:right="259" w:bottom="0" w:gutter="0" w:footer="0" w:header="0"/>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131" w:right="259" w:bottom="0" w:gutter="0" w:footer="0" w:header="0"/>
          <w:type w:val="continuous"/>
        </w:sectPr>
      </w:pPr>
    </w:p>
    <w:bookmarkStart w:id="5" w:name="page6"/>
    <w:bookmarkEnd w:id="5"/>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right="780"/>
        <w:spacing w:after="0" w:line="268" w:lineRule="auto"/>
        <w:rPr>
          <w:sz w:val="20"/>
          <w:szCs w:val="20"/>
          <w:color w:val="auto"/>
        </w:rPr>
      </w:pPr>
      <w:r>
        <w:rPr>
          <w:rFonts w:ascii="Arial" w:cs="Arial" w:eastAsia="Arial" w:hAnsi="Arial"/>
          <w:sz w:val="18"/>
          <w:szCs w:val="18"/>
          <w:color w:val="auto"/>
        </w:rPr>
        <w:t>Rituxan outside the United States under the trade name MabThera, except in Japan where it continues product development and copromotes Rituxan in collaboration with Zenyaku.</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Our laboratory studies show that the Rituxan antibody binds to the CD20 antigen on B cells and activates a group of proteins known as complement, leading to normal and malignant B-cell destruction. Additionally, we believe that the Rituxan antibody, when bound to the CD20 antigen, recruits macrophages and natural killer cells to attack the B cells. Through these and other mechanisms, the antibody utilizes the body's immune defenses to lyse, or rupture, and deplete B cells. B cells have the capacity to regenerate from early precursor cells that do not express the CD20 antigen. The depletion of normal B cells observed in clinical experience to date has been only temporary, with normal B-cell regeneration typically occurring within six to nine months. The capacity of a tumor to regrow after treatment with Rituxan will depend on the number of malignant B cells, or malignant B-cell precursors, if the malignancy first appeared within a precursor cell remaining after treatment.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Rituxan in Malignant Diseases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Rituxan was the first monoclonal antibody approved in the United States for a cancer therapy indication. Rituxan is unique in the treatment of B-cell NHLs due to its specificity for the antigen CD20, which is expressed only on normal and malignant B cells and not on precursor B cells or other tissues of the body. Rituxan's mechanism of action utilizes the body's own immune system as compared to conventional lymphoma therapies, including experimental radioimmunotherapies. These properties of Rituxan allow its use in patients where chemotherapy is either poorly tolerated or ineffective in inducing disease remissions. Rituxan is easily administered as outpatient therapy by personnel trained in the use of chemotherapies. A standard course of Rituxan therapy consists of four intravenous infusions given on days 1, 8, 15 and 22, whereas chemotherapy is given typically in repeating cycles for up to four to eight months. In May 2001 the FDA approved our sBLA relating to the use of Rituxan in expanded dosing, including retreatment, times eight dosing for the treatment of B-cell NHL, including bulky disease. The sBLA also amended our package insert to update safety information. In addition, a Dear Healthcare Provider letter was sent to physicians to enhance their understanding of adverse events that may be associated with Rituxan use.</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Rituxan is indicated for single agent use in relapsed or refractory, low grade or follicular CD20-positive B-cell NHLs, which comprise approximately half of the B-cell NHLs in the United States. Ongoing or completed Phase II studies suggest that Rituxan may also be useful in combination with chemotherapy in low grade or follicular, relapsed or refractory, CD20-positive B-cell NHLs, and as a single agent or in combination with various chemotherapies in the treatment of other forms of B-cell NHLs and chronic lymphocytic leukemia, or CLL. In relapsed or chemotherapy-refractory low grade B-cell NHLs, which to date have proven to be incurable, Rituxan provides a means to induce remissions of disease in some patients without subjecting the patient to the toxicity and duration of therapy that are typical of chemotherapy regimens.</w:t>
      </w:r>
    </w:p>
    <w:p>
      <w:pPr>
        <w:spacing w:after="0" w:line="198"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In a Phase III clinical trial, Rituxan, given as a single agent to patients with relapsed or refractory, low grade or follicular CD20-positive B-cell NHL, achieved partial or complete responses to therapy (using the response criteria as defined in the IDEC protocol) of 48% of patients on an intent-to-treat basis, which represented 80 of 166 patients. Of the 80 responding patients, tumor shrinkage greater than 50% was verified over at least two independent observations 28 days apart; 10 were complete responses, or 6%, and 70 were partial responses, or 42%. The median duration of response, which is the time from response onset to first determination of tumor regrowth, in the 80 responders was 11.6 months. Retrospective analysis of patient subgroups in the Phase III Rituxan trial showed responses in patients with poor prognostic features, and who generally respond poorly to chemotherapy regimes, such as age greater than 60, extranodal disease, prior relapse from autologous bone marrow transplant, or relapse or failure of anthracycline-containing regimens. In newly diagnosed B-cell NHLs, which are intermediate or high grade and may be curable with early aggressive chemotherapy, we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believe that the addition of Rituxan to combination regimens may improve the overall response rate. Demonstration of improved response rate, for example, long-term disease remissions, is being sought through ongoing, randomized controlled trials.</w:t>
      </w:r>
    </w:p>
    <w:p>
      <w:pPr>
        <w:spacing w:after="0" w:line="18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 xml:space="preserve">There are standard response criteria for solid tumor cancers, CLL, Hodgkin's disease and acute myelogenous leukemia, but until recently, none for B-cell NHL. As a result, clinical response rates in B-cell NHL may vary depending on which criterion is being applied. One of the protocol-defined requirements for scoring a complete response in the Rituxan pivotal trial was that all measurable lesions shrink to less than 1x1cm. Using this conservative criterion, we reported an overall response rate of 48% with a 6% complete response rate, referred to as a CR rate. Based on a paper published by Cheson, </w:t>
      </w:r>
      <w:r>
        <w:rPr>
          <w:rFonts w:ascii="Arial" w:cs="Arial" w:eastAsia="Arial" w:hAnsi="Arial"/>
          <w:sz w:val="18"/>
          <w:szCs w:val="18"/>
          <w:i w:val="1"/>
          <w:iCs w:val="1"/>
          <w:color w:val="auto"/>
        </w:rPr>
        <w:t>et al</w:t>
      </w:r>
      <w:r>
        <w:rPr>
          <w:rFonts w:ascii="Arial" w:cs="Arial" w:eastAsia="Arial" w:hAnsi="Arial"/>
          <w:sz w:val="18"/>
          <w:szCs w:val="18"/>
          <w:color w:val="auto"/>
        </w:rPr>
        <w:t xml:space="preserve">. in the </w:t>
      </w:r>
      <w:r>
        <w:rPr>
          <w:rFonts w:ascii="Arial" w:cs="Arial" w:eastAsia="Arial" w:hAnsi="Arial"/>
          <w:sz w:val="18"/>
          <w:szCs w:val="18"/>
          <w:i w:val="1"/>
          <w:iCs w:val="1"/>
          <w:color w:val="auto"/>
        </w:rPr>
        <w:t>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Clinical Oncology</w:t>
      </w:r>
      <w:r>
        <w:rPr>
          <w:rFonts w:ascii="Arial" w:cs="Arial" w:eastAsia="Arial" w:hAnsi="Arial"/>
          <w:sz w:val="18"/>
          <w:szCs w:val="18"/>
          <w:color w:val="auto"/>
        </w:rPr>
        <w:t>, the lymphoma experts have now standardized the response criteria in NHL. Prior to the Cheson paper and the subsequent standardization,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protocol definition of overall response rate and complete response rates were based on our investigators and our own criteria. Exploratory analysis applying the new International Workshop NHL Response Criterion Standards for NHL to our Rituxan Phase III l trial shows in an overall response rate of 56% with a CR rate of 32%.</w:t>
      </w:r>
    </w:p>
    <w:p>
      <w:pPr>
        <w:spacing w:after="0" w:line="19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December 1999, we announced updated information on the results of a Phase II Rituxan retreatment study presented at the American Society of Hematology Conference, or ASH conference. This Phase II study in patients with low grade or follicular, CD20-positive B-cell NHL was conducted to determine the safety and efficacy of Rituxan in patients who had relapsed or were refractory to prior chemotherapy, but had responded previously to Rituxan. From the analyses of the study, patients who responded to one regimen of Rituxan may be retreated with additional courses of Rituxan without impairment of bone marrow function, or myelosuppression, or development of an immune response, or antibodies, to chimeric antibody therapy, a response called human anti-chimeric antibody, or HACA. Of 60 patients treated, 57 were considered evaluable for efficacy. The overall response rate using our protocol was 40%, with 6 out of 57, or 11%, achieving complete responses and 17 out of 57, or 30%, achieving partial responses. The overall safety profile seen with retreatment was similar to what was reported for the initial treatment with Rituxan, primarily infusion-related events that usually occurred within a few hours of the first infusion. Other events that occurred less frequently included: leukopenia, nausea, transient bronchospasm and mild hypotension.</w:t>
      </w:r>
    </w:p>
    <w:p>
      <w:pPr>
        <w:spacing w:after="0" w:line="174"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most common adverse events associated with Rituxan, based on our clinical trial experience, are infusion-related, consisting mainly of mild to moderate flu-like symptoms, for example, fever, chills and rigors, that occur in the majority of patients during the first infusion. Other events which occur with less frequency include nausea, rashes, fatigue and headaches. More serious events include hypotension, wheezing, sensation of the tongue or throat swelling and recurrence of cardiac events in patients with a history of angina or arrhythmia. These symptoms were usually limited in duration to the period of infusion and decrease with subsequent infusions. These adverse events are generally milder and of a shorter duration than the adverse events associated with chemotherapy.</w:t>
      </w:r>
    </w:p>
    <w:p>
      <w:pPr>
        <w:spacing w:after="0" w:line="15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In an effort to identify expanded applications for Rituxan, we, in conjunction with Genentech and Roche, have authorized over 120 Rituxan post-marketing study concepts to date, three of which are large Phase III clinical trials. Several of these trials will explore the use of Rituxan in a variety of investigational B-cell</w:t>
      </w:r>
    </w:p>
    <w:p>
      <w:pPr>
        <w:sectPr>
          <w:pgSz w:w="11900" w:h="16939" w:orient="portrait"/>
          <w:cols w:equalWidth="0" w:num="1">
            <w:col w:w="11400"/>
          </w:cols>
          <w:pgMar w:left="240" w:top="725" w:right="25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NHL clinical settings including:</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combination therapy with widely used chemotherapy regimens for both low grade and intermediate/high grade disease;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single agent therapy in newly diagnosed, previously untreated low grade disease;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into autologous bone marrow transplant regimens both as an in vivo purging agent prior to bone marrow harvest and post-transplant as consolidation therapy;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 of AIDS-related B-cell NHLs.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100" w:firstLine="341"/>
        <w:spacing w:after="0" w:line="268" w:lineRule="auto"/>
        <w:rPr>
          <w:sz w:val="20"/>
          <w:szCs w:val="20"/>
          <w:color w:val="auto"/>
        </w:rPr>
      </w:pPr>
      <w:r>
        <w:rPr>
          <w:rFonts w:ascii="Arial" w:cs="Arial" w:eastAsia="Arial" w:hAnsi="Arial"/>
          <w:sz w:val="18"/>
          <w:szCs w:val="18"/>
          <w:color w:val="auto"/>
        </w:rPr>
        <w:t>Additionally, clinical trials have been initiated in other B-cell malignancies and pre-malignant conditions such as CLL, multiple myeloma and lymphoproliferative disorders associated with solid organ transplant therapies.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Rituxan and CHOP Chemotherapy</w:t>
      </w:r>
    </w:p>
    <w:p>
      <w:pPr>
        <w:spacing w:after="0" w:line="225"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 xml:space="preserve">At the ASH conference in December 2000, a Rituxan presentation was given during the plenary session based on the Coiffier </w:t>
      </w:r>
      <w:r>
        <w:rPr>
          <w:rFonts w:ascii="Arial" w:cs="Arial" w:eastAsia="Arial" w:hAnsi="Arial"/>
          <w:sz w:val="18"/>
          <w:szCs w:val="18"/>
          <w:i w:val="1"/>
          <w:iCs w:val="1"/>
          <w:color w:val="auto"/>
        </w:rPr>
        <w:t>et al</w:t>
      </w:r>
      <w:r>
        <w:rPr>
          <w:rFonts w:ascii="Arial" w:cs="Arial" w:eastAsia="Arial" w:hAnsi="Arial"/>
          <w:sz w:val="18"/>
          <w:szCs w:val="18"/>
          <w:color w:val="auto"/>
        </w:rPr>
        <w:t xml:space="preserve">. study entitled "MabThera (Rituximab or Rituxan) plus CHOP is superior to CHOP Alone in Elderly Patients with Diffuse Large B-Cell Lymphoma: Interim Results of a Randomized GELA trial." At the ASH conference in December 2001, results were presented on all 400 previously untreated elderly patients randomized into two arms of the study comparing standard CHOP a common chemotherapy regimen consisting of cyclophosphamide, doxorubicin, vincristine and prednisone, given every three weeks for eight cycles, versus standard CHOP, with Rituxan given day one of each cycle of CHOP. This data was also published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Medicine </w:t>
      </w:r>
      <w:r>
        <w:rPr>
          <w:rFonts w:ascii="Arial" w:cs="Arial" w:eastAsia="Arial" w:hAnsi="Arial"/>
          <w:sz w:val="18"/>
          <w:szCs w:val="18"/>
          <w:color w:val="auto"/>
        </w:rPr>
        <w:t>in January 2002.</w:t>
      </w:r>
    </w:p>
    <w:p>
      <w:pPr>
        <w:spacing w:after="0" w:line="198"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 xml:space="preserve">After a median follow-up of two years, Coiffier </w:t>
      </w:r>
      <w:r>
        <w:rPr>
          <w:rFonts w:ascii="Arial" w:cs="Arial" w:eastAsia="Arial" w:hAnsi="Arial"/>
          <w:sz w:val="16"/>
          <w:szCs w:val="16"/>
          <w:i w:val="1"/>
          <w:iCs w:val="1"/>
          <w:color w:val="auto"/>
        </w:rPr>
        <w:t>et al</w:t>
      </w:r>
      <w:r>
        <w:rPr>
          <w:rFonts w:ascii="Arial" w:cs="Arial" w:eastAsia="Arial" w:hAnsi="Arial"/>
          <w:sz w:val="16"/>
          <w:szCs w:val="16"/>
          <w:color w:val="auto"/>
        </w:rPr>
        <w:t>. found a significant improvement in event-free survival for the Rituxan plus CHOP arm versus the CHOP alone treated arm (57% versus 37%, respectively). Event-free survival was defined as ongoing survival without events including disease progression or relapse, death or initiation of new alternative treatment. Overall survival was increased from 57% in the CHOP alone arm to 70% in the Rituxan plus CHOP arm. Complete response rate (disappearance of all detectable signs of cancer) increased from 63% in the CHOP alone arm to 76% in the Rituxan plus CHOP arm.</w:t>
      </w:r>
    </w:p>
    <w:p>
      <w:pPr>
        <w:spacing w:after="0" w:line="168" w:lineRule="exact"/>
        <w:rPr>
          <w:sz w:val="20"/>
          <w:szCs w:val="20"/>
          <w:color w:val="auto"/>
        </w:rPr>
      </w:pPr>
    </w:p>
    <w:p>
      <w:pPr>
        <w:ind w:right="120" w:firstLine="341"/>
        <w:spacing w:after="0" w:line="222" w:lineRule="auto"/>
        <w:rPr>
          <w:sz w:val="20"/>
          <w:szCs w:val="20"/>
          <w:color w:val="auto"/>
        </w:rPr>
      </w:pPr>
      <w:r>
        <w:rPr>
          <w:rFonts w:ascii="Arial" w:cs="Arial" w:eastAsia="Arial" w:hAnsi="Arial"/>
          <w:sz w:val="18"/>
          <w:szCs w:val="18"/>
          <w:color w:val="auto"/>
        </w:rPr>
        <w:t xml:space="preserve">Approximately 10% of patients in the Rituxan plus CHOP arm experienced Grade </w:t>
      </w:r>
      <w:r>
        <w:rPr>
          <w:rFonts w:ascii="Arial" w:cs="Arial" w:eastAsia="Arial" w:hAnsi="Arial"/>
          <w:sz w:val="29"/>
          <w:szCs w:val="29"/>
          <w:color w:val="auto"/>
          <w:vertAlign w:val="superscript"/>
        </w:rPr>
        <w:t>3</w:t>
      </w:r>
      <w:r>
        <w:rPr>
          <w:rFonts w:ascii="Arial" w:cs="Arial" w:eastAsia="Arial" w:hAnsi="Arial"/>
          <w:sz w:val="18"/>
          <w:szCs w:val="18"/>
          <w:color w:val="auto"/>
        </w:rPr>
        <w:t>/</w:t>
      </w:r>
      <w:r>
        <w:rPr>
          <w:rFonts w:ascii="Arial" w:cs="Arial" w:eastAsia="Arial" w:hAnsi="Arial"/>
          <w:sz w:val="14"/>
          <w:szCs w:val="14"/>
          <w:color w:val="auto"/>
        </w:rPr>
        <w:t>4</w:t>
      </w:r>
      <w:r>
        <w:rPr>
          <w:rFonts w:ascii="Arial" w:cs="Arial" w:eastAsia="Arial" w:hAnsi="Arial"/>
          <w:sz w:val="18"/>
          <w:szCs w:val="18"/>
          <w:color w:val="auto"/>
        </w:rPr>
        <w:t xml:space="preserve"> infusion-related events. As seen in prior studies with Rituxan, these events were generally limited to the first infusion of Rituxan and were reversible. Beyond these infusion-related events, the addition of Rituxan did not appear to cause a clinically significant increase in adverse events as compared to those seen with CHOP alone.</w:t>
      </w:r>
    </w:p>
    <w:p>
      <w:pPr>
        <w:spacing w:after="0" w:line="21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December 2001, we announced updated information on the results of a Phase II study assessing the safety and effectiveness of Rituxan used in combination with CHOP chemotherapy, in low grade or follicular B-cell NHL. The overall response rate using the IDEC protocol, in the Phase II study was 100% in 35 evaluable patients with 22 patients, or 63%, achieving complete responses and 13 patients, or 37%, achieving partial responses. The median duration of response was 63.6+ months with progression-free survival not reached after a median observation time of 65.1+ months. Twenty-one patients, or 60%, are still in remission beyond 46+ months and up to 86.3+ months. The most frequently experienced adverse events were neutropenia, dehydration, alopecia, nausea and fever. Rituxan was associated with fever and chills.</w:t>
      </w:r>
    </w:p>
    <w:p>
      <w:pPr>
        <w:spacing w:after="0" w:line="19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Results of a Phase II clinical trial evaluating the combination of Rituxan plus CHOP in intermediate and high grade B-cell NHL were also announced in December 1999. The overall response rate in the 33 evaluable patients was 97%, with 20 patients, or 61%, achieving complete responses and 12 patients, or 36%, achieving partial responses.</w:t>
      </w:r>
    </w:p>
    <w:p>
      <w:pPr>
        <w:spacing w:after="0" w:line="194"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While these Phase II trials were conducted in a relatively small number of patients, it appears that adding Rituxan to CHOP chemotherapy may have the potential to provide durable remissions for patients with NHL. As a result, a Phase III randomized, open label clinical trial, sponsored by Genentech and IDEC, began in January 2000 to evaluate the safety and efficacy of Rituxan plus CHOP versus CHOP alone in previously untreated CD20-positive intermediate or high grade NHL patients. Based upon the positive results from the GELA study performed by Roche, we have stopped accruing new patients in our Phase III study.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These CHOP/Rituxan Phase II clinical trials also served as the basis for the commencement of a large, randomized controlled cooperative Phase III trial by the National Cancer Institute, the Eastern Cooperative Oncology Group, the Cancer and Leukemia Group B and the Southwest Oncology Group. This trial will examine whether the addition of Rituxan administered on a maintenance regimen (four infusions every six months for two years) to the CHOP or CHOP/Rituxan responders will improve cure rates, or long-term remission, in individuals over the age of 60 years with intermediate and high grade B-cell NHL. Enrollment on this trial was completed in July 2001, with 632 patients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Rituxan in Autoimmune Diseases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In 2001, Stasi </w:t>
      </w:r>
      <w:r>
        <w:rPr>
          <w:rFonts w:ascii="Arial" w:cs="Arial" w:eastAsia="Arial" w:hAnsi="Arial"/>
          <w:sz w:val="18"/>
          <w:szCs w:val="18"/>
          <w:i w:val="1"/>
          <w:iCs w:val="1"/>
          <w:color w:val="auto"/>
        </w:rPr>
        <w:t>et al</w:t>
      </w:r>
      <w:r>
        <w:rPr>
          <w:rFonts w:ascii="Arial" w:cs="Arial" w:eastAsia="Arial" w:hAnsi="Arial"/>
          <w:sz w:val="18"/>
          <w:szCs w:val="18"/>
          <w:color w:val="auto"/>
        </w:rPr>
        <w:t>. published data on the use of Rituxan in patients with chronic ITP. Of the 25 patients treated, an overall response rate of 52% was observed, with 20% of patients achieving a complete response (defined as a platelet count of greater than 100,000). Seven patients (28%) had sustained responses of 6 months or longer.</w:t>
      </w:r>
    </w:p>
    <w:p>
      <w:pPr>
        <w:spacing w:after="0" w:line="194"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 xml:space="preserve">Two abstracts presented at the ASH conference in December 2001 also explored the safety and efficacy of Rituxan in patients with ITP. A Phase I/II evaluated ITP patients who had failed corticosteroid therapy and had platelet counts less than 75,000. Of all 20 patients enrolled, 25% responded with duration of 5 to 11 months. Of the 10 post-spenectomy patients, 40% responded. Response was defined as platelet counts greater than 100,000 (Saleh </w:t>
      </w:r>
      <w:r>
        <w:rPr>
          <w:rFonts w:ascii="Arial" w:cs="Arial" w:eastAsia="Arial" w:hAnsi="Arial"/>
          <w:sz w:val="18"/>
          <w:szCs w:val="18"/>
          <w:i w:val="1"/>
          <w:iCs w:val="1"/>
          <w:color w:val="auto"/>
        </w:rPr>
        <w:t>et al</w:t>
      </w:r>
      <w:r>
        <w:rPr>
          <w:rFonts w:ascii="Arial" w:cs="Arial" w:eastAsia="Arial" w:hAnsi="Arial"/>
          <w:sz w:val="18"/>
          <w:szCs w:val="18"/>
          <w:color w:val="auto"/>
        </w:rPr>
        <w:t xml:space="preserve">). Another Phase II study enrolled 21 patient of which 14 were had been followed for greater than 10 weeks. Of these 14 patients, 57% responded, with a 45% response rate among the 11 patients who were post-splenectomy. Response was defined as a platelet count greater than 50,000. First infusion-related events were experienced by 8 of 21 patients (Cooper </w:t>
      </w:r>
      <w:r>
        <w:rPr>
          <w:rFonts w:ascii="Arial" w:cs="Arial" w:eastAsia="Arial" w:hAnsi="Arial"/>
          <w:sz w:val="18"/>
          <w:szCs w:val="18"/>
          <w:i w:val="1"/>
          <w:iCs w:val="1"/>
          <w:color w:val="auto"/>
        </w:rPr>
        <w:t>et al</w:t>
      </w:r>
      <w:r>
        <w:rPr>
          <w:rFonts w:ascii="Arial" w:cs="Arial" w:eastAsia="Arial" w:hAnsi="Arial"/>
          <w:sz w:val="18"/>
          <w:szCs w:val="18"/>
          <w:color w:val="auto"/>
        </w:rPr>
        <w:t>).</w:t>
      </w:r>
    </w:p>
    <w:p>
      <w:pPr>
        <w:spacing w:after="0" w:line="198" w:lineRule="exact"/>
        <w:rPr>
          <w:sz w:val="20"/>
          <w:szCs w:val="20"/>
          <w:color w:val="auto"/>
        </w:rPr>
      </w:pPr>
    </w:p>
    <w:p>
      <w:pPr>
        <w:ind w:right="100" w:firstLine="341"/>
        <w:spacing w:after="0" w:line="370" w:lineRule="auto"/>
        <w:rPr>
          <w:sz w:val="20"/>
          <w:szCs w:val="20"/>
          <w:color w:val="auto"/>
        </w:rPr>
      </w:pPr>
      <w:r>
        <w:rPr>
          <w:rFonts w:ascii="Arial" w:cs="Arial" w:eastAsia="Arial" w:hAnsi="Arial"/>
          <w:sz w:val="15"/>
          <w:szCs w:val="15"/>
          <w:color w:val="auto"/>
        </w:rPr>
        <w:t xml:space="preserve">At the American College of Rheumatology, Edwards </w:t>
      </w:r>
      <w:r>
        <w:rPr>
          <w:rFonts w:ascii="Arial" w:cs="Arial" w:eastAsia="Arial" w:hAnsi="Arial"/>
          <w:sz w:val="15"/>
          <w:szCs w:val="15"/>
          <w:i w:val="1"/>
          <w:iCs w:val="1"/>
          <w:color w:val="auto"/>
        </w:rPr>
        <w:t>et al</w:t>
      </w:r>
      <w:r>
        <w:rPr>
          <w:rFonts w:ascii="Arial" w:cs="Arial" w:eastAsia="Arial" w:hAnsi="Arial"/>
          <w:sz w:val="15"/>
          <w:szCs w:val="15"/>
          <w:color w:val="auto"/>
        </w:rPr>
        <w:t>. presented results of an open label study of 23 patients that evaluated the impact of B-lymphocyte depletion produced by Rituxan in patients with erosive rheumatoid arthritis. The authors concluded that B-cell depletion showed promise as a safe and effective</w:t>
      </w:r>
    </w:p>
    <w:p>
      <w:pPr>
        <w:sectPr>
          <w:pgSz w:w="11900" w:h="16838" w:orient="portrait"/>
          <w:cols w:equalWidth="0" w:num="1">
            <w:col w:w="11420"/>
          </w:cols>
          <w:pgMar w:left="240" w:top="131" w:right="239" w:bottom="0" w:gutter="0" w:footer="0" w:header="0"/>
        </w:sectPr>
      </w:pPr>
    </w:p>
    <w:bookmarkStart w:id="7" w:name="page8"/>
    <w:bookmarkEnd w:id="7"/>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therapy for rheumatoid arthritis. A Phase II study sponsored by Roche is underway to further evaluate Rituxan in patients with rheumatoid arthritis.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ZEVALIN</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Due to the sensitivity of B-cell tumors to radiation, radiation therapy has historically played, and continues to play, an important role in the management of B-cell lymphomas. Radiation therapy currently consists of external beam radiation focused on isolated areas of the body or areas with high tumor burden and, more recently, the ZEVALIN therapeutic regimen. ZEVALIN, our radioimmunotherapy approved for treatment of certain B-cell NHL, delivers targeted immunotherapy by means of injectable radiation to target sites expressing the CD20 antigen, such as lymphatic B-cell tumors. ZEVALIN therapeutic regimen is sold as one product and is comprised of two components: an imaging component for use with Indium-111 and a therapeutic component for use with Yttrium-90.</w:t>
      </w:r>
    </w:p>
    <w:p>
      <w:pPr>
        <w:spacing w:after="0" w:line="170" w:lineRule="exact"/>
        <w:rPr>
          <w:sz w:val="20"/>
          <w:szCs w:val="20"/>
          <w:color w:val="auto"/>
        </w:rPr>
      </w:pPr>
    </w:p>
    <w:p>
      <w:pPr>
        <w:jc w:val="both"/>
        <w:ind w:right="160" w:firstLine="351"/>
        <w:spacing w:after="0" w:line="284" w:lineRule="auto"/>
        <w:rPr>
          <w:sz w:val="20"/>
          <w:szCs w:val="20"/>
          <w:color w:val="auto"/>
        </w:rPr>
      </w:pPr>
      <w:r>
        <w:rPr>
          <w:rFonts w:ascii="Arial" w:cs="Arial" w:eastAsia="Arial" w:hAnsi="Arial"/>
          <w:sz w:val="16"/>
          <w:szCs w:val="16"/>
          <w:color w:val="auto"/>
        </w:rPr>
        <w:t>In clinical testing, the ZEVALIN antibody, which is the murine parent of Rituxan, radiolabeled with the isotope Indium-111 was used to image the patient's tumor and to estimate the radiation dose to normal organs from the subsequently administered therapeutic product, which uses the isotope Yttrium-90. The low energy gamma emission of the Indium is detectable outside the body, thereby allowing the physician to determine the localization of the antibody in the tumor.</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companion Yttrium-90 isotope provides targeted radiation therapy by emitting a high-energy beta particle that is absorbed by surrounding tissue, leading to tumor destruction. Our objective with ZEVALIN is to provide more effective, systemic radiation therapy than is possible with external beam radiation and to provide this radiation therapy in an outpatient setting.</w:t>
      </w:r>
    </w:p>
    <w:p>
      <w:pPr>
        <w:spacing w:after="0" w:line="198" w:lineRule="exact"/>
        <w:rPr>
          <w:sz w:val="20"/>
          <w:szCs w:val="20"/>
          <w:color w:val="auto"/>
        </w:rPr>
      </w:pPr>
    </w:p>
    <w:p>
      <w:pPr>
        <w:ind w:right="1060" w:firstLine="348"/>
        <w:spacing w:after="0" w:line="268" w:lineRule="auto"/>
        <w:rPr>
          <w:sz w:val="20"/>
          <w:szCs w:val="20"/>
          <w:color w:val="auto"/>
        </w:rPr>
      </w:pPr>
      <w:r>
        <w:rPr>
          <w:rFonts w:ascii="Arial" w:cs="Arial" w:eastAsia="Arial" w:hAnsi="Arial"/>
          <w:sz w:val="18"/>
          <w:szCs w:val="18"/>
          <w:color w:val="auto"/>
        </w:rPr>
        <w:t>The ZEVALIN therapeutic regimen includes two doses of Rituxan one week apart, to deplete peripheral blood B cells and optimize ZEVALIN biodistribution. The first dose of Rituxan is followed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by Indium-111-ZEVALIN. Gamma camera images are then obtained at two to 24 hours, 48-72 hours, and an optional image at 90-120 hours. These images are obtained to confirm expected biodistribution. If acceptable biodistribution is demonstrated, the second dose of Rituxan is followed by Yttrium-90-ZEVALIN. The Yttrium-90, which is supplied by MDS Canada Inc., formerly MDS Nordion Inc., will be attached to the antibody at the radiopharmacy just prior to the therapeutic infusion in the patient. The entire regimen, therefore, can be completed in approximately one week.</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radioisotopes, such as iodine-131, emit both beta and gamma radiation and, depending on state and institutional regulations, may require that the patient be hospitalized and isolated in a lead-shielded room for several days. In contrast, the beta particle emitted by Yttrium-90 is absorbed by tissue immediately adjacent to the antibody and is concentrated at the antibody target. This short penetrating radiation supports the use of ZEVALIN in outpatient therapy, and thus we conducted our clinical trials in the outpatient setting.</w:t>
      </w:r>
    </w:p>
    <w:p>
      <w:pPr>
        <w:spacing w:after="0" w:line="197"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the basis for our BLA approved by the FDA on February 19, 2002, we completed two multi-center pivotal Phase III studies of ZEVALIN in the treatment of relapsed or refractory, low grade, follicular or CD20-positive transformed B-cell NHL. Schering AG, which holds worldwide marketing rights to ZEVALIN outside the United States, submitted a MAA for ZEVALIN to the EMEA. This MAA was accepted for filing in January 2001.</w:t>
      </w:r>
    </w:p>
    <w:p>
      <w:pPr>
        <w:spacing w:after="0" w:line="161" w:lineRule="exact"/>
        <w:rPr>
          <w:sz w:val="20"/>
          <w:szCs w:val="20"/>
          <w:color w:val="auto"/>
        </w:rPr>
      </w:pPr>
    </w:p>
    <w:p>
      <w:pPr>
        <w:jc w:val="both"/>
        <w:ind w:right="320" w:firstLine="351"/>
        <w:spacing w:after="0" w:line="303" w:lineRule="auto"/>
        <w:rPr>
          <w:sz w:val="20"/>
          <w:szCs w:val="20"/>
          <w:color w:val="auto"/>
        </w:rPr>
      </w:pPr>
      <w:r>
        <w:rPr>
          <w:rFonts w:ascii="Arial" w:cs="Arial" w:eastAsia="Arial" w:hAnsi="Arial"/>
          <w:sz w:val="15"/>
          <w:szCs w:val="15"/>
          <w:color w:val="auto"/>
        </w:rPr>
        <w:t>Final results for these two studies were presented at the ASH conference in December 2000. The first, randomized controlled study conducted compares ZEVALIN plus Rituxan, to Rituxan alone in 143 patients with relapsed or refractory, low grade, follicular or transformed CD20-positive B-cell NHL. Patients receiving ZEVALIN plus Rituxan showed an overall response rate of 80%, compared to an overall response rate of 56% in patients receiving Rituxan alone.</w:t>
      </w:r>
    </w:p>
    <w:p>
      <w:pPr>
        <w:spacing w:after="0" w:line="1"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 xml:space="preserve">Fifty-six percent of patients enrolled in the study were refractory to their last course of chemotherapy, </w:t>
      </w:r>
      <w:r>
        <w:rPr>
          <w:rFonts w:ascii="Arial" w:cs="Arial" w:eastAsia="Arial" w:hAnsi="Arial"/>
          <w:sz w:val="16"/>
          <w:szCs w:val="16"/>
          <w:i w:val="1"/>
          <w:iCs w:val="1"/>
          <w:color w:val="auto"/>
        </w:rPr>
        <w:t>i.e</w:t>
      </w:r>
      <w:r>
        <w:rPr>
          <w:rFonts w:ascii="Arial" w:cs="Arial" w:eastAsia="Arial" w:hAnsi="Arial"/>
          <w:sz w:val="16"/>
          <w:szCs w:val="16"/>
          <w:color w:val="auto"/>
        </w:rPr>
        <w:t>., they did not achieve a response or had a time to progression of less than six months with their most recent course of chemotherapy. Thirty percent of the ZEVALIN patients achieved complete responses to therapy, compared to 16% of Rituxan patients. A treatment course for ZEVALIN includes a Rituxan infusion (250 mg/m2) on day one, followed by infusions of Rituxan (250 mg/m2) and ZEVALIN (at a standard dose of 0.4 mCi/kg of patient body weight) on day eight. Patients in the Rituxan arm received four infusions of Rituxan (at the indicated dose of 375 mg/m2) once a week over 22 days.</w:t>
      </w:r>
    </w:p>
    <w:p>
      <w:pPr>
        <w:spacing w:after="0" w:line="17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The second pivotal study evaluated the safety and efficacy of ZEVALIN in follicular NHL patients who are refractory to Rituxan, </w:t>
      </w:r>
      <w:r>
        <w:rPr>
          <w:rFonts w:ascii="Arial" w:cs="Arial" w:eastAsia="Arial" w:hAnsi="Arial"/>
          <w:sz w:val="16"/>
          <w:szCs w:val="16"/>
          <w:i w:val="1"/>
          <w:iCs w:val="1"/>
          <w:color w:val="auto"/>
        </w:rPr>
        <w:t>i.e.,</w:t>
      </w:r>
      <w:r>
        <w:rPr>
          <w:rFonts w:ascii="Arial" w:cs="Arial" w:eastAsia="Arial" w:hAnsi="Arial"/>
          <w:sz w:val="16"/>
          <w:szCs w:val="16"/>
          <w:color w:val="auto"/>
        </w:rPr>
        <w:t xml:space="preserve"> who did not achieve a response or had a time to progression of less than six months with their most recent course of Rituxan. Under the new International Workshop NHL Response Criterion Standards for NHL, the overall response rate was 74% who responded to treatment with ZEVALIN, with 15% of those individuals achieving a complete response to therapy. Seventy-four percent of these patients had sizable tumors (greater than 5cm in single diameter) and 82% were chemotherapy-resistant to at least one prior chemotherapy treatment. The dosimetry results obtained in the second Phase III trial concluded that the ZEVALIN biodistribution and estimated radiation absorbed dose to normal body organs were not affected by prior treatment with Rituxan.</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both studies, toxicity associated with ZEVALIN treatment was primarily reductions in blood-cell counts. Patients with impaired bone marrow reserve, as indicated by lower baseline platelet counts, or evidence of significant bone marrow damage from prior therapy, as well as patients with greater involvement of the bone marrow with lymphoma, were more likely to experience such toxicity. Decreased blood counts resulted in hospitalizations for infection in 7% of patients and life-threatening bleeding in less than 1%. Approximately 50% of patients experience generally mild, reversible infusion reactions, such as chills, fever, throat irritation and nausea, with a lower incidence on the second treatment day. These reactions are consistent with those seen with Rituximab therapy as single-agent therapy and the incidence of infusion reactions was similar between the two arms in the randomized trial.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expect that Rituxan and ZEVALIN will become complementary products for the management of B-cell NHLs. Because most B-cell NHLs are treated today in community-based group practices, Rituxan fits nicely into the community practice, as no special equipment, training or licensing is required for its administration or for management of treatment-related side effects. Rituxan has shown activity even in patients refractory to chemotherapy and is indicated for this use, so that it provides a viable option for the community-based oncologist prior to referral of the patient to a medical center for treatment with more aggressive therapies, including ZEVALIN. By contrast, all radioimmunotherapies will be administered by nuclear medicine specialists or radiation oncologists at medical or cancer centers that are equipped for the handling, administration and disposal of radioisotopes. Also, the nuclear medicine department, but not the community-based practice, has the specialized equipment and governmental licenses that are required for use of radioisotopes.</w:t>
      </w:r>
    </w:p>
    <w:p>
      <w:pPr>
        <w:spacing w:after="0" w:line="172"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believe that referral patterns will develop for treatment of B-cell NHL patients with radioimmunotherapies at medical centers after the community-based oncologist has exhausted other options, such as Rituxan or chemotherapy, for the management of his or her patients. This trend is further reinforced by the</w:t>
      </w:r>
    </w:p>
    <w:p>
      <w:pPr>
        <w:sectPr>
          <w:pgSz w:w="11900" w:h="16939" w:orient="portrait"/>
          <w:cols w:equalWidth="0" w:num="1">
            <w:col w:w="11420"/>
          </w:cols>
          <w:pgMar w:left="240" w:top="131" w:right="239" w:bottom="0" w:gutter="0" w:footer="0" w:header="0"/>
        </w:sectPr>
      </w:pPr>
    </w:p>
    <w:bookmarkStart w:id="8" w:name="page9"/>
    <w:bookmarkEnd w:id="8"/>
    <w:p>
      <w:pPr>
        <w:spacing w:after="0" w:line="12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observation made by us, and by others working in the field, of the substantial clinical activity of radioimmunotherapies in patients with late-stage disease who have become refractory to chemotherapies. Thus ZEVALIN is positioned as a complementary product to Rituxan used throughout the course of a patient's disease, providing an alternative for both the patient and the healthcare professional to conventional chemotherapies.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Autoimmune and Inflammatory Disease Products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developing new antibodies using humanized antibody technology and our own proprietary class of antibodies, termed PRIMATIZED antibodies, that are of part-human, part-macaque monkey origin. These PRIMATIZED antibodies are structurally similar to, and potentially indistinguishable by a patient's immune system from, human antibodies. PRIMATIZED antibodies may provide therapeutic intervention for diseases or conditions not amenable to chronic treatment with mouse-derived antibodies. Our objective with our PRIMATIZED antibodies is to provide therapies that can be used to control chronic autoimmune diseases characterized by overactive immune functions. We have entered into research and development collaborations, all of which target distinct, immune system antigens, with Eisai Co, Ltd., Mitsubishi Pharma Corporation, formerly Mitsubishi-Tokyo Pharmaceuticals, Inc, Seikagaku Corporation and Taisho Pharmaceutical Co. Ltd. of Tokyo.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Humanized Anti-CD40L (IDEC-131)</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December 1995, we entered into a research and development collaborative agreement with Eisai. The collaboration focuses on developing humanized and PRIMATIZED antibodies against the CD40 ligand. This antigen, also referred to as gp39, is an essential immune system trigger for B-cell activation and antibody production. A potential target indication includes transplantation and antibody-mediated autoimmune diseases such as ITP or psoriasis. The development of our humanized anti-CD40L monoclonal antibody, IDEC-131, is based on technology that we licensed from Dartmouth College, where researchers have shown that the binding of CD40L to its CD40 receptor on B cells is essential for proper immune system function. These researchers generated anti-CD40L antibodies that blocked this T-cell and B-cell interaction and halted disease progression in a variety of animal models of disease characterized by abnormal or unwanted immune response. Moreover, when researchers ended the animals' anti-CD40L treatments, the animals' antibody-producing capacity returned to normal levels, but their disease remained suppressed. Treatment with the anti-CD40L antibodies appeared to have reset the animals' immune systems and restored a normal immune response. Under the collaborative agreement, we have agreed to develop with Eisai a humanized anti-CD40L antibody. This effort has resulted in the identification of the humanized anti-CD40L antibody lead candidate, IDEC-131, which underwent preclinical testing, process development and manufacturing of clinical trial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material in early 1997. We successfully completed a Phase I clinical trial in SLE with IDEC-131 in early 1999, which demonstrated an overall favorable safety profile. In the first quarter of 2000, we completed a Phase II clinical trial with IDEC-131 in patients with SLE that demonstrated a favorable safety profile. However, the response rates in this Phase II trial, versus a significant placebo effect, did not support continued development of IDEC-131 in SLE. Based on a favorable safety profile and preclinical studies, we continue to evaluate IDEC-131 in other autoimmune diseases. In January 2001, we initiated a Phase II study in patients with chronic, refractory ITP, and a separate Phase II study in patients with moderate to severe psoriasis. We began a Phase II study in Crohn's disease in September 2001.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PRIMATIZED Anti-CD80 (Anti-B7.1) (IDEC-114)</w:t>
      </w:r>
    </w:p>
    <w:p>
      <w:pPr>
        <w:spacing w:after="0" w:line="225" w:lineRule="exact"/>
        <w:rPr>
          <w:sz w:val="20"/>
          <w:szCs w:val="20"/>
          <w:color w:val="auto"/>
        </w:rPr>
      </w:pPr>
    </w:p>
    <w:p>
      <w:pPr>
        <w:ind w:right="60" w:firstLine="351"/>
        <w:spacing w:after="0" w:line="284" w:lineRule="auto"/>
        <w:rPr>
          <w:sz w:val="20"/>
          <w:szCs w:val="20"/>
          <w:color w:val="auto"/>
        </w:rPr>
      </w:pPr>
      <w:r>
        <w:rPr>
          <w:rFonts w:ascii="Arial" w:cs="Arial" w:eastAsia="Arial" w:hAnsi="Arial"/>
          <w:sz w:val="16"/>
          <w:szCs w:val="16"/>
          <w:color w:val="auto"/>
        </w:rPr>
        <w:t>In September 2001, we entered into an extension of our research and development collaboration with Mitsubishi Pharma Corporation, formerly Mitsubishi-Tokyo Pharmaceuticals, Inc., which focuses on the development of PRIMATIZED antibodies directed at the CD80 antigen. This CD80 antigen appears on the surface of antigen-presenting cells and is involved in the interaction of these cells with T cells in triggering a cascade of immune system responses. Antibodies directed at the CD80 antigens may block this cascade and, therefore, may be useful in preventing unwanted immune responses in various inflammatory and chronic autoimmune conditions such as psoriasis, arthritis and MS. Mitsubishi has actively shared in the development process, generating animal models and participating in research with us. We have completed a Phase I and Phase I/II study for IDEC-114. Analysis of the 24-patient Phase I data showed a favorable safety profile with preliminary findings of clinical activity in patients with moderate to severe psoriasis. IDEC-114 as a single dose demonstrated an overall favorable safety profile and there were no serious adverse events. In March 2001, results of the Phase I/II clinical trial were presented at the American Academy of Dermatology Conference. The results of this trial confirmed and extended the favorable safety profile and preliminary evidence of clinical activity seen in our earlier Phase I trial. Thirty-five patients in this trial were treated with four doses of IDEC-114 at a variety of dose levels. Clinical results revealed that 40% of patients achieved a clinical endpoint of at least a 50% reduction in the Psoriasis Area and Severity Index, or PASI, at some point in the study and 57% of patients achieved a Physician's Global Psoriasis Assessment, or PGA, of Good or above. Importantly, patients continued to improve beyond the end of the treatment period, Study Day 43. Maximum clinical improvements in PASI scores were seen on the last follow-up day, Study Day 127. The majority of adverse events were mild in severity, such as uncomplicated colds, transient chills and mild fatigue. Based on the favorable results of these studies we have initiated two Phase II clinical trials with IDEC-114 in patients with moderate to severe psoriasis. In addition, the CD80 antigen is expressed on the surface of follicular and other lymphoma cells. Preclinical studies suggest that IDEC-114 has antitumor activity against lymphoma cell lines that express CD80. Based on these results, in January 2002, we initiated a Phase I/II clinical trial to evaluate the safety, efficacy, and pharmacokinetics of multiple doses of IDEC-114 in patients with relapsed or refractory follicular lymphoma.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PRIMATIZED Anti-CD4 (IDEC-151)</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March 1998, we, along with GlaxoSmithKline, p.l.c., formerly SmithKline Beecham, p.l.c., announced the selection of IDEC-151 as our lead PRIMATIZED anti-CD4 antibody for the treatment of rheumatoid arthritis. In a Phase I portion of a Phase I/II study of 32 patients with moderate to severe rheumatoid arthritis, the results of which were announced in late November 1997, IDEC-151 displayed no CD4 cell depletion and no infusion-related adverse events. In February 2000, we amended our agreement with GlaxoSmithKline which resulted in all anti-CD4 program rights, including IDEC-151, being returned to us. We will receive no further funding from GlaxoSmithKline under the amended agreement. As part of the amended agreement, GlaxoSmithKline has the option to negotiate commercialization and copromotion rights with us for the first compound based on our PRIMATIZED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anti-CD4 antibodies to complete a Phase II study. If we do not commercialize and copromote the compound with GlaxoSmithKline, we will pay GlaxoSmithKline royalties on sales by us, our affiliates and licensees on any products emerging from the rights returned to us under the amended agreement. In</w:t>
      </w:r>
    </w:p>
    <w:p>
      <w:pPr>
        <w:sectPr>
          <w:pgSz w:w="11900" w:h="16962" w:orient="portrait"/>
          <w:cols w:equalWidth="0" w:num="1">
            <w:col w:w="11400"/>
          </w:cols>
          <w:pgMar w:left="240" w:top="131" w:right="259" w:bottom="0" w:gutter="0" w:footer="0" w:header="0"/>
        </w:sectPr>
      </w:pPr>
    </w:p>
    <w:bookmarkStart w:id="9" w:name="page10"/>
    <w:bookmarkEnd w:id="9"/>
    <w:p>
      <w:pPr>
        <w:ind w:right="360"/>
        <w:spacing w:after="0" w:line="259" w:lineRule="auto"/>
        <w:rPr>
          <w:sz w:val="20"/>
          <w:szCs w:val="20"/>
          <w:color w:val="auto"/>
        </w:rPr>
      </w:pPr>
      <w:r>
        <w:rPr>
          <w:rFonts w:ascii="Arial" w:cs="Arial" w:eastAsia="Arial" w:hAnsi="Arial"/>
          <w:sz w:val="18"/>
          <w:szCs w:val="18"/>
          <w:color w:val="auto"/>
        </w:rPr>
        <w:t>August 2000, we initiated a Phase II trial of this antibody in combination with methotrexate in patients with moderate to severe rheumatoid arthritis. Approximately 135 patients were randomized to receive either IDEC-151 plus methotrexate or placebo plus methotrexate. We anticipate that this trial will be completed in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PRIMATIZED Anti-CD23 (IDEC-152)</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December 1994, we entered into a collaboration with Seikagaku Corporation aimed at the development of PRIMATIZED anti-CD23 antibodies for the potential treatment of allergic rhinitis, allergic asthma and other allergic conditions. Antibodies against the CD23 receptor on various white blood cells inhibit the production of immune system molecules called immunoglobulin class E, or IgE, which are known to trigger allergic conditions. At the same time, anti-CD23 antibodies do not affect the production of other immunoglobulins, which are the patient's own antibodies responsible for granting protective immunity to infectious agents. Thus, PRIMATIZED anti-CD23 antibodies may provide a unique new approach to treating chronic illnesses such as allergic rhinitis and allergic asthma. This effort has resulted in the identification of a PRIMATIZED antibody lead candidate, IDEC-152, which underwent preclinical testing, process development and manufacturing of clinical material during 1999. We filed an Investigational New Drug Application, or IND, for IDEC-152 in November 1999 and began a Phase I clinical trial in allergic asthma in February 2000 to evaluate its safety, tolerability and pharmacokinetics. In March 2001 the results of the Phase I trial were presented at the American Academy of Allergy Asthma and Immunology. A total of 30 patients entered the trial with 24 receiving IDEC-152 and 6 receiving a placebo. The safety trial was favorable, with adverse events in patients who received IDEC-152 being very similar to those of placebo patients. Substantial prolonged reductions in IgE levels were noted in IDEC-152 patients. Based on the results of this trial, a Phase I/II trial in allergic asthma has been initiated.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Humanized Anti-MIF</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June 2000, we announced our collaboration with Taisho to develop and commercialize antibody therapeutics against macrophage migration inhibitory factor, or MIF, for the treatment of inflammatory and autoimmune diseases. MIF is the body's natural counter-regulatory cytokine which serves to override the anti-inflammatory activities of natural and administered steroids. Inhibition of MIF may represent a novel approach to the management of a variety of acute and chronic inflammatory diseases, including steroid-resistant rheumatoid arthritis and asthma. In September 1997, we licensed from Cytokine Pharmasciences, Inc., a privately held biopharmaceutical company, development rights to CPI's anti-MIF antibody technology. Under the terms of the licensing and development agreement, we became the exclusive licensee of CPI's rights to the anti-MIF antibody technology for therapeutic and diagnostic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entered into strategic partnering arrangements for many of our product development programs. Our entitlement to funding under the arrangements depends on achieving product development objectives related to development, clinical trial results, regulatory approvals and other factors. These arrangements include: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Genentech, Inc.</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March 1995, we entered into a collaborative agreement with Genentech for the clinical development and commercialization of our anti-CD20 monoclonal antibody, Rituxan, for the treatment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certain B-cell NHLs. Concurrent with the collaborative agreement, we also entered into an expression technology license agreement with Genentech for a proprietary gene expression technology developed by us and a preferred stock purchase agreement providing for various equity investments in IDEC that have been made by Genentech. In connection with the preferred stock purchase agreement, we also entered into a standstill agreement with Genentech, under which Genentech agreed not to acquire any shares of our common stock or shares with voting rights, or solicit proxies from any of our stockholders to elect any of Genentech's affiliates to our board of directors. The standstill agreement terminated in March 2001, and Genentech is no longer precluded from purchasing shares or soliciting proxies as described.</w:t>
      </w:r>
    </w:p>
    <w:p>
      <w:pPr>
        <w:spacing w:after="0" w:line="198"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1995, we entered into a joint development, supply and license agreement with Zenyaku and Genentech, under which Zenyaku received exclusive rights to develop, market and sell Rituxan, and we receive royalties on sales of Rituxan in Japan. In addition, we are copromoting Rituxan with Genentech in the United States. Genentech retained commercialization rights throughout the rest of the world, except in Japan. Genentech has granted Roche exclusive marketing rights outside of the United States, and Roche has elected to market Rituximab under the trade name MabThera. We receive royalties on sales outside the United States. Our collaborative agreement with Genentech provides two independent mechanisms by which either party may purchase or sell its rights in the copromotion territory from or to the other party. Upon the occurrence of specified events that constitute a change of control in us, Genentech may elect to present an offer to us to purchase our copromotion rights. We must then accept Genentech's offer or purchase Genentech's copromotion rights for an amount scaled (using the profit sharing ratio between the parties) to Genentech's offer. Under a second mechanism, after a specified period of commercial sales and upon a specified number of years of declining copromotion profits or if Genentech files for U.S. regulatory approval on a competitive product during a limited period of time, either party may offer to purchase the other party's copromotion rights. The offeree may either accept the offer price or purchase the offeror's copromotion rights at the offer price scaled to the offeror's share of copromotion profits. Under the terms of our Supply Agreement with Genentech, Genentech assumed worldwide manufacturing obligations for Rituxan beginning in September 1999.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Eisai Co., Ltd.</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In December 1995, we entered into a collaborative development agreement and a license agreement with Eisai aimed at the development and commercialization of humanized and PRIMATIZED anti-CD40L antibodies. Under the terms of these agreements, Eisai may provide up to $37.5 million in milestone payments and support for research and development, subject to the attainment of product development objectives and satisfaction of other criteria to be agreed upon between us and Eisai. We have recognized $30.6 million, under these agreements, from Eisai through December 31, 2001. Eisai received exclusive rights in Asia and Europe to develop and market products resulting from the collaboration, with us receiving royalties on eventual product sales by Eisai. At any time, Eisai may terminate the development agreement by giving us 60 days' written notice based on a reasonable determination that the products do not justify continued development or marketing.</w:t>
      </w:r>
    </w:p>
    <w:p>
      <w:pPr>
        <w:sectPr>
          <w:pgSz w:w="11900" w:h="16838" w:orient="portrait"/>
          <w:cols w:equalWidth="0" w:num="1">
            <w:col w:w="11400"/>
          </w:cols>
          <w:pgMar w:left="240" w:top="131" w:right="259" w:bottom="22"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Mitsubishi Pharma Corporation</w:t>
      </w:r>
    </w:p>
    <w:p>
      <w:pPr>
        <w:sectPr>
          <w:pgSz w:w="11900" w:h="16838" w:orient="portrait"/>
          <w:cols w:equalWidth="0" w:num="1">
            <w:col w:w="11400"/>
          </w:cols>
          <w:pgMar w:left="240" w:top="131" w:right="259" w:bottom="22" w:gutter="0" w:footer="0" w:header="0"/>
          <w:type w:val="continuous"/>
        </w:sectPr>
      </w:pPr>
    </w:p>
    <w:bookmarkStart w:id="10" w:name="page11"/>
    <w:bookmarkEnd w:id="10"/>
    <w:p>
      <w:pPr>
        <w:ind w:right="40" w:firstLine="351"/>
        <w:spacing w:after="0" w:line="255" w:lineRule="auto"/>
        <w:rPr>
          <w:sz w:val="20"/>
          <w:szCs w:val="20"/>
          <w:color w:val="auto"/>
        </w:rPr>
      </w:pPr>
      <w:r>
        <w:rPr>
          <w:rFonts w:ascii="Arial" w:cs="Arial" w:eastAsia="Arial" w:hAnsi="Arial"/>
          <w:sz w:val="18"/>
          <w:szCs w:val="18"/>
          <w:color w:val="auto"/>
        </w:rPr>
        <w:t>In September 2001, we entered into an extension of our collaborative agreement with Mitsubishi, which originally expired in 1996, for the development of a PRIMATIZED anti-CD80 (anti-B7.1) antibody. Additionally, we have an ongoing license agreement with Mitsubishi that was entered into in November 1993. Under the terms of these agreements, we may receive payments totaling up to $38.0 million, subject to the attainment of product development objectives. We have recognized $4.3 million, under these agreements, from Mitsubishi through December 31, 2001. Under the license agreement, we granted Mitsubishi an exclusive license in Asia to make, use and sell PRIMATIZED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anti-CD80 (anti-B7.1) antibody products. We will receive royalties on sales by Mitsubishi of any developed products. Mitsubishi may terminate the license at any time upon 30 days' written notice, only after completion of Phase II clinical trials or for certain protocol changes in planned clinical trials for IDEC-114.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Seikagaku Corporation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December 1994, we entered into a collaborative development agreement and a license agreement with Seikagaku aimed at the development and commercialization of therapeutic products based on our PRIMATIZED anti-CD23 antibodies. Under the terms of these agreements, Seikagaku may provide up to $26.0 million in milestone payments and support for research and development, subject to the attainment of product development objectives. We have recognized $16.5 million, under these agreements, from Seikagaku through December 31, 2001. Under the license agreement, Seikagaku received exclusive rights in Europe and Asia to all products emerging from the collaboration. We will receive royalties on any eventual product sales by Seikagaku. At any time, Seikagaku may terminate the development agreement and the license agreement by giving us 30 days' written notice based on a reasonable determination that the products do not justify continued development or marketing.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Schering Aktiengesellschaft</w:t>
      </w:r>
    </w:p>
    <w:p>
      <w:pPr>
        <w:spacing w:after="0" w:line="225"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In June 1999, we entered into a collaboration and license agreement and a supply agreement with Schering AG aimed at the development and commercialization of our radioimmunotherapy ZEVALIN. Under the terms of these agreements, Schering AG may provide up to $47.5 million in product development milestone payments and support for research and development, subject to the attainment of product development objectives. We have recognized $34.4 million, under these agreements, from Schering AG through December 31, 2001. Schering AG received marketing and distribution rights to ZEVALIN outside the United States, and we will receive royalties on eventual product sales by Schering AG. Under the terms of a separate supply agreement we are obligated to meet Schering AG's clinical and commercial requirements for ZEVALIN. Schering AG may terminate these agreements for any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Taisho Pharmaceutical Co. Ltd.</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June 2000, we announced our collaboration with Taisho aimed at the development and commercialization of therapeutic antibody against MIF for the treatment of inflammatory and autoimmune diseases. Under the terms of the agreements, Taisho may provide up to $35.5 million in product development milestone payments and support for research and development, subject to the attainment of product development objectives. We have recognized $11.0 million, under these agreements, from Taisho through December 31, 2001. Taisho received exclusive rights in Asia and Europe to develop and market products resulting from the collaboration, and we will receive royalties on any eventual product sales by Taisho. At any time, Taisho may terminate the agreements by giving us 60 days' written notice based on a reasonable determination that the products do not justify continued development or marketing.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From our inception, we have focused on establishing and maintaining a leadership position in cell culture techniques for antibody manufacturing. Cell culture is a method for manufacturing of clinical and commercial grade protein products by reproducible techniques at various scales, up to many kilograms of antibody. Our manufacturing technology is based on the suspension culture of mammalian cells in stainless steel vessels. Suspension culture fermentation provides greater flexibility and more rapid production of the large amounts of antibodies required for product commercialization and pivotal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trials. We believe that our manufacturing facility is one of a limited number approved for any type of mammalian cell fermentation, for example, the process used in Rituxan. However, our manufacturing facility has been approved by the FDA for the commercial manufacture of Rituxan and ZEVALIN.</w:t>
      </w:r>
    </w:p>
    <w:p>
      <w:pPr>
        <w:spacing w:after="0" w:line="139"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September 1999, we transferred all worldwide manufacturing activities for bulk Rituxan to Genentech. Since the transfer of bulk Rituxan manufacturing to Genentech and prior to receiving FDA approval for ZEVALIN in February 2002, we have been using our available manufacturing capacity for production of specification-setting lots and pre-commercial inventory of the ZEVALIN antibody and for production of clinical material for our other products under development. We currently manufacture our own commercial requirements of the antibody for ZEVALIN. ZEVALIN has multiple components that require successful coordination among several third-party contract manufacturers and suppliers. We have no fill/finish experience or capacity and we do not have manufacturing experience in the field of chelates or radioisotopes and, therefore, we are dependent on outside contractors and suppliers to meet these needs. In August 2001, we entered into an agreement with DSM Pharmaceuticals, to meet our commercial manufacturing demands for the fill/finish of ZEVALIN bulk product. In May 1999, we entered into an agreement, which we have subsequently amended, with MDS Canada for the development and supply of the radioisotope Yttrium-90 used with our ZEVALIN product. Under the terms of the agreement, as amended, MDS Canada has agreed to supply us, with certain exceptions, with the Yttrium-90 required to meet our clinical trials and commercial needs in the United Sates and Canada. The initial term of the agreement expires five years following commercialization of ZEVALIN. We have agreed to guarantee MDS Canada a minimum purchase level of Yttrium-90 over the duration of the initial term. In addition, MDS Canada has agreed to establish a new manufacturing facility to meet our Yttrium-90 supply needs. Upon completion of this facility, MDS Canada can transition supply of Yttrium-90 from its existing facilities to the new facility. To secure our obligations under this agreement to make certain minimum purchases and in connection with MDS Canada's agreement to establish a new manufacturing facility, we have agreed to make periodic payments into an escrow account. In general, our required escrow deposits will decrease over time if we satisfy portions of our minimum annual purchase commitment. As of March 31, 2002, we have paid $5.0 million into this escrow fund. The agreement may be terminated by either party upon a bankruptcy of, or material breach by, the other party. In addition, we can terminate the agreement following our satisfaction of the minimum purchase commitments, or earlier if we agree to forfeit a portion of the funds in the escrow account. Further, MDS Canada cannot terminate the agreement until the date that is five years following the date that its new manufacturing facility is established and capable of producing Yttrium-90.</w:t>
      </w:r>
    </w:p>
    <w:p>
      <w:pPr>
        <w:sectPr>
          <w:pgSz w:w="11900" w:h="16838" w:orient="portrait"/>
          <w:cols w:equalWidth="0" w:num="1">
            <w:col w:w="11400"/>
          </w:cols>
          <w:pgMar w:left="240" w:top="131" w:right="259" w:bottom="0" w:gutter="0" w:footer="0" w:header="0"/>
        </w:sectPr>
      </w:pPr>
    </w:p>
    <w:bookmarkStart w:id="11" w:name="page12"/>
    <w:bookmarkEnd w:id="11"/>
    <w:p>
      <w:pPr>
        <w:spacing w:after="0" w:line="98"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September 2000, we purchased a 60-acre site in Oceanside, California for a large-scale manufacturing facility which we anticipate using to commercialize our products currently in clinical trials if they are approved by the FDA. We believe that there is a limited manufacturing capacity in our market for production of biologics products. In 2001, we began preliminary site preparations for the first phase of development, which we anticipate will be approximately 450,000 square feet of facility space for manufacturing, warehousing, utilities, maintenance, laboratories and offices. We expect the first phase of the new facility to be mechanically completed in 2004, followed by commissioning and validation in 2005 and 2006. This expansion will allow us to better control the manufacture of our products, thus reducing our reliance on contract manufacturers, as well as to reduce commercial risk. We also purchased a 40,000 square foot facility, adjacent to our 60-acre site in Oceanside for the manufacturing of our drug supply for our clinical trials as well as drug supply for any potential drug launches prior to 2005. The facility should be equipped and in operations by 2003.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Strategy</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currently depend on the successful marketing and sales of Rituxan for much of our anticipated revenue. Rituxan is marketed and sold in the United States under a copromotion agreement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Genentech. Genentech currently has a sales and marketing staff dedicated to Rituxan. To fulfill our duties under the copromotion agreement, we also have a marketing staff and a sales organization with experience primarily in oncology therapy and who, until we received approval from the FDA for ZEVALIN, were dedicated exclusively to the commercialization of Rituxan. We rely heavily on Genentech to supply marketing support services for Rituxan including customer service, order entry, shipping, billing, customer reimbursement assistance, managed care sales support, medical information and sales training.</w:t>
      </w:r>
    </w:p>
    <w:p>
      <w:pPr>
        <w:spacing w:after="0" w:line="16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ZEVALIN is our first product to be solely marketed by us in the United States. We have expanded our sales and marketing staff to support the distribution of ZEVALIN in the United States. Our sales efforts are focused primarily on specialist physicians in private practice or at major medical centers in the United States with expertise in oncology, hematology and/or nuclear medicine. In general, we intend to sell ZEVALIN to radiopharmacies that will radiolabel, or combine, the ZEVALIN antibody with Indium-111 and Yttrium-90 and then distribute the finished product to physicians for administration. We intend to use common pharmaceutical company marketing techniques, including sales representatives calling on individual physicians, medical education programs, professional symposia, advertisements, public relations and other methods.</w:t>
      </w:r>
    </w:p>
    <w:p>
      <w:pPr>
        <w:spacing w:after="0" w:line="17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have no marketing support service experience and, therefore, we will be dependent on outside contractors to meet those needs. We currently have a contract with a third-party logistics distributor to provide customer service, order entry, shipping, billing, customer reimbursement assistance and managed care sales support.</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Outside North America, we have adopted a strategy to pursue collaborative arrangements with established pharmaceutical companies for marketing, distribution and sale of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biopharmaceutical field is characterized by a large number of patent filings. A substantial number of patents have already been issued to other biotechnology and biopharmaceutical companies. Particularly in the monoclonal antibody and recombinant deoxyribonucleic acid, or DNA, fields, competitors may have filed applications for, or have been issued patents and may obtain additional patents and proprietary rights relating to, products or processes competitive with or similar to our products or processes. Moreover, United States and foreign country patent laws are distinct and the interpretations thereunder unique to each country. Thus, patentability, validity and infringement issues for the same technology or inventions may be resolved differently in different jurisdictions. We cannot assure you that patents do not exist in the United States or in foreign countries or that patents will not be issued that would harm our ability to market our products. Accordingly, we expect that commercializing our products may require licensing and/or cross-licensing of patents with other companies or institutions in the field. We cannot assure you that the licenses, which might be required for our processes or products, will be available on commercially acceptable terms, if at all. The ability to license any of these patents and the likelihood of successfully contesting the scope, validity or enforceability of the patents are uncertain and the related costs may be significant. If we are required to acquire rights to valid and enforceable patents but cannot do so at a reasonable cost, our ability to manufacture or market our products will be harmed.</w:t>
      </w:r>
    </w:p>
    <w:p>
      <w:pPr>
        <w:spacing w:after="0" w:line="18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are the assignee of several issued U.S. patents, numerous patent applications and corresponding foreign patents and patent applications. Other patents or applications owned by third parties have been exclusively licensed, as in the case of anti-CD40L core technology licensed from Dartmouth College, or non-exclusively licensed by us.</w:t>
      </w:r>
    </w:p>
    <w:p>
      <w:pPr>
        <w:spacing w:after="0" w:line="194"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We have three issued U.S. patents, several U.S. patent applications and numerous corresponding foreign counterparts directed to anti-CD20 antibody technology, including Rituxan, radioimmunoconjugate and ZEVALIN. Our radioimmunoconjugate products include a chelating agent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covered by a U.S. patent that is non-exclusively sublicensed to us. We have been granted patents covering Rituxan by the European Patent Office. Genentech, our collaborative partner for Rituxan, has secured an exclusive license to three U.S. patents and counterpart U.S. and foreign patent applications assigned to Xoma Corporation that relate to chimeric antibodies against the CD20 antigen. Genentech has granted to us a non-exclusive sublicense to make, have made, use and sell products under these patents and patent applications. We, along with Genentech, share the cost of any royalties due to Xoma in the Genentech/IDEC Pharmaceuticals copromotion territory.</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have also filed for worldwide patent protection on our PRIMATIZED antibody technology. We have received several U.S. patents claiming various aspects of the PRIMATIZED antibody technology. These patents generically cover our PRIMATIZED antibody technology as well as PRIMATIZED antibodies to specific antigen targets.</w:t>
      </w:r>
    </w:p>
    <w:p>
      <w:pPr>
        <w:spacing w:after="0" w:line="194"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PROVAX, our antigen formulation, is the subject of two issued U.S. patents, pending U.S. applications and numerous pending foreign counterparts. In addition, U.S. and foreign patent applications have been filed on aspects of our proprietary high-yield gene expression technology, including our impaired selectable marker vector technology. At this point, we have been granted four U.S. patents claiming the high-yield gene expression technology in general and</w:t>
      </w:r>
    </w:p>
    <w:p>
      <w:pPr>
        <w:sectPr>
          <w:pgSz w:w="11900" w:h="16936" w:orient="portrait"/>
          <w:cols w:equalWidth="0" w:num="1">
            <w:col w:w="11420"/>
          </w:cols>
          <w:pgMar w:left="240" w:top="131" w:right="239" w:bottom="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8"/>
          <w:szCs w:val="18"/>
          <w:color w:val="auto"/>
        </w:rPr>
        <w:t>methods of making antibodies using such technology. We have also received two U.S. patents directed to homologous recombination vector technology and have foreign counterparts pending.</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Our licensor, Dartmouth University, has received a number of U.S. patents with claims that relate to our anti-CD40L antibody (IDEC-131) technology. Numerous applications relevant to our anti-CD40L antibody program, which are either licensed from Dartmouth University or assigned to us, are pending in the U.S. Patent and Trademark Office and foreign patent offices.</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are aware of several third-party patents and patent applications which, to the extent they issue as patents and are successfully asserted against us, may significantly impair our ability to make, use, offer to sell, sell and import our products.</w:t>
      </w:r>
    </w:p>
    <w:p>
      <w:pPr>
        <w:spacing w:after="0" w:line="186"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have filed numerous trademark and service mark applications in the United States, Canada and in certain international markets. PRIMATIZED, Rituxan and IDEC Pharmaceuticals are registered trademarks in the United States. We also have trademark applications pending for other marks, including ZEVALIN.</w:t>
      </w:r>
    </w:p>
    <w:p>
      <w:pPr>
        <w:spacing w:after="0" w:line="11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also rely upon unpatented trade secrets, and we cannot assure you that others will not independently develop substantially equivalent proprietary information and techniques or otherwise gain access to our trade secrets or disclose such technology, or that we can meaningfully protect such rights. We require our employees, consultants, outside scientific collaborators, sponsored researchers and other advisers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In the case of our employees, the agreement provides that all inventions conceived by such employees shall be our exclusive property. There can be no assurance, however, that these agreements will provide meaningful protection or adequate remedies for our trade secrets in the event of unauthorized use or disclosure of such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Research and development expenses were $86.3 million in 2001, $68.9 million in 2000 and $42.8 million in 1999, of which approximately 89% in 2001, 78% in 2000 and 75% in 1999, was sponsored by us and the remainder of which was funded pursuant to product development collaborations arrangements.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about our executive officers as of January 31, 2002 is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5240" w:type="dxa"/>
            <w:vAlign w:val="bottom"/>
          </w:tcPr>
          <w:p>
            <w:pPr>
              <w:ind w:left="2460"/>
              <w:spacing w:after="0"/>
              <w:rPr>
                <w:sz w:val="20"/>
                <w:szCs w:val="20"/>
                <w:color w:val="auto"/>
              </w:rPr>
            </w:pPr>
            <w:r>
              <w:rPr>
                <w:rFonts w:ascii="Arial" w:cs="Arial" w:eastAsia="Arial" w:hAnsi="Arial"/>
                <w:sz w:val="14"/>
                <w:szCs w:val="14"/>
                <w:b w:val="1"/>
                <w:bCs w:val="1"/>
                <w:color w:val="auto"/>
              </w:rPr>
              <w:t>Titles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William H. Rastetter, Ph.D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Chairman,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William R. Rohn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Paul C. Grint, M.D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and Chief Medical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Nabil Hanna, Ph.D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Senior Vice President and 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Phillip M. Schneider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Wolfgang Berthold, Ph.D.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Senior Vice President, Biopharmaceutical Sciences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John M. Dunn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1"/>
              </w:rPr>
              <w:t>Senior Vice President, Legal and Compliance, Corporate Secretary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General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Connie L. Matsui</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Senior Vice President, Planning and Resource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Michael E. Wiebe, Ph.D.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Quality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Mark C. Wiggins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5500" w:type="dxa"/>
            <w:vAlign w:val="bottom"/>
            <w:gridSpan w:val="2"/>
          </w:tcPr>
          <w:p>
            <w:pPr>
              <w:ind w:left="260"/>
              <w:spacing w:after="0"/>
              <w:rPr>
                <w:sz w:val="20"/>
                <w:szCs w:val="20"/>
                <w:color w:val="auto"/>
              </w:rPr>
            </w:pPr>
            <w:r>
              <w:rPr>
                <w:rFonts w:ascii="Arial" w:cs="Arial" w:eastAsia="Arial" w:hAnsi="Arial"/>
                <w:sz w:val="18"/>
                <w:szCs w:val="18"/>
                <w:color w:val="auto"/>
              </w:rPr>
              <w:t>Vice President, Marketing and Business Development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-1594485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-1594485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-1594485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1872615</wp:posOffset>
            </wp:positionH>
            <wp:positionV relativeFrom="paragraph">
              <wp:posOffset>-1594485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-1594485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-1594485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Dr. Rastetter was appointed our Chairman of the Board of Directors on May 22, 1996. He was appointed as our Chief Executive Officer in December 1986 and served as President from 1986 to 2002 and Chief Financial Officer from 1988 to 1993. Dr. Rastetter has served as one of our directors since 1986. From 1984 to 1986, he was Director of Corporate Ventures at Genentech. From 1982 to 1984, Dr. Rastetter served in a scientific capacity at Genentech, directing the Biocatalysis and Chemical Sciences groups. From 1975 to 1982, he held various faculty positions at the Massachusetts Institute of Technology. Dr. Rastetter is also a director of Argonaut Technologies, Inc. and Illumina, Inc. Dr. Rastetter received his S.B. in chemistry from the Massachusetts Institute of Technology and his M.A. and Ph.D. in chemistry from Harvard University.</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Mr. Rohn joined us in August 1993 as Senior Vice President, Commercial and Corporate Development. Mr. Rohn was appointed Senior Vice President, Commercial Operations in April 1996. In May 1998, Mr. Rohn was promoted to Chief Operating Officer and in January 2002 was promoted to President and Chief Operating Officer. Prior to joining us, Mr. Rohn was employed by Adria Laboratories from 1984 until August 1993, most recently as Senior Vice President of Sales and Marketing with responsibilities for strategic and commercial partnerships as well as all sales and marketing functions in the United States. Prior to Adria, Mr. Rohn held marketing and sales management positions at Abbott Laboratories, Warren-Teed Pharmaceuticals, Miles Laboratories and Mead Johnson Laboratories. Mr. Rohn is also a director of Pharmacyclics, Inc. Mr. Rohn received a B.A. in Marketing from Michigan State University.</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Dr. Grint joined us as Chief Medical Officer and Senior Vice President, Medical and Clinical Research and Development in January 2001. Prior to joining us, Dr. Grint was employed with Schering-Plough Research Institute from 1992 to 2000 holding a number of positions of increasing responsibility, most recently as Vice President of Clinical Immunology and Biotechnology. In addition, he was chairman of the Biotechnology Therapy Team and an Honorary Lecturer in the Department of Virology at St Bartholomew's Hospital in London. Dr. Grint received his medical degree at University of London, St. Bartholomew's Hospital Medical College, London and is a Fellow of the Royal College of Pathologists.</w:t>
      </w:r>
    </w:p>
    <w:p>
      <w:pPr>
        <w:spacing w:after="0" w:line="170"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Dr. Hanna joined us in February 1990 as Vice President, Research and Preclinical Development. In August 1993, Dr. Hanna was promoted to Senior Vice President, Research and Preclinical Development and in May 1998 he was promoted to Chief Scientific Officer. From 1981 to 1990, Dr. Hanna served as Associate Director and then Director of the Department of Immunology at SmithKline Beecham focusing on autoimmune and chronic inflammatory diseases. From 1978 to 1981, he was a research scientist at the NCI-Frederick Cancer Research Center, where he studied the role of</w:t>
      </w:r>
    </w:p>
    <w:p>
      <w:pPr>
        <w:sectPr>
          <w:pgSz w:w="11900" w:h="16838" w:orient="portrait"/>
          <w:cols w:equalWidth="0" w:num="1">
            <w:col w:w="11380"/>
          </w:cols>
          <w:pgMar w:left="240" w:top="131" w:right="279" w:bottom="0" w:gutter="0" w:footer="0" w:header="0"/>
        </w:sectPr>
      </w:pP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120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13" w:name="page14"/>
    <w:bookmarkEnd w:id="13"/>
    <w:p>
      <w:pPr>
        <w:ind w:right="180"/>
        <w:spacing w:after="0" w:line="268" w:lineRule="auto"/>
        <w:rPr>
          <w:sz w:val="20"/>
          <w:szCs w:val="20"/>
          <w:color w:val="auto"/>
        </w:rPr>
      </w:pPr>
      <w:r>
        <w:rPr>
          <w:rFonts w:ascii="Arial" w:cs="Arial" w:eastAsia="Arial" w:hAnsi="Arial"/>
          <w:sz w:val="18"/>
          <w:szCs w:val="18"/>
          <w:color w:val="auto"/>
        </w:rPr>
        <w:t>immune system cells in host defenses against cancer. From 1973 to 1978, Dr. Hanna was a lecturer in the Department of Immunology at the Hebrew University Medical School in Israel, where he received his Ph.D. in Immunology.</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Mr. Schneider joined us in February 1987 as Director, Finance and Administration and served as Senior Director, Finance and Administration from 1990 to 1991. In November 1991, he became Vice President, Finance and Administration and in February 1996 he was appointed Vice President and Chief Financial Officer. In September 2000, Mr. Schneider was promoted to Senior Vice President and Chief Financial Officer. From 1984 to 1987, Mr. Schneider served as the Manager of Financial Reporting and as a Senior Analyst for Syntex Laboratories. He received a B.S. in biochemistry from University of California, Davis, received his M.B.A. at the University of Southern California and earned his C.P.A. qualifications while working for KPMG LLP.</w:t>
      </w:r>
    </w:p>
    <w:p>
      <w:pPr>
        <w:spacing w:after="0" w:line="170"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Dr. Berthold joined us in February 2000 as Senior Vice President, Biopharmaceutical Science. He previously served from 1995 to 2000 as Vice President Biopharmaceuticals at F. Hoffmann-La Roche Inc. and also served as International Advisor for all Roche pharmaceutical biotechnology projects in development. Previously, Dr. Berthold served as head of the Biotech Process Development Group for pharmaceutical biologics at Thomae/Boehringer Ingelheim from 1979 to 1995, which operates one of the world's largest biopharmaceutical manufacturing plants.Dr. Bertholdreceived his Ph.D. in biochemistry from University of London, England.</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Mr. Dunn joined us in January 2001 as Senior Vice President, Legal and Compliance, General Counsel and Secretary. Previously, Mr. Dunn had been a partner with Pillsbury Winthrop LLP and co-leader of the firm's Biotech, Pharmaceuticals and Healthcare Industry Team. He has been practicing law for 22 years, specializing in corporate and business representation of public and private companies. Mr. Dunn received his B.S. and J.D. from the University of Wyoming.</w:t>
      </w:r>
    </w:p>
    <w:p>
      <w:pPr>
        <w:spacing w:after="0" w:line="161"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Ms. Matsui joined us in November 1992 as Senior Director, Planning and Resource Development with primary responsibility for strategic planning and human resources. Ms. Matsui was promoted to Vice President, Planning and Resource Development in December 1994 and to Senior Vice President, Planning and Resource Development in September 2000. Ms. Matsui's current responsibilities include investor relations, corporate communications, human resources, project management and strategic planning. From 1977 to 1991, she served in a variety of marketing and general management positions at Wells Fargo Bank including Vice President responsible for Consumer Retirement Programs and Vice President in charge of company wide Employee Relations and Communications. Ms. Matsui received her B.A. and M.B.A. from Stanford University.</w:t>
      </w:r>
    </w:p>
    <w:p>
      <w:pPr>
        <w:spacing w:after="0" w:line="174"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Dr. Wiebe joined us in July of 2001 as Vice President of Quality. From 1984 to 1998 he held various positions at Genentech, including senior Director of Quality Control and from 1998 to 2001 he was Chief Scientific officer for BioReliance Corporation. Dr. Wiebe received a B.S. from Sterling College in mathematics and received his Ph.D. in microbiology from the University of Kansas.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Mr. Wiggins joined us in May of 1998 as Vice President of Business Development. In November 2000, he was appointed to Vice President of Marketing and Business Development. From 1986 to 1996 he held various positions at Schering-Plough, including Director of Business Development and from 1996 to 1998 he was Vice President of Business Development and Marketing for Hybridon. Mr. Wiggins received a B.S. from Syracuse University in finance and received his M.B.A from the University of Arizona.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31, 2002, we employed 692 persons. None of our employees is represented by a labor union or bound by a collective bargaining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believes that our overall relations with employees are good.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 AND RISK FACTORS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THAT MAY AFFECT FUTURE RESULTS</w:t>
      </w:r>
    </w:p>
    <w:p>
      <w:pPr>
        <w:spacing w:after="0" w:line="219"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i w:val="1"/>
          <w:iCs w:val="1"/>
          <w:color w:val="auto"/>
        </w:rPr>
        <w:t>This Form 10-K contains forward-looking statements based on our current expectations. These statements include, without limitation, statements about market opportunity, our growth and sale strategies and our expectations, plans and objectives. In some cases, you can identify these statements by terminology such as anticipate, believe, estimate, expect, intend, may, plan, should or will or similar phrases or expressions. You should be aware that these statements are projections or estimates as to future events, and actual results may differ materially.</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In addition to the other information contained in this Form 10-K, you should consider the following risk factors which could affect our actual future results and could harm our business, financial condition and results of operations. The risks and uncertainties described below are not the only risks facing us and additional risks and uncertainties may also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Rely Significantly on Rituxan Sales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revenues currently depend substantially upon continued sales of Rituxan. For the year ended December 31, 2001, approximately 92% of our revenues were derived from our Rituxan copromotion arrangement with Genentech. We cannot assure you that Rituxan will continue to be accepted in the United States or in any foreign markets or that Rituxan sales will continue to increase. A number of factors may affect the rate and level of market acceptance of Rituxan, including:</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perception by physicians and other members of the healthcare community of its safety and efficacy or that of competing products, if any;</w:t>
      </w:r>
    </w:p>
    <w:p>
      <w:pPr>
        <w:spacing w:after="0" w:line="275"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and Genentech's sales and marketing efforts in the United States and the effectiveness of Roche's sales and marketing efforts outside the United States and Japan;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publicity concerning Rituxan or similar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its price relative to other drugs or competing treatments;</w:t>
      </w:r>
    </w:p>
    <w:p>
      <w:pPr>
        <w:sectPr>
          <w:pgSz w:w="11900" w:h="16838" w:orient="portrait"/>
          <w:cols w:equalWidth="0" w:num="1">
            <w:col w:w="11400"/>
          </w:cols>
          <w:pgMar w:left="240" w:top="590" w:right="259" w:bottom="0" w:gutter="0" w:footer="0" w:header="0"/>
        </w:sectPr>
      </w:pPr>
    </w:p>
    <w:bookmarkStart w:id="14" w:name="page15"/>
    <w:bookmarkEnd w:id="14"/>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level of third-party reimbursement;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developments related to the manufacture or continued use of Rituxan.</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Given our current reliance on Rituxan as the principal source of our revenue, any material adverse developments with respect to the commercialization of Rituxan may cause our revenue to decrease and may cause us to incur losses in the future.</w:t>
      </w:r>
    </w:p>
    <w:p>
      <w:pPr>
        <w:spacing w:after="0" w:line="180" w:lineRule="exact"/>
        <w:rPr>
          <w:sz w:val="20"/>
          <w:szCs w:val="20"/>
          <w:color w:val="auto"/>
        </w:rPr>
      </w:pPr>
    </w:p>
    <w:p>
      <w:pPr>
        <w:ind w:right="1020"/>
        <w:spacing w:after="0" w:line="275" w:lineRule="auto"/>
        <w:rPr>
          <w:sz w:val="20"/>
          <w:szCs w:val="20"/>
          <w:color w:val="auto"/>
        </w:rPr>
      </w:pPr>
      <w:r>
        <w:rPr>
          <w:rFonts w:ascii="Arial" w:cs="Arial" w:eastAsia="Arial" w:hAnsi="Arial"/>
          <w:sz w:val="18"/>
          <w:szCs w:val="18"/>
          <w:b w:val="1"/>
          <w:bCs w:val="1"/>
          <w:color w:val="auto"/>
        </w:rPr>
        <w:t>ZEVALIN Was Approved by the FDA for Marketing and Sale Only Recently and We Face Risks and Uncertainties in Connection With the Commercialization of ZEVALIN</w:t>
      </w:r>
    </w:p>
    <w:p>
      <w:pPr>
        <w:spacing w:after="0" w:line="18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product ZEVALIN was approved by the FDA for marketing and sale in the United States in February 2002. We cannot assure you that ZEVALIN will be accepted or used by physicians and other members of the healthcare community. Factors that might impact the commercialization of ZEVALIN include:</w:t>
      </w:r>
    </w:p>
    <w:p>
      <w:pPr>
        <w:spacing w:after="0" w:line="15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perception by physicians and other members of the healthcare community of its safety and efficacy or that of competing products, if any;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unfavorable publicity concerning ZEVALIN or similar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its price relative to other drugs or competing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and level of third-party reimbursement;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developments related to the manufacture or continued use of ZEVALIN.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have no marketing support service experience and, therefore, we will be dependent on outside contractors for meet those needs for ZEVALIN. We rely upon a third-party logistics distributor to provide customer service, order entry, shipping, billing, customer reimbursement assistance and managed care sales support. We cannot assure you that the integration of these marketing support services can be successfully coordinated. Further, given our limited marketing and sales experience, we cannot assure you that we will be successful in selling ZEVALIN in the United States or that our exclusive worldwide marketing partner for ZEVALIN, Schering AG, will be successful in selling ZEVALIN outside of the United States.</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rely on MDS Canada, Inc. to provide us with the Yttrium-90 radioisotope required for therapeutic use of ZEVALIN, and we rely on DSM Pharmaceuticals, Inc. for various manufacturing steps of ZEVALIN. In addition, there are currently only two sources approved by the FDA to supply the Indium-111 isotope required for the imaging use of ZEVALIN. If we were to lose the services of any of these parties, we would be forced to find other providers, which could delay our ability to sell ZEVALIN. In addition, each of these third-party providers is subject to continuing FDA inspection. If DSM was required to delay manufacture of ZEVALIN or MDS Canada was required to delay production of the radioisotope required for the manufacture of ZEVALIN for any reason, or the commercial availability of Indium-111 were impaired, our ability to sell ZEVALIN would be harmed.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Develop and Commercialize New Products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future results of operations depend to a large extent upon our ability to successfully commercialize new products in a timely and competitive manner. As a result, we must continue to develop, test and manufacture new products and then must meet regulatory standards and obtain regulatory approvals for any new products. Our products currently in development may not receive the regulatory approvals necessary for marketing in a timely manner, if at all. The FDA may not accept or ultimately approve any new drugs that we develop, which would preclude us from marketing any such drugs in the United States. Additionally, the development and commercialization process is time-consuming and costly, and we cannot assure you that any of our products, if and when developed and approved, will be successfully commercialized or competitive in the marketplace. Delays or unanticipated costs in any part of the process or our inability to obtain regulatory approval for, to effectively commercialize our products, or to maintain manufacturing facilities in compliance with all applicable regulatory requirements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Manufacturing Experience and Rely Heavily On Contract Manufacturers</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rely heavily upon third-party manufacturers to manufacture significant portions of Rituxan, ZEVALIN and our product candidates. Our current manufacturing capacity is limited. Our manufacturing experience to date has been limited to the production of preclinical and clinical quantities of product candidates and to approximately three years of commercial production of bulk Rituxan. We have no fill/finish experience or capacity, and we do not have experience manufacturing in the field of chelates or radioisotopes, which are required for our production of ZEVALIN. Therefore, we rely entirely upon third parties for fill/finish services as well as the manufacture of product components. Consequently, we cannot assure you that either our manufacturing facilities or our ability to sustain ongoing production of our products will be able to meet our expectations. If our current third-party manufacturers or service providers fail to meet our expectations, we cannot assure you that we will be able to enter into satisfactory agreements with other third party manufacturers or service providers. Poor performance or coordination on our part or that of our third-party manufacturers or service providers could harm our business.</w:t>
      </w:r>
    </w:p>
    <w:p>
      <w:pPr>
        <w:spacing w:after="0" w:line="17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ZEVALIN has multiple components that require successful coordination among several third-party contract manufacturers and suppliers. We may not be able to integrate and coordinate successfully our contract manufacturers and suppliers. In addition, our contract manufacturers and suppliers are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required to maintain compliance with cGMP and are subject to inspections by the FDA to confirm this compliance. Their inability to demonstrate ongoing cGMP compliance and produce ZEVALIN components could interrupt commercial supply of ZEVALIN. For example, our third-party manufacturer for ZEVALIN, DSM Pharmaceuticals, Inc. remains subject to a warning letter from the FDA with respect to cGMP matters not specifically related to ZEVALIN. A manufacturer subject to a warning letter that fails to correct cGMP deficiencies to the satisfaction of the FDA could be subject to interruption of production pending resolution of the cGMP issues. If ZEVALIN production was interrupted, it could have an adverse affect on our results of operations.</w:t>
      </w:r>
    </w:p>
    <w:p>
      <w:pPr>
        <w:sectPr>
          <w:pgSz w:w="11900" w:h="16838" w:orient="portrait"/>
          <w:cols w:equalWidth="0" w:num="1">
            <w:col w:w="11420"/>
          </w:cols>
          <w:pgMar w:left="240" w:top="145" w:right="239" w:bottom="11" w:gutter="0" w:footer="0" w:header="0"/>
        </w:sectPr>
      </w:pPr>
    </w:p>
    <w:bookmarkStart w:id="15" w:name="page16"/>
    <w:bookmarkEnd w:id="15"/>
    <w:p>
      <w:pPr>
        <w:ind w:left="360"/>
        <w:spacing w:after="0"/>
        <w:rPr>
          <w:sz w:val="20"/>
          <w:szCs w:val="20"/>
          <w:color w:val="auto"/>
        </w:rPr>
      </w:pPr>
      <w:r>
        <w:rPr>
          <w:rFonts w:ascii="Arial" w:cs="Arial" w:eastAsia="Arial" w:hAnsi="Arial"/>
          <w:sz w:val="16"/>
          <w:szCs w:val="16"/>
          <w:color w:val="auto"/>
        </w:rPr>
        <w:t>We rely on Genentech for all Rituxan manufacturing to meet worldwide requirements. We cannot ensure that Genentech will manufacture and fill/finish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Rituxan in sufficient quantities and on a timely and cost-effective basis or that Genentech will obtain and maintain all required manufacturing approvals.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Genentech's failure to manufacture and fill/finish Rituxan or obtain and maintain required manufacturing approvals could harm our business.</w:t>
      </w:r>
    </w:p>
    <w:p>
      <w:pPr>
        <w:spacing w:after="0" w:line="219"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addition, we are converting our current manufacturing facility to a multi-product facility. From this facility, we have manufactured and will continue to manufacture our own commercial requirements of the bulk antibody for ZEVALIN. We cannot assure you that our manufacturing performance will meet our expectations. Our inability to maintain FDA approval of our manufacturing facility for ZEVALIN would harm our ability to timely produce commercial supplies of the ZEVALIN antibody. To the extent we cannot produce our own biologics, we will need to rely on third-party manufacturers, of which there are only a limited number capable of manufacturing biologics products as contract suppliers. We cannot be certain that we could reach agreement on reasonable terms, if at all, with those manufacturers.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Heavily on a Limited Number of Suppliers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Some materials used in Rituxan, ZEVALIN and our product candidates are currently available only from a single supplier or a limited number of suppliers. Some of these suppliers are subject to ongoing FDA approvals or other governmental regulations. Any interruption or delay in our supply of materials required to sell our products could harm our business if we were unable to obtain an alternative supplier for these materials in a cost-effective and timely manner. Additional factors that could cause interruptions or delays in our source of materials include limitations on the availability of raw materials or manufacturing performance experienced by our suppliers and a breakdown in our commercial relations with one or more suppliers. These factors may be completely out of our control.</w:t>
      </w:r>
    </w:p>
    <w:p>
      <w:pPr>
        <w:spacing w:after="0" w:line="170"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For example, we have entered into an agreement with MDS Canada, the commercial supplier of the radioisotope for ZEVALIN and will rely upon them to supply our clinical and commercial requirements. If MDS Cananda does not maintain FDA approvals to produce the radioisotope Yttrium-90 for ZEVALIN, or if we are unable to receive an adequate supply of this radioisotope for any other reason, including those described above, we would be unable to sell ZEVALIN for therapeutic use unless we were to obtain a new supplier. We are aware of other entities that may be able to provide the radioisotope that we need for the therapeutic use of ZEVALIN but we believe that these suppliers would be required to apply for additional governmental approvals to do so. The process of establishing a relationship with another supplier and the process of obtaining the required governmental approvals would be time consuming and uncertain. We cannot assure you that we could reach an agreement with another supplier in a timely manner or on commercially reasonable terms, if at all. As a result of these concerns, if we were to lose our supply or were unable to receive sufficient quantities of the radioisotope from our sole supplier, our ability to sell ZEVALIN could be harmed which, in turn, could significantly harm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Limited Sales and Marketing Experience</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limited experience with commercial sales and marketing, based entirely upon our launch and limited subsequent sales of Rituxan. ZEVALIN is our first product to be marketed exclusively by us in the United States. Outside the United States, our strategy for future products is to pursue and to rely solely upon collaborations with established pharmaceutical companies for marketing, distribution and sale of our products. We currently have no plans to directly market either of our products outside the United States. Given that we rely on Genentech to copromote Rituxan with us in the United States and rely exclusively on third parties to market Rituxan and ZEVALIN outside the United States, we cannot be certain that our products will be marketed and distributed in accordance with our expectations or that our market research or sales forecasts will be accurate. We have no marketing support service experience and, therefore, we will be dependent on outside contractors to meet those needs. We rely upon a third-party logistics distributor to provide customer service, order entry, shipping, billing, customer reimbursement assistance and managed care sales support. We cannot assure you that the integration of these marketing support services can be successfully coordinated. We further cannot assure you that we will ever be able to develop our own marketing and sales capabilities to an extent that we would not need to rely on third-party efforts, or that we will be able to maintain satisfactory arrangements with the third parties on whom we 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Subject to Significant Fluctuations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quarterly revenues, expenses and operating results have fluctuated in the past and are likely to fluctuate significantly in the future. Fluctuation may result from a variety of factors, including:</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achievement of product development objectives and milestones;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demand and pricing for Rituxan and ZEVALIN;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nature of contract manufacturing and contract research and development payments and receipts;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hospital and pharmacy buying decisions;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enrollment and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and manufacturing expenses;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physician acceptance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or private healthcare reimbursement policies;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manufacturing performance and capacity and that of our partners;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and timing of sales orders of Rituxan by Genentech for customers in the United States and by Roche for customers outside the United States and Japan;</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and timing of our sales orders for ZEVALIN for customers in the United States and by Schering AG for customers outside the United States;</w:t>
      </w:r>
    </w:p>
    <w:p>
      <w:pPr>
        <w:sectPr>
          <w:pgSz w:w="11900" w:h="16838" w:orient="portrait"/>
          <w:cols w:equalWidth="0" w:num="1">
            <w:col w:w="11400"/>
          </w:cols>
          <w:pgMar w:left="240" w:top="131" w:right="259" w:bottom="0" w:gutter="0" w:footer="0" w:header="0"/>
        </w:sectPr>
      </w:pPr>
    </w:p>
    <w:bookmarkStart w:id="16" w:name="page17"/>
    <w:bookmarkEnd w:id="16"/>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rate and success of product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FDA approval, if any, of competitive products and the rate of market penetration of competing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collaboration obligations and copromotion payments we make or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rates;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overall economic conditions.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operating results during any one quarter do not necessarily suggest the anticipated results of future quarters. These results fluctuate periodically because our revenues are driven by the occurrence of events, for example, the achievement of product development milestones and the applicable profit-sharing allocations between us and our marketing partners Genentech and Schering AG.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Uncertain Results of Clinical Trials of Our Potential Products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future success depends in large part upon the results of clinical trials designed to assess the safety and efficacy of our potential products. The completion rate of clinical trials depends significantly upon the rate of patient enrollment. Our inability to enroll patients on a timely basis could result in increased expenses and product development delays, which could harm our business. We cannot assure you that patients enrolled in our clinical trials will respond to our products, that any product will be safe and effective or that data derived from the trials will be suitable for submission to the FDA or satisfactorily support a BLA, sBLA or NDA.</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Factors that affect patient enrollment include:</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size of patient population for the targeted disease;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eligibility criteria;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proximity of eligible patients to clinical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trial protocols;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existence of competing protocols, including competitive financial incentives for patients and clinicians, and existing approved drugs, including Rituxan.</w:t>
      </w:r>
    </w:p>
    <w:p>
      <w:pPr>
        <w:spacing w:after="0" w:line="186"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color w:val="auto"/>
        </w:rPr>
        <w:t>Even if a trial is fully enrolled, significant uncertainties remain as to whether it will prove successful. In addition, the length of time necessary to complete clinical trials and submit an application for marketing and manufacturing approvals varies significantly and may be difficult to predict. Failure to comply with extensive FDA regulations may result in delay, suspension or cancellation of a trial or the FDA's refusal to accept test results. The FDA may also suspend our clinical trials at any time if it concludes that the participants are being exposed to unacceptable risks. Consequently, we cannot ensure that Phase I, Phase II, Phase</w:t>
      </w:r>
    </w:p>
    <w:p>
      <w:pPr>
        <w:spacing w:after="0" w:line="3" w:lineRule="exact"/>
        <w:rPr>
          <w:sz w:val="20"/>
          <w:szCs w:val="20"/>
          <w:color w:val="auto"/>
        </w:rPr>
      </w:pPr>
    </w:p>
    <w:p>
      <w:pPr>
        <w:ind w:right="340" w:firstLine="8"/>
        <w:spacing w:after="0" w:line="261"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 Phase IV post-marketing testing will be completed timely or successfully, if at all, for any of our potential or existing products. Furthermore, success in preclinical and early clinical trials does not ensure that later phase or large-scale trials will be successful.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Intensely Competitive</w:t>
      </w:r>
    </w:p>
    <w:p>
      <w:pPr>
        <w:spacing w:after="0" w:line="231"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The biotechnology industry is intensely competitive and we may not be able to produce or acquire rights to new products with commercial potential. We compete with biotechnology and pharmaceutical companies that have been established longer than we have, have a greater number of products on the market, have greater financial and other resources and have other technological or competitive advantages. We also compete in the development of technologies and processes and in acquiring personnel and technology from academic institutions, government agencies, and other private and public research organizations. We cannot be certain that one or more of our competitors will not receive patent protection that dominates, blocks or adversely affects our product development or business; will benefit from significantly greater sales and marketing capabilities; or will not develop products that are accepted more widely than ours. We are aware that a competitor, Corixa Corporation, formerly Coulter Pharmaceuticals, Inc., has filed a revised BLA for Bexxar, trademark, (tositumomab, Iodine I 131 tositumomab) a radiolabeled murine antibody product for the treatment of non-Hodgkin's lymphoma, which may compete with Rituxan and ZEVALIN. We are also aware of other potentially competitive biologic therapies for non-Hodgkin's lymphoma in development.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May be Unable to Adequately Protect or Enforce Our Intellectual Property Rights or Secure Rights to Third-Party Patents and We are Involved in Patent Litigation</w:t>
      </w:r>
    </w:p>
    <w:p>
      <w:pPr>
        <w:spacing w:after="0" w:line="18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ability and the abilities of our partners to obtain and maintain patent and other protection for our products will affect our success. We are assigned, have rights to, or have exclusive licenses to a number of U.S. and foreign patents and patent applications. However, these patent applications may not be approved and, even if approved, our patent rights may not be upheld in a court of law or may be narrowed if challenged. The patent positions of pharmaceutical and biotechnology companies can be highly uncertain and involve complex legal and factual questions. Our patent rights may not provide competitive advantages for our products and may be challenged, infringed upon or circumvented by our competitors.</w:t>
      </w:r>
    </w:p>
    <w:p>
      <w:pPr>
        <w:spacing w:after="0" w:line="170" w:lineRule="exact"/>
        <w:rPr>
          <w:sz w:val="20"/>
          <w:szCs w:val="20"/>
          <w:color w:val="auto"/>
        </w:rPr>
      </w:pPr>
    </w:p>
    <w:p>
      <w:pPr>
        <w:ind w:right="320" w:firstLine="351"/>
        <w:spacing w:after="0" w:line="370" w:lineRule="auto"/>
        <w:rPr>
          <w:sz w:val="20"/>
          <w:szCs w:val="20"/>
          <w:color w:val="auto"/>
        </w:rPr>
      </w:pPr>
      <w:r>
        <w:rPr>
          <w:rFonts w:ascii="Arial" w:cs="Arial" w:eastAsia="Arial" w:hAnsi="Arial"/>
          <w:sz w:val="15"/>
          <w:szCs w:val="15"/>
          <w:color w:val="auto"/>
        </w:rPr>
        <w:t>Because of the large number of patent filings in the biopharmaceutical field, our competitors may have filed applications or been issued patents and may obtain additional patents and proprietary rights relating to products or processes competitive with or similar to ours. We cannot be certain that U.S. or foreign</w:t>
      </w:r>
    </w:p>
    <w:p>
      <w:pPr>
        <w:sectPr>
          <w:pgSz w:w="11900" w:h="16838" w:orient="portrait"/>
          <w:cols w:equalWidth="0" w:num="1">
            <w:col w:w="11400"/>
          </w:cols>
          <w:pgMar w:left="240" w:top="145" w:right="25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patents do not exist or will not issue that would harm our ability to commercialize our products and product candidates.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September 1999, an interference to determine priority of inventorship was declared in the United States Patent and Trademark Office, or USPTO, between Dartmouth University's patent application, which has been exclusively licensed to us, and Columbia University's patent, which we believe has been exclusively licensed to Biogen, Inc., relating to anti-CD40L antibodies. In October 2001, the USPTO issued a decision concluding that there was no interference between the Dartmouth application and the Columbia patent. We appealed the decision to the Court of Appeals, Federal Circuit in December 2001. If the decision of the USPTO is upheld, the Columbia patent will remain in force and could be asserted against us.</w:t>
      </w:r>
    </w:p>
    <w:p>
      <w:pPr>
        <w:spacing w:after="0" w:line="17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along with other companies, have filed oppositions to a Japanese patent assigned to Immunex Corporation relating to anti-CD40L antibodies. We are also aware that oppositions have been filed in the European Patent Office, or EPO, to granted European applications that have been licensed to us. Each of these applications contain claims relating to the use of anti-CD40L antibodies as a therapeutic. Also, we are aware of an opposition that has been filed to a granted European patent application which names us as the applicant and which relates to Provax and therapeutic use thereof. This opposition has been heard by Oppositions Division of the EPO. The claims of the European patent covering Provax were narrowed, yet are still of sufficient scope to cover the Provax product. If the outcome of the interference or any of the oppositions is adverse, in whole or in part, it could result in the scope of some or all of the granted claims being limited, some or all of the granted claims being lost, the granted patent application not proceeding to a patent or, our competitors having patent claims that may be asserted against us.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September 10, 2001, we filed a complaint against GlaxoSmithKline, plc and another complaint against Corixa Corporation, Coulter Pharmaceutical, Inc., and the Regents of the University of Michigan, in federal court in the southern district of California. We are seeking declaratory judgment that ZEVALIN does not infringe patents held by the defendants and/or that the patents are invalid. On September 12, 2001, Corixa, Coulter and Glaxo filed a lawsuit against us in federal court in the district of Delaware alleging that ZEVALIN infringes their patents. This action has been transferred to San Diego and will be consolidated with our lawsuit. Corixa's lawsuit against us seeks to permanently enjoin us from selling ZEVALIN. We cannot predict or determine the outcome of this litigation. An unfavorable outcome could limit our ability to sell ZEVALIN and could require that we obtain a license from third parties to sell ZEVALIN.</w:t>
      </w:r>
    </w:p>
    <w:p>
      <w:pPr>
        <w:spacing w:after="0" w:line="17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May 28, 1999 and September 14, 2000, Glaxo filed two patent infringement lawsuits against Genentech. These suits assert that the manufacture, use, and sale of Rituxan infringes U.S. patents owned by Glaxo. The trial for the first of these suits concluded on May 4, 2001 with the jury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unanimously finding that Rituxan does not infringe patents held by Glaxo. The jury also unanimously found that all of the patent claims that Glaxo asserted against Genentech were invalid. Glaxo has appealed this ruling. The judge has rescheduled the trial for the second suit to begin in late 2002. To date we have not been named in either of these suits. If Glaxo were to prevail in the second suit or on appeal of the first suit, it could be awarded a variety of remedies, including damages for past sales, requiring Genentech to obtain a license from Glaxo or obtaining an injunction against the sale of Rituxan. Because we rely on sales of Rituxan for substantially all of our revenue, an injunction would significantly harm our business. Further, if Genentech were required to obtain a license from Glaxo, our operating results in a particular quarter could be harmed as a result of any payment required for past royalties. Additionally, our long-term profitability could be harmed by reduced profit sharing under our collaboration agreement with Genentech as a result of future royalties and other payments to Glaxo.</w:t>
      </w:r>
    </w:p>
    <w:p>
      <w:pPr>
        <w:spacing w:after="0" w:line="159"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In addition, Glaxo has also sued Roche in Germany asserting that Rituxan infringes Glaxo's patents. On October 26, 2000, a German court handling the infringement phase of the suit issued a decision holding that the manufacture, use and sale of Rituxan infringes patents held by Glaxo. Roche has appealed the decision and the appeal is pending before the Court of Appeal. At the end of 2001, a German court handling the validity phase of the trial held that the three patents were invalid. Additionally, Roche has filed oppositions in the EPO to several of the Glaxo patents. Although we were not named in the suit, if Glaxo obtains an injunction precluding further sale of Rituxan in Europe, our business could be harmed.</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to existing litigation, we are aware of several third-party patents and patent applications, to the extent they issue as patents, that if successfully asserted against us, may adversely affect our ability to make, use, offer to sell, sell and import our products. These third-party patents and patent applications may include:</w:t>
      </w:r>
    </w:p>
    <w:p>
      <w:pPr>
        <w:spacing w:after="0" w:line="208" w:lineRule="exact"/>
        <w:rPr>
          <w:sz w:val="20"/>
          <w:szCs w:val="20"/>
          <w:color w:val="auto"/>
        </w:rPr>
      </w:pPr>
    </w:p>
    <w:p>
      <w:pPr>
        <w:ind w:left="1080" w:right="1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three U.S. patents assigned to Glaxo and foreign counterparts relating to therapeutic uses of CHO-glycosylated human chimeric, CDR-grafted or bi-specific antibodies;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two U.S. patents assigned to Glaxo and foreign counterparts directed to methods of growing CHO cells in media that is free from components obtained directly from an animal source;</w:t>
      </w:r>
    </w:p>
    <w:p>
      <w:pPr>
        <w:spacing w:after="0" w:line="199" w:lineRule="exact"/>
        <w:rPr>
          <w:rFonts w:ascii="Arial" w:cs="Arial" w:eastAsia="Arial" w:hAnsi="Arial"/>
          <w:sz w:val="18"/>
          <w:szCs w:val="18"/>
          <w:color w:val="auto"/>
        </w:rPr>
      </w:pPr>
    </w:p>
    <w:p>
      <w:pPr>
        <w:ind w:left="1080" w:right="160" w:hanging="532"/>
        <w:spacing w:after="0" w:line="29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seven U.S. patents assigned to Corixa and the Regents of the University of Michigan; one that relates to compositions comprising radiolabeled antibodies directed to CD20 antigen; a second which relates to methods of treating lymphoma with anti-CD20 antibodies in combination with an anti-CD20 radiolabeled antibody, an apoptosis-inducing agent, external beam radiation, or a chemotherapeutic agent; three patents directed to methods of treating lymphoma comprising imaging the distribution of a radiolabeled anti-CD20 antibody followed by the administration of radiolabeled antibodies directed to the CD20 antigen in non myelo-suppressive doses; and two patents are directed to methods for establishing optimal radiation doses in the radiotheraputic treatment of disease.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patent and foreign counterparts filed by Bristol-Myers Squibb Company that relate to ligands to a B7.1 antigen;</w:t>
      </w:r>
    </w:p>
    <w:p>
      <w:pPr>
        <w:spacing w:after="0" w:line="252" w:lineRule="exact"/>
        <w:rPr>
          <w:rFonts w:ascii="Arial" w:cs="Arial" w:eastAsia="Arial" w:hAnsi="Arial"/>
          <w:sz w:val="18"/>
          <w:szCs w:val="18"/>
          <w:color w:val="auto"/>
        </w:rPr>
      </w:pPr>
    </w:p>
    <w:p>
      <w:pPr>
        <w:ind w:left="1080" w:right="260" w:hanging="532"/>
        <w:spacing w:after="0" w:line="256"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two U.S. patents assigned to Columbia University, one of which is involved in the interference described above involving the Dartmouth patent application, and a Japanese patent assigned to Immunex, which we believe have been exclusively licensed to Biogen, related to monoclonal antibodies to the 5C8 antigen found on T cells and methods of their use. We believe the 5C8 antigen and CD40L, the target for our IDEC-131 antibody, are both expressed on the surface of activated T cells; and</w:t>
      </w:r>
    </w:p>
    <w:p>
      <w:pPr>
        <w:spacing w:after="0" w:line="210"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number of issued U.S. and foreign patents that relate to various aspects of radioimmunotherapy of cancer and to methods of treating patients with anti-CD4 antibodies.</w:t>
      </w:r>
    </w:p>
    <w:p>
      <w:pPr>
        <w:sectPr>
          <w:pgSz w:w="11900" w:h="16838" w:orient="portrait"/>
          <w:cols w:equalWidth="0" w:num="1">
            <w:col w:w="11420"/>
          </w:cols>
          <w:pgMar w:left="240" w:top="131" w:right="239" w:bottom="13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30" w:gutter="0" w:footer="0" w:header="0"/>
          <w:type w:val="continuous"/>
        </w:sectPr>
      </w:pPr>
    </w:p>
    <w:bookmarkStart w:id="18" w:name="page19"/>
    <w:bookmarkEnd w:id="18"/>
    <w:p>
      <w:pPr>
        <w:ind w:right="200" w:firstLine="348"/>
        <w:spacing w:after="0" w:line="256" w:lineRule="auto"/>
        <w:rPr>
          <w:sz w:val="20"/>
          <w:szCs w:val="20"/>
          <w:color w:val="auto"/>
        </w:rPr>
      </w:pPr>
      <w:r>
        <w:rPr>
          <w:rFonts w:ascii="Arial" w:cs="Arial" w:eastAsia="Arial" w:hAnsi="Arial"/>
          <w:sz w:val="18"/>
          <w:szCs w:val="18"/>
          <w:color w:val="auto"/>
        </w:rPr>
        <w:t>The owners, or licensees of the owners of these patents, or any foreign patents, and patent applications, to the extent they issue as patents, may assert that one or more of our products infringe one or more claims of these patents. If legal action is commenced against us or our partners to enforce any of these patents and patent applications, to the extent they issue as patents, and the plaintiff in such action prevails, we could be prevented from practicing the subject matter claimed in such patents.</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to patents, we rely on trade secrets and proprietary know-how that we seek to protect, in part, through confidentiality agreements with our partners, employees and consultants. These parties may breach our agreements and courts may not enforce the agreements, leaving us without adequate remedies. Further, our trade secrets may become known or be independently developed or patented by our competitors.</w:t>
      </w:r>
    </w:p>
    <w:p>
      <w:pPr>
        <w:spacing w:after="0" w:line="16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If it were ultimately determined that our claimed intellectual property rights are unenforceable, or that our use of our products infringes on the rights of others, we may be required or may desire to obtain licenses to patents and other intellectual property held by third parties to develop, manufacture and market our products. We may not be able to obtain these licenses on commercially reasonable terms, if at all, and any licensed patents or intellectual property that we may obtain may not be valid or enforceable. In addition, the scope of intellectual property protection is subject to scrutiny and challenge by courts and other governmental bodies. Litigation and other proceedings concerning patents and proprietary technologies can be protracted, expensive and distracting to management and companies may sue competitors as a way of delaying the introduction of competitors' products. Any litigation, including any interference proceedings to determine priority of inventions, oppositions to patents in foreign countries or litigation against our partners, may be costly and time consuming and could harm or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Product Approvals or Comply with Government Regulations Could Harm Our Business</w:t>
      </w:r>
    </w:p>
    <w:p>
      <w:pPr>
        <w:spacing w:after="0" w:line="231"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As pharmaceutical companies, we as well as our partners, contract manufacturers and suppliers are subject to extensive, complex, costly and evolving governmental rules, regulations and restrictions administered by the FDA, by federal and state agencies, and governmental authorities in other countries. In the United States, our products cannot be marketed until they are approved by the FDA. Obtaining FDA approval involves the submission, among other information, of the results of preclinical and clinical studies on the product, and requires substantial time, effort and financial resources. Before approval of an NDA or BLA, the FDA will also perform prelicensing inspections of our facility and our contract manufacturers, suppliers and fill/finish provider's facilities to determine compliance with cGMP. Rituxan and ZEVALIN are our only products that have received FDA approval, and we cannot assure you that our product candidates will be approved either in the United States or in other countries in a timely fashion, if at all.</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failure or the failure of our partners, contract manufacturers or suppliers to meet FDA requirements would preclude our ability to sell Rituxan and ZEVALIN, which would harm our business. Further, we cannot be certain that our sole commercial supplier of the radioisotope for ZEVALIN will maintain the required approvals for the manufacture of the radioisotope required to be used in conjunction with ZEVALIN. In addition, we, as well as our partners, contract manufacturers and suppliers, are subject to numerous FDA requirements covering, among other things, testing, manufacturing, quality control, labeling and continuing promotion of drugs, and to government inspection at all times. Failure to meet or comply with any rules, regulations or restrictions of the FDA or other agencies could result in:</w:t>
      </w:r>
    </w:p>
    <w:p>
      <w:pPr>
        <w:spacing w:after="0" w:line="21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delays;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non-approval or product recall or seizure;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production;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Although we have instituted internal compliance programs and continue to address compliance issues raised from time to time by the FDA, we may not be able to meet regulatory agency standards and any lack of compliance may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Third-Party Research and Development Relationships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Funding of research and development efforts depends largely upon various arrangements with strategic partners and others who provide us with funding and who perform research and development with respect to our products. These strategic partners may generally terminate their arrangements with us at any time. These parties may develop products that compete with ours, and we cannot be certain that they will perform their contractual obligations or that any revenues will be derived from such arrangements. If one or more of our strategic partners fail to achieve product development objectives, this failure could harm our ability to fund related programs and develop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Exposes Us to Product Liability Claims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design, testing, development, manufacture and marketing of products involve an inherent risk of exposure to product liability claims and related adverse publicity. Insurance coverage is expensive and difficult to obtain, and we may be unable to obtain coverage in the future on acceptable terms, if at all. Although we currently maintain product liability insurance for our products in the amounts we believe to be commercially reasonable, we cannot be certain that the coverage limits of our insurance policies or those of our strategic partners will be adequate. If we are unable to obtain sufficient insurance at an acceptable cost or if a successful product liability claim is made against us, whether fully covered by insurance or not, our business could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Transactions May Harm Our Business or the Market Price of Our Securities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regularly review potential transactions related to technologies, products or product rights and businesses complementary to our business. These transactions could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9" w:name="page20"/>
    <w:bookmarkEnd w:id="19"/>
    <w:p>
      <w:pPr>
        <w:ind w:left="1080"/>
        <w:spacing w:after="0"/>
        <w:rPr>
          <w:sz w:val="20"/>
          <w:szCs w:val="20"/>
          <w:color w:val="auto"/>
        </w:rPr>
      </w:pPr>
      <w:r>
        <w:rPr>
          <w:rFonts w:ascii="Arial" w:cs="Arial" w:eastAsia="Arial" w:hAnsi="Arial"/>
          <w:sz w:val="18"/>
          <w:szCs w:val="18"/>
          <w:color w:val="auto"/>
        </w:rPr>
        <w:t>mergers;</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alliances;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off-balance sheet financings;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licensing agreements;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copromotion agreements.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choose to enter into one or more of these transactions at any time, which may cause substantial fluctuations to the market price of securities that we have issued. Moreover, depending upon the nature of any transaction, we may experience a charge to earnings, which could also harm the market price of securities that we have issued.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Successfully Develop and Commence Operations of Our New Manufacturing and Clinical Facilities</w:t>
      </w:r>
    </w:p>
    <w:p>
      <w:pPr>
        <w:spacing w:after="0" w:line="231"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We purchased a 60-acre parcel of land and a 43,000 square foot building on adjacent property on which we intend to develop manufacturing and clinical facilities. We have limited experience in developing these types of facilities and may not be able to successfully develop or commence operations at these facilities. If we fail to successfully develop or commence operations at these new facilities, we may be unable to commercialize or meet demands for future products, if any. We may encounter difficulties in designing, constructing and initiating our manufacturing facilities, including:</w:t>
      </w:r>
    </w:p>
    <w:p>
      <w:pPr>
        <w:spacing w:after="0" w:line="180" w:lineRule="exact"/>
        <w:rPr>
          <w:sz w:val="20"/>
          <w:szCs w:val="20"/>
          <w:color w:val="auto"/>
        </w:rPr>
      </w:pPr>
    </w:p>
    <w:p>
      <w:pPr>
        <w:ind w:left="1080" w:right="3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governmental regulation of our manufacturing facility, specifically, FDA approvals required for the commercial manufacture of our products currently in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opinion regarding the impact of the facility on nearby communities;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construction delays, including obtaining necessary governmental approvals and permits;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overruns;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design, shipment and installation of equipment for our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unforeseeable factors inherent in the construction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financing we may need to complete the facility.</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Even if we are able to successfully develop this manufacturing facility, we may not be able to do so in a cost-effective manner or in a time frame that is consistent with our expected future manufacturing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of Our Stock Price</w:t>
      </w:r>
    </w:p>
    <w:p>
      <w:pPr>
        <w:spacing w:after="0" w:line="231"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market prices for our common stock and for securities of other companies engaged primarily in biotechnology and pharmaceutical development, manufacture and distribution are highly volatile. For example, the market price of our common stock fluctuated between $32.63 per share and $75.00 per share during the year ended December 31, 2001. The market price of our common stock likely will continue to fluctuate due to a variety of factors, including:</w:t>
      </w:r>
    </w:p>
    <w:p>
      <w:pPr>
        <w:spacing w:after="0" w:line="17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 public announcements;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announcement and timing of new product introductions by us or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innovations or product development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approvals or regulatory issues;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relating to patents, proprietary rights and orphan drug status;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potential clinical results with respect to our products under development or those of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developments or proposed legislation in the pharmaceutical or healthcare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and other external factors, disaster or crisis;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hedge and/or arbitrage activities by holders of our convertible promissory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 or results which do not meet or exceed analyst expectations; and</w:t>
      </w:r>
    </w:p>
    <w:p>
      <w:pPr>
        <w:spacing w:after="0" w:line="238"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trends relating to or affecting stock prices throughout our industry, whether or not related to results or news regarding us or our competitors.</w:t>
      </w:r>
    </w:p>
    <w:p>
      <w:pPr>
        <w:sectPr>
          <w:pgSz w:w="11900" w:h="16838" w:orient="portrait"/>
          <w:cols w:equalWidth="0" w:num="1">
            <w:col w:w="11340"/>
          </w:cols>
          <w:pgMar w:left="240" w:top="131" w:right="319" w:bottom="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Uncertainties Regarding Healthcare Reimbursement and Reform</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ability to commercialize products depends in part on the extent to which patients are reimbursed by governmental agencies, private health insurers and other organizations, such as health maintenance organizations, for the cost of such products and related treatments. Our business could be harmed if healthcare payers and providers implement cost-containment measures and governmental agencies implement healthcare reform.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Involves Environmental Risks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business and the business of several of our strategic partners, including Genentech, involve the controlled use of hazardous materials, chemicals, biologics and radioactive compounds. Biologics manufacture is extremely susceptible to product loss due to microbial or viral contamination, material equipment failure, or vendor or operator error. Although we believe that our safety procedures for handling and disposing of such materials complies with state and federal standards, there will always be the risk of accidental contamination or injury. In addition, microbial or viral contamination may cause the closure of the respective manufacturing facility for an extended period of time. By law, radioactive materials may only be disposed of at state-approved facilities. We currently store our radioactive materials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upon Key Personnel</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success will depend, to a great extent, upon the experience, abilities and continued services of our executive officers and key scientific personnel. If we lose the services of any of these officers or key scientific personnel, our business could be harmed. Our success also will depend upon our ability to attract and retain other highly qualified scientific, managerial, sales and manufacturing personnel and our ability to develop and maintain relationships with qualified clinical researchers. Competition for these personnel and relationships is intense and we compete with numerous pharmaceutical and biotechnology companies as well as with universities and non-profit research organizations. We may not be able to continue to attract and retain qualified personnel or develop and maintain relationships with clinical researchers.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Raise Additional Capital or to Repurchase Our Convertible Promissory Notes</w:t>
      </w:r>
    </w:p>
    <w:p>
      <w:pPr>
        <w:spacing w:after="0" w:line="231"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expend and will likely continue to expend substantial funds to complete the research, development, manufacturing and marketing of our potential future products. Consequently, we may seek to raise capital through collaborative arrangements, strategic alliances or equity and debt financings or from other sources. We may need to raise additional funds or borrow funds to complete the construction of our planned Oceanside facility. We may be unable to raise additional capital on commercially acceptable terms, if at all, and if we raise capital through equity financing, existing stockholders may have their ownership interests diluted. Our failure to be able to generate adequate funds from operations or from additional sources would harm our business.</w:t>
      </w:r>
    </w:p>
    <w:p>
      <w:pPr>
        <w:spacing w:after="0" w:line="170"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are required by the terms of our convertible promissory notes, following a change in control occurring on or before February 16, 2004, to purchase any convertible promissory note at the option of its holder at a price equal to the issue price plus accrued original issue discount to the date of repurchase. We may not have sufficient funds at that time or may not be able to raise sufficient funds to make these repurchases.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Convertible Promissory Notes Leverage Us Considerably</w:t>
      </w:r>
    </w:p>
    <w:p>
      <w:pPr>
        <w:spacing w:after="0" w:line="231" w:lineRule="exact"/>
        <w:rPr>
          <w:sz w:val="20"/>
          <w:szCs w:val="20"/>
          <w:color w:val="auto"/>
        </w:rPr>
      </w:pPr>
    </w:p>
    <w:p>
      <w:pPr>
        <w:ind w:right="40" w:firstLine="341"/>
        <w:spacing w:after="0" w:line="289" w:lineRule="auto"/>
        <w:rPr>
          <w:sz w:val="20"/>
          <w:szCs w:val="20"/>
          <w:color w:val="auto"/>
        </w:rPr>
      </w:pPr>
      <w:r>
        <w:rPr>
          <w:rFonts w:ascii="Arial" w:cs="Arial" w:eastAsia="Arial" w:hAnsi="Arial"/>
          <w:sz w:val="16"/>
          <w:szCs w:val="16"/>
          <w:color w:val="auto"/>
        </w:rPr>
        <w:t>As a result of issuing our convertible promissory notes in February 1999, we raised approximately $112.7 million, net of underwriting commissions and expenses of $3.9 million, by incurring indebtedness of $345.0 million at maturity in 2019. As a result of this indebtedness, our principal and interest obligations increased substantially. The degree to which we are leveraged could harm our ability to obtain future financing and could make us more vulnerable to industry downturns and competitive pressures. Our ability to meet our debt obligations will be dependent upon our future performance, which will be subject to financial, business and other factors affecting our operations, many of which are beyond our control. The holders of the convertible promissory notes may require us to purchase the convertible promissory notes on February 16, 2004, 2009, and 2014 at a price equal to the issue price plus accrued original issue discount to the date of purchase. We have the option to repay our convertible promissory notes plus accrued original issue discount in cash, our common stock or a combination thereof. We have the right to redeem the convertible promissory notes on or after February 16, 2004.</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In addition, in the event of our insolvency, bankruptcy, liquidation, reorganization, or dissolution or upon our default in payment with respect to any indebtedness or an event of default with respect to such indebtedness resulting in the acceleration thereof, our assets will be available to pay the amounts due on our convertible promissory notes only after all our senior indebtedness has been paid in full. Moreover, holders of common stock would only receive the assets remaining after payment of all indebtedness and preferred stock, if 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Adopted Several Anti-takeover Measures and Our Convertible Promissory Notes May Have A Further Anti-takeover Effect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taken a number of actions that could discourage a takeover attempt that might be beneficial to stockholders who wish to receive a premium for their shares from a potential bidder. For example, we reincorporated into Delaware, which subjects us to Section 203 of the Delaware General Corporation Law, providing that we may not enter into a business combination with an interested stockholder for a period of three years after the date of the transaction in which the person became an interested stockholder, unless the business combination is approved in the manner prescribed in the code section. In addition, we have adopted a stockholder rights plan that was amended and restated as of July 26, 2001 that would cause substantial dilution to a person who attempts to acquire us on terms not approved by our board of directors. In addition, our board of directors has the authority to issue, without vote or action of stockholders, up to 8,000,000 shares of preferred stock and to fix the price, rights, preferences and privileges of those shares. Any series of preferred stock could contain dividend rights, conversion rights, voting rights, terms of redemption, redemption prices, liquidation preferences or other rights superior to the rights of holders of common stock. Although we currently have 48,014 shares of non-voting convertible preferred stock outstanding, which were convertible into 2,880,840 shares of common stock as of December 31, 2001, the board of directors has no present intention of issuing any additional shares of preferred stock. However, the board of directors may issue additional series of preferred stock in the future. In addition, our copromotion arrangement with Genentech provides Genentech with the option to buy the rights to Rituxan in the event that we undergo a change of control, which may limit our attractiveness to potential acquirers.</w:t>
      </w:r>
    </w:p>
    <w:p>
      <w:pPr>
        <w:sectPr>
          <w:pgSz w:w="11900" w:h="16838" w:orient="portrait"/>
          <w:cols w:equalWidth="0" w:num="1">
            <w:col w:w="11400"/>
          </w:cols>
          <w:pgMar w:left="240" w:top="131" w:right="259" w:bottom="0" w:gutter="0" w:footer="0" w:header="0"/>
        </w:sectPr>
      </w:pPr>
    </w:p>
    <w:bookmarkStart w:id="21" w:name="page22"/>
    <w:bookmarkEnd w:id="21"/>
    <w:p>
      <w:pPr>
        <w:ind w:right="40" w:firstLine="348"/>
        <w:spacing w:after="0" w:line="259" w:lineRule="auto"/>
        <w:rPr>
          <w:sz w:val="20"/>
          <w:szCs w:val="20"/>
          <w:color w:val="auto"/>
        </w:rPr>
      </w:pPr>
      <w:r>
        <w:rPr>
          <w:rFonts w:ascii="Arial" w:cs="Arial" w:eastAsia="Arial" w:hAnsi="Arial"/>
          <w:sz w:val="18"/>
          <w:szCs w:val="18"/>
          <w:color w:val="auto"/>
        </w:rPr>
        <w:t>We are required by the terms of our convertible promissory notes, following a change in control occurring on or before February 16, 2004, to purchase any convertible promissory note at the option of its holder at a price equal to the issue price plus accrued original issue discount to the date of repurchase. This feature of our convertible promissory notes may have an anti-takeover effect.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currently lease approximately 315,000 square feet of administrative, laboratory, manufacturing and warehouse space at four locations in San Diego, California. In September 2000, we purchased a 60-acre site in Oceanside, California, where we plan to build a large-scale manufacturing facility. In addition, we purchased a 43,000 square foot building to house our future clinical manufacturing area and approximately 42.6 acres for a proposed corporate headquarters and research and development campus. Our primary research facilities and manufacturing plant are located at 11011 Torreyana Road in San Diego, California. This facility is leased under a 15-year operating lease that commenced in 1993. We have the option to extend the term of this lease for two consecutive periods of five years each. In August 1996, we entered into a 7-year operating lease for additional administrative and warehouse space at 3030 Callan Road in San Diego, California and amended the lease in October 1999 to include adjacent space for our primary executive offices and to extend the term from 7 years to 13 years and 8 months. We have the option to extend the term of this lease for two consecutive periods of five years each. In June 1999, we entered into a 10-year operating lease for an additional research and development facility at 3010 Science Park Road in San Diego, California. We have the option to extend the term of this lease for two consecutive periods of five years each. In February 2002, we entered into a 4-year operating lease for additional administrative space at 10996 Torreyana Road in San Diego, California.</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20" w:firstLine="359"/>
        <w:spacing w:after="0" w:line="254" w:lineRule="auto"/>
        <w:tabs>
          <w:tab w:leader="none" w:pos="6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28, 1999, GlaxoWellcome plc filed a patent infringement lawsuit against Genentech in the U.S. District Court in Delaware. The suit asserted that Genentech infringes four U.S. patents owned by Glaxo. Two of the patents relate to the use of specific kinds of monoclonal antibodies for the treatment of human disease, including cancer. The other two patents asserted against Genentech relate to preparations of specific kinds of monoclonal antibodies which are made more stable and the methods by which such preparations are made. A trial for this suit concluded on May 4, 2001 with the jury unanimously finding that Rituxan does not infringe patents held by Glaxo. The jury also unanimously found all the patent claims that Glaxo asserted against Genentech were invalid. Glaxo has appealed the ruling.</w:t>
      </w:r>
    </w:p>
    <w:p>
      <w:pPr>
        <w:spacing w:after="0" w:line="19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On September 14, 2000, Glaxo filed another patent infringement lawsuit against Genentech in the U.S. District Court in Delaware. This suit asserts that Genentech infringes Glaxo's patents related to specific methods for culturing CHO cells. The judge has scheduled the trial for this suit to begin in late 2002. To the extent that either suit relates to the manufacture, use and sale of Rituxan, and depending on the suit's outcome, our copromotion profits related to Rituxan could be harmed. To date, we have not been named in either suit.</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Glaxo sued Roche in Germany and has asserted that Rituxan infringes Glaxo's patents. On October 26, 2000, a German court issued a decision holding that the manufacture, use and sale of Rituxan infringes patents held by Glaxo. Roche has appealed the decision and the appeal is pending before the Court of Appeal. If Glaxo elects to enforce the decision, it must post a $6.4 million bond. At the end of 2001, a German court handling the validity phase of the trial held that the three patents were invalid. Although we were not named in the suit, if Glaxo obtains an injunction precluding further sale of Rituxan, or if it requires Roche to pay licensing fees for the further sale of Rituxan in Europe by Roche, our business could be harmed.</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September 10, 2001, we filed two separate suits in the federal district court in the Southern District of California seeking declaratory judgment for patent non-infringement and invalidity. One suit is against Corixa Corporation, Coulter Pharmaceuticals, Inc., and University of Michigan regarding six patents on products and processes relating to radioimmunotherapy. The second suit is against GlaxoSmithKline on two patents relating to cell culture media.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first lawsuit seeks a declaration that ZEVALIN and its use in the treatment of various B-cell non-Hodgkin's lymphomas do not infringe Corixa's issued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U.S. patents and a further declaration that Corixa's patents are invalid. The second lawsuit seeks a declaration that our manufacture of ZEVALIN does not infringe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GlaxoSmithKline's issued U.S. patents and further that GlaxoSmithKline's patents are invalid.</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September 12, 2001, SmithKline Beecham Corporation (d/b/a/ GlaxoSmithKline), Corixa and the University of Michigan filed a lawsuit in the federal district court in the District of Delaware against us for patent infringement. The lawsuit claims that we infringe three of the six patents which are the subject of our Declaratory Judgment action against Corixa. The lawsuit seeks damages and to permanently enjoin us from commercializing ZEVALIN. This action has been transferred to San Diego and will be consolidated with our lawsuit.</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addition, we are involved in certain other legal proceedings generally incidental to our normal business activities. While the outcome of any such proceedings cannot be accurately predicted, we do not believe the ultimate resolution of any such existing matters would have a material adverse effect on our business or financial condition.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No material legal proceedings were terminated in the fourth quarter of 2001.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matters were submitted to a vote of our stockholders during the last quarter of the year ended December 31, 2001.</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w:t>
      </w:r>
    </w:p>
    <w:p>
      <w:pPr>
        <w:sectPr>
          <w:pgSz w:w="11900" w:h="16838" w:orient="portrait"/>
          <w:cols w:equalWidth="0" w:num="1">
            <w:col w:w="11420"/>
          </w:cols>
          <w:pgMar w:left="240" w:top="131" w:right="239" w:bottom="0" w:gutter="0" w:footer="0" w:header="0"/>
          <w:type w:val="continuous"/>
        </w:sectPr>
      </w:pPr>
    </w:p>
    <w:bookmarkStart w:id="22" w:name="page23"/>
    <w:bookmarkEnd w:id="2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245"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Information</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common stock trades on The Nasdaq Stock Market under the symbol "IDPH." The following table shows the high and low sales price for our common stock as reported by The Nasdaq Stock Market for the years ended December 31, 2001 and 2000. The high and low sales price for year ended December 31, 2000 has been restated to reflect our three-for-one stock split effected by way of a stock dividend in January 2001.</w:t>
      </w:r>
    </w:p>
    <w:p>
      <w:pPr>
        <w:spacing w:after="0" w:line="156"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3"/>
              </w:rPr>
              <w:t>Common Stock Price</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jc w:val="right"/>
              <w:ind w:right="279"/>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High</w:t>
            </w:r>
          </w:p>
        </w:tc>
        <w:tc>
          <w:tcPr>
            <w:tcW w:w="80" w:type="dxa"/>
            <w:vAlign w:val="bottom"/>
          </w:tcPr>
          <w:p>
            <w:pPr>
              <w:spacing w:after="0"/>
              <w:rPr>
                <w:sz w:val="23"/>
                <w:szCs w:val="23"/>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46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Second Quarter</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42.88</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Fourth Quarter</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77.65</w:t>
            </w: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451"/>
        </w:trPr>
        <w:tc>
          <w:tcPr>
            <w:tcW w:w="380" w:type="dxa"/>
            <w:vAlign w:val="bottom"/>
          </w:tcPr>
          <w:p>
            <w:pPr>
              <w:spacing w:after="0"/>
              <w:rPr>
                <w:sz w:val="20"/>
                <w:szCs w:val="20"/>
                <w:color w:val="auto"/>
              </w:rPr>
            </w:pPr>
            <w:r>
              <w:rPr>
                <w:rFonts w:ascii="Arial" w:cs="Arial" w:eastAsia="Arial" w:hAnsi="Arial"/>
                <w:sz w:val="18"/>
                <w:szCs w:val="18"/>
                <w:color w:val="auto"/>
              </w:rPr>
              <w:t>(b)</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Holders</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-1417320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-1417320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-1168400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-1168400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-1168400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-1168400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-920115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-920115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-920115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-920115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-920115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-920115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-920115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-920115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2002 there were approximately 379 stockholders of record of our common stock.</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not paid cash dividends since our inception. We currently intend to retain all earnings, if any, for use in the expansion of our business and therefore do not anticipate paying any dividends in the foreseeable future.</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sales of unregistered securities. 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following tables show certain financial data with respect to our Company. The selected financial data should be read in conjunction with the consolidated financial statements and related notes appearing elsewhere in this Form 10-K.</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373"/>
              <w:spacing w:after="0"/>
              <w:rPr>
                <w:sz w:val="20"/>
                <w:szCs w:val="20"/>
                <w:color w:val="auto"/>
              </w:rPr>
            </w:pPr>
            <w:r>
              <w:rPr>
                <w:rFonts w:ascii="Arial" w:cs="Arial" w:eastAsia="Arial" w:hAnsi="Arial"/>
                <w:sz w:val="14"/>
                <w:szCs w:val="14"/>
                <w:b w:val="1"/>
                <w:bCs w:val="1"/>
                <w:color w:val="auto"/>
                <w:w w:val="83"/>
              </w:rPr>
              <w:t>1998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116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00" w:type="dxa"/>
            <w:vAlign w:val="bottom"/>
            <w:gridSpan w:val="7"/>
          </w:tcPr>
          <w:p>
            <w:pPr>
              <w:jc w:val="center"/>
              <w:ind w:left="434"/>
              <w:spacing w:after="0"/>
              <w:rPr>
                <w:sz w:val="20"/>
                <w:szCs w:val="20"/>
                <w:color w:val="auto"/>
              </w:rPr>
            </w:pPr>
            <w:r>
              <w:rPr>
                <w:rFonts w:ascii="Arial" w:cs="Arial" w:eastAsia="Arial" w:hAnsi="Arial"/>
                <w:sz w:val="14"/>
                <w:szCs w:val="14"/>
                <w:b w:val="1"/>
                <w:bCs w:val="1"/>
                <w:color w:val="auto"/>
                <w:w w:val="85"/>
              </w:rPr>
              <w:t>(In thousands, except per share amounts)</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DATA:</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 from unconsolidated joint business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132,782</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93,197</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53,813</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Contract revenues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15,400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10,806</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14,846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 fees</w:t>
            </w: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11,350</w:t>
            </w: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18,300</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272,677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154,682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118,003</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86,959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Manufacturing costs</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2,134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14,277</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86,299</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68,922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42,831</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55,241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27,767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19,478</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16,968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141,540</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98,823</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76,586</w:t>
            </w: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46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131,137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55,859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41,417</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18,904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(17,996)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40" w:type="dxa"/>
            <w:vAlign w:val="bottom"/>
            <w:gridSpan w:val="2"/>
          </w:tcPr>
          <w:p>
            <w:pPr>
              <w:spacing w:after="0"/>
              <w:rPr>
                <w:sz w:val="20"/>
                <w:szCs w:val="20"/>
                <w:color w:val="auto"/>
              </w:rPr>
            </w:pPr>
            <w:r>
              <w:rPr>
                <w:rFonts w:ascii="Arial" w:cs="Arial" w:eastAsia="Arial" w:hAnsi="Arial"/>
                <w:sz w:val="18"/>
                <w:szCs w:val="18"/>
                <w:color w:val="auto"/>
              </w:rPr>
              <w:t>Income (loss) before income tax provision</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161,604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69,347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45,606</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21,900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2,449</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6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40" w:type="dxa"/>
            <w:vAlign w:val="bottom"/>
            <w:gridSpan w:val="2"/>
          </w:tcPr>
          <w:p>
            <w:pPr>
              <w:spacing w:after="0"/>
              <w:rPr>
                <w:sz w:val="20"/>
                <w:szCs w:val="20"/>
                <w:color w:val="auto"/>
              </w:rPr>
            </w:pPr>
            <w:r>
              <w:rPr>
                <w:rFonts w:ascii="Arial" w:cs="Arial" w:eastAsia="Arial" w:hAnsi="Arial"/>
                <w:sz w:val="18"/>
                <w:szCs w:val="18"/>
                <w:color w:val="auto"/>
                <w:w w:val="96"/>
              </w:rPr>
              <w:t>Income (loss) before cumulative effect of accounting change</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101,659</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57,408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43,157</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21,478</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Cumulative effect of accounting change, net of income tax</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benefit of $481</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57"/>
              <w:spacing w:after="0"/>
              <w:rPr>
                <w:sz w:val="20"/>
                <w:szCs w:val="20"/>
                <w:color w:val="auto"/>
              </w:rPr>
            </w:pPr>
            <w:r>
              <w:rPr>
                <w:rFonts w:ascii="Arial" w:cs="Arial" w:eastAsia="Arial" w:hAnsi="Arial"/>
                <w:sz w:val="18"/>
                <w:szCs w:val="18"/>
                <w:color w:val="auto"/>
              </w:rPr>
              <w:t>(9,263)</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464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101,659</w:t>
            </w:r>
          </w:p>
        </w:tc>
        <w:tc>
          <w:tcPr>
            <w:tcW w:w="22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48,145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43,157</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21,478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Before cumulative effect of accounting change</w:t>
            </w:r>
          </w:p>
        </w:tc>
        <w:tc>
          <w:tcPr>
            <w:tcW w:w="260" w:type="dxa"/>
            <w:vAlign w:val="bottom"/>
            <w:tcBorders>
              <w:bottom w:val="single" w:sz="8" w:color="CCEEFF"/>
            </w:tcBorders>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0.43</w:t>
            </w:r>
          </w:p>
        </w:tc>
        <w:tc>
          <w:tcPr>
            <w:tcW w:w="4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0.35</w:t>
            </w:r>
          </w:p>
        </w:tc>
        <w:tc>
          <w:tcPr>
            <w:tcW w:w="420" w:type="dxa"/>
            <w:vAlign w:val="bottom"/>
            <w:tcBorders>
              <w:bottom w:val="single" w:sz="8" w:color="CCEEFF"/>
            </w:tcBorders>
          </w:tcPr>
          <w:p>
            <w:pPr>
              <w:jc w:val="right"/>
              <w:ind w:right="26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0.18</w:t>
            </w:r>
          </w:p>
        </w:tc>
        <w:tc>
          <w:tcPr>
            <w:tcW w:w="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(0. 14)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-5013325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-5013325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-4765040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-4765040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-4765040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-4765040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-4765040</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-4765040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-4765040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-4765040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-4765040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-4765040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-3487420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-3487420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-3487420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-3487420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-3487420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-3487420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-3487420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-3487420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-3487420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-3487420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-3178175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-3178175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-3178175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-3178175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-3178175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-3178175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-3178175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-3178175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-3178175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-3178175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-2423795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-2423795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-2423795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-2423795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-2423795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-2423795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-2423795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-2423795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-2423795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-2423795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-2115185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-2115185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-2115185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-2115185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-2115185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-2115185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-2115185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-2115185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-2115185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-2115185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-1685925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-1685925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-1685925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-1685925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-1685925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-1685925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-1685925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-1685925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-1685925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-1685925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-1257300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-1257300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-1257300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-1257300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-1257300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-1257300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-1257300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-1257300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-1257300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-1257300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-691515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-691515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-691515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-691515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-691515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-691515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-691515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-691515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-691515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-691515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-400050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-400050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-400050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-400050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-400050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-400050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-400050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-400050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-400050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-400050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5" w:right="239" w:bottom="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Basic earnings (loss) per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share(1):</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Before cumulative effect of accounting change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0.59</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calculation of earnings (loss) per share: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2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150,756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134,880</w:t>
            </w:r>
          </w:p>
        </w:tc>
        <w:tc>
          <w:tcPr>
            <w:tcW w:w="3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119,028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112,434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159,310</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151,287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140,262</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112,434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-1832610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-1832610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-1832610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-1832610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-1832610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-1832610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-1832610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-1832610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-1832610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-1832610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-1523365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-1523365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-1523365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-1523365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-1523365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-1523365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-1523365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-1523365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-1523365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-1523365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-923290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-923290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-923290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-923290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-923290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-923290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-923290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-923290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-923290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-923290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-614680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-614680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-614680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-614680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-614680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-614680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-614680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-614680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-614680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260" w:hanging="532"/>
        <w:spacing w:after="0" w:line="26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(loss) per share for years ended December 31, 2000, 1999, 1998 and 1997 have been restated to reflect our three-for-one stock split effected by way of a stock dividend in January 2001.</w:t>
      </w:r>
    </w:p>
    <w:p>
      <w:pPr>
        <w:spacing w:after="0" w:line="1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1998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1997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DATA: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Cash, cash equivalents and securities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available-for-sale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866,607</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750,526</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246,286</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73,502</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69,657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1,141,216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856,406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Notes payable, less current portion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128,888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956,479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694,619</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159,978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106,428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80,679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-1543050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-1543050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-1294130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-1294130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-1294130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-1294130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-1294130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-1294130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-1294130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-1294130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-1294130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-1294130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discussion should be read in conjunction with our consolidated financial statements and related notes appearing elsewhere in this Form 10-K.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0" w:firstLine="348"/>
        <w:spacing w:after="0" w:line="268" w:lineRule="auto"/>
        <w:rPr>
          <w:sz w:val="20"/>
          <w:szCs w:val="20"/>
          <w:color w:val="auto"/>
        </w:rPr>
      </w:pPr>
      <w:r>
        <w:rPr>
          <w:rFonts w:ascii="Arial" w:cs="Arial" w:eastAsia="Arial" w:hAnsi="Arial"/>
          <w:sz w:val="18"/>
          <w:szCs w:val="18"/>
          <w:color w:val="auto"/>
        </w:rPr>
        <w:t>We are primarily engaged in the research, development, manufacture and commercialization of targeted therapies for the treatment of cancer and autoimmune and inflammatory diseases.</w:t>
      </w:r>
    </w:p>
    <w:p>
      <w:pPr>
        <w:spacing w:after="0" w:line="186"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In February 2002, we received FDA approval to market our second product, ZEVALIN, in the United States. We will market ZEVALIN as one product which will be comprised of two components, an imaging component for use with Indium-111 and a therapeutic component for use with Yttrium-90.</w:t>
      </w:r>
    </w:p>
    <w:p>
      <w:pPr>
        <w:spacing w:after="0" w:line="139"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We have retained all U.S. marketing and distribution rights to ZEVALIN and have granted marketing and distribution rights outside the U.S. to Schering AG. In January 2001, the EMEA accepted for filing the ZEVALIN MAA, submitted by Schering AG in the European Union. In March 2002, the "Summary of Product Characteristics" was approved by the European CPMP for the treatment of adult patients with Rituximab relapsed or refractory CD20+ follicular B-cell NHL. The CPMP's final approval is pending and subject to a GMP inspection at DSM Pharmaceuticals.</w:t>
      </w:r>
    </w:p>
    <w:p>
      <w:pPr>
        <w:spacing w:after="0" w:line="167"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Our product Rituxan is being copromoted in the United States under a joint business arrangement with Genentech, where we receive a share of the pretax copromotion profits. Under the copromotion arrangement we share responsibility with Genentech for the sale and continued development of Rituxan in the United States. Continued development of Rituxan includes conducting supportive research on Rituxan, post-approval clinical studies and obtaining potential approval of Rituxan for additional indications. Genentech provides the support functions for the commercialization of Rituxan in the United States including marketing, customer service, order entry, distribution, shipping and billing. Since September 1999, Genentech has been responsible for all worldwide manufacturing of Rituxan. Since the transfer of the manufacturing of Rituxan to Genentech, we have been using our manufacturing capacity for production of specification-setting lots and pre-commercial inventory of ZEVALIN antibodies and production of other proteins for clinical trials. Under the terms of separate agreements with Genentech, Roche is responsible for the commercialization of Rituxan outside the United States, except in Japan where it continues development and copromotes Rituxan in collaboration with Zenyaku. We receive royalties on Rituxan sales outside the United States.</w:t>
      </w:r>
    </w:p>
    <w:p>
      <w:pPr>
        <w:spacing w:after="0" w:line="17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revenues include revenues from unconsolidated joint business, contract revenues and license fees. Until the commercialization of Rituxan, a substantial portion of our revenues had been derived from contract revenues and license fees. However, since the commercialization of Rituxan in November 1997, our revenues have depended primarily upon the sale of Rituxan.</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have incurred increasing annual operating expenses and, with the commercialization of Rituxan and ZEVALIN, we expect these trends to continue. Since our inception in 1985, through 1997, we incurred annual operating losses. Our ongoing profitability will be dependent upon the continued</w:t>
      </w:r>
    </w:p>
    <w:p>
      <w:pPr>
        <w:sectPr>
          <w:pgSz w:w="11900" w:h="16838" w:orient="portrait"/>
          <w:cols w:equalWidth="0" w:num="1">
            <w:col w:w="11520"/>
          </w:cols>
          <w:pgMar w:left="240" w:top="140" w:right="139" w:bottom="792" w:gutter="0" w:footer="0" w:header="0"/>
        </w:sectPr>
      </w:pPr>
    </w:p>
    <w:p>
      <w:pPr>
        <w:spacing w:after="0" w:line="13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140" w:right="139" w:bottom="792" w:gutter="0" w:footer="0" w:header="0"/>
          <w:type w:val="continuous"/>
        </w:sectPr>
      </w:pPr>
    </w:p>
    <w:bookmarkStart w:id="24" w:name="page25"/>
    <w:bookmarkEnd w:id="24"/>
    <w:p>
      <w:pPr>
        <w:ind w:right="900"/>
        <w:spacing w:after="0" w:line="332" w:lineRule="auto"/>
        <w:rPr>
          <w:sz w:val="20"/>
          <w:szCs w:val="20"/>
          <w:color w:val="auto"/>
        </w:rPr>
      </w:pPr>
      <w:r>
        <w:rPr>
          <w:rFonts w:ascii="Arial" w:cs="Arial" w:eastAsia="Arial" w:hAnsi="Arial"/>
          <w:sz w:val="16"/>
          <w:szCs w:val="16"/>
          <w:color w:val="auto"/>
        </w:rPr>
        <w:t>commercial success of Rituxan, the commercial success of ZEVALIN, if successful, product development, revenues from the achievement of product development objectives and licensing transactions. As of December 31, 2001, we had retained earnings of $115.1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response to the Securities and Exchange Commission's Release Numbers 33-8040 "Cautionary Advice Regarding Disclosure About Critical Accounting Policies" and 33-8056, "Commission Statement about Management's Discussion and Analysis of Financial Condition and Results of Operations," we have identified the following critical accounting policies that affect our more significant judgments and estimates used in the preparation of our consolidated financial statements. The preparation of our consolidated financial statements in conformity with accounting principles generally accepted in the United States of America requires our management to make estimates and judgments that affect the reported amounts of assets and liabilities, revenues and expenses, and related disclosures of contingent assets and liabilities. On a periodic basis, we evaluate our estimates, including those related to revenue recognition, allowance for doubtful accounts, accounting for income taxes including the related valuation allowance, accruals for compensation and related benefits, and contingencies and litigation. We explain these accounting policies in the notes to our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17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believe the following critical accounting policies affect our more significant judgments and estimates used in the preparation of our consolidated financial statements.</w:t>
      </w:r>
    </w:p>
    <w:p>
      <w:pPr>
        <w:spacing w:after="0" w:line="186" w:lineRule="exact"/>
        <w:rPr>
          <w:sz w:val="20"/>
          <w:szCs w:val="20"/>
          <w:color w:val="auto"/>
        </w:rPr>
      </w:pPr>
    </w:p>
    <w:p>
      <w:pPr>
        <w:ind w:right="220" w:firstLine="351"/>
        <w:spacing w:after="0" w:line="312" w:lineRule="auto"/>
        <w:rPr>
          <w:sz w:val="20"/>
          <w:szCs w:val="20"/>
          <w:color w:val="auto"/>
        </w:rPr>
      </w:pP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Revenues from unconsolidated joint business include our share of the pretax copromotion profits generated from our copromotion</w:t>
      </w:r>
      <w:r>
        <w:rPr>
          <w:rFonts w:ascii="Arial" w:cs="Arial" w:eastAsia="Arial" w:hAnsi="Arial"/>
          <w:sz w:val="15"/>
          <w:szCs w:val="15"/>
          <w:i w:val="1"/>
          <w:iCs w:val="1"/>
          <w:color w:val="auto"/>
        </w:rPr>
        <w:t xml:space="preserve"> </w:t>
      </w:r>
      <w:r>
        <w:rPr>
          <w:rFonts w:ascii="Arial" w:cs="Arial" w:eastAsia="Arial" w:hAnsi="Arial"/>
          <w:sz w:val="15"/>
          <w:szCs w:val="15"/>
          <w:color w:val="auto"/>
        </w:rPr>
        <w:t>arrangement with Genentech, revenue from bulk Rituxan sales to Genentech through March 2000, reimbursement from Genentech of our Rituxan-related sales force and development expenses and royalty revenue from Roche on sales of Rituximab outside the United States. Revenue from bulk Rituxan sales was recognized when Genentech accepted the bulk Rituxan. Under the copromotion arrangement, all U.S. sales of Rituxan and associated costs and expenses are recognized by Genentech and we record our share of the pretax copromotion profits on a quarterly basis, as defined in our collaborative agreement with Genentech. Pretax copromotion profits under the copromotion arrangement are derived by taking U.S. net sales of Rituxan to third-party customers less cost of sales, third-party royalty expenses, distribution, selling and marketing expenses and joint development expenses incurred by Genentech and us.</w:t>
      </w:r>
    </w:p>
    <w:p>
      <w:pPr>
        <w:spacing w:after="0" w:line="159" w:lineRule="exact"/>
        <w:rPr>
          <w:sz w:val="20"/>
          <w:szCs w:val="20"/>
          <w:color w:val="auto"/>
        </w:rPr>
      </w:pPr>
    </w:p>
    <w:p>
      <w:pPr>
        <w:jc w:val="both"/>
        <w:ind w:right="260" w:firstLine="351"/>
        <w:spacing w:after="0" w:line="256" w:lineRule="auto"/>
        <w:rPr>
          <w:sz w:val="20"/>
          <w:szCs w:val="20"/>
          <w:color w:val="auto"/>
        </w:rPr>
      </w:pPr>
      <w:r>
        <w:rPr>
          <w:rFonts w:ascii="Arial" w:cs="Arial" w:eastAsia="Arial" w:hAnsi="Arial"/>
          <w:sz w:val="18"/>
          <w:szCs w:val="18"/>
          <w:color w:val="auto"/>
        </w:rPr>
        <w:t>Contract revenues include nonrefundable research and development funding under collaborative agreements with our strategic partners and other funding under contractual arrangements with other parties. Contract research and development funding generally compensates us for discovery, preclinical and clinical expenses related to our collaborative development programs for our products and is recognized at the time research and development activities are performed under the terms of the collaborative agreements.</w:t>
      </w:r>
    </w:p>
    <w:p>
      <w:pPr>
        <w:spacing w:after="0" w:line="197"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License fees include nonrefundable fees from product development milestone payments and nonrefundable fees from the sale of product rights under collaborative development and license agreements with our strategic partners. Nonrefundable up-front fees from the sale of product rights are recorded as deferred revenue upon receipt and recognized as revenue over future periods as required by the Securities and Exchange Commission's Staff Accounting Bulletin No. 101, "Revenue Recognition in Financial Statements," or SAB No. 101. Included in license fees are nonrefundable product development milestone payments which are recognized upon the achievement of product development milestone objectives as stipulated in agreements with our strategic partners. Product development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milestone objectives vary in each of our agreements. The achievement of product development milestone objectives that may lead to the recognition of license fee revenues include:</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achievement of preclinical research and development objectives;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of various phases of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filing of an IND application, BLA or NDA;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filing of drug license applications in foreign territories;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United States or foreign regulatory product approvals.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As part of the process of preparing our consolidated financial statements we are required to estimate our income taxes in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the jurisdictions in which we operate. This process involves us estimating our actual current tax exposure together with assessing temporary differences resulting from differing treatment of items, such as deferred revenue,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may include an expense within the tax provision in the statement of operations.</w:t>
      </w:r>
    </w:p>
    <w:p>
      <w:pPr>
        <w:spacing w:after="0" w:line="174"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Significant management judgment is required in determining our provision for income taxes, our deferred tax assets and liabilities and any valuation allowance recorded against our net deferred tax assets. We have recorded a valuation allowance of $70.7 million as of December 31, 2001, due to uncertainties related to our ability to utilize some of our deferred tax assets, primarily consisting of certain net operating loss carryforwards, before they expire. The valuation allowance is based on our estimates of taxable income by jurisdiction in which we operate and the period over which our deferred tax assets will be recoverable. Our estimates of taxable income are derived from, among other items, our estimates of deductions related to stock options. In the event that actual results differ from these estimates or we adjust these estimates in future periods we may need to establish an additional valuation allowance which could materially impact our financial position and results of operations. The net deferred tax asset as of December 31, 2001 was $67.0 million, net of a valuation allowance of $70.7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Revenues from Unconsolidated Joint Business: </w:t>
      </w:r>
      <w:r>
        <w:rPr>
          <w:rFonts w:ascii="Arial" w:cs="Arial" w:eastAsia="Arial" w:hAnsi="Arial"/>
          <w:sz w:val="18"/>
          <w:szCs w:val="18"/>
          <w:color w:val="auto"/>
        </w:rPr>
        <w:t>Revenues from unconsolidated joint business for the years ended December 31, 2001, 2000 and 1999,</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the following (table in thousands):</w:t>
      </w:r>
    </w:p>
    <w:p>
      <w:pPr>
        <w:sectPr>
          <w:pgSz w:w="11900" w:h="16838" w:orient="portrait"/>
          <w:cols w:equalWidth="0" w:num="1">
            <w:col w:w="11400"/>
          </w:cols>
          <w:pgMar w:left="240" w:top="131" w:right="25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Copromotion profits</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228,614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Bulk Rituxan sales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Reimbursement of selling and development expenses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Royalty revenue on sales of Rituximab outside the U.S.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132,782</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-1009015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-1009015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-1009015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-1009015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-1009015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-1009015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-306070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-306070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-306070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-306070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-306070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-306070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During the first quarter of 2000, we recognized the remaining revenues and related manufacturing costs from bulk Rituxan sales to Genentech. Under our agreement with Genentech, our pretax copromotion profit-sharing formula has two tiers. We earn a higher percentage of the pretax copromotion profits at the upper tier once a fixed pretax copromotion profit level is met. The profit-sharing formula resets annually at the beginning of each year to the lower tier. We began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recording our profit share at the higher percentage during the first quarter of 2001 compared to the beginning of the second quarter of 2000. In 1999, we began recording our profit share at the higher percentage during the second quarter.</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Rituxan net sales to third-party customers in the United States recorded by Genentech for 2001 amounted to $779.0 million compared to $424.3 million in 2000 and $262.7 million in 1999. The increase in 2001 was primarily due to increased market penetration in treatments of B-cell NHL and CCL and a three percent increase in the wholesale price of Rituxan in March 2001. The increase in 2000 was primarily due to increased market penetration in treatments of B-cell NHL and a five percent increase in the wholesale price of Rituxan in May 2000.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royalty revenue on sales of Rituximab outside the U.S. is based on Roche's end-user sales and is recorded with a one-quarter lag.</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i w:val="1"/>
          <w:iCs w:val="1"/>
          <w:color w:val="auto"/>
        </w:rPr>
        <w:t xml:space="preserve">Contract Revenues: </w:t>
      </w:r>
      <w:r>
        <w:rPr>
          <w:rFonts w:ascii="Arial" w:cs="Arial" w:eastAsia="Arial" w:hAnsi="Arial"/>
          <w:sz w:val="16"/>
          <w:szCs w:val="16"/>
          <w:color w:val="auto"/>
        </w:rPr>
        <w:t>Contract revenues totaled $9.9 million in 2001 compared to $15.4 million in 2000 and $10.8 million in 1999. The decrease in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in 2001 resulted primarily from decreased funding under our collaboration and license agreement with Schering AG, partially offset by increased funding under our collaborative development agreement with Mitsubishi. The increase in contract revenues in 2000 compared to 1999 was primarily the result of funding under our collaboration and license agreement with Schering AG and our collaborative research and development agreement with Taisho, partially offset by the decreased funding under a collaborative agreement with Eisai.</w:t>
      </w:r>
    </w:p>
    <w:p>
      <w:pPr>
        <w:spacing w:after="0" w:line="170"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 xml:space="preserve">License Fees: </w:t>
      </w:r>
      <w:r>
        <w:rPr>
          <w:rFonts w:ascii="Arial" w:cs="Arial" w:eastAsia="Arial" w:hAnsi="Arial"/>
          <w:sz w:val="16"/>
          <w:szCs w:val="16"/>
          <w:color w:val="auto"/>
        </w:rPr>
        <w:t>License fees totaled $11.4 million in 2001 compared to $6.5 million in 2000 and $14.0 million in 1999. License fees in 2001 consist</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of payments received from Eisai and revenue from Schering AG that was previously recognized in 1999, see— "Cumulative Effect of Accounting Change—" below, for the achievement of product development milestone objectives, and the receipt of a $5.0 million milestone payment from Schering AG when the EMEA accepted for filing the submission of a MAA for approval of ZEVALIN in Europe. License fees in 2000 consisted solely of revenue from Schering AG that was previously recognized in 1999, see— "Cumulative Effect of Accounting Change—" below. License fees in 1999 consisted primarily of a $13.0 million up-front licensing fee from Schering AG for the development and commercialization of ZEVALIN outside the United States.</w:t>
      </w:r>
    </w:p>
    <w:p>
      <w:pPr>
        <w:spacing w:after="0" w:line="174"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Contract revenues and license fees may vary from year to year and are, in part, dependent upon achievement of research and development objectives or the consummation of new corporate alliances. The magnitude and timing of contract revenues and license fees may influence our achievement and level of profitability. We continue to pursue other collaborative and license arrangements, however, we cannot assure you that any of these arrangements will be realized.</w:t>
      </w:r>
    </w:p>
    <w:p>
      <w:pPr>
        <w:spacing w:after="0" w:line="142"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i w:val="1"/>
          <w:iCs w:val="1"/>
          <w:color w:val="auto"/>
        </w:rPr>
        <w:t xml:space="preserve">Manufacturing Costs: </w:t>
      </w:r>
      <w:r>
        <w:rPr>
          <w:rFonts w:ascii="Arial" w:cs="Arial" w:eastAsia="Arial" w:hAnsi="Arial"/>
          <w:sz w:val="16"/>
          <w:szCs w:val="16"/>
          <w:color w:val="auto"/>
        </w:rPr>
        <w:t>There were no manufacturing costs recorded for 2001 compared to $2.1 million in 2000 and $14.3 million in 1999. Our</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costs recorded in 2000 related to production of bulk Rituxan sold to Genentech and were recognized when Genentech accepted the bulk Rituxan inventory. The decrease in manufacturing costs in 2000 from 1999 was due to the transfer of all worldwide manufacturing responsibilities for bulk Rituxan to Genentech in September 1999. The final lots of bulk Rituxan manufactured by us during the third quarter of 1999 were accepted by Genentech during the first quarter of 2000. Since the transfer of all worldwide manufacturing responsibilities for bulk Rituxan to Genentech, and prior to receiving FDA approval for ZEVALIN in February 2002, we used our manufacturing capacity for production of specification setting lots and pre-commercial inventory of ZEVALIN antibodies and production of other proteins for clinical trials. Those manufacturing expenses have been recorded as research and development expenses. Manufacturing costs are expected to increase in the future due to commercialization of ZEVALIN.</w:t>
      </w:r>
    </w:p>
    <w:p>
      <w:pPr>
        <w:spacing w:after="0" w:line="17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totaled $86.3 million in 2001 compared to $68.9 million in 2000 and $42.8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1999. The increase in research and development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expenses in 2001 is primarily due to increased clinical testing of our various products under development, development costs for ZEVALIN, personnel expenses and expansion of our facilities. The increase in research and development expenses in 2000 from 1999 was primarily due to ZEVALIN-related manufacturing and process development expenses, technology in-licensing and expansion of our facilities. In the future we expect to continue incurring substantial additional research and development expenses due to:</w:t>
      </w:r>
    </w:p>
    <w:p>
      <w:pPr>
        <w:spacing w:after="0" w:line="211"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development programs for ZEVALIN;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expansion or addition of research and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technology in-licensing;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regulatory-related expenses;</w:t>
      </w:r>
    </w:p>
    <w:p>
      <w:pPr>
        <w:sectPr>
          <w:pgSz w:w="11900" w:h="16838" w:orient="portrait"/>
          <w:cols w:equalWidth="0" w:num="1">
            <w:col w:w="11380"/>
          </w:cols>
          <w:pgMar w:left="240" w:top="127" w:right="279" w:bottom="0" w:gutter="0" w:footer="0" w:header="0"/>
        </w:sectPr>
      </w:pPr>
    </w:p>
    <w:bookmarkStart w:id="26" w:name="page27"/>
    <w:bookmarkEnd w:id="26"/>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expansion of clinical manufacturing capabilities;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facilities expansion;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preclinical and clinical testing of our various products under development.</w:t>
      </w:r>
    </w:p>
    <w:p>
      <w:pPr>
        <w:spacing w:after="0" w:line="225" w:lineRule="exact"/>
        <w:rPr>
          <w:sz w:val="20"/>
          <w:szCs w:val="20"/>
          <w:color w:val="auto"/>
        </w:rPr>
      </w:pPr>
    </w:p>
    <w:p>
      <w:pPr>
        <w:ind w:left="360"/>
        <w:spacing w:after="0"/>
        <w:tabs>
          <w:tab w:leader="none" w:pos="3100" w:val="left"/>
        </w:tabs>
        <w:rPr>
          <w:sz w:val="20"/>
          <w:szCs w:val="20"/>
          <w:color w:val="auto"/>
        </w:rPr>
      </w:pPr>
      <w:r>
        <w:rPr>
          <w:rFonts w:ascii="Arial" w:cs="Arial" w:eastAsia="Arial" w:hAnsi="Arial"/>
          <w:sz w:val="18"/>
          <w:szCs w:val="18"/>
          <w:i w:val="1"/>
          <w:iCs w:val="1"/>
          <w:color w:val="auto"/>
        </w:rPr>
        <w:t>Selling, General and Administrative:</w:t>
      </w:r>
      <w:r>
        <w:rPr>
          <w:sz w:val="20"/>
          <w:szCs w:val="20"/>
          <w:color w:val="auto"/>
        </w:rPr>
        <w:tab/>
      </w:r>
      <w:r>
        <w:rPr>
          <w:rFonts w:ascii="Arial" w:cs="Arial" w:eastAsia="Arial" w:hAnsi="Arial"/>
          <w:sz w:val="16"/>
          <w:szCs w:val="16"/>
          <w:color w:val="auto"/>
        </w:rPr>
        <w:t>Selling, general and administrative expenses totaled $55.2 million in 2001 compared to $27.8 million in 2000 and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$19.5 million in 1999. Selling, general and administrative expenses increased in 2001 primarily due to increased marketing and administrative expenses related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commercialization of ZEVALIN, sales expenses to support Rituxan, legal expenses to defend ZEVALIN patent issues and general increases in general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to support overall organizational growth. Selling, general and administrative expenses increased in 2000 primarily due to increased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patent filing fees and increases in sales and marketing expenses resulting from the commercialization of Rituxan. Selling,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are expected to increase in the foreseeable future to support the following:</w:t>
      </w:r>
    </w:p>
    <w:p>
      <w:pPr>
        <w:spacing w:after="0" w:line="23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expanded growth of our sales force;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and administration related to the commercialization of ZEVALIN;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manufacturing capacity;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research and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fees to protect or enforce our intellectual property rights for ZEVALIN and our product candidates.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Interest Income/Expense: </w:t>
      </w:r>
      <w:r>
        <w:rPr>
          <w:rFonts w:ascii="Arial" w:cs="Arial" w:eastAsia="Arial" w:hAnsi="Arial"/>
          <w:sz w:val="18"/>
          <w:szCs w:val="18"/>
          <w:color w:val="auto"/>
        </w:rPr>
        <w:t>Interest income totaled $37.8 million in 2001 compared to $20.5 million in 2000 and $10.2 million in 1999.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in 2001 and 2000 is primarily due to higher average balances in cash, cash equivalents and securities available-for-sale resulting from the sale of 7.8 million shares of common stock in November 2000, cash provided by operations and cash provided from the issuance of common stock under employee stock option and purchase plans. The average interest rates earned on our investments in 2001 decreased from the average interest rates earned on our investments in 2000 as a result of declining market interest rates.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Interest expense totaled $7.3 million in 2001 compared to $7.1 million in 2000 and $6.1 million in 1999. The increase in interest expense in 2001 and 2000 is primarily due to noncash interest charges relating to the convertible promissory notes offering in February 1999. Interest expense is expected to increase in the future due to noncash interest charges from our convertible promissory notes.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Our effective tax rate in 2001 was approximately 37% compared to 17% percent in 2000 and five percent in 1999.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effective tax rate for 2001 primarily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resulted from changes in the valuation allowance that resulted in a lower tax rate in 2000. Our tax rate for 2001 differed from a normal statutory rate due to the generation of research and development tax credits. The tax rate of 17% in 2000 is higher than the comparable tax rate of five percent in 1999 due to greater changes in valuation allowance in 1999 than in 2000. Our net operating loss carryforwards available to offset future taxable income at December 31, 2001 were approximately $174.0 million for federal income tax purposes and begin to expire in 2009. The utilization of our net operating loss carryforwards and tax credits may be subject to an annual limitation under the Internal Revenue Code due to a cumulative change of ownership of more than 50% in prior years. However, we anticipate this annual limitation to result only in a slight deferral in the utilization of our net operating loss carryforwards and tax credits.</w:t>
      </w:r>
    </w:p>
    <w:p>
      <w:pPr>
        <w:spacing w:after="0" w:line="17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Cumulative Effect of Accounting Change: </w:t>
      </w:r>
      <w:r>
        <w:rPr>
          <w:rFonts w:ascii="Arial" w:cs="Arial" w:eastAsia="Arial" w:hAnsi="Arial"/>
          <w:sz w:val="16"/>
          <w:szCs w:val="16"/>
          <w:color w:val="auto"/>
        </w:rPr>
        <w:t>In the fourth quarter of 2000, we implemented SAB No. 101, which became effective as of January 1, 2000.</w:t>
      </w:r>
      <w:r>
        <w:rPr>
          <w:rFonts w:ascii="Arial" w:cs="Arial" w:eastAsia="Arial" w:hAnsi="Arial"/>
          <w:sz w:val="16"/>
          <w:szCs w:val="16"/>
          <w:i w:val="1"/>
          <w:iCs w:val="1"/>
          <w:color w:val="auto"/>
        </w:rPr>
        <w:t xml:space="preserve"> </w:t>
      </w:r>
      <w:r>
        <w:rPr>
          <w:rFonts w:ascii="Arial" w:cs="Arial" w:eastAsia="Arial" w:hAnsi="Arial"/>
          <w:sz w:val="16"/>
          <w:szCs w:val="16"/>
          <w:color w:val="auto"/>
        </w:rPr>
        <w:t>SAB No. 101 established new guidelines in applying generally accepted accounting principles to revenue recognition in financial statements. SAB No. 101 provides that nonrefundable up-front fees received under collaborative agreements be recorded as deferred revenue upon receipt and recognized as revenue over future periods. Prior to the implementation of SAB No. 101, we recognized certain nonrefundable up-front fees upon receipt as license fee revenue. The cumulative effect of this accounting change on years prior to 2000 resulted in a charge of $9.3 million (net of a $0.5 million income tax effect), that was reflected effectively in the first quarter of 2000, of which $6.5 million and 3.3 million was recognized as license fee revenue in 2000 and 2001, respectively. This accounting change is directly related to the $13.0 million up-front license fee received from Schering AG and recognized as license fee revenue in 1999.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financed our operating and capital expenditures since inception principally through sales of equity securities, profits from our copromotion arrangement with Genentech related to the sales of Rituxan, license fees, contract revenues, lease financing transactions, debt financing transactions and interest income. We expect to finance our current and planned operating requirements principally through cash on hand, anticipated funds from our copromotion arrangement with Genentech, anticipated funds from commercial sales of ZEVALIN and with funds from existing collaborative agreements and contracts. We believe that these funds will be sufficient to meet our operating requirements for the foreseeable future. Existing collaborative research agreements and contracts, however, could be canceled by the contracting parties. In addition, we may, from time to time seek additional funding through a combination of new collaborative agreements, strategic alliances and additional equity and debt financings or from other sources. Additional funds may not be obtainable through these sources on acceptable terms if at all. If adequate funds are not available from the copromotion arrangement, operations or additional sources of financing, our business could be harmed. Our working capital and capital requirements will depend upon numerous factors, including:</w:t>
      </w:r>
    </w:p>
    <w:p>
      <w:pPr>
        <w:spacing w:after="0" w:line="187"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commercial success of Rituxan;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commercial success of ZEVALIN;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45" w:right="259" w:bottom="0" w:gutter="0" w:footer="0" w:header="0"/>
        </w:sectPr>
      </w:pPr>
    </w:p>
    <w:bookmarkStart w:id="27" w:name="page28"/>
    <w:bookmarkEnd w:id="27"/>
    <w:p>
      <w:pPr>
        <w:ind w:left="1080"/>
        <w:spacing w:after="0"/>
        <w:rPr>
          <w:sz w:val="20"/>
          <w:szCs w:val="20"/>
          <w:color w:val="auto"/>
        </w:rPr>
      </w:pPr>
      <w:r>
        <w:rPr>
          <w:rFonts w:ascii="Arial" w:cs="Arial" w:eastAsia="Arial" w:hAnsi="Arial"/>
          <w:sz w:val="18"/>
          <w:szCs w:val="18"/>
          <w:color w:val="auto"/>
        </w:rPr>
        <w:t>timing and expense of obtaining regulatory approvals;</w:t>
      </w:r>
    </w:p>
    <w:p>
      <w:pPr>
        <w:spacing w:after="0" w:line="239" w:lineRule="exact"/>
        <w:rPr>
          <w:sz w:val="20"/>
          <w:szCs w:val="20"/>
          <w:color w:val="auto"/>
        </w:rPr>
      </w:pPr>
    </w:p>
    <w:p>
      <w:pPr>
        <w:ind w:left="1080" w:right="5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financing alternatives available for the construction of our large-scale manufacturing facilities and corporate headquarters and research and development campus;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progress of our preclinical and clinical testing;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fluctuating or increasing manufacturing requirements and research and development programs;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levels of resources that we devote to the development of manufacturing, sales and marketing capabilities, including resources devoted to the commercial launch of ZEVALIN;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status of competitors;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collaborative arrangements with other organizations.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Until required for operations, we invest our cash reserves in bank deposits, certificates of deposit, commercial paper, corporate notes, foreign and United States government instruments and other readily marketable debt instruments in accordance with our investment policy.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2001, we had $866.6 million in cash, cash equivalents and securities available-for-sale compared to $750.5 million at December 31, 2000.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Sources of cash, cash equivalents and securities available-for-sale during the year ended December 31, 2001 included $153.8 million from operations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$28.1 million from the issuance of common stock under employee stock option and purchase plans. Uses of cash, cash equivalents and securities available-for-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during the year ended December 31, 2001 included $67.4 million used to purchase property and capital equipment and $0.7 million used to pay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w:t>
      </w:r>
    </w:p>
    <w:p>
      <w:pPr>
        <w:spacing w:after="0" w:line="219"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Under the terms of our agreement with MDS Canada, we are obligated to make periodic payments into an escrow account. These funds secure certain obligations we have under the agreement regarding minimum annual purchases and MDS Canada's establishment of a new facility to supply us with Yttrium-90. In general, our required escrow deposits will decrease over time if we satisfy portions of our minimum annual purchase commitment. As of March 31, 2002, we have paid $5.0 million into this escrow fund.</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April 2001, we purchased a 43,000 square foot facility to house our future clinical manufacturing area. We anticipate that we will have to invest approximately $50.0 million in 2002 to fund construction of building improvements for this new facility and expect to pay for these costs through our working capital.</w:t>
      </w:r>
    </w:p>
    <w:p>
      <w:pPr>
        <w:spacing w:after="0" w:line="194"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September 2001, we purchased approximately 42.6 acres in San Diego for a proposed corporate headquarters and research and development campus. Additional costs we expect to incur in connection with this campus include design, development and construction costs, as well as the purchase and installation of equipment and furnishings for the campus. We estimate these costs at approximately $100.0 million over a two-year period. We expect to pay for these costs in part from our working capital and we presently are evaluating financing the remaining costs for this campus through any number of financing arrangements, including a sale of equity or debt securities, financings with banks or other financial institutions or an off balance sheet lease arrangement that will likely involve using cash on hand as collateral. We cannot assure you that financing for this campus will be obtained on acceptable terms, if at all. In the third quarter of 2001, we began preliminary site engineering preparations for the campus, which could potentially expand to over 750,000 square feet of facilities. The first phase of construction is expected to be completed in early 2004.</w:t>
      </w:r>
    </w:p>
    <w:p>
      <w:pPr>
        <w:spacing w:after="0" w:line="172"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September 2000, we purchased a 60-acre site in Oceanside for approximately $18.9 million in cash. We plan to build a large-scale manufacturing facility at the location, which we anticipate using to commercialize our products currently in clinical trials if they are approved by the FDA. Additional costs we expect to incur in connection with this facility include design, development, construction, validation and start-up costs, as well as the purchase and installation of equipment and furnishings for the facility. We estimate these costs at over $400.0 million over a four-year period. We expect to pay for these costs in part from our working capital and we are presently evaluating financing alternatives including a sale of equity or debt securities, financings with banks or other financial institutions or 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off balance sheet lease arrangement that will likely involve using cash on hand as collateral. We cannot assure you that financing for this facility will be obtainable on acceptable terms, if at all. In the first quarter of 2001, we began preliminary site engineering preparations for the first phase of development, which is anticipated to be approximately 450,000 square feet of facility space for manufacturing, warehousing, utilities, maintenance, laboratories and offices. We expect the first phase of the new facility to be mechanically completed in 2004, followed by commissioning and validation in 2005 and 2006. This expansion will allow us to better control the manufacture of our products, reducing our reliance on contract manufacturers, as well as to reduce commercial risk.</w:t>
      </w:r>
    </w:p>
    <w:p>
      <w:pPr>
        <w:spacing w:after="0" w:line="170" w:lineRule="exact"/>
        <w:rPr>
          <w:sz w:val="20"/>
          <w:szCs w:val="20"/>
          <w:color w:val="auto"/>
        </w:rPr>
      </w:pPr>
    </w:p>
    <w:p>
      <w:pPr>
        <w:ind w:right="120" w:firstLine="351"/>
        <w:spacing w:after="0" w:line="309" w:lineRule="auto"/>
        <w:rPr>
          <w:sz w:val="20"/>
          <w:szCs w:val="20"/>
          <w:color w:val="auto"/>
        </w:rPr>
      </w:pPr>
      <w:r>
        <w:rPr>
          <w:rFonts w:ascii="Arial" w:cs="Arial" w:eastAsia="Arial" w:hAnsi="Arial"/>
          <w:sz w:val="15"/>
          <w:szCs w:val="15"/>
          <w:color w:val="auto"/>
        </w:rPr>
        <w:t>In February 1999, we raised through the sale of convertible promissory notes approximately $112.7 million, net of underwriting commissions and expenses of $3.9 million. The convertible promissory notes are zero coupon and were priced with a yield to maturity of 5.5% annually. Upon maturity, the convertible promissory notes will have an aggregate principal face value of $345.0 million. Each $1,000 aggregate principal face value convertible promissory note is convertible at the holders' option at any time through maturity into 40.404 shares of our common stock at an initial conversion price of $8.36. We are required under the terms of the convertible promissory notes, following a change in control occurring on or before February 16, 2004, to purchase any convertible promissory note at the option of its holder at a price equal to the issue price plus accrued original issue discount to the date of purchase. Additionally, the holders of the convertible promissory notes may require us to purchase the convertible promissory notes on February 16, 2004, 2009 or 2014 at a price equal to the issue price plus accrued original issue discount to the date of purchase with us having the option to repay the convertible promissory notes plus accrued original issue discount in cash, our common stock or a combination thereof. We have the right to redeem the convertible promissory notes on or after February 16, 2004.</w:t>
      </w:r>
    </w:p>
    <w:p>
      <w:pPr>
        <w:sectPr>
          <w:pgSz w:w="11900" w:h="16838" w:orient="portrait"/>
          <w:cols w:equalWidth="0" w:num="1">
            <w:col w:w="11420"/>
          </w:cols>
          <w:pgMar w:left="240" w:top="131" w:right="239" w:bottom="0" w:gutter="0" w:footer="0" w:header="0"/>
        </w:sectPr>
      </w:pPr>
    </w:p>
    <w:bookmarkStart w:id="28" w:name="page29"/>
    <w:bookmarkEnd w:id="28"/>
    <w:p>
      <w:pPr>
        <w:ind w:firstLine="351"/>
        <w:spacing w:after="0" w:line="253" w:lineRule="auto"/>
        <w:rPr>
          <w:sz w:val="20"/>
          <w:szCs w:val="20"/>
          <w:color w:val="auto"/>
        </w:rPr>
      </w:pPr>
      <w:r>
        <w:rPr>
          <w:rFonts w:ascii="Arial" w:cs="Arial" w:eastAsia="Arial" w:hAnsi="Arial"/>
          <w:sz w:val="18"/>
          <w:szCs w:val="18"/>
          <w:color w:val="auto"/>
        </w:rPr>
        <w:t>In October 1992, we entered into a collaborative research and license agreement with GlaxoSmithKline related to the development and commercialization of compounds based on our PRIMATIZED anti-CD4 antibodies. In February 2000, we amended and restated our agreement with GlaxoSmithKline which resulted in all anti-CD4 program rights, including those for IDEC-151, being returned to us. We will receive no further funding from GlaxoSmithKline under the restated agreement. As part of the restated agreement, GlaxoSmithKline has the option to negotiate commercialization and copromotion rights with us for the first compound based on our PRIMATIZED anti-CD4 antibodies to complete a Phase II study. If we do not commercialize and copromote the compound with GlaxoSmithKline, we will pay GlaxoSmithKline royalties on sales and licensees by us or our affiliates on products emerging from the rights returned to us under the restated agreement.</w:t>
      </w:r>
    </w:p>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had future minimum lease payment obligations under our operating leases of $56.9 million as of December 31, 2001. Additionally, in February 2002, we entered into a lease agreement in which we will pay $7.1 million over the next four years.</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At December 31, 2001 and 2000,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engage in trading activities involving non-exchange traded contracts. As such, we are not materially exposed to any financing, liquidity, market or credit risk that could arise if we had engaged in such relationships. We do not have relationships or transactions with persons or entities that derive benefits from their non-independent relationship with us or our related parties other than what is disclosed in "Item 8. Financial Statements and Supplementary Data—Notes to Consolidated Financial Statements—Note 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August 2001, the FASB issued Statement of Financial Accounting Standards No. 143, "Accounting for Asset Retirement Obligations," or Statement No. 143, which addresses financial accounting and reporting for obligations associated with the retirement of tangible long-lived assets and for the associated asset retirement costs. The standard applies to tangible long-lived assets that have a legal obligation associated with their retirement that results from the acquisition, construction or development or normal use of the assets. We are required and plan to adopt the provisions of Statement No. 143 effective January 1, 2003. It is not anticipated that the financial impact of this statement will have a material effect on our consolidated financial statements.</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October 2001, the FASB issued Statement of Financial Accounting Standards No. 144, "Accounting for the Impairment or Disposal of Long-Lived Assets," or Statement No. 144, which addresses financial accounting and reporting for the impairment or disposal of long-lived assets, including discontinued operations. While Statement No. 144 supersedes Statement of Financial Accounting Standards No. 121, "Accounting for the Impairment of Long-Lived Assets and for Long-Lived Assets to Be Disposed Of," it retains many of the fundamental provisions of that Statement. Statement No. 144 also supersedes the accounting and reporting provisions of Accounting Principles Board Opinion No. 30, "Reporting the Results of Operations—Reporting the Effects of Disposal of a Segment of a Business, and Extraordinary, Unusual and Infrequently Occurring Events and Transactions," or Opinion No. 30, for the disposal of a segment of a business. Statement No. 144 is effective for fiscal years beginning after December 15, 2001. It is not anticipated that the financial impact of this statement will have a material effect on our consolidated financial statements.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exposed to a variety of risks, including changes in interest rates affecting the return on our investments and the cost of our debt.</w:t>
      </w:r>
    </w:p>
    <w:p>
      <w:pPr>
        <w:spacing w:after="0" w:line="225"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At December 31, 2001, we maintained a portion of our cash and cash equivalents in financial instruments with original maturities of three months or less. We also maintained an investment portfolio containing financial instruments in which the majority have original maturities of greater than three months but less than 24 months. These financial instruments, principally comprised of corporate obligations and to a lesser extent foreign and U.S. government obligations, are subject to interest rate risk and will decline in value if interest rates increase. A hypothetical ten percent change in interest rates during the year ended December 31, 2001, would have resulted in approximately a $3.6 million change in pretax income. We have not used derivative financial instruments in our investment portfolio.</w:t>
      </w:r>
    </w:p>
    <w:p>
      <w:pPr>
        <w:spacing w:after="0" w:line="19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long-term debt totaled $136.0 million at December 31, 2001 and was comprised solely of the convertible promissory notes which bears interest at a rate of 5.5%. Due to the fixed rate nature of the convertible promissory notes, an immediate ten percent change in interest rates would not have a material effect on our financial condition or results of operations.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Underlying market risk exists related to an increase in our stock price or an increase in interest rates may make conversion of the convertible promissory notes to common stock beneficial to the convertible promissory notes holder. Conversion of the convertible promissory notes would have a dilutive effect on our earnings per share and book value per common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IDEC Pharmaceuticals Corporation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4"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66675</wp:posOffset>
            </wp:positionV>
            <wp:extent cx="246507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pacing w:after="0" w:line="211" w:lineRule="exact"/>
        <w:rPr>
          <w:sz w:val="20"/>
          <w:szCs w:val="20"/>
          <w:color w:val="auto"/>
        </w:rPr>
      </w:pPr>
    </w:p>
    <w:p>
      <w:pPr>
        <w:ind w:left="6720"/>
        <w:spacing w:after="0"/>
        <w:tabs>
          <w:tab w:leader="none" w:pos="8060" w:val="left"/>
          <w:tab w:leader="none" w:pos="94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r>
        <w:rPr>
          <w:sz w:val="20"/>
          <w:szCs w:val="20"/>
          <w:color w:val="auto"/>
        </w:rPr>
        <w:tab/>
      </w:r>
      <w:r>
        <w:rPr>
          <w:rFonts w:ascii="Arial" w:cs="Arial" w:eastAsia="Arial" w:hAnsi="Arial"/>
          <w:sz w:val="12"/>
          <w:szCs w:val="12"/>
          <w:b w:val="1"/>
          <w:bCs w:val="1"/>
          <w:color w:val="auto"/>
        </w:rPr>
        <w:t>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517640" cy="704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17640" cy="7048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66675</wp:posOffset>
            </wp:positionV>
            <wp:extent cx="246507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6507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9" w:name="page30"/>
    <w:bookmarkEnd w:id="29"/>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Revenues from unconsolidated joint business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251,428</w:t>
            </w:r>
          </w:p>
        </w:tc>
        <w:tc>
          <w:tcPr>
            <w:tcW w:w="200" w:type="dxa"/>
            <w:vAlign w:val="bottom"/>
          </w:tcPr>
          <w:p>
            <w:pPr>
              <w:spacing w:after="0"/>
              <w:rPr>
                <w:sz w:val="21"/>
                <w:szCs w:val="21"/>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132,782</w:t>
            </w:r>
          </w:p>
        </w:tc>
        <w:tc>
          <w:tcPr>
            <w:tcW w:w="2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93,197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Contract revenues</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License fees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11,350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6"/>
              </w:rPr>
              <w:t>Total revenues (including related party revenues of $251,449, $132,782 and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$93,336 in 2001, 2000 and 1999, respectively)</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272,677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Manufacturing costs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86,299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68,922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55,241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27,767</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141,540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98,823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37,771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20,541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00" w:type="dxa"/>
            <w:vAlign w:val="bottom"/>
            <w:gridSpan w:val="2"/>
          </w:tcPr>
          <w:p>
            <w:pPr>
              <w:spacing w:after="0"/>
              <w:rPr>
                <w:sz w:val="20"/>
                <w:szCs w:val="20"/>
                <w:color w:val="auto"/>
              </w:rPr>
            </w:pPr>
            <w:r>
              <w:rPr>
                <w:rFonts w:ascii="Arial" w:cs="Arial" w:eastAsia="Arial" w:hAnsi="Arial"/>
                <w:sz w:val="18"/>
                <w:szCs w:val="18"/>
                <w:color w:val="auto"/>
                <w:w w:val="98"/>
              </w:rPr>
              <w:t>Income before income tax provision and cumulative effect of accounting change</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161,604</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69,347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00" w:type="dxa"/>
            <w:vAlign w:val="bottom"/>
            <w:gridSpan w:val="2"/>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101,659</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57,408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Cumulative effect of accounting change, net of income tax benefit of $481 in 2000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30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3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101,659</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48,145</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Before cumulative effect of accounting change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Pr>
          <w:p>
            <w:pPr>
              <w:spacing w:after="0"/>
              <w:rPr>
                <w:sz w:val="21"/>
                <w:szCs w:val="21"/>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0.67</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8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Before cumulative effect of accounting change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21"/>
                <w:szCs w:val="21"/>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Cumulative effect of accounting change</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(0.06)</w:t>
            </w:r>
          </w:p>
        </w:tc>
        <w:tc>
          <w:tcPr>
            <w:tcW w:w="3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4"/>
                <w:szCs w:val="24"/>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calculation of earnings per share: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150,756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134,880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Pro forma amounts, assuming retroactive application of accounting change: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20"/>
                <w:szCs w:val="20"/>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0.36</w:t>
            </w:r>
          </w:p>
        </w:tc>
        <w:tc>
          <w:tcPr>
            <w:tcW w:w="2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used in calculation of earnings per share:</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150,756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134,880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181,481</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-6752590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-6752590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-6752590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-6752590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-6752590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-6752590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-6323965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-6323965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-6323965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-6323965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-6323965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-6323965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-5569585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-5569585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-5569585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-5569585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-5569585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-5569585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-5260340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-5260340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-5260340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-5260340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-5260340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-5260340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-4694555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-4694555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-4694555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-4694555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-4694555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-4694555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-4265930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-4265930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-4265930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-4265930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-4265930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-4265930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-3837305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-3837305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-3837305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-3837305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-3837305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-3837305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-2927985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-2927985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-2927985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-2927985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-2927985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-2927985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-2001520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-2001520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-2001520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-2001520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-2001520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-2001520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-1692910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-1692910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-1692910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-1692910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-1692910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-1692910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IDEC Pharmaceuticals Corporation and Subsidiary</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par value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5"/>
                <w:szCs w:val="15"/>
                <w:color w:val="auto"/>
              </w:rPr>
            </w:pPr>
          </w:p>
        </w:tc>
      </w:tr>
      <w:tr>
        <w:trPr>
          <w:trHeight w:val="105"/>
        </w:trPr>
        <w:tc>
          <w:tcPr>
            <w:tcW w:w="38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266"/>
        </w:trPr>
        <w:tc>
          <w:tcPr>
            <w:tcW w:w="38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58"/>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r>
      <w:tr>
        <w:trPr>
          <w:trHeight w:val="105"/>
        </w:trPr>
        <w:tc>
          <w:tcPr>
            <w:tcW w:w="38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r>
      <w:tr>
        <w:trPr>
          <w:trHeight w:val="105"/>
        </w:trPr>
        <w:tc>
          <w:tcPr>
            <w:tcW w:w="38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16"/>
        </w:trPr>
        <w:tc>
          <w:tcPr>
            <w:tcW w:w="38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ind w:right="210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Current assets:</w:t>
            </w:r>
          </w:p>
        </w:tc>
        <w:tc>
          <w:tcPr>
            <w:tcW w:w="3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3"/>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425,999</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401,052</w:t>
            </w:r>
          </w:p>
        </w:tc>
      </w:tr>
      <w:tr>
        <w:trPr>
          <w:trHeight w:val="242"/>
        </w:trPr>
        <w:tc>
          <w:tcPr>
            <w:tcW w:w="3820" w:type="dxa"/>
            <w:vAlign w:val="bottom"/>
          </w:tcPr>
          <w:p>
            <w:pPr>
              <w:ind w:left="200"/>
              <w:spacing w:after="0"/>
              <w:rPr>
                <w:sz w:val="20"/>
                <w:szCs w:val="20"/>
                <w:color w:val="auto"/>
              </w:rPr>
            </w:pPr>
            <w:r>
              <w:rPr>
                <w:rFonts w:ascii="Arial" w:cs="Arial" w:eastAsia="Arial" w:hAnsi="Arial"/>
                <w:sz w:val="18"/>
                <w:szCs w:val="18"/>
                <w:color w:val="auto"/>
              </w:rPr>
              <w:t>Securities available-for-sale</w:t>
            </w:r>
          </w:p>
        </w:tc>
        <w:tc>
          <w:tcPr>
            <w:tcW w:w="3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197,824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180,286</w:t>
            </w:r>
          </w:p>
        </w:tc>
      </w:tr>
      <w:tr>
        <w:trPr>
          <w:trHeight w:val="244"/>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revenue receivables, net</w:t>
            </w:r>
          </w:p>
        </w:tc>
        <w:tc>
          <w:tcPr>
            <w:tcW w:w="3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242"/>
        </w:trPr>
        <w:tc>
          <w:tcPr>
            <w:tcW w:w="382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3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67,651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41,753</w:t>
            </w:r>
          </w:p>
        </w:tc>
      </w:tr>
      <w:tr>
        <w:trPr>
          <w:trHeight w:val="244"/>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-1376045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-1376045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-1127125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-1127125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-1127125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-1127125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0280"/>
          </w:cols>
          <w:pgMar w:left="240" w:top="140" w:right="1379" w:bottom="0" w:gutter="0" w:footer="0" w:header="0"/>
        </w:sectPr>
      </w:pPr>
    </w:p>
    <w:bookmarkStart w:id="30" w:name="page31"/>
    <w:bookmarkEnd w:id="30"/>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4572000</wp:posOffset>
            </wp:positionH>
            <wp:positionV relativeFrom="page">
              <wp:posOffset>88900</wp:posOffset>
            </wp:positionV>
            <wp:extent cx="1744980"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4498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700,043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631,258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securities available-for-sale</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242,784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108,588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75,532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Restricted cash, investments and other assets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1,141,216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vMerge w:val="restart"/>
          </w:tcPr>
          <w:p>
            <w:pPr>
              <w:ind w:left="294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vMerge w:val="continu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Current portion of notes payable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27,616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16,071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35,289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23,045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rent</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9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Convertible preferred stock, $0.001 par value, 8,000 shares authorized; 48 shares and 153</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shares issued and outstanding at December 31, 2001 and 2000, respectively; $6,666 and</w:t>
            </w:r>
          </w:p>
        </w:tc>
        <w:tc>
          <w:tcPr>
            <w:tcW w:w="3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$14,416 liquidation value at December 31, 2001 and 2000, respectively</w:t>
            </w:r>
          </w:p>
        </w:tc>
        <w:tc>
          <w:tcPr>
            <w:tcW w:w="38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w w:val="91"/>
              </w:rPr>
              <w:t>Common stock, $0.0005 par value, 500,000 shares authorized; 152,775 shares and 146,866</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shares issued and outstanding at December 31, 2001 and 2000, respectively</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840,232</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9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8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115,086</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956,479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694,619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1,141,216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-4559300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-4559300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-4559300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-4559300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-3204210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-3204210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-3204210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-3204210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-2895600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-2895600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-2895600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-2895600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-631825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-631825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-631825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-631825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-323215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IDEC Pharmaceuticals Corporation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88"/>
              </w:rPr>
              <w:t>Convertible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40" w:type="dxa"/>
            <w:vAlign w:val="bottom"/>
            <w:gridSpan w:val="3"/>
          </w:tcPr>
          <w:p>
            <w:pPr>
              <w:jc w:val="center"/>
              <w:ind w:left="92"/>
              <w:spacing w:after="0"/>
              <w:rPr>
                <w:sz w:val="20"/>
                <w:szCs w:val="20"/>
                <w:color w:val="auto"/>
              </w:rPr>
            </w:pPr>
            <w:r>
              <w:rPr>
                <w:rFonts w:ascii="Arial" w:cs="Arial" w:eastAsia="Arial" w:hAnsi="Arial"/>
                <w:sz w:val="14"/>
                <w:szCs w:val="14"/>
                <w:b w:val="1"/>
                <w:bCs w:val="1"/>
                <w:color w:val="auto"/>
                <w:w w:val="88"/>
              </w:rPr>
              <w:t>Preferred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ind w:left="40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Retained</w:t>
            </w: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right"/>
              <w:ind w:right="300"/>
              <w:spacing w:after="0" w:line="118" w:lineRule="exact"/>
              <w:rPr>
                <w:sz w:val="20"/>
                <w:szCs w:val="20"/>
                <w:color w:val="auto"/>
              </w:rPr>
            </w:pPr>
            <w:r>
              <w:rPr>
                <w:rFonts w:ascii="Arial" w:cs="Arial" w:eastAsia="Arial" w:hAnsi="Arial"/>
                <w:sz w:val="12"/>
                <w:szCs w:val="12"/>
                <w:b w:val="1"/>
                <w:bCs w:val="1"/>
                <w:color w:val="auto"/>
              </w:rPr>
              <w:t>Additional</w:t>
            </w:r>
          </w:p>
        </w:tc>
        <w:tc>
          <w:tcPr>
            <w:tcW w:w="1700" w:type="dxa"/>
            <w:vAlign w:val="bottom"/>
            <w:gridSpan w:val="2"/>
          </w:tcPr>
          <w:p>
            <w:pPr>
              <w:jc w:val="center"/>
              <w:ind w:right="100"/>
              <w:spacing w:after="0" w:line="118" w:lineRule="exact"/>
              <w:rPr>
                <w:sz w:val="20"/>
                <w:szCs w:val="20"/>
                <w:color w:val="auto"/>
              </w:rPr>
            </w:pPr>
            <w:r>
              <w:rPr>
                <w:rFonts w:ascii="Arial" w:cs="Arial" w:eastAsia="Arial" w:hAnsi="Arial"/>
                <w:sz w:val="12"/>
                <w:szCs w:val="12"/>
                <w:b w:val="1"/>
                <w:bCs w:val="1"/>
                <w:color w:val="auto"/>
              </w:rPr>
              <w:t>Other</w:t>
            </w:r>
          </w:p>
        </w:tc>
        <w:tc>
          <w:tcPr>
            <w:tcW w:w="1560" w:type="dxa"/>
            <w:vAlign w:val="bottom"/>
            <w:gridSpan w:val="2"/>
          </w:tcPr>
          <w:p>
            <w:pPr>
              <w:jc w:val="center"/>
              <w:ind w:right="120"/>
              <w:spacing w:after="0" w:line="118" w:lineRule="exact"/>
              <w:rPr>
                <w:sz w:val="20"/>
                <w:szCs w:val="20"/>
                <w:color w:val="auto"/>
              </w:rPr>
            </w:pPr>
            <w:r>
              <w:rPr>
                <w:rFonts w:ascii="Arial" w:cs="Arial" w:eastAsia="Arial" w:hAnsi="Arial"/>
                <w:sz w:val="12"/>
                <w:szCs w:val="12"/>
                <w:b w:val="1"/>
                <w:bCs w:val="1"/>
                <w:color w:val="auto"/>
              </w:rPr>
              <w:t>Earnings</w:t>
            </w:r>
          </w:p>
        </w:tc>
        <w:tc>
          <w:tcPr>
            <w:tcW w:w="1300" w:type="dxa"/>
            <w:vAlign w:val="bottom"/>
            <w:gridSpan w:val="2"/>
          </w:tcPr>
          <w:p>
            <w:pPr>
              <w:jc w:val="center"/>
              <w:ind w:right="40"/>
              <w:spacing w:after="0" w:line="118"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00"/>
              <w:spacing w:after="0" w:line="159" w:lineRule="exact"/>
              <w:rPr>
                <w:sz w:val="20"/>
                <w:szCs w:val="20"/>
                <w:color w:val="auto"/>
              </w:rPr>
            </w:pPr>
            <w:r>
              <w:rPr>
                <w:rFonts w:ascii="Arial" w:cs="Arial" w:eastAsia="Arial" w:hAnsi="Arial"/>
                <w:sz w:val="14"/>
                <w:szCs w:val="14"/>
                <w:b w:val="1"/>
                <w:bCs w:val="1"/>
                <w:color w:val="auto"/>
              </w:rPr>
              <w:t>Paid-in</w:t>
            </w:r>
          </w:p>
        </w:tc>
        <w:tc>
          <w:tcPr>
            <w:tcW w:w="17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3"/>
              </w:rPr>
              <w:t>Comprehensive</w:t>
            </w:r>
          </w:p>
        </w:tc>
        <w:tc>
          <w:tcPr>
            <w:tcW w:w="156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w w:val="88"/>
              </w:rPr>
              <w:t>(Accumulated</w:t>
            </w:r>
          </w:p>
        </w:tc>
        <w:tc>
          <w:tcPr>
            <w:tcW w:w="130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1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1998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120,726</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184,242</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(77,875)</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200" w:type="dxa"/>
            <w:vAlign w:val="bottom"/>
            <w:gridSpan w:val="2"/>
            <w:vMerge w:val="continue"/>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43,157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rPr>
              <w:t>Unrealized losses on securities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tcPr>
          <w:p>
            <w:pPr>
              <w:ind w:left="220"/>
              <w:spacing w:after="0"/>
              <w:rPr>
                <w:sz w:val="20"/>
                <w:szCs w:val="20"/>
                <w:color w:val="auto"/>
              </w:rPr>
            </w:pPr>
            <w:r>
              <w:rPr>
                <w:rFonts w:ascii="Arial" w:cs="Arial" w:eastAsia="Arial" w:hAnsi="Arial"/>
                <w:sz w:val="14"/>
                <w:szCs w:val="14"/>
                <w:color w:val="auto"/>
              </w:rPr>
              <w:t>available-for-sale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(544)</w:t>
            </w: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under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stock option and stock purchase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spacing w:after="0" w:line="159" w:lineRule="exact"/>
              <w:rPr>
                <w:sz w:val="20"/>
                <w:szCs w:val="20"/>
                <w:color w:val="auto"/>
              </w:rPr>
            </w:pPr>
            <w:r>
              <w:rPr>
                <w:rFonts w:ascii="Arial" w:cs="Arial" w:eastAsia="Arial" w:hAnsi="Arial"/>
                <w:sz w:val="14"/>
                <w:szCs w:val="14"/>
                <w:color w:val="auto"/>
              </w:rPr>
              <w:t>plans, net</w:t>
            </w: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30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6,690</w:t>
            </w:r>
          </w:p>
        </w:tc>
        <w:tc>
          <w:tcPr>
            <w:tcW w:w="112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4</w:t>
            </w:r>
          </w:p>
        </w:tc>
        <w:tc>
          <w:tcPr>
            <w:tcW w:w="1020" w:type="dxa"/>
            <w:vAlign w:val="bottom"/>
          </w:tcPr>
          <w:p>
            <w:pPr>
              <w:jc w:val="right"/>
              <w:spacing w:after="0" w:line="159" w:lineRule="exact"/>
              <w:rPr>
                <w:sz w:val="20"/>
                <w:szCs w:val="20"/>
                <w:color w:val="auto"/>
              </w:rPr>
            </w:pPr>
            <w:r>
              <w:rPr>
                <w:rFonts w:ascii="Arial" w:cs="Arial" w:eastAsia="Arial" w:hAnsi="Arial"/>
                <w:sz w:val="14"/>
                <w:szCs w:val="14"/>
                <w:color w:val="auto"/>
              </w:rPr>
              <w:t>14,305</w:t>
            </w:r>
          </w:p>
        </w:tc>
        <w:tc>
          <w:tcPr>
            <w:tcW w:w="100" w:type="dxa"/>
            <w:vAlign w:val="bottom"/>
          </w:tcPr>
          <w:p>
            <w:pPr>
              <w:spacing w:after="0"/>
              <w:rPr>
                <w:sz w:val="13"/>
                <w:szCs w:val="13"/>
                <w:color w:val="auto"/>
              </w:rPr>
            </w:pPr>
          </w:p>
        </w:tc>
        <w:tc>
          <w:tcPr>
            <w:tcW w:w="1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9" w:lineRule="exact"/>
              <w:rPr>
                <w:sz w:val="20"/>
                <w:szCs w:val="20"/>
                <w:color w:val="auto"/>
              </w:rPr>
            </w:pPr>
            <w:r>
              <w:rPr>
                <w:rFonts w:ascii="Arial" w:cs="Arial" w:eastAsia="Arial" w:hAnsi="Arial"/>
                <w:sz w:val="14"/>
                <w:szCs w:val="14"/>
                <w:color w:val="auto"/>
              </w:rPr>
              <w:t>14,309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from</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conversion of series A-1 convertible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preferred stock</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spacing w:after="0" w:line="138" w:lineRule="exact"/>
              <w:rPr>
                <w:sz w:val="20"/>
                <w:szCs w:val="20"/>
                <w:color w:val="auto"/>
              </w:rPr>
            </w:pPr>
            <w:r>
              <w:rPr>
                <w:rFonts w:ascii="Arial" w:cs="Arial" w:eastAsia="Arial" w:hAnsi="Arial"/>
                <w:sz w:val="14"/>
                <w:szCs w:val="14"/>
                <w:color w:val="auto"/>
              </w:rPr>
              <w:t>Tax impact from stock options and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200" w:type="dxa"/>
            <w:vAlign w:val="bottom"/>
            <w:gridSpan w:val="2"/>
          </w:tcPr>
          <w:p>
            <w:pPr>
              <w:spacing w:after="0"/>
              <w:rPr>
                <w:sz w:val="20"/>
                <w:szCs w:val="20"/>
                <w:color w:val="auto"/>
              </w:rPr>
            </w:pPr>
            <w:r>
              <w:rPr>
                <w:rFonts w:ascii="Arial" w:cs="Arial" w:eastAsia="Arial" w:hAnsi="Arial"/>
                <w:sz w:val="14"/>
                <w:szCs w:val="14"/>
                <w:color w:val="auto"/>
              </w:rPr>
              <w:t>stock purchase plans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(3,372)</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1999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128,016</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195,175</w:t>
            </w: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(543)</w:t>
            </w:r>
          </w:p>
        </w:tc>
        <w:tc>
          <w:tcPr>
            <w:tcW w:w="1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(34,718)</w:t>
            </w: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Comprehensive income: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200" w:type="dxa"/>
            <w:vAlign w:val="bottom"/>
            <w:gridSpan w:val="2"/>
            <w:vMerge w:val="continue"/>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ind w:left="220"/>
              <w:spacing w:after="0" w:line="138" w:lineRule="exact"/>
              <w:rPr>
                <w:sz w:val="20"/>
                <w:szCs w:val="20"/>
                <w:color w:val="auto"/>
              </w:rPr>
            </w:pPr>
            <w:r>
              <w:rPr>
                <w:rFonts w:ascii="Arial" w:cs="Arial" w:eastAsia="Arial" w:hAnsi="Arial"/>
                <w:sz w:val="14"/>
                <w:szCs w:val="14"/>
                <w:color w:val="auto"/>
              </w:rPr>
              <w:t>Unrealized gains on securities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80" w:type="dxa"/>
            <w:vAlign w:val="bottom"/>
          </w:tcPr>
          <w:p>
            <w:pPr>
              <w:ind w:left="220"/>
              <w:spacing w:after="0"/>
              <w:rPr>
                <w:sz w:val="20"/>
                <w:szCs w:val="20"/>
                <w:color w:val="auto"/>
              </w:rPr>
            </w:pPr>
            <w:r>
              <w:rPr>
                <w:rFonts w:ascii="Arial" w:cs="Arial" w:eastAsia="Arial" w:hAnsi="Arial"/>
                <w:sz w:val="14"/>
                <w:szCs w:val="14"/>
                <w:color w:val="auto"/>
              </w:rPr>
              <w:t>available-for-sale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4"/>
                <w:szCs w:val="1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-3144520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-3144520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-3144520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-3144520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-2853055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-2853055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-2853055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-2853055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-2853055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-2853055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-2853055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-2853055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-2853055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-2853055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-2853055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-2853055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-2853055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-2853055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-2853055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-2853055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-2604135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-2604135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-2012315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-2012315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-1764030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-1764030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-854710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-854710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-854710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-854710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-854710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-854710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-854710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-854710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-854710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-854710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-854710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-854710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-854710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-854710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-854710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-854710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-605790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-605790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-14605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0" w:orient="portrait"/>
          <w:cols w:equalWidth="0" w:num="1">
            <w:col w:w="11420"/>
          </w:cols>
          <w:pgMar w:left="240" w:top="374" w:right="239" w:bottom="0" w:gutter="0" w:footer="0" w:header="0"/>
        </w:sectPr>
      </w:pPr>
    </w:p>
    <w:bookmarkStart w:id="31" w:name="page32"/>
    <w:bookmarkEnd w:id="31"/>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49,205</w:t>
            </w:r>
          </w:p>
        </w:tc>
        <w:tc>
          <w:tcPr>
            <w:tcW w:w="0" w:type="dxa"/>
            <w:vAlign w:val="bottom"/>
          </w:tcPr>
          <w:p>
            <w:pPr>
              <w:spacing w:after="0"/>
              <w:rPr>
                <w:sz w:val="1"/>
                <w:szCs w:val="1"/>
                <w:color w:val="auto"/>
              </w:rPr>
            </w:pPr>
          </w:p>
        </w:tc>
      </w:tr>
      <w:tr>
        <w:trPr>
          <w:trHeight w:val="118"/>
        </w:trPr>
        <w:tc>
          <w:tcPr>
            <w:tcW w:w="2200" w:type="dxa"/>
            <w:vAlign w:val="bottom"/>
            <w:gridSpan w:val="2"/>
            <w:vMerge w:val="restart"/>
          </w:tcPr>
          <w:p>
            <w:pPr>
              <w:spacing w:after="0"/>
              <w:rPr>
                <w:sz w:val="20"/>
                <w:szCs w:val="20"/>
                <w:color w:val="auto"/>
              </w:rPr>
            </w:pPr>
            <w:r>
              <w:rPr>
                <w:rFonts w:ascii="Arial" w:cs="Arial" w:eastAsia="Arial" w:hAnsi="Arial"/>
                <w:sz w:val="14"/>
                <w:szCs w:val="14"/>
                <w:color w:val="auto"/>
              </w:rPr>
              <w:t>Issuance of common stock under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200" w:type="dxa"/>
            <w:vAlign w:val="bottom"/>
            <w:gridSpan w:val="2"/>
            <w:vMerge w:val="continue"/>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stock option and stock purchase</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spacing w:after="0" w:line="159" w:lineRule="exact"/>
              <w:rPr>
                <w:sz w:val="20"/>
                <w:szCs w:val="20"/>
                <w:color w:val="auto"/>
              </w:rPr>
            </w:pPr>
            <w:r>
              <w:rPr>
                <w:rFonts w:ascii="Arial" w:cs="Arial" w:eastAsia="Arial" w:hAnsi="Arial"/>
                <w:sz w:val="14"/>
                <w:szCs w:val="14"/>
                <w:color w:val="auto"/>
              </w:rPr>
              <w:t>plans, net</w:t>
            </w: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62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7,180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24,599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24,603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from</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offering</w:t>
            </w: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7,800</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449,534</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449,539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spacing w:after="0" w:line="138" w:lineRule="exact"/>
              <w:rPr>
                <w:sz w:val="20"/>
                <w:szCs w:val="20"/>
                <w:color w:val="auto"/>
              </w:rPr>
            </w:pPr>
            <w:r>
              <w:rPr>
                <w:rFonts w:ascii="Arial" w:cs="Arial" w:eastAsia="Arial" w:hAnsi="Arial"/>
                <w:sz w:val="14"/>
                <w:szCs w:val="14"/>
                <w:color w:val="auto"/>
              </w:rPr>
              <w:t>Issuance of common stock from</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conversion of series A-1and A-2</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spacing w:after="0" w:line="159" w:lineRule="exact"/>
              <w:rPr>
                <w:sz w:val="20"/>
                <w:szCs w:val="20"/>
                <w:color w:val="auto"/>
              </w:rPr>
            </w:pPr>
            <w:r>
              <w:rPr>
                <w:rFonts w:ascii="Arial" w:cs="Arial" w:eastAsia="Arial" w:hAnsi="Arial"/>
                <w:sz w:val="14"/>
                <w:szCs w:val="14"/>
                <w:color w:val="auto"/>
              </w:rPr>
              <w:t>convertible preferred stock</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(65)</w:t>
            </w:r>
          </w:p>
        </w:tc>
        <w:tc>
          <w:tcPr>
            <w:tcW w:w="420" w:type="dxa"/>
            <w:vAlign w:val="bottom"/>
          </w:tcPr>
          <w:p>
            <w:pPr>
              <w:spacing w:after="0"/>
              <w:rPr>
                <w:sz w:val="13"/>
                <w:szCs w:val="13"/>
                <w:color w:val="auto"/>
              </w:rPr>
            </w:pPr>
          </w:p>
        </w:tc>
        <w:tc>
          <w:tcPr>
            <w:tcW w:w="62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3,870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Tax impact from stock options and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purchase plans</w:t>
            </w: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11,294</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11,294</w:t>
            </w:r>
          </w:p>
        </w:tc>
        <w:tc>
          <w:tcPr>
            <w:tcW w:w="0" w:type="dxa"/>
            <w:vAlign w:val="bottom"/>
          </w:tcPr>
          <w:p>
            <w:pPr>
              <w:spacing w:after="0"/>
              <w:rPr>
                <w:sz w:val="1"/>
                <w:szCs w:val="1"/>
                <w:color w:val="auto"/>
              </w:rPr>
            </w:pPr>
          </w:p>
        </w:tc>
      </w:tr>
      <w:tr>
        <w:trPr>
          <w:trHeight w:val="118"/>
        </w:trPr>
        <w:tc>
          <w:tcPr>
            <w:tcW w:w="2200" w:type="dxa"/>
            <w:vAlign w:val="bottom"/>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00" w:type="dxa"/>
            <w:vAlign w:val="bottom"/>
            <w:gridSpan w:val="2"/>
          </w:tcPr>
          <w:p>
            <w:pPr>
              <w:spacing w:after="0"/>
              <w:rPr>
                <w:sz w:val="20"/>
                <w:szCs w:val="20"/>
                <w:color w:val="auto"/>
              </w:rPr>
            </w:pPr>
            <w:r>
              <w:rPr>
                <w:rFonts w:ascii="Arial" w:cs="Arial" w:eastAsia="Arial" w:hAnsi="Arial"/>
                <w:sz w:val="14"/>
                <w:szCs w:val="14"/>
                <w:color w:val="auto"/>
              </w:rPr>
              <w:t>Balance at December 31, 2000</w:t>
            </w:r>
          </w:p>
        </w:tc>
        <w:tc>
          <w:tcPr>
            <w:tcW w:w="58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146,866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73</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680,602</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13,427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694,619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101,659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101,659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Unrealized gains on securities</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available-for-sale</w:t>
            </w: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18"/>
        </w:trPr>
        <w:tc>
          <w:tcPr>
            <w:tcW w:w="220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0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102,227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under</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and stock purchase</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plans, net</w:t>
            </w: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4,315</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28,093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28,095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tcPr>
          <w:p>
            <w:pPr>
              <w:spacing w:after="0" w:line="138" w:lineRule="exact"/>
              <w:rPr>
                <w:sz w:val="20"/>
                <w:szCs w:val="20"/>
                <w:color w:val="auto"/>
              </w:rPr>
            </w:pPr>
            <w:r>
              <w:rPr>
                <w:rFonts w:ascii="Arial" w:cs="Arial" w:eastAsia="Arial" w:hAnsi="Arial"/>
                <w:sz w:val="14"/>
                <w:szCs w:val="14"/>
                <w:color w:val="auto"/>
              </w:rPr>
              <w:t>Issuance of common stock from</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conversion of series A-1 and A-6</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spacing w:after="0" w:line="159" w:lineRule="exact"/>
              <w:rPr>
                <w:sz w:val="20"/>
                <w:szCs w:val="20"/>
                <w:color w:val="auto"/>
              </w:rPr>
            </w:pPr>
            <w:r>
              <w:rPr>
                <w:rFonts w:ascii="Arial" w:cs="Arial" w:eastAsia="Arial" w:hAnsi="Arial"/>
                <w:sz w:val="14"/>
                <w:szCs w:val="14"/>
                <w:color w:val="auto"/>
              </w:rPr>
              <w:t>convertible preferred stock</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(105)</w:t>
            </w:r>
          </w:p>
        </w:tc>
        <w:tc>
          <w:tcPr>
            <w:tcW w:w="420" w:type="dxa"/>
            <w:vAlign w:val="bottom"/>
          </w:tcPr>
          <w:p>
            <w:pPr>
              <w:spacing w:after="0"/>
              <w:rPr>
                <w:sz w:val="13"/>
                <w:szCs w:val="13"/>
                <w:color w:val="auto"/>
              </w:rPr>
            </w:pPr>
          </w:p>
        </w:tc>
        <w:tc>
          <w:tcPr>
            <w:tcW w:w="62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1,594</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320" w:type="dxa"/>
            <w:vAlign w:val="bottom"/>
          </w:tcPr>
          <w:p>
            <w:pPr>
              <w:spacing w:after="0"/>
              <w:rPr>
                <w:sz w:val="13"/>
                <w:szCs w:val="13"/>
                <w:color w:val="auto"/>
              </w:rPr>
            </w:pP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Tax impact from stock options and</w:t>
            </w: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purchase plans</w:t>
            </w:r>
          </w:p>
        </w:tc>
        <w:tc>
          <w:tcPr>
            <w:tcW w:w="7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131,537</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131,537</w:t>
            </w:r>
          </w:p>
        </w:tc>
        <w:tc>
          <w:tcPr>
            <w:tcW w:w="0" w:type="dxa"/>
            <w:vAlign w:val="bottom"/>
          </w:tcPr>
          <w:p>
            <w:pPr>
              <w:spacing w:after="0"/>
              <w:rPr>
                <w:sz w:val="1"/>
                <w:szCs w:val="1"/>
                <w:color w:val="auto"/>
              </w:rPr>
            </w:pPr>
          </w:p>
        </w:tc>
      </w:tr>
      <w:tr>
        <w:trPr>
          <w:trHeight w:val="118"/>
        </w:trPr>
        <w:tc>
          <w:tcPr>
            <w:tcW w:w="2200" w:type="dxa"/>
            <w:vAlign w:val="bottom"/>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200" w:type="dxa"/>
            <w:vAlign w:val="bottom"/>
            <w:gridSpan w:val="2"/>
          </w:tcPr>
          <w:p>
            <w:pPr>
              <w:spacing w:after="0"/>
              <w:rPr>
                <w:sz w:val="20"/>
                <w:szCs w:val="20"/>
                <w:color w:val="auto"/>
              </w:rPr>
            </w:pPr>
            <w:r>
              <w:rPr>
                <w:rFonts w:ascii="Arial" w:cs="Arial" w:eastAsia="Arial" w:hAnsi="Arial"/>
                <w:sz w:val="14"/>
                <w:szCs w:val="14"/>
                <w:color w:val="auto"/>
              </w:rPr>
              <w:t>Balance at December 31, 2001</w:t>
            </w:r>
          </w:p>
        </w:tc>
        <w:tc>
          <w:tcPr>
            <w:tcW w:w="58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152,775</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840,232</w:t>
            </w:r>
          </w:p>
        </w:tc>
        <w:tc>
          <w:tcPr>
            <w:tcW w:w="60" w:type="dxa"/>
            <w:vAlign w:val="bottom"/>
          </w:tcPr>
          <w:p>
            <w:pPr>
              <w:spacing w:after="0"/>
              <w:rPr>
                <w:sz w:val="23"/>
                <w:szCs w:val="23"/>
                <w:color w:val="auto"/>
              </w:rPr>
            </w:pPr>
          </w:p>
        </w:tc>
        <w:tc>
          <w:tcPr>
            <w:tcW w:w="72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1,085</w:t>
            </w:r>
          </w:p>
        </w:tc>
        <w:tc>
          <w:tcPr>
            <w:tcW w:w="6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115,086</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956,479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-3359150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-3359150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-2261235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-2261235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-2261235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-2261235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-2261235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-2261235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-2261235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-2261235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-2261235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-2261235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-2261235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-2261235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-2261235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-2261235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-2261235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-2261235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-2012315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-2012315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-1420495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-1420495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-1172210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-1172210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-262890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-262890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-262890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-262890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-262890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-262890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-262890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-262890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-262890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-262890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-262890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-262890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-262890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-262890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-262890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-262890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-14605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-14605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-14605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-14605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-14605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-14605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-14605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-14605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-14605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-14605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-14605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IDEC Pharmaceuticals Corporation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Income before cumulative effect of accounting change</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101,659</w:t>
            </w:r>
          </w:p>
        </w:tc>
        <w:tc>
          <w:tcPr>
            <w:tcW w:w="6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57,408</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43,157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Adjustments to reconcile net income to net cash provided by operating</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Cumulative effect of accounting change for revenue recognition</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(9,263)</w:t>
            </w:r>
          </w:p>
        </w:tc>
        <w:tc>
          <w:tcPr>
            <w:tcW w:w="3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4,739</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Deferred rent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6,914</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Deferred income taxes and tax impact from stock options</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11,294</w:t>
            </w:r>
          </w:p>
        </w:tc>
        <w:tc>
          <w:tcPr>
            <w:tcW w:w="3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sales of securities available-for-sale</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Increase in restricted cash</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assets and liabilities:</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600"/>
              <w:spacing w:after="0"/>
              <w:rPr>
                <w:sz w:val="20"/>
                <w:szCs w:val="20"/>
                <w:color w:val="auto"/>
              </w:rPr>
            </w:pPr>
            <w:r>
              <w:rPr>
                <w:rFonts w:ascii="Arial" w:cs="Arial" w:eastAsia="Arial" w:hAnsi="Arial"/>
                <w:sz w:val="18"/>
                <w:szCs w:val="18"/>
                <w:color w:val="auto"/>
              </w:rPr>
              <w:t>Contract revenue receivables, net</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3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Due from related parties</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(25,898)</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(18,099)</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468</w:t>
            </w: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3,237</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4,494</w:t>
            </w: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5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153,814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61,982</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Purchase of securities available-for-sale</w:t>
            </w: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(670,892)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(346,633)</w:t>
            </w:r>
          </w:p>
        </w:tc>
        <w:tc>
          <w:tcPr>
            <w:tcW w:w="30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(235,914)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securities available-for-sale</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582,052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183,101</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97,061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(67,380)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(31,431)</w:t>
            </w: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(156,220)</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(194,963)</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(143,144)</w:t>
            </w:r>
          </w:p>
        </w:tc>
        <w:tc>
          <w:tcPr>
            <w:tcW w:w="0" w:type="dxa"/>
            <w:vAlign w:val="bottom"/>
          </w:tcPr>
          <w:p>
            <w:pPr>
              <w:spacing w:after="0"/>
              <w:rPr>
                <w:sz w:val="1"/>
                <w:szCs w:val="1"/>
                <w:color w:val="auto"/>
              </w:rPr>
            </w:pPr>
          </w:p>
        </w:tc>
      </w:tr>
      <w:tr>
        <w:trPr>
          <w:trHeight w:val="118"/>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5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notes payable, net</w:t>
            </w:r>
          </w:p>
        </w:tc>
        <w:tc>
          <w:tcPr>
            <w:tcW w:w="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-5183505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-5183505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-4934585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-4934585</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-4934585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-4934585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-4934585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-4934585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-1744345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-1744345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-1744345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-1744345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-1744345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-1744345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-1435735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-1435735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-1435735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-1435735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-1435735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-1435735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-681355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-681355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-681355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-681355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-681355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-681355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-372110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-372110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-372110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-372110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-372110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-372110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20"/>
          </w:cols>
          <w:pgMar w:left="240" w:top="181" w:right="239" w:bottom="0" w:gutter="0" w:footer="0" w:header="0"/>
        </w:sectPr>
      </w:pPr>
    </w:p>
    <w:bookmarkStart w:id="32" w:name="page33"/>
    <w:bookmarkEnd w:id="32"/>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Payments on notes payable</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(1,513)</w:t>
            </w:r>
          </w:p>
        </w:tc>
        <w:tc>
          <w:tcPr>
            <w:tcW w:w="4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w:t>
            </w: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474,142</w:t>
            </w:r>
          </w:p>
        </w:tc>
        <w:tc>
          <w:tcPr>
            <w:tcW w:w="4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8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27,353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472,629</w:t>
            </w:r>
          </w:p>
        </w:tc>
        <w:tc>
          <w:tcPr>
            <w:tcW w:w="40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125,115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339,648</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401,052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61,404</w:t>
            </w:r>
          </w:p>
        </w:tc>
        <w:tc>
          <w:tcPr>
            <w:tcW w:w="4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26,929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425,999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401,052</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61,404</w:t>
            </w:r>
          </w:p>
        </w:tc>
        <w:tc>
          <w:tcPr>
            <w:tcW w:w="0" w:type="dxa"/>
            <w:vAlign w:val="bottom"/>
          </w:tcPr>
          <w:p>
            <w:pPr>
              <w:spacing w:after="0"/>
              <w:rPr>
                <w:sz w:val="1"/>
                <w:szCs w:val="1"/>
                <w:color w:val="auto"/>
              </w:rPr>
            </w:pPr>
          </w:p>
        </w:tc>
      </w:tr>
      <w:tr>
        <w:trPr>
          <w:trHeight w:val="118"/>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0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year for:</w:t>
            </w:r>
          </w:p>
        </w:tc>
        <w:tc>
          <w:tcPr>
            <w:tcW w:w="9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98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1"/>
                <w:szCs w:val="21"/>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Supplemental disclosure of non-cash investing activity—</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securities available-for-sale</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-2001520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-2001520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-2001520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-2001520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-2001520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-2001520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-1692910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-1692910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-1692910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-1692910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-1692910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-1692910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-1264285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-1264285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-1264285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-1264285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-1264285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-1264285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-972820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-972820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-972820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-972820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-972820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-972820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IDEC Pharmaceuticals Corporation and Subsidiary</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We are primarily engaged in the research, development, manufacture and commercialization of targeted therapies for the treatment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autoimmune and inflammatory diseases.</w:t>
      </w:r>
    </w:p>
    <w:p>
      <w:pPr>
        <w:spacing w:after="0" w:line="186"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consolidated financial statements include our financial statements and those of our wholly owned subsidiary IDEC</w:t>
      </w:r>
      <w:r>
        <w:rPr>
          <w:rFonts w:ascii="Arial" w:cs="Arial" w:eastAsia="Arial" w:hAnsi="Arial"/>
          <w:sz w:val="18"/>
          <w:szCs w:val="18"/>
          <w:i w:val="1"/>
          <w:iCs w:val="1"/>
          <w:color w:val="auto"/>
        </w:rPr>
        <w:t xml:space="preserve"> </w:t>
      </w:r>
      <w:r>
        <w:rPr>
          <w:rFonts w:ascii="Arial" w:cs="Arial" w:eastAsia="Arial" w:hAnsi="Arial"/>
          <w:sz w:val="18"/>
          <w:szCs w:val="18"/>
          <w:color w:val="auto"/>
        </w:rPr>
        <w:t>Seiyaku. All significant intercompany balances and transactions have been eliminated in consolidation.</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the purposes of financial statement presentation, we consider all highly liquid investments in debt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to be cash equivalents.</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Securities Available-for-Sale and Investment: </w:t>
      </w:r>
      <w:r>
        <w:rPr>
          <w:rFonts w:ascii="Arial" w:cs="Arial" w:eastAsia="Arial" w:hAnsi="Arial"/>
          <w:sz w:val="16"/>
          <w:szCs w:val="16"/>
          <w:color w:val="auto"/>
        </w:rPr>
        <w:t>Securities available-for-sale are carried at fair value, with unrealized gains and losses, reported as</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net of tax. The cost of securities sold is based on the specific identification method. We have established guidelines that maintain safety and liquidity. These guidelines are periodically reviewed and modified to take advantage of trends in yields and interest rates. As part of our strategic alliance efforts, we also have an investment in preferred equity securities of a private biotechnology company. This equity investment is carried at cost and equaled $3,000,000 at December 31, 2001. Our policy to evaluate the value of this investment for impairment is discussed in Note 1, "Long-Lived Assets."</w:t>
      </w:r>
    </w:p>
    <w:p>
      <w:pPr>
        <w:spacing w:after="0" w:line="170"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market. Cost is determined in a manner which approximates the first-in, first-out, or FIFO</w:t>
      </w:r>
      <w:r>
        <w:rPr>
          <w:rFonts w:ascii="Arial" w:cs="Arial" w:eastAsia="Arial" w:hAnsi="Arial"/>
          <w:sz w:val="18"/>
          <w:szCs w:val="18"/>
          <w:i w:val="1"/>
          <w:iCs w:val="1"/>
          <w:color w:val="auto"/>
        </w:rPr>
        <w:t xml:space="preserve"> </w:t>
      </w:r>
      <w:r>
        <w:rPr>
          <w:rFonts w:ascii="Arial" w:cs="Arial" w:eastAsia="Arial" w:hAnsi="Arial"/>
          <w:sz w:val="18"/>
          <w:szCs w:val="18"/>
          <w:color w:val="auto"/>
        </w:rPr>
        <w:t>method. Under our collaborative agreement with Genentech Inc., the sales price of bulk Rituxan sold to Genentech (see Note 8) was capped at a price that was less than our cost to manufacture bulk Rituxan and, as such, finished goods inventory was written down to its net realizable value. Such write-downs were recorded in manufacturing costs. All worldwide manufacturing responsibilities for bulk Rituxan were transferred to Genentech in September 1999. The last sale of bulk Rituxan to Genentech occurred during the first quarter of 2000.</w:t>
      </w:r>
    </w:p>
    <w:p>
      <w:pPr>
        <w:spacing w:after="0" w:line="1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are stated at cost. Additions and improvements are capitalized and maintenance and repairs are expensed</w:t>
      </w:r>
      <w:r>
        <w:rPr>
          <w:rFonts w:ascii="Arial" w:cs="Arial" w:eastAsia="Arial" w:hAnsi="Arial"/>
          <w:sz w:val="18"/>
          <w:szCs w:val="18"/>
          <w:i w:val="1"/>
          <w:iCs w:val="1"/>
          <w:color w:val="auto"/>
        </w:rPr>
        <w:t xml:space="preserve"> </w:t>
      </w:r>
      <w:r>
        <w:rPr>
          <w:rFonts w:ascii="Arial" w:cs="Arial" w:eastAsia="Arial" w:hAnsi="Arial"/>
          <w:sz w:val="18"/>
          <w:szCs w:val="18"/>
          <w:color w:val="auto"/>
        </w:rPr>
        <w:t>when incurred. Depreciation of equipment is calculated using the straight-line method over the estimated useful lives of the assets, generally ranging from three to seven years. Amortization of leasehold improvements is calculated using the straight-line method over the shorter of the lease term or the estimated useful lives of the assets.</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The carrying amount of cash and cash equivalents, securities available-for-sale, contract revenue receivables,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payable and accrued expenses are considered to be representative of their respective fair values due to the short-term nature of those investments. The fair values of our notes payable approximate carrying values based upon the current rates and terms offered to us for similar notes.</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In accordance with Statement of Financial Accounting Standards No. 121, "Accounting for the Impairment of Long-Lived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for Long-Lived Assets to be Disposed Of," or Statement No. 121, we evaluate impairment losses to be recorded on long-lived assets used in operations when indicators of impairment are present and the undiscounted cash flows estimated to be generated by those assets are less than the assets' carrying amount. In forming our analysis we consider the following three grouping levels of cash flows: i) assets used in research and development; ii) assets used in manufacturing; and iii) our investment in a private biotechnology company. We also account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long-lived assets that are held for disposal at the lower of cost or fair value. Fair value is determined through analysis of undiscounted cash flows or obtained from independent third parties.</w:t>
      </w:r>
    </w:p>
    <w:p>
      <w:pPr>
        <w:spacing w:after="0" w:line="186"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i w:val="1"/>
          <w:iCs w:val="1"/>
          <w:color w:val="auto"/>
        </w:rPr>
        <w:t xml:space="preserve">Revenues from Unconsolidated Joint Business: </w:t>
      </w:r>
      <w:r>
        <w:rPr>
          <w:rFonts w:ascii="Arial" w:cs="Arial" w:eastAsia="Arial" w:hAnsi="Arial"/>
          <w:sz w:val="15"/>
          <w:szCs w:val="15"/>
          <w:color w:val="auto"/>
        </w:rPr>
        <w:t>Revenues from unconsolidated joint business consist of our share of the pretax copromotion profits</w:t>
      </w:r>
      <w:r>
        <w:rPr>
          <w:rFonts w:ascii="Arial" w:cs="Arial" w:eastAsia="Arial" w:hAnsi="Arial"/>
          <w:sz w:val="15"/>
          <w:szCs w:val="15"/>
          <w:i w:val="1"/>
          <w:iCs w:val="1"/>
          <w:color w:val="auto"/>
        </w:rPr>
        <w:t xml:space="preserve"> </w:t>
      </w:r>
      <w:r>
        <w:rPr>
          <w:rFonts w:ascii="Arial" w:cs="Arial" w:eastAsia="Arial" w:hAnsi="Arial"/>
          <w:sz w:val="15"/>
          <w:szCs w:val="15"/>
          <w:color w:val="auto"/>
        </w:rPr>
        <w:t>generated from our copromotion arrangement with Genentech, revenue from bulk Rituxan sales to Genentech through March 2000, reimbursement from Genentech of our Rituxan-related sales force and development expenses and royalty revenue from F. Hoffmann-La Roche Ltd. on sales of Rituximab outside the</w:t>
      </w:r>
    </w:p>
    <w:p>
      <w:pPr>
        <w:sectPr>
          <w:pgSz w:w="11900" w:h="16882" w:orient="portrait"/>
          <w:cols w:equalWidth="0" w:num="1">
            <w:col w:w="11420"/>
          </w:cols>
          <w:pgMar w:left="240" w:top="131" w:right="239" w:bottom="0" w:gutter="0" w:footer="0" w:header="0"/>
        </w:sectPr>
      </w:pPr>
    </w:p>
    <w:bookmarkStart w:id="33" w:name="page34"/>
    <w:bookmarkEnd w:id="33"/>
    <w:p>
      <w:pPr>
        <w:spacing w:after="0" w:line="285" w:lineRule="auto"/>
        <w:rPr>
          <w:sz w:val="20"/>
          <w:szCs w:val="20"/>
          <w:color w:val="auto"/>
        </w:rPr>
      </w:pPr>
      <w:r>
        <w:rPr>
          <w:rFonts w:ascii="Arial" w:cs="Arial" w:eastAsia="Arial" w:hAnsi="Arial"/>
          <w:sz w:val="16"/>
          <w:szCs w:val="16"/>
          <w:color w:val="auto"/>
        </w:rPr>
        <w:t>United States. Revenue from bulk Rituxan sales was recognized when Genentech accepted the bulk Rituxan. Upon acceptance of bulk Rituxan by Genentech the right to return no longer existed and there were no further performance obligations related to bulk Rituxan. We record our royalty revenue from Roche with a one-quarter lag. Rituxan is the trade name in the United States for the compound Rituximab. Outside the United States, Rituximab is marketed as MabThera. In our notes to consolidated financial statements, we refer to Rituximab, Rituxan and MabThera collectively as Rituxan, except where otherwise indicated. Under the copromotion arrangement, we share responsibility with Genentech for selling and continued development of Rituxan in the United States. Continued development of Rituxan includes conducting supportive research on Rituxan, post approval clinical studies and obtaining potential approval of Rituxan for additional indications. Genentech provides the support functions for the commercialization of Rituxan in the United States including marketing, customer service, order entry, distribution, shipping and billing and, as of September 1999, all worldwide manufacturing responsibilities. Under the copromotion arrangement, all U.S. sales of Rituxan and associated costs and expenses are recognized by Genentech and we record our share of the pretax copromotion profits on a quarterly basis, as defined in our collaborative agreement with Genentech. Pretax copromotion profits under the copromotion arrangement are derived by taking the U.S. net sales of Rituxan to third-party customers less cost of sales, third-party royalty expenses, distribution, selling and marketing expenses and joint development expenses incurred by Genentech and us. Our profit-sharing formula with Genentech has two tiers; we earn a higher percentage of the pretax copromotion profits at the upper tier once a fixed pretax copromotion profit level is met. The profit-sharing formula resets annually at the beginning of each year to the lower tier. We began recording our profit share at the higher percentage during the first quarter of 2001 compared to the beginning of the second quarter of 2000. In 1999, we began recording our profit share at the higher percentage during the second quarter.</w:t>
      </w:r>
    </w:p>
    <w:p>
      <w:pPr>
        <w:spacing w:after="0" w:line="18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Contract Revenues: </w:t>
      </w:r>
      <w:r>
        <w:rPr>
          <w:rFonts w:ascii="Arial" w:cs="Arial" w:eastAsia="Arial" w:hAnsi="Arial"/>
          <w:sz w:val="16"/>
          <w:szCs w:val="16"/>
          <w:color w:val="auto"/>
        </w:rPr>
        <w:t>Contract revenues consist of nonrefundable research and development funding under collaborative agreements with our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and other funding under contractual arrangements with other parties. Contract research and development funding generally compensates us for discovery, preclinical and clinical expenses related to the collaborative development programs for our products and is recognized at the time research and development activities are performed under the terms of the collaborative agreements. Amounts received under the collaborative agreements are nonrefundable even if the research and development efforts performed by us do not eventually result in a commercial product. Contract revenues earned in excess of contract payments received are classified as contract revenue receivables, and contract research and development funding received in excess of amounts earned are classified as deferred revenue. Contract revenue receivables at December 31, 2001 and 2000 are net of an allowance of $99,000 and $353,000, respectively.</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License fees include nonrefundable fees from product development milestone payments and nonrefundable fees from the sale of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rights under collaborative development and license agreements with our strategic partners. Nonrefundable up-front fees from the sale of product rights are recorded as deferred revenue upon receipt and recognized as revenue over future periods as required by Staff Accounting Bulletin No. 101, "Revenue Recognition in Financial Statements," or SAB No. 101. Included in license fees are nonrefundable product development milestone payments which are recognized upon the achievement of product development milestone objectives as stipulated in agreements with our strategic partners. Product development milestone objectives vary in each of our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agreements. The achievement of product development milestone objectives that may lead to the recognition of license fee revenues may include:</w:t>
      </w:r>
    </w:p>
    <w:p>
      <w:pPr>
        <w:spacing w:after="0" w:line="26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achievement of preclinical research and development objectives;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initiation of various phases of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filing of an Investigational New Drug application, or IND, Biological License Application, or BLA, or New Drug Application, or NDA;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of drug license applications in foreign territories;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United States or foreign regulatory product approvals.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Revenues from nonrefundable product development milestone payments are recognized when the results or objectives stipulated in the agreement have been achieved. License fees received are nonrefundable even if the achievement of the product development objective by us does not eventually result in a commercial product.</w:t>
      </w:r>
    </w:p>
    <w:p>
      <w:pPr>
        <w:spacing w:after="0" w:line="194"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i w:val="1"/>
          <w:iCs w:val="1"/>
          <w:color w:val="auto"/>
        </w:rPr>
        <w:t xml:space="preserve">Manufacturing Costs: </w:t>
      </w:r>
      <w:r>
        <w:rPr>
          <w:rFonts w:ascii="Arial" w:cs="Arial" w:eastAsia="Arial" w:hAnsi="Arial"/>
          <w:sz w:val="18"/>
          <w:szCs w:val="18"/>
          <w:color w:val="auto"/>
        </w:rPr>
        <w:t>Manufacturing costs consist of manufacturing costs related to the production of bulk Rituxan sold to Genentech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2000.</w:t>
      </w:r>
    </w:p>
    <w:p>
      <w:pPr>
        <w:spacing w:after="0" w:line="186" w:lineRule="exact"/>
        <w:rPr>
          <w:sz w:val="20"/>
          <w:szCs w:val="20"/>
          <w:color w:val="auto"/>
        </w:rPr>
      </w:pPr>
    </w:p>
    <w:p>
      <w:pPr>
        <w:ind w:left="360"/>
        <w:spacing w:after="0"/>
        <w:tabs>
          <w:tab w:leader="none" w:pos="2480" w:val="left"/>
        </w:tabs>
        <w:rPr>
          <w:sz w:val="20"/>
          <w:szCs w:val="20"/>
          <w:color w:val="auto"/>
        </w:rPr>
      </w:pPr>
      <w:r>
        <w:rPr>
          <w:rFonts w:ascii="Arial" w:cs="Arial" w:eastAsia="Arial" w:hAnsi="Arial"/>
          <w:sz w:val="18"/>
          <w:szCs w:val="18"/>
          <w:i w:val="1"/>
          <w:iCs w:val="1"/>
          <w:color w:val="auto"/>
        </w:rPr>
        <w:t>Research and Development:</w:t>
      </w:r>
      <w:r>
        <w:rPr>
          <w:sz w:val="20"/>
          <w:szCs w:val="20"/>
          <w:color w:val="auto"/>
        </w:rPr>
        <w:tab/>
      </w:r>
      <w:r>
        <w:rPr>
          <w:rFonts w:ascii="Arial" w:cs="Arial" w:eastAsia="Arial" w:hAnsi="Arial"/>
          <w:sz w:val="15"/>
          <w:szCs w:val="15"/>
          <w:color w:val="auto"/>
        </w:rPr>
        <w:t>All research and development expenses, including purchased research and development, are expensed in the year incurred.</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Our stock option and purchase plans are accounted for under Accounting Principles Board Opinion No. 25,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Issued to Employees," or APB Opinion No. 25, and its related interpretations including Financial Accounting Standards Board interpretation No. 44, "Accounting for Certain Transactions Involving Stock Compensation." Under APB Opinion No. 25, compensation expense is recognized as the difference, if any, between the current market price of the underlying stock and the exercise price on the date of grant. In accordance with FASB Statement No. 123, "Accounting for Stock-based Compensation," or Statement No. 123, we make pro forma footnote disclosures of our operating results as if we had adopted the fair value method.</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taxes are accounted for under the asset and liability method where deferred tax assets and liabilities are recognized for the future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attributable to differences between the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0"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i w:val="1"/>
          <w:iCs w:val="1"/>
          <w:color w:val="auto"/>
        </w:rPr>
        <w:t xml:space="preserve">Earnings Per Share: </w:t>
      </w:r>
      <w:r>
        <w:rPr>
          <w:rFonts w:ascii="Arial" w:cs="Arial" w:eastAsia="Arial" w:hAnsi="Arial"/>
          <w:sz w:val="16"/>
          <w:szCs w:val="16"/>
          <w:color w:val="auto"/>
        </w:rPr>
        <w:t>Earnings per share are calculated in accordance with Statement of Financial Accounting Standards No. 128 "Earnings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Basic earnings per share excludes the dilutive effects of options and other convertible securities compared to diluted earnings per share which reflects the potential dilution of options and other convertible securities that could share in our earnings. Calculations of basic and diluted earnings per share use the weighted-average number of shares outstanding during the period. All share and earnings per share amounts for the years ended</w:t>
      </w:r>
    </w:p>
    <w:p>
      <w:pPr>
        <w:sectPr>
          <w:pgSz w:w="11900" w:h="16838" w:orient="portrait"/>
          <w:cols w:equalWidth="0" w:num="1">
            <w:col w:w="11420"/>
          </w:cols>
          <w:pgMar w:left="240" w:top="131"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1" w:right="239" w:bottom="0" w:gutter="0" w:footer="0" w:header="0"/>
          <w:type w:val="continuous"/>
        </w:sectPr>
      </w:pPr>
    </w:p>
    <w:bookmarkStart w:id="34" w:name="page35"/>
    <w:bookmarkEnd w:id="3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31, 2000, and 1999 have been restated to reflect our three-for-one stock split effected in January 2001.</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center"/>
              <w:ind w:left="755"/>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per share data)</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101,659</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48,145</w:t>
            </w:r>
          </w:p>
        </w:tc>
        <w:tc>
          <w:tcPr>
            <w:tcW w:w="16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43,157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for interest, net of income tax effect</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Net income, adjusted</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106,247</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48,145</w:t>
            </w:r>
          </w:p>
        </w:tc>
        <w:tc>
          <w:tcPr>
            <w:tcW w:w="16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150,756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134,880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124,146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Options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13,422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17,736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18,405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preferred stock</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Convertible promissory notes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13,939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00" w:type="dxa"/>
            <w:vAlign w:val="bottom"/>
            <w:vMerge w:val="restart"/>
          </w:tcPr>
          <w:p>
            <w:pPr>
              <w:ind w:left="160"/>
              <w:spacing w:after="0"/>
              <w:rPr>
                <w:sz w:val="20"/>
                <w:szCs w:val="20"/>
                <w:color w:val="auto"/>
              </w:rPr>
            </w:pPr>
            <w:r>
              <w:rPr>
                <w:rFonts w:ascii="Arial" w:cs="Arial" w:eastAsia="Arial" w:hAnsi="Arial"/>
                <w:sz w:val="18"/>
                <w:szCs w:val="18"/>
                <w:color w:val="auto"/>
                <w:w w:val="93"/>
              </w:rPr>
              <w:t>Weighted-average shares and dilutive potential common</w:t>
            </w:r>
          </w:p>
        </w:tc>
        <w:tc>
          <w:tcPr>
            <w:tcW w:w="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181,481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159,310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151,287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5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0.59</w:t>
            </w:r>
          </w:p>
        </w:tc>
        <w:tc>
          <w:tcPr>
            <w:tcW w:w="5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-3506470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-3506470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-3258185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-3258185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-3258185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-3258185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-3258185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-3258185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-2314575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-2314575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-2314575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-2314575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-2314575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-2314575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-1096645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-1096645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-1096645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-1096645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-1096645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-1096645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-788035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-788035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-788035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-788035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-788035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-788035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-359410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-359410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-359410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-359410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-359410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-359410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Excluded from the calculation of diluted earnings per share for the year ended December 31, 2001 were 2,512,000 shares of common stock from options because their effect was antidilutive. Excluded from the calculation of diluted earnings per share for the year ended December 31, 2000 were 13,939,000 shares of common stock from the assumed conversion of our 20-year zero coupon subordinated convertible notes, and 158,000 shares of common stock from options because their effect was antidilutive. Excluded from the calculation of diluted earnings per share for the year ended December 31, 1999 were 12,342,000 shares of common stock from the assumed conversion of our convertible promissory notes because their effect was antidilutive.</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Our management has made a number of estimates and assumptions relating to the reporting of assets and liabilities and the disclosure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assets and liabilities at the date of the consolidated financial statements and the reported amounts of revenues and expenses during the reporting periods to prepare these consolidated financial statements in conformity with accounting principles generally accepted in the United States of America. Actual results could differ from these estimates.</w:t>
      </w:r>
    </w:p>
    <w:p>
      <w:pPr>
        <w:spacing w:after="0" w:line="197"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Statement of Financial Accounting Standards No. 131, "Disclosures about Segments of an Enterprise and Related Information,"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No. 131, establishes reporting standards for a company's operating segments and related disclosures about its products, services, geographic areas and major customers. An operating segment is defined as a component of an enterprise that engages in business activities from which it may earn revenues and incur expenses, and about which separate financial information is regularly evaluated by the chief operating decision maker in deciding how to allocate resources. We operate in one reportable segment.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geographic classification of our revenues for the years-ended December 31, 2001, 2000 and 1999 are as follows (table in thousands):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1999</w:t>
            </w:r>
          </w:p>
        </w:tc>
      </w:tr>
      <w:tr>
        <w:trPr>
          <w:trHeight w:val="105"/>
        </w:trPr>
        <w:tc>
          <w:tcPr>
            <w:tcW w:w="46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105"/>
        </w:trPr>
        <w:tc>
          <w:tcPr>
            <w:tcW w:w="4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124,727</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Japan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6,162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countries, excluding Japan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23,793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w:t>
            </w:r>
          </w:p>
        </w:tc>
      </w:tr>
      <w:tr>
        <w:trPr>
          <w:trHeight w:val="118"/>
        </w:trPr>
        <w:tc>
          <w:tcPr>
            <w:tcW w:w="4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46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272,677</w:t>
            </w:r>
          </w:p>
        </w:tc>
        <w:tc>
          <w:tcPr>
            <w:tcW w:w="26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154,682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118,003</w:t>
            </w:r>
          </w:p>
        </w:tc>
      </w:tr>
      <w:tr>
        <w:trPr>
          <w:trHeight w:val="120"/>
        </w:trPr>
        <w:tc>
          <w:tcPr>
            <w:tcW w:w="46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-871855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-871855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-871855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-871855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-871855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-871855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-306070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-306070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-306070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-306070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-306070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-306070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-14605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-14605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Approximately 92 percent, 86 percent and 79 percent of our total revenues in 2001, 2000 and 1999, respectively, are derived from our collaboration and unconsolidated copromotion arrangement with Genentech (see Note 8).</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Cumulative Effect of Accounting Change: </w:t>
      </w:r>
      <w:r>
        <w:rPr>
          <w:rFonts w:ascii="Arial" w:cs="Arial" w:eastAsia="Arial" w:hAnsi="Arial"/>
          <w:sz w:val="16"/>
          <w:szCs w:val="16"/>
          <w:color w:val="auto"/>
        </w:rPr>
        <w:t>In the fourth quarter of 2000, we implemented the Securities and Exchange Commission's Staff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Bulletin No. 101, "Revenue Recognition in Financial Statements," or SAB No. 101, which became effective as of January 1, 2000. SAB No. 101 established new guidelines in applying generally accepted accounting principles to revenue recognition in financial statements. SAB No. 101 provides that nonrefundable up-front fees received under collaborative agreements be recorded as deferred revenue upon receipt and recognized as revenue over future periods. Prior to the implementation of SAB No. 101, we recognized certain nonrefundable up-front fees upon receipt as license fee revenue. The cumulative effect of this accounting change on years prior to 2000 resulted in a charge of $9,263,000, net of a $481,000 income tax effect, of which $3,250,000 was recorded as deferred revenue as of December 31, 2000. During 2001 we recognized as revenue the full $3,250,000 of the related deferred revenue. The results for the year 2000 have been restated to reflect the adoption of SAB No. 101 as of January 1, 2000, which resulted in $6,500,000 being recognized as license fee revenue for the year 2000.</w:t>
      </w:r>
    </w:p>
    <w:p>
      <w:pPr>
        <w:sectPr>
          <w:pgSz w:w="11900" w:h="16865" w:orient="portrait"/>
          <w:cols w:equalWidth="0" w:num="1">
            <w:col w:w="11420"/>
          </w:cols>
          <w:pgMar w:left="240" w:top="725" w:right="239" w:bottom="0" w:gutter="0" w:footer="0" w:header="0"/>
        </w:sectPr>
      </w:pPr>
    </w:p>
    <w:bookmarkStart w:id="35" w:name="page36"/>
    <w:bookmarkEnd w:id="35"/>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accounting change is directly related to the $13,000,000 up-front license fee received from Schering Aktiengesellschaft and recognized as license fee revenue in 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Securities Available-for-Sale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available-for-sale at December 31, 2001 and 2000 consist of the following (tables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Amortized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Gains</w:t>
            </w:r>
          </w:p>
        </w:tc>
        <w:tc>
          <w:tcPr>
            <w:tcW w:w="2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debt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271,926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U.S. government and state agencies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133,839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438,886</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Amortized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Market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w w:val="83"/>
              </w:rPr>
              <w:t>Cost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Gains</w:t>
            </w:r>
          </w:p>
        </w:tc>
        <w:tc>
          <w:tcPr>
            <w:tcW w:w="2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52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186,386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U.S. government and state agencies</w:t>
            </w: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68,006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52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10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94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348,957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ind w:right="478"/>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6803390</wp:posOffset>
            </wp:positionH>
            <wp:positionV relativeFrom="paragraph">
              <wp:posOffset>-3467100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-3467100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-3029585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-3029585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-3029585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-3029585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-3029585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-3029585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-3029585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-3029585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-2326640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-2326640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-2326640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-2326640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-2326640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-2326640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-2326640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-2326640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-2034540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-2034540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-2034540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-2034540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-2034540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-2034540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-2034540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-2034540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-1786255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-1786255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-1348740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-1348740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-1348740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-1348740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-1348740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-1348740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-1348740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-1348740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-645795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-645795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-645795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-645795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-645795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-645795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-645795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-645795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-353695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-353695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-353695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-353695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-353695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-353695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-353695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-353695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amortized cost and estimated fair value of securities available-for-sale at December 31, 2001, by contractual maturity, are shown below (table in thousands):</w:t>
      </w:r>
    </w:p>
    <w:p>
      <w:pPr>
        <w:spacing w:after="0" w:line="16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200"/>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196,705</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242,181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242,784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438,886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-734695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-734695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-734695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-734695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-306070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-306070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-306070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-306070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-14605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at December 31, 2001 and 2000 consists of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2001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140,216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72,808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(25,294)</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108,588</w:t>
            </w:r>
          </w:p>
        </w:tc>
        <w:tc>
          <w:tcPr>
            <w:tcW w:w="16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47,514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4: Accrued Expenses</w:t>
            </w:r>
          </w:p>
        </w:tc>
        <w:tc>
          <w:tcPr>
            <w:tcW w:w="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68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3"/>
          </w:tcPr>
          <w:p>
            <w:pPr>
              <w:ind w:left="340"/>
              <w:spacing w:after="0"/>
              <w:rPr>
                <w:sz w:val="20"/>
                <w:szCs w:val="20"/>
                <w:color w:val="auto"/>
              </w:rPr>
            </w:pPr>
            <w:r>
              <w:rPr>
                <w:rFonts w:ascii="Arial" w:cs="Arial" w:eastAsia="Arial" w:hAnsi="Arial"/>
                <w:sz w:val="18"/>
                <w:szCs w:val="18"/>
                <w:color w:val="auto"/>
                <w:w w:val="92"/>
              </w:rPr>
              <w:t>Accrued expenses at December 31, 2001 and 2000 are as follows (table in thousands):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clinical studies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1,796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Accrued construction costs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accounts payable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80" w:type="dxa"/>
            <w:vAlign w:val="bottom"/>
            <w:tcBorders>
              <w:bottom w:val="single" w:sz="8" w:color="CCEEFF"/>
            </w:tcBorders>
          </w:tcPr>
          <w:p>
            <w:pPr>
              <w:spacing w:after="0"/>
              <w:rPr>
                <w:sz w:val="9"/>
                <w:szCs w:val="9"/>
                <w:color w:val="auto"/>
              </w:rPr>
            </w:pPr>
          </w:p>
        </w:tc>
        <w:tc>
          <w:tcPr>
            <w:tcW w:w="4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-3298190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-3298190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-3298190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-3298190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-2458085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-2458085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-2458085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-2458085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-2029460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-2029460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-2029460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-2029460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-1737360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-1737360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-1737360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-1737360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-802640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-802640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-802640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-802640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-99695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-99695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-99695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-99695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0840"/>
          </w:cols>
          <w:pgMar w:left="240" w:top="131" w:right="81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27,616</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Notes Payable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0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40" w:type="dxa"/>
            <w:vAlign w:val="bottom"/>
            <w:gridSpan w:val="3"/>
          </w:tcPr>
          <w:p>
            <w:pPr>
              <w:ind w:left="360"/>
              <w:spacing w:after="0"/>
              <w:rPr>
                <w:sz w:val="20"/>
                <w:szCs w:val="20"/>
                <w:color w:val="auto"/>
              </w:rPr>
            </w:pPr>
            <w:r>
              <w:rPr>
                <w:rFonts w:ascii="Arial" w:cs="Arial" w:eastAsia="Arial" w:hAnsi="Arial"/>
                <w:sz w:val="18"/>
                <w:szCs w:val="18"/>
                <w:color w:val="auto"/>
                <w:w w:val="90"/>
              </w:rPr>
              <w:t>Notes payable at December 31, 2001 and 2000, consist of the following (table in thousands):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355"/>
              <w:spacing w:after="0"/>
              <w:rPr>
                <w:sz w:val="20"/>
                <w:szCs w:val="20"/>
                <w:color w:val="auto"/>
              </w:rPr>
            </w:pPr>
            <w:r>
              <w:rPr>
                <w:rFonts w:ascii="Arial" w:cs="Arial" w:eastAsia="Arial" w:hAnsi="Arial"/>
                <w:sz w:val="14"/>
                <w:szCs w:val="14"/>
                <w:b w:val="1"/>
                <w:bCs w:val="1"/>
                <w:color w:val="auto"/>
                <w:w w:val="96"/>
              </w:rPr>
              <w:t>2001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620" w:type="dxa"/>
            <w:vAlign w:val="bottom"/>
          </w:tcPr>
          <w:p>
            <w:pPr>
              <w:spacing w:after="0"/>
              <w:rPr>
                <w:sz w:val="9"/>
                <w:szCs w:val="9"/>
                <w:color w:val="auto"/>
              </w:rPr>
            </w:pPr>
          </w:p>
        </w:tc>
        <w:tc>
          <w:tcPr>
            <w:tcW w:w="54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Zero coupon subordinated convertible notes, due 2019 at 5.5%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6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5"/>
              </w:rPr>
              <w:t>8.95% to 10.62% capital lease obligations, due in monthly installments,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3"/>
          </w:tcPr>
          <w:p>
            <w:pPr>
              <w:ind w:left="1600"/>
              <w:spacing w:after="0"/>
              <w:rPr>
                <w:sz w:val="20"/>
                <w:szCs w:val="20"/>
                <w:color w:val="auto"/>
              </w:rPr>
            </w:pPr>
            <w:r>
              <w:rPr>
                <w:rFonts w:ascii="Arial" w:cs="Arial" w:eastAsia="Arial" w:hAnsi="Arial"/>
                <w:sz w:val="18"/>
                <w:szCs w:val="18"/>
                <w:color w:val="auto"/>
              </w:rPr>
              <w:t>maturing in 2001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8.94% note, due in monthly installments, maturing in 2001, secured by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20" w:type="dxa"/>
            <w:vAlign w:val="bottom"/>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040" w:type="dxa"/>
            <w:vAlign w:val="bottom"/>
            <w:gridSpan w:val="3"/>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gridSpan w:val="3"/>
          </w:tcPr>
          <w:p>
            <w:pPr>
              <w:ind w:left="160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129,631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118"/>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128,888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40" w:type="dxa"/>
            <w:vAlign w:val="bottom"/>
            <w:gridSpan w:val="3"/>
            <w:vMerge w:val="restart"/>
          </w:tcPr>
          <w:p>
            <w:pPr>
              <w:ind w:left="562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0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-2849245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-2849245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-2849245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-2849245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-1914525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-1914525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-1914525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-1914525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-1074420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-1074420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-1074420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-1074420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-645795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-645795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-645795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-645795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-353695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-353695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-353695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-353695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Machinery and equipment recorded under capital leases was $321,000, net of accumulated depreciation of $2,456,000, at December 31, 2000. There was no machinery and equipment under capital leases as of December 31, 2001.</w:t>
      </w:r>
    </w:p>
    <w:p>
      <w:pPr>
        <w:spacing w:after="0" w:line="186"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February 1999, we raised approximately $112,668,000, net of underwriting commissions and expenses of $3,890,000, through the sale of the convertible promissory notes. Upon maturity, the convertible promissory notes will have an aggregate principal face value of $345,000,000. The convertible promissory notes were priced with a yield to maturity of 5.5 percent annually. Each $1,000 aggregate principal face value convertible promissory note is convertible at the holders' option at any time through maturity into 40.404 shares of our common stock at an initial conversion price of $8.36. We are required under the terms of the convertible promissory notes, as of 35 business days after a change in control occurring on or before February 16, 2004, to purchase any convertible promissory note at the option of its holder at a price equal to the issue price plus accrued original issue discount to the date of purchase. Additionally, the holders of the convertible promissory notes may require us to purchase the convertible promissory notes on February 16, 2004, 2009 or 2014 at a price equal to the issue price plus the accrued original issue discount to the date of purchase, with us having the option to repay the convertible promissory notes plus the accrued original issue discount in cash, our common stock or a combination thereof. We have the option to redeem the convertible promissory notes any time on or after February 16,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Benefit Plans</w:t>
      </w:r>
    </w:p>
    <w:p>
      <w:pPr>
        <w:spacing w:after="0" w:line="231" w:lineRule="exact"/>
        <w:rPr>
          <w:sz w:val="20"/>
          <w:szCs w:val="20"/>
          <w:color w:val="auto"/>
        </w:rPr>
      </w:pPr>
    </w:p>
    <w:p>
      <w:pPr>
        <w:ind w:left="360"/>
        <w:spacing w:after="0"/>
        <w:tabs>
          <w:tab w:leader="none" w:pos="2720" w:val="left"/>
        </w:tabs>
        <w:rPr>
          <w:sz w:val="20"/>
          <w:szCs w:val="20"/>
          <w:color w:val="auto"/>
        </w:rPr>
      </w:pPr>
      <w:r>
        <w:rPr>
          <w:rFonts w:ascii="Arial" w:cs="Arial" w:eastAsia="Arial" w:hAnsi="Arial"/>
          <w:sz w:val="18"/>
          <w:szCs w:val="18"/>
          <w:i w:val="1"/>
          <w:iCs w:val="1"/>
          <w:color w:val="auto"/>
        </w:rPr>
        <w:t>401(k) Employee Savings Plan:</w:t>
      </w:r>
      <w:r>
        <w:rPr>
          <w:sz w:val="20"/>
          <w:szCs w:val="20"/>
          <w:color w:val="auto"/>
        </w:rPr>
        <w:tab/>
      </w:r>
      <w:r>
        <w:rPr>
          <w:rFonts w:ascii="Arial" w:cs="Arial" w:eastAsia="Arial" w:hAnsi="Arial"/>
          <w:sz w:val="15"/>
          <w:szCs w:val="15"/>
          <w:color w:val="auto"/>
        </w:rPr>
        <w:t>We have a qualified 401(k) Employee Savings Plan, or 401(k) Plan, available to substantially all employees over the age of</w:t>
      </w:r>
    </w:p>
    <w:p>
      <w:pPr>
        <w:spacing w:after="0" w:line="15" w:lineRule="exact"/>
        <w:rPr>
          <w:sz w:val="20"/>
          <w:szCs w:val="20"/>
          <w:color w:val="auto"/>
        </w:rPr>
      </w:pPr>
    </w:p>
    <w:p>
      <w:pPr>
        <w:ind w:right="120" w:firstLine="8"/>
        <w:spacing w:after="0" w:line="261" w:lineRule="auto"/>
        <w:tabs>
          <w:tab w:leader="none" w:pos="2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make discretionary contributions to the 401(k) Plan, which fully vest after four years of service by the employee. Discretionary contributions for the years ended December 31, 2001, 2000 and 1999 totaled $775,000, $570,000 and $473,000, respectively.</w:t>
      </w:r>
    </w:p>
    <w:p>
      <w:pPr>
        <w:spacing w:after="0" w:line="19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i w:val="1"/>
          <w:iCs w:val="1"/>
          <w:color w:val="auto"/>
        </w:rPr>
        <w:t xml:space="preserve">Deferred Compensation Plan: </w:t>
      </w:r>
      <w:r>
        <w:rPr>
          <w:rFonts w:ascii="Arial" w:cs="Arial" w:eastAsia="Arial" w:hAnsi="Arial"/>
          <w:sz w:val="16"/>
          <w:szCs w:val="16"/>
          <w:color w:val="auto"/>
        </w:rPr>
        <w:t>We have a Non-Qualified Deferred Compensation Plan that allows a select group of management and highly compensated</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to defer a portion of their compensation. The deferred compensation amounts and accumulated earnings are accrued but unfunded. Such deferred compensation is distributable in cash and at December 31, 2001 and 2000, amounted to approximately $2,130,000 and $1,482,000, respectively, and is included as a component of accrued expenses. Distributions to a participant are in the form associated with the type of benefit elected by the participants and can be either in the form of a one-lump sum payment or annual installments. Participant contributions are immediately 100% vested.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Research and Development Arrangements</w:t>
      </w:r>
    </w:p>
    <w:p>
      <w:pPr>
        <w:spacing w:after="0" w:line="231" w:lineRule="exact"/>
        <w:rPr>
          <w:sz w:val="20"/>
          <w:szCs w:val="20"/>
          <w:color w:val="auto"/>
        </w:rPr>
      </w:pPr>
    </w:p>
    <w:p>
      <w:pPr>
        <w:ind w:right="1120" w:firstLine="351"/>
        <w:spacing w:after="0" w:line="286" w:lineRule="auto"/>
        <w:rPr>
          <w:sz w:val="20"/>
          <w:szCs w:val="20"/>
          <w:color w:val="auto"/>
        </w:rPr>
      </w:pPr>
      <w:r>
        <w:rPr>
          <w:rFonts w:ascii="Arial" w:cs="Arial" w:eastAsia="Arial" w:hAnsi="Arial"/>
          <w:sz w:val="16"/>
          <w:szCs w:val="16"/>
          <w:color w:val="auto"/>
        </w:rPr>
        <w:t>In September 2001, we entered into a collaborative development agreement with Mitsubishi Pharma Corporation, formerly Mitsubishi-Tokyo Pharmaceuticals, Inc., to support clinical development of IDEC-114 in psoriasis. Under the terms of the existing license agreement entered into in</w:t>
      </w:r>
    </w:p>
    <w:p>
      <w:pPr>
        <w:ind w:right="80"/>
        <w:spacing w:after="0" w:line="290" w:lineRule="auto"/>
        <w:rPr>
          <w:sz w:val="20"/>
          <w:szCs w:val="20"/>
          <w:color w:val="auto"/>
        </w:rPr>
      </w:pPr>
      <w:r>
        <w:rPr>
          <w:rFonts w:ascii="Arial" w:cs="Arial" w:eastAsia="Arial" w:hAnsi="Arial"/>
          <w:sz w:val="16"/>
          <w:szCs w:val="16"/>
          <w:color w:val="auto"/>
        </w:rPr>
        <w:t>November 1993, Mitsubishi will have exclusive license in Asia to develop and commercialize anti-CD80 (anti-B7.1) antibody products. Under the terms of these agreements, Mitsubishi may provide up to $38,000,000 in clinical development milestone payments and support for research and development. Mitsubishi will pay us royalties on sales of anti-CD80 (anti-B7.1) antibody products in its exclusive territories. Mitsubishi may terminate the license at any time upon 30 days' written notice, only after completion of Phase II clinical trials or for certain protocol changes in planned clinical trials for IDEC-114. Included in contract revenues for year ended December 31, 2001 is $4,623,000 to fund clinical development. Included in license fees for the year ended December 31, 2001 is the recognition of $100,000 as required by SAB No. 101, from a nonrefundable up-front fee received under the collaborative development agreement in 2001.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09" w:lineRule="auto"/>
        <w:rPr>
          <w:sz w:val="20"/>
          <w:szCs w:val="20"/>
          <w:color w:val="auto"/>
        </w:rPr>
      </w:pPr>
      <w:r>
        <w:rPr>
          <w:rFonts w:ascii="Arial" w:cs="Arial" w:eastAsia="Arial" w:hAnsi="Arial"/>
          <w:sz w:val="15"/>
          <w:szCs w:val="15"/>
          <w:color w:val="auto"/>
        </w:rPr>
        <w:t>In June 2000, we entered into a collaborative research and development agreement with Taisho Pharmaceutical Co. Ltd. of Tokyo to develop and commercialize antibody therapeutics against macrophage migration inhibitory factor, or MIF for the treatment of inflammatory and autoimmune diseases. Under the terms of these agreements, Taisho may provide up to $35,500,000 in product development milestone payments and support for research and development, including $18,500,000 in fixed research and development funding over the next four years. The remaining balance represents patent license reimbursements, license fees and conditional milestones that will be realized, if at all, over the life of the collaboration. We will share any such realized fees or milestones with Cytokine Pharmasciences, Inc. We will receive exclusive commercialization rights in North, Central and South America and Taisho will have exclusive commercialization rights in the rest of the world. However, we have the option to convert the above exclusive rights to co-exclusive rights in Europe and other selected countries outside of Asia. Taisho will pay us royalties on sales of therapeutic antibody products in its exclusive territories. Taisho may terminate these agreements based on a reasonable determination that the products do not justify continued product development or marketing. Included in contract revenues for</w:t>
      </w:r>
    </w:p>
    <w:p>
      <w:pPr>
        <w:sectPr>
          <w:pgSz w:w="11900" w:h="16838" w:orient="portrait"/>
          <w:cols w:equalWidth="0" w:num="1">
            <w:col w:w="11420"/>
          </w:cols>
          <w:pgMar w:left="240" w:top="140" w:right="239" w:bottom="0" w:gutter="0" w:footer="0" w:header="0"/>
        </w:sectPr>
      </w:pPr>
    </w:p>
    <w:bookmarkStart w:id="37" w:name="page38"/>
    <w:bookmarkEnd w:id="37"/>
    <w:p>
      <w:pPr>
        <w:ind w:right="300"/>
        <w:spacing w:after="0" w:line="268" w:lineRule="auto"/>
        <w:rPr>
          <w:sz w:val="20"/>
          <w:szCs w:val="20"/>
          <w:color w:val="auto"/>
        </w:rPr>
      </w:pPr>
      <w:r>
        <w:rPr>
          <w:rFonts w:ascii="Arial" w:cs="Arial" w:eastAsia="Arial" w:hAnsi="Arial"/>
          <w:sz w:val="18"/>
          <w:szCs w:val="18"/>
          <w:color w:val="auto"/>
        </w:rPr>
        <w:t>the years ended December 31, 2001 and 2000 is $4,801,000 and $6,162,000, respectively, to fund product development, which approximates the research and development expenses incurred under the program.</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June 1999, we entered into a collaboration and license agreement and a supply agreement with Schering Aktiengesellschaft aimed at the development and commercialization of our radioimmunotherapy drug ZEVALIN. Under the terms of the agreement, Schering AG may provide up to $47,500,000 in product development milestone payments and support for research and development. Schering AG received exclusive marketing and distribution rights to ZEVALIN outside the United States, and we will receive royalties on eventual product sales by Schering AG. Under the terms of a separate supply agreement we are obligated to meet Schering AG's clinical and commercial requirements for ZEVALIN. Schering AG may terminate these agreements for any reason. Included in contract revenues for the years ended December 31, 2001, 2000 and 1999 is $272,000, $9,133,000 and $6,000,000, respectively, earned under the collaboration and license agreement to fund product development, which approximates the research and development expenses incurred under the program. Included in license fees for 2001 is $9,250,000 for the attainment of product development objectives and a milestone payment when the European Medicines Evaluation Agency accepted for filing the submission of a MAA for approval of ZEVALIN in Europe. As a result of implementing SAB No. 101, we recognized $6,500,000 million and $3,300,000 million in license fee revenue for the years ended December 31, 2000 and 2001, respectively, which was previously recognized as revenue in 1999, prior to the implementation of SAB No. 101. Included in license fees for 1999 is $13,000,000 earned under the collaboration and license agreement prior to the implementation of SAB No. 101 for the license of product rights to ZEVALIN outside the United States.</w:t>
      </w:r>
    </w:p>
    <w:p>
      <w:pPr>
        <w:spacing w:after="0" w:line="178"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In December 1995, we entered into a collaborative development agreement and a license agreement with Eisai Co, Ltd aimed at the development and commercialization of humanized and PRIMATIZED anti-CD40L antibodies. Under the terms of these agreements, Eisai may provide up to $37,500,000 in product development milestone payments and support for research and development. Eisai received exclusive rights in Asia and Europe to develop and market resulting products emerging from the collaboration, and we will receive royalties on eventual product sales by Eisai. Eisai may terminate these agreements based on a reasonable determination that the products do not justify continued product development or marketing. Included in contract revenues for years ended December 31, 2001 and 1999 is $181,000 and $4,068,000, respectively, to fund product development, which approximates the research and development expenses incurred under the program. Included in license fees for 2001 is $2,000,000 earned under these agreements for the attainment of product development objectives.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December 1994, we entered into a collaborative development agreement and a license agreement with Seikagaku Corporation aimed at the development and commercialization of a PRIMATIZED anti-CD23 antibody. Under the terms of these agreements, Seikagaku may provide up to $26,000,000 in product development milestone payments and support for research and development. We will share with Seikagaku co-exclusive, worldwide rights to all products emerging from the collaboration, and we will receive royalties on eventual product sales by Seikagaku. Seikagaku may terminate these agreements based on a reasonable determination that the products do not justify continued product development or marketing. Included in license fees for the year ended December 31, 1999 is $1,000,000 earned under these agreements for the attainment of product development objectives.</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October 1992, we entered into a collaborative research and license agreement with GlaxoSmithKline, p.l.c., formerly SmithKline Beecham, p.l.c., related to the development and commercialization of compounds based on our PRIMATIZED anti-CD4 antibodies. In February 2000, we amended and restated our agreement with GlaxoSmithKline which resulted in all anti-CD4 program rights, including IDEC-151, being returned to us. We will receive no further funding from GlaxoSmithKline under the restated agreement. As part of the restated agreement, GlaxoSmithKline has the option to negotiate commercialization and copromotion rights with us for the first compound based on our PRIMATIZED anti-CD4 antibodies to complete a Phase II study. If we do not commercialize and copromote the compound with GlaxoSmithKline, we will pay GlaxoSmithKline royalties on sales by us, our affiliates and licensees on any products emerging from the rights returned to us under the restated agreement. Included in contract revenues for 1999 is $256,000 to fund product development, which approximates the research and development expenses incurred under the program.</w:t>
      </w:r>
    </w:p>
    <w:p>
      <w:pPr>
        <w:spacing w:after="0" w:line="172"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performed research under certain other contracts and, accordingly, realized revenues and recognized expenses in the accompanying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Arrangements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March 1995, we entered into a collaborative agreement for the clinical development and commercialization of our anti-CD20 monoclonal antibody, Rituxan, for the treatment of certain B-cell non-Hodgkin's lymphomas with Genentech. Concurrent with the collaborative agreement, we also entered into an expression technology license agreement with Genentech for a proprietary gene expression technology developed by us and a preferred stock purchase agreement providing for certain equity investments in us by Genentech (see Note 9). Under the terms of these agreements, we will be reimbursed by Genentech for certain other development and regulatory approval expenses. Genentech may terminate the collaborative agreement for any reason, which would result in a loss of Genentech's Rituxan product rights</w:t>
      </w:r>
    </w:p>
    <w:p>
      <w:pPr>
        <w:spacing w:after="0" w:line="19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In addition, we are copromoting Rituxan in the United States with Genentech under a joint business arrangement whereby we receive a share of the pretax copromotion profits. Under our collaborative agreement with Genentech, the sales price of bulk Rituxan sold to Genentech was capped at a price that was currently less than our cost to manufacture bulk Rituxan. In September 1999, we transferred all worldwide manufacturing responsibilities for bulk Rituxan to Genentech. Revenues from unconsolidated joint business, as described in Note 1, consist of the following (table in thousands):</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Copromotion profits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228,614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Bulk Rituxan sales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Reimbursement of selling and development expenses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Royalty revenue on sales of Rituxan outside the U.S.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251,428</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-1009015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-1009015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-1009015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-1009015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-1009015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-1009015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-306070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-306070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-306070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-306070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-306070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-306070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-14605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-14605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225" w:gutter="0" w:footer="0" w:header="0"/>
        </w:sect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25" w:gutter="0" w:footer="0" w:header="0"/>
          <w:type w:val="continuous"/>
        </w:sectPr>
      </w:pPr>
    </w:p>
    <w:bookmarkStart w:id="38" w:name="page39"/>
    <w:bookmarkEnd w:id="38"/>
    <w:p>
      <w:pPr>
        <w:ind w:left="360"/>
        <w:spacing w:after="0"/>
        <w:rPr>
          <w:sz w:val="20"/>
          <w:szCs w:val="20"/>
          <w:color w:val="auto"/>
        </w:rPr>
      </w:pPr>
      <w:r>
        <w:rPr>
          <w:rFonts w:ascii="Arial" w:cs="Arial" w:eastAsia="Arial" w:hAnsi="Arial"/>
          <w:sz w:val="18"/>
          <w:szCs w:val="18"/>
          <w:color w:val="auto"/>
        </w:rPr>
        <w:t>Due from related parties at December 31, 2001 and 2000 consist of the following (table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Due from Genentech, copromotion profits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65,628</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Due from Genentech, bulk Rituxan sales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Due from Genentech, selling and development expenses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Due from Roche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67,651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-1009015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-1009015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-1009015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-1009015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-306070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-306070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-306070</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-14605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-14605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-14605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the terms of separate agreements with Genentech, commercialization of Rituxan outside the United States is the responsibility of Roche, except in Japan where it continues development and copromotes Rituxan in collaboration with Zenyaku Kogyo Co. Ltd. We receive royalties on Rituxan sales outside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Convertible Preferred Stock: </w:t>
      </w:r>
      <w:r>
        <w:rPr>
          <w:rFonts w:ascii="Arial" w:cs="Arial" w:eastAsia="Arial" w:hAnsi="Arial"/>
          <w:sz w:val="18"/>
          <w:szCs w:val="18"/>
          <w:color w:val="auto"/>
        </w:rPr>
        <w:t>In March 1995, we entered into a preferred stock purchase agreement with Genentech concurrently with a collaboration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described in Note 8. The convertible preferred stock, which is convertible at anytime into shares of our common stock, issued and outstanding at December 31, 2001, is presented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6"/>
              </w:rPr>
              <w:t>Nonvoting</w:t>
            </w:r>
          </w:p>
        </w:tc>
        <w:tc>
          <w:tcPr>
            <w:tcW w:w="9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Preferred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44"/>
              <w:spacing w:after="0"/>
              <w:rPr>
                <w:sz w:val="20"/>
                <w:szCs w:val="20"/>
                <w:color w:val="auto"/>
              </w:rPr>
            </w:pPr>
            <w:r>
              <w:rPr>
                <w:rFonts w:ascii="Arial" w:cs="Arial" w:eastAsia="Arial" w:hAnsi="Arial"/>
                <w:sz w:val="14"/>
                <w:szCs w:val="14"/>
                <w:b w:val="1"/>
                <w:bCs w:val="1"/>
                <w:color w:val="auto"/>
                <w:w w:val="90"/>
              </w:rPr>
              <w:t>Liquidation</w:t>
            </w:r>
          </w:p>
        </w:tc>
        <w:tc>
          <w:tcPr>
            <w:tcW w:w="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9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 Issued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w w:val="85"/>
              </w:rPr>
              <w:t>Preference</w:t>
            </w:r>
          </w:p>
        </w:tc>
        <w:tc>
          <w:tcPr>
            <w:tcW w:w="90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9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5"/>
              </w:rPr>
              <w:t>Issue Date</w:t>
            </w:r>
          </w:p>
        </w:tc>
        <w:tc>
          <w:tcPr>
            <w:tcW w:w="9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And Outstanding</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44"/>
              <w:spacing w:after="0"/>
              <w:rPr>
                <w:sz w:val="20"/>
                <w:szCs w:val="20"/>
                <w:color w:val="auto"/>
              </w:rPr>
            </w:pPr>
            <w:r>
              <w:rPr>
                <w:rFonts w:ascii="Arial" w:cs="Arial" w:eastAsia="Arial" w:hAnsi="Arial"/>
                <w:sz w:val="14"/>
                <w:szCs w:val="14"/>
                <w:b w:val="1"/>
                <w:bCs w:val="1"/>
                <w:color w:val="auto"/>
                <w:w w:val="85"/>
              </w:rPr>
              <w:t>Per Share</w:t>
            </w:r>
          </w:p>
        </w:tc>
        <w:tc>
          <w:tcPr>
            <w:tcW w:w="900" w:type="dxa"/>
            <w:vAlign w:val="bottom"/>
          </w:tcPr>
          <w:p>
            <w:pPr>
              <w:spacing w:after="0"/>
              <w:rPr>
                <w:sz w:val="15"/>
                <w:szCs w:val="15"/>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Conversion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Series A-2</w:t>
            </w:r>
          </w:p>
        </w:tc>
        <w:tc>
          <w:tcPr>
            <w:tcW w:w="9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August 1995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0"/>
              </w:rPr>
              <w:t>60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Series A-3</w:t>
            </w:r>
          </w:p>
        </w:tc>
        <w:tc>
          <w:tcPr>
            <w:tcW w:w="9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March 1996</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22,993</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217.00</w:t>
            </w:r>
          </w:p>
        </w:tc>
        <w:tc>
          <w:tcPr>
            <w:tcW w:w="900" w:type="dxa"/>
            <w:vAlign w:val="bottom"/>
          </w:tcPr>
          <w:p>
            <w:pPr>
              <w:spacing w:after="0"/>
              <w:rPr>
                <w:sz w:val="19"/>
                <w:szCs w:val="19"/>
                <w:color w:val="auto"/>
              </w:rPr>
            </w:pPr>
          </w:p>
        </w:tc>
        <w:tc>
          <w:tcPr>
            <w:tcW w:w="1360" w:type="dxa"/>
            <w:vAlign w:val="bottom"/>
          </w:tcPr>
          <w:p>
            <w:pPr>
              <w:ind w:left="700"/>
              <w:spacing w:after="0"/>
              <w:rPr>
                <w:sz w:val="20"/>
                <w:szCs w:val="20"/>
                <w:color w:val="auto"/>
              </w:rPr>
            </w:pPr>
            <w:r>
              <w:rPr>
                <w:rFonts w:ascii="Arial" w:cs="Arial" w:eastAsia="Arial" w:hAnsi="Arial"/>
                <w:sz w:val="18"/>
                <w:szCs w:val="18"/>
                <w:color w:val="auto"/>
                <w:w w:val="80"/>
              </w:rPr>
              <w:t>60 shares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-359410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-359410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-359410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-359410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-359410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-359410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-359410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-359410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On January 17, 2001, we effected a three-for-one stock split of our common stock, effective in the form of a stock dividend, for each share</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close of business on December 26, 2000. Our stock began trading on a split-adjusted basis on January 18, 2001. All share and per share data for 2000 and 1999 have been restated to give effect to the three-for-one stock split.</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Stockholder Rights Agreement: </w:t>
      </w:r>
      <w:r>
        <w:rPr>
          <w:rFonts w:ascii="Arial" w:cs="Arial" w:eastAsia="Arial" w:hAnsi="Arial"/>
          <w:sz w:val="16"/>
          <w:szCs w:val="16"/>
          <w:color w:val="auto"/>
        </w:rPr>
        <w:t>Effective July 26, 2001, our Board of Directors amended and restated the terms of our stockholder rights plan, originally</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by the Board of Directors in 1997. Under the plan, we declared a dividend distribution of one "Right" for each outstanding share of our common stock to stockholders of record at the close of business on August 11, 1997. Since that time, we have issued one Right with each newly issued share of common stock. As amended, each Right, when exercisable, entitles the holder to purchase from us one one-thousandth of a share of our Series X Junior Participating Preferred Stock at a purchase price of $500.00. In general, under the amended and restated plan, if a person or affiliated group acquires beneficial ownership of 15%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Rights.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Rights. The Board of Directors also has the right, after an acquiring person or affiliated group is identified, to cause each Right to be exchanged for common stock or substitute consideration. We may redeem the Rights at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price of $0.001 per Right prior to the identification of an acquiring person or affiliated group. The Rights expire on July 26, 2011.</w:t>
      </w:r>
    </w:p>
    <w:p>
      <w:pPr>
        <w:spacing w:after="0" w:line="225" w:lineRule="exact"/>
        <w:rPr>
          <w:sz w:val="20"/>
          <w:szCs w:val="20"/>
          <w:color w:val="auto"/>
        </w:rPr>
      </w:pPr>
    </w:p>
    <w:p>
      <w:pPr>
        <w:ind w:left="360"/>
        <w:spacing w:after="0"/>
        <w:tabs>
          <w:tab w:leader="none" w:pos="1920" w:val="left"/>
        </w:tabs>
        <w:rPr>
          <w:sz w:val="20"/>
          <w:szCs w:val="20"/>
          <w:color w:val="auto"/>
        </w:rPr>
      </w:pPr>
      <w:r>
        <w:rPr>
          <w:rFonts w:ascii="Arial" w:cs="Arial" w:eastAsia="Arial" w:hAnsi="Arial"/>
          <w:sz w:val="18"/>
          <w:szCs w:val="18"/>
          <w:i w:val="1"/>
          <w:iCs w:val="1"/>
          <w:color w:val="auto"/>
        </w:rPr>
        <w:t>Stock Option Plans:</w:t>
      </w:r>
      <w:r>
        <w:rPr>
          <w:sz w:val="20"/>
          <w:szCs w:val="20"/>
          <w:color w:val="auto"/>
        </w:rPr>
        <w:tab/>
      </w:r>
      <w:r>
        <w:rPr>
          <w:rFonts w:ascii="Arial" w:cs="Arial" w:eastAsia="Arial" w:hAnsi="Arial"/>
          <w:sz w:val="15"/>
          <w:szCs w:val="15"/>
          <w:color w:val="auto"/>
        </w:rPr>
        <w:t>We have two active stock option plans.</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1988 Employee Stock Option Plan, or the Option Plan, was approved by the stockholders in 1988 and has been subsequently amended. Under the Option Plan, options for the purchase of our common stock may be granted to key employees (including officers) and directors. Options may be designated as incentive stock options or as nonqualified stock options and generally vest over four years, except under a provision of the Option Plan which allows accelerated vesting due to change in control events. Options under the Option Plan, which have a term of up to ten years, are exercisable at a price per share not less than the fair market value on the date of grant. The aggregate number of shares authorized for issuance under the Option Plan as of December 31, 2001 was 53,580,000 shares.</w:t>
      </w:r>
    </w:p>
    <w:p>
      <w:pPr>
        <w:spacing w:after="0" w:line="19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September 1993, we adopted the 1993 Non-Employee Directors Stock Option Plan, or the Directors Plan, which was approved by the stockholders in May 1994 and was subsequently amended. Options granted annually under the Directors Plan have a term of up to ten years and vest in one year from the date of grant. The options are exercisable at a price per share not less than the fair market value on the date of grant. As of December 31, 2001, the aggregate number of shares authorized for issuance under the Directors Plan was 3,120,000 shares.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summary of the status of our two active stock option plans as of December 31, 1999, 2000 and 2001 and changes during the years ended on those dates is presented in the following table (table in thousands, except exercise price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ind w:right="902"/>
              <w:spacing w:after="0"/>
              <w:rPr>
                <w:sz w:val="20"/>
                <w:szCs w:val="20"/>
                <w:color w:val="auto"/>
              </w:rPr>
            </w:pPr>
            <w:r>
              <w:rPr>
                <w:rFonts w:ascii="Arial" w:cs="Arial" w:eastAsia="Arial" w:hAnsi="Arial"/>
                <w:sz w:val="14"/>
                <w:szCs w:val="14"/>
                <w:b w:val="1"/>
                <w:bCs w:val="1"/>
                <w:color w:val="auto"/>
                <w:w w:val="88"/>
              </w:rPr>
              <w:t>Directors Plan</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 Plan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jc w:val="right"/>
              <w:ind w:right="362"/>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jc w:val="right"/>
              <w:ind w:right="482"/>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1998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10.37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5,436</w:t>
            </w: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(6,030)</w:t>
            </w:r>
          </w:p>
        </w:tc>
        <w:tc>
          <w:tcPr>
            <w:tcW w:w="14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-835660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-835660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-835660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-835660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-492760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-492760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-492760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-492760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-492760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-492760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-492760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-492760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(435)</w:t>
            </w:r>
          </w:p>
        </w:tc>
        <w:tc>
          <w:tcPr>
            <w:tcW w:w="8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1999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22,953</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4,793</w:t>
            </w:r>
          </w:p>
        </w:tc>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(6,781)</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Cancelled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(982)</w:t>
            </w: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19,983</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61.07</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3,825</w:t>
            </w:r>
          </w:p>
        </w:tc>
        <w:tc>
          <w:tcPr>
            <w:tcW w:w="8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(4,163)</w:t>
            </w:r>
          </w:p>
        </w:tc>
        <w:tc>
          <w:tcPr>
            <w:tcW w:w="8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Cancelled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(826)</w:t>
            </w:r>
          </w:p>
        </w:tc>
        <w:tc>
          <w:tcPr>
            <w:tcW w:w="8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18,819</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60</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-2051685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-2051685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-2051685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-2051685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-2051685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-2051685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-2051685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-2051685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-1348740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-1348740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-1348740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-1348740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-1348740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-1348740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-1348740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-1348740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-645795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-645795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-645795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-645795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-645795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-645795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-645795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-645795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-353695</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-353695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-353695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-353695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-353695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-353695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-353695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-353695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table summarizes combined information about options outstanding under the Directors Plan and the Option Plan as of December 31, 2001 (table in thousands, except exercise price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7"/>
              </w:rPr>
              <w:t>Options Outstanding</w:t>
            </w: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Options Exercisable</w:t>
            </w:r>
          </w:p>
        </w:tc>
      </w:tr>
      <w:tr>
        <w:trPr>
          <w:trHeight w:val="105"/>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241"/>
        </w:trPr>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Weighted Average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49"/>
        </w:trPr>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Range of</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15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78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74"/>
        </w:trPr>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Exercise Prices</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Outstanding</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Contractual Life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Exercise Price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38"/>
              <w:spacing w:after="0"/>
              <w:rPr>
                <w:sz w:val="20"/>
                <w:szCs w:val="20"/>
                <w:color w:val="auto"/>
              </w:rPr>
            </w:pPr>
            <w:r>
              <w:rPr>
                <w:rFonts w:ascii="Arial" w:cs="Arial" w:eastAsia="Arial" w:hAnsi="Arial"/>
                <w:sz w:val="14"/>
                <w:szCs w:val="14"/>
                <w:b w:val="1"/>
                <w:bCs w:val="1"/>
                <w:color w:val="auto"/>
                <w:w w:val="96"/>
              </w:rPr>
              <w:t>Exercise Price</w:t>
            </w:r>
          </w:p>
        </w:tc>
      </w:tr>
      <w:tr>
        <w:trPr>
          <w:trHeight w:val="105"/>
        </w:trPr>
        <w:tc>
          <w:tcPr>
            <w:tcW w:w="4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r>
      <w:tr>
        <w:trPr>
          <w:trHeight w:val="105"/>
        </w:trPr>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$0.40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$3.50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4,100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3.75 - 6.92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4,011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780" w:type="dxa"/>
            <w:vAlign w:val="bottom"/>
          </w:tcPr>
          <w:p>
            <w:pPr>
              <w:jc w:val="right"/>
              <w:spacing w:after="0"/>
              <w:rPr>
                <w:sz w:val="20"/>
                <w:szCs w:val="20"/>
                <w:color w:val="auto"/>
              </w:rPr>
            </w:pPr>
            <w:r>
              <w:rPr>
                <w:rFonts w:ascii="Arial" w:cs="Arial" w:eastAsia="Arial" w:hAnsi="Arial"/>
                <w:sz w:val="18"/>
                <w:szCs w:val="18"/>
                <w:color w:val="auto"/>
              </w:rPr>
              <w:t>3,757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- 21.31</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16"/>
        </w:trPr>
        <w:tc>
          <w:tcPr>
            <w:tcW w:w="480" w:type="dxa"/>
            <w:vAlign w:val="bottom"/>
          </w:tcPr>
          <w:p>
            <w:pPr>
              <w:jc w:val="right"/>
              <w:spacing w:after="0"/>
              <w:rPr>
                <w:sz w:val="20"/>
                <w:szCs w:val="20"/>
                <w:color w:val="auto"/>
              </w:rPr>
            </w:pPr>
            <w:r>
              <w:rPr>
                <w:rFonts w:ascii="Arial" w:cs="Arial" w:eastAsia="Arial" w:hAnsi="Arial"/>
                <w:sz w:val="18"/>
                <w:szCs w:val="18"/>
                <w:color w:val="auto"/>
                <w:w w:val="97"/>
              </w:rPr>
              <w:t>23.88</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- 48.78</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4,105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34.12</w:t>
            </w:r>
          </w:p>
        </w:tc>
        <w:tc>
          <w:tcPr>
            <w:tcW w:w="780" w:type="dxa"/>
            <w:vAlign w:val="bottom"/>
          </w:tcPr>
          <w:p>
            <w:pPr>
              <w:jc w:val="right"/>
              <w:spacing w:after="0"/>
              <w:rPr>
                <w:sz w:val="20"/>
                <w:szCs w:val="20"/>
                <w:color w:val="auto"/>
              </w:rPr>
            </w:pPr>
            <w:r>
              <w:rPr>
                <w:rFonts w:ascii="Arial" w:cs="Arial" w:eastAsia="Arial" w:hAnsi="Arial"/>
                <w:sz w:val="18"/>
                <w:szCs w:val="18"/>
                <w:color w:val="auto"/>
              </w:rPr>
              <w:t>1,709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16"/>
        </w:trPr>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- 67.29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-1203960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-1203960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-1203960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-1203960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-767080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-767080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-767080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-767080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-767080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-767080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-767080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-767080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-767080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-767080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-767080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In May 1993, the stockholders adopted our Employee Stock Purchase Plan, or the Purchase Plan, which was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As of December 31, 2001, a total of 1,016,000 shares of common stock were reserved for issuance. Under the terms of the Purchase Plan, employees can choose to have up to ten percent of their annual compensation withheld to purchase shares of common stock. The purchase price of the common stock is at 85 percent of the lower of the fair market value of the common stock at the enrollment or purchase date. During 2001, 2000 and 1999, 106,000 shares, 83,000 shares and 495,000 shares, respectively, were issued under the Purchase Plan.</w:t>
      </w:r>
    </w:p>
    <w:p>
      <w:pPr>
        <w:spacing w:after="0" w:line="170"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Pro Forma Information: </w:t>
      </w:r>
      <w:r>
        <w:rPr>
          <w:rFonts w:ascii="Arial" w:cs="Arial" w:eastAsia="Arial" w:hAnsi="Arial"/>
          <w:sz w:val="16"/>
          <w:szCs w:val="16"/>
          <w:color w:val="auto"/>
        </w:rPr>
        <w:t>We have retained the approach under APB Opinion No. 25 and related interpretations in accounting for our stock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plans. Accordingly, no compensation expense has been recognized for our Option Plan, Directors Plan and Purchase Plan. Had compensation expense for our stock option and purchase plans been determined consistent with Statement No. 123, net income and earnings per share would have been decreased to the pro forma amounts indicated below (table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5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As reported</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48,145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 forma</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11,316</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Earnings per share, as reported</w:t>
            </w:r>
          </w:p>
        </w:tc>
        <w:tc>
          <w:tcPr>
            <w:tcW w:w="2140" w:type="dxa"/>
            <w:vAlign w:val="bottom"/>
          </w:tcPr>
          <w:p>
            <w:pPr>
              <w:ind w:left="98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0.36</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140" w:type="dxa"/>
            <w:vAlign w:val="bottom"/>
          </w:tcPr>
          <w:p>
            <w:pPr>
              <w:ind w:left="98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pro forma</w:t>
            </w:r>
          </w:p>
        </w:tc>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40" w:type="dxa"/>
            <w:vAlign w:val="bottom"/>
            <w:shd w:val="clear" w:color="auto" w:fill="CCEEFF"/>
          </w:tcPr>
          <w:p>
            <w:pPr>
              <w:spacing w:after="0"/>
              <w:rPr>
                <w:sz w:val="19"/>
                <w:szCs w:val="19"/>
                <w:color w:val="auto"/>
              </w:rPr>
            </w:pPr>
          </w:p>
        </w:tc>
        <w:tc>
          <w:tcPr>
            <w:tcW w:w="2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Pr>
          <w:p>
            <w:pPr>
              <w:jc w:val="right"/>
              <w:ind w:right="412"/>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-1177290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-1177290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-1177290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-1177290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-1177290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-1177290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fair value of each option grant granted under the Option Plan and the value of each purchase right granted under the Purchase Plan is estimated on the date of grant using the Black-Scholes option-pricing model with the following weighted-average assumptions used for grants in 2001, 2000 and 1999:</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2"/>
              </w:rPr>
              <w:t>Option Grant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12"/>
              <w:spacing w:after="0"/>
              <w:rPr>
                <w:sz w:val="20"/>
                <w:szCs w:val="20"/>
                <w:color w:val="auto"/>
              </w:rPr>
            </w:pPr>
            <w:r>
              <w:rPr>
                <w:rFonts w:ascii="Arial" w:cs="Arial" w:eastAsia="Arial" w:hAnsi="Arial"/>
                <w:sz w:val="18"/>
                <w:szCs w:val="18"/>
                <w:color w:val="auto"/>
              </w:rPr>
              <w:t>83.2%</w:t>
            </w: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 share fair value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29.10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7"/>
              </w:rPr>
              <w:t>Purchase Right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4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2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4"/>
          </w:tcPr>
          <w:p>
            <w:pPr>
              <w:jc w:val="right"/>
              <w:ind w:right="32"/>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0.3 - 2.0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0"/>
              </w:rPr>
              <w:t>0.3 - 2.0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0.3 - 1.5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fair value</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16.52</w:t>
            </w:r>
          </w:p>
        </w:tc>
        <w:tc>
          <w:tcPr>
            <w:tcW w:w="4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-2199005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-2199005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-1950085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-1950085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-1950085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-1950085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-1950085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-1950085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-1015365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-1015365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-767080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-767080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-767080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-767080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-767080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-767080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40" w:name="page41"/>
    <w:bookmarkEnd w:id="40"/>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income tax provision for the years ended December 31, 2001, 2000 and 1999 includes the following (table in thousands):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7"/>
              <w:spacing w:after="0"/>
              <w:rPr>
                <w:sz w:val="20"/>
                <w:szCs w:val="20"/>
                <w:color w:val="auto"/>
              </w:rPr>
            </w:pPr>
            <w:r>
              <w:rPr>
                <w:rFonts w:ascii="Arial" w:cs="Arial" w:eastAsia="Arial" w:hAnsi="Arial"/>
                <w:sz w:val="14"/>
                <w:szCs w:val="14"/>
                <w:b w:val="1"/>
                <w:bCs w:val="1"/>
                <w:color w:val="auto"/>
                <w:w w:val="96"/>
              </w:rPr>
              <w:t>1999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57,431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20,772</w:t>
            </w:r>
          </w:p>
        </w:tc>
        <w:tc>
          <w:tcPr>
            <w:tcW w:w="14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59,945</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11,939</w:t>
            </w:r>
          </w:p>
        </w:tc>
        <w:tc>
          <w:tcPr>
            <w:tcW w:w="14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-906145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-906145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-906145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-906145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-906145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-906145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-306070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-306070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-306070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-306070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-306070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-306070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-14605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-14605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-14605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-14605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between our effective tax rate and the U.S statutory rate for the years ended December 31, 2001, 2000 and 1999 are as follows:</w:t>
      </w:r>
    </w:p>
    <w:p>
      <w:pPr>
        <w:spacing w:after="0" w:line="244"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Tax at U.S. statutory rate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General business credit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-1146175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-1146175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-1146175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-1146175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-1146175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-1146175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-306070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-306070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-306070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-306070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-306070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-306070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-14605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-14605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-14605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-14605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tax impacts generated under our employee stock option and purchase plans decreased the current taxable income by $131,537,000 and $11,294,000 in 2001 and 2000, respectively, and increased $3,372,000 in 1999. Such impacts were recorded to additional paid-in capital.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tax effects of temporary differences that give rise to significant portions of the deferred tax assets and liabilities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 and 2000 (table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4,089</w:t>
            </w:r>
          </w:p>
        </w:tc>
        <w:tc>
          <w:tcPr>
            <w:tcW w:w="1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principally due to difference in depreciation</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Deferred rent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Capitalized state research and experimentation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General business credit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66,448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60,800</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tax assets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Total gross deferred tax assets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146,264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130,746</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(70,732)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(130,746)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(8,488)</w:t>
            </w: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-2724150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-2724150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-2724150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-2724150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-889000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-889000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-889000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-306070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-306070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-306070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-14605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-14605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2001 we recognized a decrease in the valuation allowance of $60,014,000. In 2000 and 1999, we recognized an increase in the valuation allowance of $73,234,000 and $9,948,000, respectively.</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2001, we had net operating loss and general business credit carryforwards for Federal income tax purposes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$174,000,000 and $51,000,000, respectively, which expire beginning in 2009 and 2002, respectively. Research and experimentation tax credit carryforwards as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 for state income tax purposes are approximately $21,000,000, which do not expire.</w:t>
      </w:r>
    </w:p>
    <w:p>
      <w:pPr>
        <w:spacing w:after="0" w:line="219"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and any valuation allowance recorded against our net deferred tax assets. We have recorded a valuation allowance of $70,732,000 as of December 31, 2001, due to uncertainties related to our ability to utilize some of our deferred tax assets, primarily consisting of certain net operating loss carryforwards, before they expire. The valuation allowance is based on our estimates of taxable income by jurisdiction in which we operate and the period over which our deferred tax assets will be recoverable. Our estimates of taxable income are derived from, among other items, our estimates of deductions related to 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31"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i w:val="1"/>
          <w:iCs w:val="1"/>
          <w:color w:val="auto"/>
        </w:rPr>
        <w:t xml:space="preserve">Lease Commitments: </w:t>
      </w:r>
      <w:r>
        <w:rPr>
          <w:rFonts w:ascii="Arial" w:cs="Arial" w:eastAsia="Arial" w:hAnsi="Arial"/>
          <w:sz w:val="15"/>
          <w:szCs w:val="15"/>
          <w:color w:val="auto"/>
        </w:rPr>
        <w:t>We lease various real property under operating leases with original terms ranging from 10 to 15 years. We have the option to extend</w:t>
      </w:r>
      <w:r>
        <w:rPr>
          <w:rFonts w:ascii="Arial" w:cs="Arial" w:eastAsia="Arial" w:hAnsi="Arial"/>
          <w:sz w:val="15"/>
          <w:szCs w:val="15"/>
          <w:i w:val="1"/>
          <w:iCs w:val="1"/>
          <w:color w:val="auto"/>
        </w:rPr>
        <w:t xml:space="preserve"> </w:t>
      </w:r>
      <w:r>
        <w:rPr>
          <w:rFonts w:ascii="Arial" w:cs="Arial" w:eastAsia="Arial" w:hAnsi="Arial"/>
          <w:sz w:val="15"/>
          <w:szCs w:val="15"/>
          <w:color w:val="auto"/>
        </w:rPr>
        <w:t>the terms of these leases for two consecutive periods of five years each. In addition to the monthly lease payments, the lease agreements provide for us to pay all</w:t>
      </w:r>
    </w:p>
    <w:p>
      <w:pPr>
        <w:sectPr>
          <w:pgSz w:w="11900" w:h="17002" w:orient="portrait"/>
          <w:cols w:equalWidth="0" w:num="1">
            <w:col w:w="11380"/>
          </w:cols>
          <w:pgMar w:left="240" w:top="125" w:right="279" w:bottom="0" w:gutter="0" w:footer="0" w:header="0"/>
        </w:sectPr>
      </w:pPr>
    </w:p>
    <w:bookmarkStart w:id="41" w:name="page42"/>
    <w:bookmarkEnd w:id="41"/>
    <w:p>
      <w:pPr>
        <w:ind w:right="500"/>
        <w:spacing w:after="0" w:line="268" w:lineRule="auto"/>
        <w:rPr>
          <w:sz w:val="20"/>
          <w:szCs w:val="20"/>
          <w:color w:val="auto"/>
        </w:rPr>
      </w:pPr>
      <w:r>
        <w:rPr>
          <w:rFonts w:ascii="Arial" w:cs="Arial" w:eastAsia="Arial" w:hAnsi="Arial"/>
          <w:sz w:val="18"/>
          <w:szCs w:val="18"/>
          <w:color w:val="auto"/>
        </w:rPr>
        <w:t>operating expenses associated with the facilities. The lease agreements provide for scheduled rental increases; accordingly lease expense is recognized on a straight-line basis over the term of the leases.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all operating leases as of December 31, 2001 are as follows (table in thousands):</w:t>
      </w:r>
    </w:p>
    <w:p>
      <w:pPr>
        <w:spacing w:after="0" w:line="234" w:lineRule="exact"/>
        <w:rPr>
          <w:sz w:val="20"/>
          <w:szCs w:val="20"/>
          <w:color w:val="auto"/>
        </w:rPr>
      </w:pPr>
    </w:p>
    <w:tbl>
      <w:tblPr>
        <w:tblLayout w:type="fixed"/>
        <w:tblInd w:w="1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2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2003</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2005</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2007 and thereafter</w:t>
            </w:r>
          </w:p>
        </w:tc>
        <w:tc>
          <w:tcPr>
            <w:tcW w:w="2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21,473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-306070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-306070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-14605</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-14605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Lease expense under all operating leases totaled $7,052,000, $5,502,000 and $3,683,000 for the years ended December 31, 2001, 2000 and 1999, respectively.</w:t>
      </w:r>
    </w:p>
    <w:p>
      <w:pPr>
        <w:spacing w:after="0" w:line="186"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i w:val="1"/>
          <w:iCs w:val="1"/>
          <w:color w:val="auto"/>
        </w:rPr>
        <w:t xml:space="preserve">License Agreements: </w:t>
      </w:r>
      <w:r>
        <w:rPr>
          <w:rFonts w:ascii="Arial" w:cs="Arial" w:eastAsia="Arial" w:hAnsi="Arial"/>
          <w:sz w:val="16"/>
          <w:szCs w:val="16"/>
          <w:color w:val="auto"/>
        </w:rPr>
        <w:t>In September 1997, we entered into a development and license agreement with Cytokine Pharmasciences, Inc., or CPI,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inflammatory and autoimmune disease products based upon CPI's anti-MIF antibody technology. Concurrent with the development and license agreement with CPI, we entered into a stock purchase agreement providing for an equity investment in CPI by us. Under the terms of these agreements, we may make payments totaling up to $10,500,000, subject to the attainment of certain product development objectives. In 1997, we made a $3,000,000 preferred equity investment in CPI. Additionally, we will pay CPI royalties on sales by us on any products emerging from the collaboration.</w:t>
      </w:r>
    </w:p>
    <w:p>
      <w:pPr>
        <w:spacing w:after="0" w:line="170"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connection with our research and development efforts, we have entered into various other license agreements which provide us with rights to develop, produce and market products using certain know-how, technology and patent rights maintained by the parties. Terms of the various license agreements require us to pay royalties on future sales, if any, of specified products using the resulting technology. Third-party royalty liabilities resulting from sales of Rituxan are being paid by Genentech and recorded under the copromotion arrangement as described under "Revenues from Unconsolidated Joint Business" in Notes 1 and 8. As of December 31, 2001, such other royalties, other than annual minimum royalty payments, have not commenced on the aforementioned license agreements.</w:t>
      </w:r>
    </w:p>
    <w:p>
      <w:pPr>
        <w:spacing w:after="0" w:line="15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Supply and Escrow Agreement: </w:t>
      </w:r>
      <w:r>
        <w:rPr>
          <w:rFonts w:ascii="Arial" w:cs="Arial" w:eastAsia="Arial" w:hAnsi="Arial"/>
          <w:sz w:val="16"/>
          <w:szCs w:val="16"/>
          <w:color w:val="auto"/>
        </w:rPr>
        <w:t>In May 1999, we entered into an agreement with MDS Canada Inc., formerly MDS Nordion Inc., for the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supply of the radioisotope Yttrium-90 used with our ZEVALIN product, which we have subsequently amended. Under the terms of the agreement, as amended, MDS Canada has agreed to supply us, with certain exceptions, with the Yttrium-90 required to meet our clinical trials and commercial needs in the United Sates and Canada. The initial term of the agreement expires five years following commercialization of ZEVALIN. We have agreed to guarantee MDS Canada a minimum purchase level of Yttrium-90 over the duration of the initial term of the agreement. In addition, MDS Canada has agreed to establish a new manufacturing facility to meet our Yttrium-90 supply needs. Upon completion of this facility, MDS Canada can transition supply of Yttrium-90 from its existing facilities to the new facility. To secure our obligations under this agreement to make certain minimum purchases and in connection with MDS Canada's agreement to establish a new manufacturing facility, we have agreed to make periodic payments into an escrow account. In general, our required escrow deposits will decrease over time as we satisfy portions of our minimum annual purchase commitment. As of March 31, 2002, we have paid $5.0 million into this escrow fund. The agreement may be terminated by either party upon a bankruptcy of, or material breach by, the other party. In addition, we can terminate the agreement following our satisfaction of the minimum purchase commitments, or earlier if we agree to forfeit a portion of the funds in the escrow account. Further, MDS Canada cannot terminate the agreement until the date that is five years following the date that its new manufacturing facility is established and capable of producing Yttrium-90.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On September 10, 2001, we filed two separate suits in the federal district court in the Southern District of California seeking declaratory</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 for patent non-infringement and invalidity. One suit is against Corixa Corporation, Coulter Pharmaceuticals, Inc., and University of Michigan regarding six patents on products and processes relating to radioimmunotherapy. The second suit is against GlaxoSmithKline on two patents relating to cell culture media.</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first lawsuit seeks a declaration that ZEVALIN and its use in the treatment of various B-cell non-Hodgkin's lymphomas do not infringe Corixa's issued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U.S. patents and a further declaration that Corixa's patents are invalid. The second lawsuit seeks a declaration that our manufacture of ZEVALIN does not infringe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GlaxoSmithKline's issued U.S. patents and further that GlaxoSmithKline's patents are invalid.</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September 12, 2001, SmithKline Beecham Corporation (d/b/a/ GlaxoSmithKline), Corixa and the University of Michigan filed a lawsuit in the federal district court in the District of Delaware against us for patent infringement. The lawsuit claims that we infringe three of the six patents which are the subject of our Declaratory Judgment action against Corixa. The lawsuit seeks damages and to permanently enjoin us from commercializing ZEVALIN. This action has been transferred to San Diego and will be consolidated with our lawsuit.</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In addition, we are involved in certain other legal proceedings generally incidental to our normal business activities. While the outcome of any such proceedings cannot be accurately predicted, we do not believe the ultimate resolution of any such existing matters would have a material adverse effect on our business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Quarterly Financial Data (unaudited and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2001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Quarter 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rPr>
              <w:t>Quarter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Quarter 3</w:t>
            </w:r>
          </w:p>
        </w:tc>
        <w:tc>
          <w:tcPr>
            <w:tcW w:w="16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Quarter 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64,849</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69,615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33,742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35,873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-492760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-492760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-492760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-492760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-492760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-492760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-492760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-492760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-492760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20,807</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25,153</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26,957</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28,742</w:t>
            </w:r>
          </w:p>
        </w:tc>
      </w:tr>
      <w:tr>
        <w:trPr>
          <w:trHeight w:val="433"/>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4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1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0.15</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 2000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Quarter 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Quarter 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 3*</w:t>
            </w:r>
          </w:p>
        </w:tc>
        <w:tc>
          <w:tcPr>
            <w:tcW w:w="140" w:type="dxa"/>
            <w:vAlign w:val="bottom"/>
          </w:tcPr>
          <w:p>
            <w:pPr>
              <w:spacing w:after="0"/>
              <w:rPr>
                <w:sz w:val="15"/>
                <w:szCs w:val="15"/>
                <w:color w:val="auto"/>
              </w:rPr>
            </w:pPr>
          </w:p>
        </w:tc>
        <w:tc>
          <w:tcPr>
            <w:tcW w:w="900" w:type="dxa"/>
            <w:vAlign w:val="bottom"/>
          </w:tcPr>
          <w:p>
            <w:pPr>
              <w:jc w:val="right"/>
              <w:ind w:right="114"/>
              <w:spacing w:after="0"/>
              <w:rPr>
                <w:sz w:val="20"/>
                <w:szCs w:val="20"/>
                <w:color w:val="auto"/>
              </w:rPr>
            </w:pPr>
            <w:r>
              <w:rPr>
                <w:rFonts w:ascii="Arial" w:cs="Arial" w:eastAsia="Arial" w:hAnsi="Arial"/>
                <w:sz w:val="14"/>
                <w:szCs w:val="14"/>
                <w:b w:val="1"/>
                <w:bCs w:val="1"/>
                <w:color w:val="auto"/>
              </w:rPr>
              <w:t>Quarter 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24,584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18,219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17,398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accounting change, net of tax</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(4,316)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14,675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17,398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-1403350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-1403350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-1403350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-1403350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-1403350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-1403350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-1403350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-1403350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-1403350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620" w:right="3740" w:hanging="5612"/>
        <w:spacing w:after="0" w:line="519" w:lineRule="auto"/>
        <w:tabs>
          <w:tab w:leader="none" w:pos="54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results for the quarters ended in 2000 have been restated to reflect the adoption of SAB No. 101.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IDEC Pharmaceuticals Corporation:</w:t>
      </w:r>
    </w:p>
    <w:p>
      <w:pPr>
        <w:spacing w:after="0" w:line="219"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IDEC Pharmaceuticals Corporation and subsidiary as of December 31, 2001 and 2000, and the related consolidated statements of operations, stockholders' equity, and cash flows for each of the years in the three-year period ended December 31, 2001. These consolidated financial statements are the responsibility of the Company's management. Our responsibility is to express an opinion on these consolidated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IDEC Pharmaceuticals Corporation and subsidiary as of December 31, 2001 and 2000, and the results of their operations and their cash flows for each of the years in the three-year period ended December 31, 2001, in conformity with accounting principles generally accepted in the United States of America.</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2002</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right="40" w:firstLine="359"/>
        <w:spacing w:after="0" w:line="268" w:lineRule="auto"/>
        <w:tabs>
          <w:tab w:leader="none" w:pos="63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required by this item in regards to the identification of Directors is hereby incorporated by reference to the information contained under the caption "Election of Directors" in our Proxy Statement for our Annual Meeting of Stockholders to be held on May 23, 2002.</w:t>
      </w:r>
    </w:p>
    <w:p>
      <w:pPr>
        <w:spacing w:after="0" w:line="185" w:lineRule="exact"/>
        <w:rPr>
          <w:rFonts w:ascii="Arial" w:cs="Arial" w:eastAsia="Arial" w:hAnsi="Arial"/>
          <w:sz w:val="18"/>
          <w:szCs w:val="18"/>
          <w:color w:val="auto"/>
        </w:rPr>
      </w:pPr>
    </w:p>
    <w:p>
      <w:pPr>
        <w:ind w:right="600" w:firstLine="359"/>
        <w:spacing w:after="0" w:line="332" w:lineRule="auto"/>
        <w:tabs>
          <w:tab w:leader="none" w:pos="641"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required by Section 16(a) is hereby incorporated by reference to the information contained under the caption "Compliance with Section 16(a) of the Securities Exchange Act of 1934" in our Proxy Statement for our Annual Meeting of Stockholders to be held on May 23, 2002.</w:t>
      </w:r>
    </w:p>
    <w:p>
      <w:pPr>
        <w:spacing w:after="0" w:line="139" w:lineRule="exact"/>
        <w:rPr>
          <w:rFonts w:ascii="Arial" w:cs="Arial" w:eastAsia="Arial" w:hAnsi="Arial"/>
          <w:sz w:val="16"/>
          <w:szCs w:val="16"/>
          <w:color w:val="auto"/>
        </w:rPr>
      </w:pPr>
    </w:p>
    <w:p>
      <w:pPr>
        <w:ind w:left="640" w:hanging="28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concerning our Executive Officers is set forth in Part I of this Form 10-K.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information required by this item is hereby incorporated by reference to the information contained under the caption "Executive Compensation and Related Information" in the Proxy Statement for our Annual Meeting of Stockholders to be held on May 23, 2002.</w:t>
      </w:r>
    </w:p>
    <w:p>
      <w:pPr>
        <w:sectPr>
          <w:pgSz w:w="11900" w:h="16838" w:orient="portrait"/>
          <w:cols w:equalWidth="0" w:num="1">
            <w:col w:w="11380"/>
          </w:cols>
          <w:pgMar w:left="240" w:top="131" w:right="27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information required by this item is hereby incorporated by reference to the information contained under the caption "Security Ownership of Certain Beneficial Owners and Management" in the Proxy Statement for our Annual Meeting of Stockholders to be held on May 23, 2002.</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information required by this item is hereby incorporated by reference to the information contained under the caption "Certain Relationships and Related Transactions" in the Proxy Statement for our Annual Meeting of Stockholders to be held on May 23, 2002.</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0" w:type="dxa"/>
            <w:vAlign w:val="bottom"/>
          </w:tcPr>
          <w:p>
            <w:pPr>
              <w:ind w:left="3680"/>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460" w:type="dxa"/>
            <w:vAlign w:val="bottom"/>
            <w:gridSpan w:val="4"/>
          </w:tcPr>
          <w:p>
            <w:pPr>
              <w:spacing w:after="0"/>
              <w:rPr>
                <w:sz w:val="20"/>
                <w:szCs w:val="20"/>
                <w:color w:val="auto"/>
              </w:rPr>
            </w:pPr>
            <w:r>
              <w:rPr>
                <w:rFonts w:ascii="Arial" w:cs="Arial" w:eastAsia="Arial" w:hAnsi="Arial"/>
                <w:sz w:val="18"/>
                <w:szCs w:val="18"/>
                <w:b w:val="1"/>
                <w:bCs w:val="1"/>
                <w:color w:val="auto"/>
              </w:rPr>
              <w:t>Item 14. Exhibits, Financial Statement Schedules and Reports on Form 8-K.</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gridSpan w:val="2"/>
          </w:tcPr>
          <w:p>
            <w:pPr>
              <w:spacing w:after="0"/>
              <w:rPr>
                <w:sz w:val="20"/>
                <w:szCs w:val="20"/>
                <w:color w:val="auto"/>
              </w:rPr>
            </w:pPr>
            <w:r>
              <w:rPr>
                <w:rFonts w:ascii="Arial" w:cs="Arial" w:eastAsia="Arial" w:hAnsi="Arial"/>
                <w:sz w:val="18"/>
                <w:szCs w:val="18"/>
                <w:color w:val="auto"/>
              </w:rPr>
              <w:t>a.</w:t>
            </w: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1) Consolidated Financial Statements: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68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Balance Sheets—December 31, 2001 and 2000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Consolidated Statements of Operations—Years ended December 31, 2001, 2000 and 1999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Equity—Years ended December 31, 2001, 2000 and 1999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Flows—Years ended December 31, 2001, 2000 and 1999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gridSpan w:val="3"/>
          </w:tcPr>
          <w:p>
            <w:pPr>
              <w:spacing w:after="0"/>
              <w:rPr>
                <w:sz w:val="20"/>
                <w:szCs w:val="20"/>
                <w:color w:val="auto"/>
              </w:rPr>
            </w:pPr>
            <w:r>
              <w:rPr>
                <w:rFonts w:ascii="Arial" w:cs="Arial" w:eastAsia="Arial" w:hAnsi="Arial"/>
                <w:sz w:val="18"/>
                <w:szCs w:val="18"/>
                <w:color w:val="auto"/>
              </w:rPr>
              <w:t>Independent Auditors' Report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-991870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-991870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items are in Item 8 to this Form 10-K.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800" w:type="dxa"/>
            <w:vAlign w:val="bottom"/>
          </w:tcPr>
          <w:p>
            <w:pPr>
              <w:jc w:val="right"/>
              <w:ind w:right="2312"/>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20" w:type="dxa"/>
            <w:vAlign w:val="bottom"/>
            <w:tcBorders>
              <w:bottom w:val="single" w:sz="8" w:color="808080"/>
            </w:tcBorders>
            <w:gridSpan w:val="2"/>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380" w:type="dxa"/>
            <w:vAlign w:val="bottom"/>
            <w:gridSpan w:val="3"/>
          </w:tcPr>
          <w:p>
            <w:pPr>
              <w:ind w:left="340"/>
              <w:spacing w:after="0"/>
              <w:rPr>
                <w:sz w:val="20"/>
                <w:szCs w:val="20"/>
                <w:color w:val="auto"/>
              </w:rPr>
            </w:pPr>
            <w:r>
              <w:rPr>
                <w:rFonts w:ascii="Arial" w:cs="Arial" w:eastAsia="Arial" w:hAnsi="Arial"/>
                <w:sz w:val="18"/>
                <w:szCs w:val="18"/>
                <w:color w:val="auto"/>
              </w:rPr>
              <w:t>2) Financial Statement Schedules:</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5"/>
              </w:rPr>
              <w:t>Schedule Number</w:t>
            </w:r>
          </w:p>
        </w:tc>
        <w:tc>
          <w:tcPr>
            <w:tcW w:w="280" w:type="dxa"/>
            <w:vAlign w:val="bottom"/>
          </w:tcPr>
          <w:p>
            <w:pPr>
              <w:spacing w:after="0"/>
              <w:rPr>
                <w:sz w:val="24"/>
                <w:szCs w:val="24"/>
                <w:color w:val="auto"/>
              </w:rPr>
            </w:pPr>
          </w:p>
        </w:tc>
        <w:tc>
          <w:tcPr>
            <w:tcW w:w="3960" w:type="dxa"/>
            <w:vAlign w:val="bottom"/>
          </w:tcPr>
          <w:p>
            <w:pPr>
              <w:ind w:left="304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5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II</w:t>
            </w: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Valuation and Qualifying Accounts</w:t>
            </w:r>
          </w:p>
        </w:tc>
        <w:tc>
          <w:tcPr>
            <w:tcW w:w="3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-809625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-809625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-217805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-217805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-217805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-217805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-217805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both"/>
        <w:ind w:firstLine="341"/>
        <w:spacing w:after="0" w:line="268" w:lineRule="auto"/>
        <w:rPr>
          <w:sz w:val="20"/>
          <w:szCs w:val="20"/>
          <w:color w:val="auto"/>
        </w:rPr>
      </w:pPr>
      <w:r>
        <w:rPr>
          <w:rFonts w:ascii="Arial" w:cs="Arial" w:eastAsia="Arial" w:hAnsi="Arial"/>
          <w:sz w:val="18"/>
          <w:szCs w:val="18"/>
          <w:color w:val="auto"/>
        </w:rPr>
        <w:t>All other financial statements schedules are omitted because they are not required or are not applicable, or because the required information is included in the financial statements or notes thereto.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referenced or included in this Form 10-K.</w:t>
      </w:r>
    </w:p>
    <w:p>
      <w:pPr>
        <w:sectPr>
          <w:pgSz w:w="11900" w:h="16838" w:orient="portrait"/>
          <w:cols w:equalWidth="0" w:num="1">
            <w:col w:w="11420"/>
          </w:cols>
          <w:pgMar w:left="240" w:top="341" w:right="239" w:bottom="0" w:gutter="0" w:footer="0" w:header="0"/>
        </w:sect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49935" cy="215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4993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88900</wp:posOffset>
            </wp:positionV>
            <wp:extent cx="4806315" cy="215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4806315" cy="215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4180" w:space="720"/>
            <w:col w:w="6520"/>
          </w:cols>
          <w:pgMar w:left="240" w:top="341" w:right="239" w:bottom="0" w:gutter="0" w:footer="0" w:header="0"/>
          <w:type w:val="continuous"/>
        </w:sectPr>
      </w:pPr>
    </w:p>
    <w:p>
      <w:pPr>
        <w:spacing w:after="0" w:line="44" w:lineRule="exact"/>
        <w:rPr>
          <w:sz w:val="20"/>
          <w:szCs w:val="20"/>
          <w:color w:val="auto"/>
        </w:rPr>
      </w:pPr>
    </w:p>
    <w:p>
      <w:pPr>
        <w:ind w:left="1460" w:right="2660" w:hanging="781"/>
        <w:spacing w:after="0" w:line="259" w:lineRule="auto"/>
        <w:tabs>
          <w:tab w:leader="none" w:pos="144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8"/>
          <w:szCs w:val="18"/>
          <w:color w:val="auto"/>
        </w:rPr>
        <w:t>Purchase Agreement for $300,000,000 Liquid Yield Option Notes™ due 2019 (Zero Coupon— Subordinated) dated as of February 9, 1999 between the Registrant and Merrill Lynch, Pierce, Fenner &amp; Smith Incorporated.</w:t>
      </w:r>
    </w:p>
    <w:p>
      <w:pPr>
        <w:spacing w:after="0" w:line="194"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3.1(20)</w:t>
      </w:r>
      <w:r>
        <w:rPr>
          <w:sz w:val="20"/>
          <w:szCs w:val="20"/>
          <w:color w:val="auto"/>
        </w:rPr>
        <w:tab/>
      </w:r>
      <w:r>
        <w:rPr>
          <w:rFonts w:ascii="Arial" w:cs="Arial" w:eastAsia="Arial" w:hAnsi="Arial"/>
          <w:sz w:val="15"/>
          <w:szCs w:val="15"/>
          <w:color w:val="auto"/>
        </w:rPr>
        <w:t>Amended and Restated Certificate of Incorporation of the Registrant.</w:t>
      </w:r>
    </w:p>
    <w:p>
      <w:pPr>
        <w:spacing w:after="0" w:line="225"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Bylaws of the Registrant.</w:t>
      </w:r>
    </w:p>
    <w:p>
      <w:pPr>
        <w:spacing w:after="0" w:line="225"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3.3(27)</w:t>
      </w:r>
      <w:r>
        <w:rPr>
          <w:sz w:val="20"/>
          <w:szCs w:val="20"/>
          <w:color w:val="auto"/>
        </w:rPr>
        <w:tab/>
      </w:r>
      <w:r>
        <w:rPr>
          <w:rFonts w:ascii="Arial" w:cs="Arial" w:eastAsia="Arial" w:hAnsi="Arial"/>
          <w:sz w:val="16"/>
          <w:szCs w:val="16"/>
          <w:color w:val="auto"/>
        </w:rPr>
        <w:t>Certificate of Amendment of Amended and Restated Certificate of Incorporation of the Registrant.</w:t>
      </w:r>
    </w:p>
    <w:p>
      <w:pPr>
        <w:spacing w:after="0" w:line="225"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Reference is made to Exhibit 3.1.</w:t>
      </w:r>
    </w:p>
    <w:p>
      <w:pPr>
        <w:spacing w:after="0" w:line="225"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Reference is made to Exhibit 3.2.</w:t>
      </w:r>
    </w:p>
    <w:p>
      <w:pPr>
        <w:spacing w:after="0" w:line="225"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1992 Amended and Restated Registration Rights Agreement of IDEC California.</w:t>
      </w:r>
    </w:p>
    <w:p>
      <w:pPr>
        <w:spacing w:after="0" w:line="225"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Specimen Common Stock Certificate of the Registrant.</w:t>
      </w:r>
    </w:p>
    <w:p>
      <w:pPr>
        <w:spacing w:after="0" w:line="225" w:lineRule="exact"/>
        <w:rPr>
          <w:sz w:val="20"/>
          <w:szCs w:val="20"/>
          <w:color w:val="auto"/>
        </w:rPr>
      </w:pPr>
    </w:p>
    <w:p>
      <w:pPr>
        <w:ind w:left="960"/>
        <w:spacing w:after="0"/>
        <w:tabs>
          <w:tab w:leader="none" w:pos="1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Reference is made to Exhibit 10.46.</w:t>
      </w:r>
    </w:p>
    <w:p>
      <w:pPr>
        <w:spacing w:after="0" w:line="225"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18"/>
          <w:szCs w:val="18"/>
          <w:color w:val="auto"/>
        </w:rPr>
        <w:t>4.6(7)</w:t>
      </w:r>
      <w:r>
        <w:rPr>
          <w:sz w:val="20"/>
          <w:szCs w:val="20"/>
          <w:color w:val="auto"/>
        </w:rPr>
        <w:tab/>
      </w:r>
      <w:r>
        <w:rPr>
          <w:rFonts w:ascii="Arial" w:cs="Arial" w:eastAsia="Arial" w:hAnsi="Arial"/>
          <w:sz w:val="15"/>
          <w:szCs w:val="15"/>
          <w:color w:val="auto"/>
        </w:rPr>
        <w:t>1995 Registration Rights Agreement of the Registrant.</w:t>
      </w:r>
    </w:p>
    <w:p>
      <w:pPr>
        <w:spacing w:after="0" w:line="225"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4.8(18)</w:t>
      </w:r>
      <w:r>
        <w:rPr>
          <w:sz w:val="20"/>
          <w:szCs w:val="20"/>
          <w:color w:val="auto"/>
        </w:rPr>
        <w:tab/>
      </w:r>
      <w:r>
        <w:rPr>
          <w:rFonts w:ascii="Arial" w:cs="Arial" w:eastAsia="Arial" w:hAnsi="Arial"/>
          <w:sz w:val="15"/>
          <w:szCs w:val="15"/>
          <w:color w:val="auto"/>
        </w:rPr>
        <w:t>Preferred Share Purchase Rights.</w:t>
      </w:r>
    </w:p>
    <w:p>
      <w:pPr>
        <w:spacing w:after="0" w:line="225"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4.9(19)</w:t>
      </w:r>
      <w:r>
        <w:rPr>
          <w:sz w:val="20"/>
          <w:szCs w:val="20"/>
          <w:color w:val="auto"/>
        </w:rPr>
        <w:tab/>
      </w:r>
      <w:r>
        <w:rPr>
          <w:rFonts w:ascii="Arial" w:cs="Arial" w:eastAsia="Arial" w:hAnsi="Arial"/>
          <w:sz w:val="15"/>
          <w:szCs w:val="15"/>
          <w:color w:val="auto"/>
        </w:rPr>
        <w:t>First Amendment to the Preferred Share Purchase Rights Agreement, dated July 22, 1997.</w:t>
      </w:r>
    </w:p>
    <w:p>
      <w:pPr>
        <w:sectPr>
          <w:pgSz w:w="11900" w:h="16838" w:orient="portrait"/>
          <w:cols w:equalWidth="0" w:num="1">
            <w:col w:w="11420"/>
          </w:cols>
          <w:pgMar w:left="240" w:top="341" w:right="239" w:bottom="0" w:gutter="0" w:footer="0" w:header="0"/>
          <w:type w:val="continuous"/>
        </w:sectPr>
      </w:pPr>
    </w:p>
    <w:bookmarkStart w:id="44" w:name="page45"/>
    <w:bookmarkEnd w:id="44"/>
    <w:p>
      <w:pPr>
        <w:ind w:left="980" w:right="1619" w:hanging="869"/>
        <w:spacing w:after="0" w:line="268" w:lineRule="auto"/>
        <w:tabs>
          <w:tab w:leader="none" w:pos="960" w:val="left"/>
        </w:tabs>
        <w:rPr>
          <w:sz w:val="20"/>
          <w:szCs w:val="20"/>
          <w:color w:val="auto"/>
        </w:rPr>
      </w:pPr>
      <w:r>
        <w:rPr>
          <w:rFonts w:ascii="Arial" w:cs="Arial" w:eastAsia="Arial" w:hAnsi="Arial"/>
          <w:sz w:val="18"/>
          <w:szCs w:val="18"/>
          <w:color w:val="auto"/>
        </w:rPr>
        <w:t>4.10(19)</w:t>
      </w:r>
      <w:r>
        <w:rPr>
          <w:sz w:val="20"/>
          <w:szCs w:val="20"/>
          <w:color w:val="auto"/>
        </w:rPr>
        <w:tab/>
      </w:r>
      <w:r>
        <w:rPr>
          <w:rFonts w:ascii="Arial" w:cs="Arial" w:eastAsia="Arial" w:hAnsi="Arial"/>
          <w:sz w:val="18"/>
          <w:szCs w:val="18"/>
          <w:color w:val="auto"/>
        </w:rPr>
        <w:t>Indenture dated as of February 16, 1999 between the Registrant and Chase Manhattan Bank and Trust Company, National Association.</w:t>
      </w:r>
    </w:p>
    <w:p>
      <w:pPr>
        <w:spacing w:after="0" w:line="186" w:lineRule="exact"/>
        <w:rPr>
          <w:sz w:val="20"/>
          <w:szCs w:val="20"/>
          <w:color w:val="auto"/>
        </w:rPr>
      </w:pPr>
    </w:p>
    <w:p>
      <w:pPr>
        <w:ind w:left="400"/>
        <w:spacing w:after="0"/>
        <w:tabs>
          <w:tab w:leader="none" w:pos="9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color w:val="auto"/>
        </w:rPr>
        <w:t>Reference is made to Exhibit 1.1</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4.12(10)</w:t>
      </w:r>
      <w:r>
        <w:rPr>
          <w:sz w:val="20"/>
          <w:szCs w:val="20"/>
          <w:color w:val="auto"/>
        </w:rPr>
        <w:tab/>
      </w:r>
      <w:r>
        <w:rPr>
          <w:rFonts w:ascii="Arial" w:cs="Arial" w:eastAsia="Arial" w:hAnsi="Arial"/>
          <w:sz w:val="16"/>
          <w:szCs w:val="16"/>
          <w:color w:val="auto"/>
        </w:rPr>
        <w:t>Form of Registered Liquid Yield Option™ Note due 2019.</w:t>
      </w:r>
    </w:p>
    <w:p>
      <w:pPr>
        <w:spacing w:after="0" w:line="225" w:lineRule="exact"/>
        <w:rPr>
          <w:sz w:val="20"/>
          <w:szCs w:val="20"/>
          <w:color w:val="auto"/>
        </w:rPr>
      </w:pPr>
    </w:p>
    <w:p>
      <w:pPr>
        <w:ind w:left="980" w:right="1719" w:hanging="869"/>
        <w:spacing w:after="0" w:line="268" w:lineRule="auto"/>
        <w:tabs>
          <w:tab w:leader="none" w:pos="960" w:val="left"/>
        </w:tabs>
        <w:rPr>
          <w:sz w:val="20"/>
          <w:szCs w:val="20"/>
          <w:color w:val="auto"/>
        </w:rPr>
      </w:pPr>
      <w:r>
        <w:rPr>
          <w:rFonts w:ascii="Arial" w:cs="Arial" w:eastAsia="Arial" w:hAnsi="Arial"/>
          <w:sz w:val="18"/>
          <w:szCs w:val="18"/>
          <w:color w:val="auto"/>
        </w:rPr>
        <w:t>4.13(26)</w:t>
      </w:r>
      <w:r>
        <w:rPr>
          <w:sz w:val="20"/>
          <w:szCs w:val="20"/>
          <w:color w:val="auto"/>
        </w:rPr>
        <w:tab/>
      </w:r>
      <w:r>
        <w:rPr>
          <w:rFonts w:ascii="Arial" w:cs="Arial" w:eastAsia="Arial" w:hAnsi="Arial"/>
          <w:sz w:val="18"/>
          <w:szCs w:val="18"/>
          <w:color w:val="auto"/>
        </w:rPr>
        <w:t>Amended and Restated Rights Agreement dated as of July 26, 2001 between us and Mellon Investor Services LLC.</w:t>
      </w:r>
    </w:p>
    <w:p>
      <w:pPr>
        <w:spacing w:after="0" w:line="18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10.1(13)</w:t>
      </w:r>
      <w:r>
        <w:rPr>
          <w:sz w:val="20"/>
          <w:szCs w:val="20"/>
          <w:color w:val="auto"/>
        </w:rPr>
        <w:tab/>
      </w:r>
      <w:r>
        <w:rPr>
          <w:rFonts w:ascii="Arial" w:cs="Arial" w:eastAsia="Arial" w:hAnsi="Arial"/>
          <w:sz w:val="15"/>
          <w:szCs w:val="15"/>
          <w:color w:val="auto"/>
        </w:rPr>
        <w:t>1988 Stock Option Plan of the Registrant, as amended and restated through January 16, 2001.</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10.2(13)</w:t>
      </w:r>
      <w:r>
        <w:rPr>
          <w:sz w:val="20"/>
          <w:szCs w:val="20"/>
          <w:color w:val="auto"/>
        </w:rPr>
        <w:tab/>
      </w:r>
      <w:r>
        <w:rPr>
          <w:rFonts w:ascii="Arial" w:cs="Arial" w:eastAsia="Arial" w:hAnsi="Arial"/>
          <w:sz w:val="16"/>
          <w:szCs w:val="16"/>
          <w:color w:val="auto"/>
        </w:rPr>
        <w:t>Form of Notice of Grant.</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10.3(13)</w:t>
      </w:r>
      <w:r>
        <w:rPr>
          <w:sz w:val="20"/>
          <w:szCs w:val="20"/>
          <w:color w:val="auto"/>
        </w:rPr>
        <w:tab/>
      </w:r>
      <w:r>
        <w:rPr>
          <w:rFonts w:ascii="Arial" w:cs="Arial" w:eastAsia="Arial" w:hAnsi="Arial"/>
          <w:sz w:val="16"/>
          <w:szCs w:val="16"/>
          <w:color w:val="auto"/>
        </w:rPr>
        <w:t>Form of Option Agreement.</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10.4(12)</w:t>
      </w:r>
      <w:r>
        <w:rPr>
          <w:sz w:val="20"/>
          <w:szCs w:val="20"/>
          <w:color w:val="auto"/>
        </w:rPr>
        <w:tab/>
      </w:r>
      <w:r>
        <w:rPr>
          <w:rFonts w:ascii="Arial" w:cs="Arial" w:eastAsia="Arial" w:hAnsi="Arial"/>
          <w:sz w:val="15"/>
          <w:szCs w:val="15"/>
          <w:color w:val="auto"/>
        </w:rPr>
        <w:t>Letter Agreement between the Registrant and Genentech, Inc., dated May 21, 1996.</w:t>
      </w:r>
    </w:p>
    <w:p>
      <w:pPr>
        <w:spacing w:after="0" w:line="22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5"/>
          <w:szCs w:val="15"/>
          <w:color w:val="auto"/>
        </w:rPr>
        <w:t>401(k) Plan of the Registrant.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146050</wp:posOffset>
            </wp:positionV>
            <wp:extent cx="7250430" cy="215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5"/>
          <w:szCs w:val="15"/>
          <w:color w:val="auto"/>
        </w:rPr>
        <w:t>Form of acceleration of vesting letter agreement between the Registrant and certain officers.</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6"/>
          <w:szCs w:val="16"/>
          <w:color w:val="auto"/>
        </w:rPr>
        <w:t>License Agreement with Coulter Immunology, dated May 16, 1991.</w:t>
      </w:r>
    </w:p>
    <w:p>
      <w:pPr>
        <w:spacing w:after="0" w:line="225"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5"/>
          <w:szCs w:val="15"/>
          <w:color w:val="auto"/>
        </w:rPr>
        <w:t>Lease Agreement between the Registrant and Torrey Sorrento, Inc., dated July 9, 1992.</w:t>
      </w:r>
    </w:p>
    <w:p>
      <w:pPr>
        <w:spacing w:after="0" w:line="225" w:lineRule="exact"/>
        <w:rPr>
          <w:sz w:val="20"/>
          <w:szCs w:val="20"/>
          <w:color w:val="auto"/>
        </w:rPr>
      </w:pPr>
    </w:p>
    <w:p>
      <w:pPr>
        <w:ind w:left="980" w:right="1479" w:hanging="880"/>
        <w:spacing w:after="0" w:line="268" w:lineRule="auto"/>
        <w:tabs>
          <w:tab w:leader="none" w:pos="96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Collaborative Research and License Agreement between the Registrant and SmithKline Beecham p.l.c., dated October 12, 1992.</w:t>
      </w:r>
    </w:p>
    <w:p>
      <w:pPr>
        <w:spacing w:after="0" w:line="18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5"/>
          <w:szCs w:val="15"/>
          <w:color w:val="auto"/>
        </w:rPr>
        <w:t>Investment Agreement between the Registrant and S.R. One, Limited, dated October 16, 1992.</w:t>
      </w:r>
    </w:p>
    <w:p>
      <w:pPr>
        <w:spacing w:after="0" w:line="22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10.11(17)</w:t>
      </w:r>
      <w:r>
        <w:rPr>
          <w:sz w:val="20"/>
          <w:szCs w:val="20"/>
          <w:color w:val="auto"/>
        </w:rPr>
        <w:tab/>
      </w:r>
      <w:r>
        <w:rPr>
          <w:rFonts w:ascii="Arial" w:cs="Arial" w:eastAsia="Arial" w:hAnsi="Arial"/>
          <w:sz w:val="15"/>
          <w:szCs w:val="15"/>
          <w:color w:val="auto"/>
        </w:rPr>
        <w:t>1995 Employee Stock Purchase Plan, as amended and restated through January 20, 1999.</w:t>
      </w:r>
    </w:p>
    <w:p>
      <w:pPr>
        <w:spacing w:after="0" w:line="225" w:lineRule="exact"/>
        <w:rPr>
          <w:sz w:val="20"/>
          <w:szCs w:val="20"/>
          <w:color w:val="auto"/>
        </w:rPr>
      </w:pPr>
    </w:p>
    <w:p>
      <w:pPr>
        <w:jc w:val="both"/>
        <w:ind w:left="980" w:right="1719" w:hanging="968"/>
        <w:spacing w:after="0" w:line="259" w:lineRule="auto"/>
        <w:tabs>
          <w:tab w:leader="none" w:pos="960" w:val="left"/>
        </w:tabs>
        <w:rPr>
          <w:sz w:val="20"/>
          <w:szCs w:val="20"/>
          <w:color w:val="auto"/>
        </w:rPr>
      </w:pPr>
      <w:r>
        <w:rPr>
          <w:rFonts w:ascii="Arial" w:cs="Arial" w:eastAsia="Arial" w:hAnsi="Arial"/>
          <w:sz w:val="18"/>
          <w:szCs w:val="18"/>
          <w:color w:val="auto"/>
        </w:rPr>
        <w:t>10.12(4)+</w:t>
      </w:r>
      <w:r>
        <w:rPr>
          <w:sz w:val="20"/>
          <w:szCs w:val="20"/>
          <w:color w:val="auto"/>
        </w:rPr>
        <w:tab/>
      </w:r>
      <w:r>
        <w:rPr>
          <w:rFonts w:ascii="Arial" w:cs="Arial" w:eastAsia="Arial" w:hAnsi="Arial"/>
          <w:sz w:val="18"/>
          <w:szCs w:val="18"/>
          <w:color w:val="auto"/>
        </w:rPr>
        <w:t>Collaborative Development Agreement between the Registrant and Mitsubishi Pharma Corporation, formerly Mitsubishi-Tokyo Pharmaceuticals, Inc., formerly Mitsubishi Chemical Corporation, dated November 11, 1993.</w:t>
      </w:r>
    </w:p>
    <w:p>
      <w:pPr>
        <w:spacing w:after="0" w:line="19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10.14(29)</w:t>
      </w:r>
      <w:r>
        <w:rPr>
          <w:sz w:val="20"/>
          <w:szCs w:val="20"/>
          <w:color w:val="auto"/>
        </w:rPr>
        <w:tab/>
      </w:r>
      <w:r>
        <w:rPr>
          <w:rFonts w:ascii="Arial" w:cs="Arial" w:eastAsia="Arial" w:hAnsi="Arial"/>
          <w:sz w:val="15"/>
          <w:szCs w:val="15"/>
          <w:color w:val="auto"/>
        </w:rPr>
        <w:t>1993 Non-Employee Directors Stock Option Plan, as amended and restated through March 23, 2001.</w:t>
      </w:r>
    </w:p>
    <w:p>
      <w:pPr>
        <w:spacing w:after="0" w:line="225" w:lineRule="exact"/>
        <w:rPr>
          <w:sz w:val="20"/>
          <w:szCs w:val="20"/>
          <w:color w:val="auto"/>
        </w:rPr>
      </w:pPr>
    </w:p>
    <w:p>
      <w:pPr>
        <w:ind w:left="980" w:right="1959" w:hanging="968"/>
        <w:spacing w:after="0" w:line="268" w:lineRule="auto"/>
        <w:tabs>
          <w:tab w:leader="none" w:pos="960" w:val="left"/>
        </w:tabs>
        <w:rPr>
          <w:sz w:val="20"/>
          <w:szCs w:val="20"/>
          <w:color w:val="auto"/>
        </w:rPr>
      </w:pPr>
      <w:r>
        <w:rPr>
          <w:rFonts w:ascii="Arial" w:cs="Arial" w:eastAsia="Arial" w:hAnsi="Arial"/>
          <w:sz w:val="18"/>
          <w:szCs w:val="18"/>
          <w:color w:val="auto"/>
        </w:rPr>
        <w:t>10.15(6)+</w:t>
      </w:r>
      <w:r>
        <w:rPr>
          <w:sz w:val="20"/>
          <w:szCs w:val="20"/>
          <w:color w:val="auto"/>
        </w:rPr>
        <w:tab/>
      </w:r>
      <w:r>
        <w:rPr>
          <w:rFonts w:ascii="Arial" w:cs="Arial" w:eastAsia="Arial" w:hAnsi="Arial"/>
          <w:sz w:val="18"/>
          <w:szCs w:val="18"/>
          <w:color w:val="auto"/>
        </w:rPr>
        <w:t>Collaborative Development Agreement between the Registrant and Seikagaku Corporation dated December 27, 1994.</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10.16(6)+</w:t>
      </w:r>
      <w:r>
        <w:rPr>
          <w:sz w:val="20"/>
          <w:szCs w:val="20"/>
          <w:color w:val="auto"/>
        </w:rPr>
        <w:tab/>
      </w:r>
      <w:r>
        <w:rPr>
          <w:rFonts w:ascii="Arial" w:cs="Arial" w:eastAsia="Arial" w:hAnsi="Arial"/>
          <w:sz w:val="15"/>
          <w:szCs w:val="15"/>
          <w:color w:val="auto"/>
        </w:rPr>
        <w:t>License Agreement between the Registrant and Seikagaku Corporation dated December 27, 1994.</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10.27(6)</w:t>
      </w:r>
      <w:r>
        <w:rPr>
          <w:sz w:val="20"/>
          <w:szCs w:val="20"/>
          <w:color w:val="auto"/>
        </w:rPr>
        <w:tab/>
      </w:r>
      <w:r>
        <w:rPr>
          <w:rFonts w:ascii="Arial" w:cs="Arial" w:eastAsia="Arial" w:hAnsi="Arial"/>
          <w:sz w:val="15"/>
          <w:szCs w:val="15"/>
          <w:color w:val="auto"/>
        </w:rPr>
        <w:t>1994 Registration Rights Agreement.</w:t>
      </w:r>
    </w:p>
    <w:p>
      <w:pPr>
        <w:spacing w:after="0" w:line="225" w:lineRule="exact"/>
        <w:rPr>
          <w:sz w:val="20"/>
          <w:szCs w:val="20"/>
          <w:color w:val="auto"/>
        </w:rPr>
      </w:pPr>
    </w:p>
    <w:p>
      <w:pPr>
        <w:ind w:left="980" w:right="1679" w:hanging="869"/>
        <w:spacing w:after="0" w:line="268" w:lineRule="auto"/>
        <w:tabs>
          <w:tab w:leader="none" w:pos="960" w:val="left"/>
        </w:tabs>
        <w:rPr>
          <w:sz w:val="20"/>
          <w:szCs w:val="20"/>
          <w:color w:val="auto"/>
        </w:rPr>
      </w:pPr>
      <w:r>
        <w:rPr>
          <w:rFonts w:ascii="Arial" w:cs="Arial" w:eastAsia="Arial" w:hAnsi="Arial"/>
          <w:sz w:val="18"/>
          <w:szCs w:val="18"/>
          <w:color w:val="auto"/>
        </w:rPr>
        <w:t>10.28(6)</w:t>
      </w:r>
      <w:r>
        <w:rPr>
          <w:sz w:val="20"/>
          <w:szCs w:val="20"/>
          <w:color w:val="auto"/>
        </w:rPr>
        <w:tab/>
      </w:r>
      <w:r>
        <w:rPr>
          <w:rFonts w:ascii="Arial" w:cs="Arial" w:eastAsia="Arial" w:hAnsi="Arial"/>
          <w:sz w:val="18"/>
          <w:szCs w:val="18"/>
          <w:color w:val="auto"/>
        </w:rPr>
        <w:t>Investment Agreement between the Registrant, SmithKline Beecham p.l.c. and SmithKline Beecham Corporation, dated December 28, 1994.</w:t>
      </w:r>
    </w:p>
    <w:p>
      <w:pPr>
        <w:spacing w:after="0" w:line="18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10.29(7)</w:t>
      </w:r>
      <w:r>
        <w:rPr>
          <w:sz w:val="20"/>
          <w:szCs w:val="20"/>
          <w:color w:val="auto"/>
        </w:rPr>
        <w:tab/>
      </w:r>
      <w:r>
        <w:rPr>
          <w:rFonts w:ascii="Arial" w:cs="Arial" w:eastAsia="Arial" w:hAnsi="Arial"/>
          <w:sz w:val="15"/>
          <w:szCs w:val="15"/>
          <w:color w:val="auto"/>
        </w:rPr>
        <w:t>Master Definitions Agreement between the Registrant and Genentech. Inc.</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10.30(7)+</w:t>
      </w:r>
      <w:r>
        <w:rPr>
          <w:sz w:val="20"/>
          <w:szCs w:val="20"/>
          <w:color w:val="auto"/>
        </w:rPr>
        <w:tab/>
      </w:r>
      <w:r>
        <w:rPr>
          <w:rFonts w:ascii="Arial" w:cs="Arial" w:eastAsia="Arial" w:hAnsi="Arial"/>
          <w:sz w:val="15"/>
          <w:szCs w:val="15"/>
          <w:color w:val="auto"/>
        </w:rPr>
        <w:t>Collaboration Agreement between the Registrant and Genentech. Inc., dated March 16, 1995.</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10.31(7)+</w:t>
      </w:r>
      <w:r>
        <w:rPr>
          <w:sz w:val="20"/>
          <w:szCs w:val="20"/>
          <w:color w:val="auto"/>
        </w:rPr>
        <w:tab/>
      </w:r>
      <w:r>
        <w:rPr>
          <w:rFonts w:ascii="Arial" w:cs="Arial" w:eastAsia="Arial" w:hAnsi="Arial"/>
          <w:sz w:val="15"/>
          <w:szCs w:val="15"/>
          <w:color w:val="auto"/>
        </w:rPr>
        <w:t>Expression Technology Agreement between the Registrant and Genentech. Inc., dated March 16, 1995.</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10.32(7)</w:t>
      </w:r>
      <w:r>
        <w:rPr>
          <w:sz w:val="20"/>
          <w:szCs w:val="20"/>
          <w:color w:val="auto"/>
        </w:rPr>
        <w:tab/>
      </w:r>
      <w:r>
        <w:rPr>
          <w:rFonts w:ascii="Arial" w:cs="Arial" w:eastAsia="Arial" w:hAnsi="Arial"/>
          <w:sz w:val="15"/>
          <w:szCs w:val="15"/>
          <w:color w:val="auto"/>
        </w:rPr>
        <w:t>Preferred Stock Purchase Agreement between the Registrant and Genentech. Inc., dated March 16, 1995.</w:t>
      </w:r>
    </w:p>
    <w:p>
      <w:pPr>
        <w:spacing w:after="0" w:line="22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10.33(7)</w:t>
      </w:r>
      <w:r>
        <w:rPr>
          <w:sz w:val="20"/>
          <w:szCs w:val="20"/>
          <w:color w:val="auto"/>
        </w:rPr>
        <w:tab/>
      </w:r>
      <w:r>
        <w:rPr>
          <w:rFonts w:ascii="Arial" w:cs="Arial" w:eastAsia="Arial" w:hAnsi="Arial"/>
          <w:sz w:val="15"/>
          <w:szCs w:val="15"/>
          <w:color w:val="auto"/>
        </w:rPr>
        <w:t>Option Agreement between the Registrant and Genentech, Inc., dated March 16, 1995.</w:t>
      </w:r>
    </w:p>
    <w:p>
      <w:pPr>
        <w:spacing w:after="0" w:line="225" w:lineRule="exact"/>
        <w:rPr>
          <w:sz w:val="20"/>
          <w:szCs w:val="20"/>
          <w:color w:val="auto"/>
        </w:rPr>
      </w:pPr>
    </w:p>
    <w:p>
      <w:pPr>
        <w:ind w:left="980" w:right="1419" w:hanging="869"/>
        <w:spacing w:after="0" w:line="268" w:lineRule="auto"/>
        <w:tabs>
          <w:tab w:leader="none" w:pos="960" w:val="left"/>
        </w:tabs>
        <w:rPr>
          <w:sz w:val="20"/>
          <w:szCs w:val="20"/>
          <w:color w:val="auto"/>
        </w:rPr>
      </w:pPr>
      <w:r>
        <w:rPr>
          <w:rFonts w:ascii="Arial" w:cs="Arial" w:eastAsia="Arial" w:hAnsi="Arial"/>
          <w:sz w:val="18"/>
          <w:szCs w:val="18"/>
          <w:color w:val="auto"/>
        </w:rPr>
        <w:t>10.34(7)</w:t>
      </w:r>
      <w:r>
        <w:rPr>
          <w:sz w:val="20"/>
          <w:szCs w:val="20"/>
          <w:color w:val="auto"/>
        </w:rPr>
        <w:tab/>
      </w:r>
      <w:r>
        <w:rPr>
          <w:rFonts w:ascii="Arial" w:cs="Arial" w:eastAsia="Arial" w:hAnsi="Arial"/>
          <w:sz w:val="18"/>
          <w:szCs w:val="18"/>
          <w:color w:val="auto"/>
        </w:rPr>
        <w:t>Preferred and Common Stock Purchase Agreement between the Registrant and ML/MS Associates, L.P., dated March 16, 1995.</w:t>
      </w:r>
    </w:p>
    <w:p>
      <w:pPr>
        <w:spacing w:after="0" w:line="18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10.35(9)+</w:t>
      </w:r>
      <w:r>
        <w:rPr>
          <w:sz w:val="20"/>
          <w:szCs w:val="20"/>
          <w:color w:val="auto"/>
        </w:rPr>
        <w:tab/>
      </w:r>
      <w:r>
        <w:rPr>
          <w:rFonts w:ascii="Arial" w:cs="Arial" w:eastAsia="Arial" w:hAnsi="Arial"/>
          <w:sz w:val="15"/>
          <w:szCs w:val="15"/>
          <w:color w:val="auto"/>
        </w:rPr>
        <w:t>Amendment Agreement between the Registrant and SmithKline Beecham p.l.c., dated January 20, 1993.</w:t>
      </w:r>
    </w:p>
    <w:p>
      <w:pPr>
        <w:spacing w:after="0" w:line="225" w:lineRule="exact"/>
        <w:rPr>
          <w:sz w:val="20"/>
          <w:szCs w:val="20"/>
          <w:color w:val="auto"/>
        </w:rPr>
      </w:pPr>
    </w:p>
    <w:p>
      <w:pPr>
        <w:ind w:left="980" w:right="1299" w:hanging="968"/>
        <w:spacing w:after="0" w:line="268" w:lineRule="auto"/>
        <w:tabs>
          <w:tab w:leader="none" w:pos="960" w:val="left"/>
        </w:tabs>
        <w:rPr>
          <w:sz w:val="20"/>
          <w:szCs w:val="20"/>
          <w:color w:val="auto"/>
        </w:rPr>
      </w:pPr>
      <w:r>
        <w:rPr>
          <w:rFonts w:ascii="Arial" w:cs="Arial" w:eastAsia="Arial" w:hAnsi="Arial"/>
          <w:sz w:val="18"/>
          <w:szCs w:val="18"/>
          <w:color w:val="auto"/>
        </w:rPr>
        <w:t>10.36(9)+</w:t>
      </w:r>
      <w:r>
        <w:rPr>
          <w:sz w:val="20"/>
          <w:szCs w:val="20"/>
          <w:color w:val="auto"/>
        </w:rPr>
        <w:tab/>
      </w:r>
      <w:r>
        <w:rPr>
          <w:rFonts w:ascii="Arial" w:cs="Arial" w:eastAsia="Arial" w:hAnsi="Arial"/>
          <w:sz w:val="18"/>
          <w:szCs w:val="18"/>
          <w:color w:val="auto"/>
        </w:rPr>
        <w:t>Modification of the Amendment Agreement between the Registrant and SmithKline Beecham p.l.c., dated June 14, 1993.</w:t>
      </w:r>
    </w:p>
    <w:p>
      <w:pPr>
        <w:spacing w:after="0" w:line="18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color w:val="auto"/>
        </w:rPr>
        <w:t>10.37(8)</w:t>
      </w:r>
      <w:r>
        <w:rPr>
          <w:sz w:val="20"/>
          <w:szCs w:val="20"/>
          <w:color w:val="auto"/>
        </w:rPr>
        <w:tab/>
      </w:r>
      <w:r>
        <w:rPr>
          <w:rFonts w:ascii="Arial" w:cs="Arial" w:eastAsia="Arial" w:hAnsi="Arial"/>
          <w:sz w:val="15"/>
          <w:szCs w:val="15"/>
          <w:color w:val="auto"/>
        </w:rPr>
        <w:t>Special Stock Issuance Plan.</w:t>
      </w:r>
    </w:p>
    <w:p>
      <w:pPr>
        <w:spacing w:after="0" w:line="22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10.40(15)</w:t>
      </w:r>
      <w:r>
        <w:rPr>
          <w:sz w:val="20"/>
          <w:szCs w:val="20"/>
          <w:color w:val="auto"/>
        </w:rPr>
        <w:tab/>
      </w:r>
      <w:r>
        <w:rPr>
          <w:rFonts w:ascii="Arial" w:cs="Arial" w:eastAsia="Arial" w:hAnsi="Arial"/>
          <w:sz w:val="15"/>
          <w:szCs w:val="15"/>
          <w:color w:val="auto"/>
        </w:rPr>
        <w:t>Collaborative Development Agreement between the Registrant and Eisai Co., Ltd. dated December 11,</w:t>
      </w:r>
    </w:p>
    <w:p>
      <w:pPr>
        <w:sectPr>
          <w:pgSz w:w="11900" w:h="16838" w:orient="portrait"/>
          <w:cols w:equalWidth="0" w:num="1">
            <w:col w:w="9739"/>
          </w:cols>
          <w:pgMar w:left="720" w:top="131" w:right="1440" w:bottom="0" w:gutter="0" w:footer="0" w:header="0"/>
        </w:sectPr>
      </w:pPr>
    </w:p>
    <w:bookmarkStart w:id="45" w:name="page46"/>
    <w:bookmarkEnd w:id="45"/>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10.41(15)</w:t>
      </w:r>
      <w:r>
        <w:rPr>
          <w:sz w:val="20"/>
          <w:szCs w:val="20"/>
          <w:color w:val="auto"/>
        </w:rPr>
        <w:tab/>
      </w:r>
      <w:r>
        <w:rPr>
          <w:rFonts w:ascii="Arial" w:cs="Arial" w:eastAsia="Arial" w:hAnsi="Arial"/>
          <w:sz w:val="15"/>
          <w:szCs w:val="15"/>
          <w:color w:val="auto"/>
        </w:rPr>
        <w:t>License Agreement between the Registrant and Eisai Co., Ltd. dated December 11, 1995.</w:t>
      </w:r>
    </w:p>
    <w:p>
      <w:pPr>
        <w:spacing w:after="0" w:line="225" w:lineRule="exact"/>
        <w:rPr>
          <w:sz w:val="20"/>
          <w:szCs w:val="20"/>
          <w:color w:val="auto"/>
        </w:rPr>
      </w:pPr>
    </w:p>
    <w:p>
      <w:pPr>
        <w:ind w:left="1060" w:right="1939" w:hanging="957"/>
        <w:spacing w:after="0" w:line="268" w:lineRule="auto"/>
        <w:tabs>
          <w:tab w:leader="none" w:pos="1040" w:val="left"/>
        </w:tabs>
        <w:rPr>
          <w:sz w:val="20"/>
          <w:szCs w:val="20"/>
          <w:color w:val="auto"/>
        </w:rPr>
      </w:pPr>
      <w:r>
        <w:rPr>
          <w:rFonts w:ascii="Arial" w:cs="Arial" w:eastAsia="Arial" w:hAnsi="Arial"/>
          <w:sz w:val="18"/>
          <w:szCs w:val="18"/>
          <w:color w:val="auto"/>
        </w:rPr>
        <w:t>10.42(15)</w:t>
      </w:r>
      <w:r>
        <w:rPr>
          <w:sz w:val="20"/>
          <w:szCs w:val="20"/>
          <w:color w:val="auto"/>
        </w:rPr>
        <w:tab/>
      </w:r>
      <w:r>
        <w:rPr>
          <w:rFonts w:ascii="Arial" w:cs="Arial" w:eastAsia="Arial" w:hAnsi="Arial"/>
          <w:sz w:val="18"/>
          <w:szCs w:val="18"/>
          <w:color w:val="auto"/>
        </w:rPr>
        <w:t>License Agreement between the Registrant, Genentech, Inc., and Zenyaku Kogyo Co., Ltd. dated November 30, 1995.</w:t>
      </w:r>
    </w:p>
    <w:p>
      <w:pPr>
        <w:spacing w:after="0" w:line="186" w:lineRule="exact"/>
        <w:rPr>
          <w:sz w:val="20"/>
          <w:szCs w:val="20"/>
          <w:color w:val="auto"/>
        </w:rPr>
      </w:pPr>
    </w:p>
    <w:p>
      <w:pPr>
        <w:ind w:left="1060" w:right="1539" w:hanging="957"/>
        <w:spacing w:after="0" w:line="268" w:lineRule="auto"/>
        <w:tabs>
          <w:tab w:leader="none" w:pos="1040" w:val="left"/>
        </w:tabs>
        <w:rPr>
          <w:sz w:val="20"/>
          <w:szCs w:val="20"/>
          <w:color w:val="auto"/>
        </w:rPr>
      </w:pPr>
      <w:r>
        <w:rPr>
          <w:rFonts w:ascii="Arial" w:cs="Arial" w:eastAsia="Arial" w:hAnsi="Arial"/>
          <w:sz w:val="18"/>
          <w:szCs w:val="18"/>
          <w:color w:val="auto"/>
        </w:rPr>
        <w:t>10.43(15)</w:t>
      </w:r>
      <w:r>
        <w:rPr>
          <w:sz w:val="20"/>
          <w:szCs w:val="20"/>
          <w:color w:val="auto"/>
        </w:rPr>
        <w:tab/>
      </w:r>
      <w:r>
        <w:rPr>
          <w:rFonts w:ascii="Arial" w:cs="Arial" w:eastAsia="Arial" w:hAnsi="Arial"/>
          <w:sz w:val="18"/>
          <w:szCs w:val="18"/>
          <w:color w:val="auto"/>
        </w:rPr>
        <w:t>Development Agreement between the Registrant, Genentech, Inc., and Zenyaku Kogyo Co., Ltd. dated November 30, 1995.</w:t>
      </w:r>
    </w:p>
    <w:p>
      <w:pPr>
        <w:spacing w:after="0" w:line="186"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10.44(15)</w:t>
      </w:r>
      <w:r>
        <w:rPr>
          <w:sz w:val="20"/>
          <w:szCs w:val="20"/>
          <w:color w:val="auto"/>
        </w:rPr>
        <w:tab/>
      </w:r>
      <w:r>
        <w:rPr>
          <w:rFonts w:ascii="Arial" w:cs="Arial" w:eastAsia="Arial" w:hAnsi="Arial"/>
          <w:sz w:val="15"/>
          <w:szCs w:val="15"/>
          <w:color w:val="auto"/>
        </w:rPr>
        <w:t>Supply Agreement between the Registrant and Zenyaku Kogyo Co., Ltd. dated November 30, 1995.</w:t>
      </w:r>
    </w:p>
    <w:p>
      <w:pPr>
        <w:spacing w:after="0" w:line="22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10.45(15)</w:t>
      </w:r>
      <w:r>
        <w:rPr>
          <w:sz w:val="20"/>
          <w:szCs w:val="20"/>
          <w:color w:val="auto"/>
        </w:rPr>
        <w:tab/>
      </w:r>
      <w:r>
        <w:rPr>
          <w:rFonts w:ascii="Arial" w:cs="Arial" w:eastAsia="Arial" w:hAnsi="Arial"/>
          <w:sz w:val="15"/>
          <w:szCs w:val="15"/>
          <w:color w:val="auto"/>
        </w:rPr>
        <w:t>Termination Agreement between the Registrant and Zenyaku Kogyo Co., Ltd. dated November 30, 1995.</w:t>
      </w:r>
    </w:p>
    <w:p>
      <w:pPr>
        <w:spacing w:after="0" w:line="225" w:lineRule="exact"/>
        <w:rPr>
          <w:sz w:val="20"/>
          <w:szCs w:val="20"/>
          <w:color w:val="auto"/>
        </w:rPr>
      </w:pPr>
    </w:p>
    <w:p>
      <w:pPr>
        <w:ind w:left="1060" w:right="1279" w:hanging="957"/>
        <w:spacing w:after="0" w:line="268" w:lineRule="auto"/>
        <w:tabs>
          <w:tab w:leader="none" w:pos="1040" w:val="left"/>
        </w:tabs>
        <w:rPr>
          <w:sz w:val="20"/>
          <w:szCs w:val="20"/>
          <w:color w:val="auto"/>
        </w:rPr>
      </w:pPr>
      <w:r>
        <w:rPr>
          <w:rFonts w:ascii="Arial" w:cs="Arial" w:eastAsia="Arial" w:hAnsi="Arial"/>
          <w:sz w:val="18"/>
          <w:szCs w:val="18"/>
          <w:color w:val="auto"/>
        </w:rPr>
        <w:t>10.46(15)</w:t>
      </w:r>
      <w:r>
        <w:rPr>
          <w:sz w:val="20"/>
          <w:szCs w:val="20"/>
          <w:color w:val="auto"/>
        </w:rPr>
        <w:tab/>
      </w:r>
      <w:r>
        <w:rPr>
          <w:rFonts w:ascii="Arial" w:cs="Arial" w:eastAsia="Arial" w:hAnsi="Arial"/>
          <w:sz w:val="18"/>
          <w:szCs w:val="18"/>
          <w:color w:val="auto"/>
        </w:rPr>
        <w:t>Amendment to the Development Agreement between the Registrant, Genentech, Inc., and Zenyaku Kogyo Co., Ltd. dated November 30, 1995.</w:t>
      </w:r>
    </w:p>
    <w:p>
      <w:pPr>
        <w:spacing w:after="0" w:line="186"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10.47(15)</w:t>
      </w:r>
      <w:r>
        <w:rPr>
          <w:sz w:val="20"/>
          <w:szCs w:val="20"/>
          <w:color w:val="auto"/>
        </w:rPr>
        <w:tab/>
      </w:r>
      <w:r>
        <w:rPr>
          <w:rFonts w:ascii="Arial" w:cs="Arial" w:eastAsia="Arial" w:hAnsi="Arial"/>
          <w:sz w:val="15"/>
          <w:szCs w:val="15"/>
          <w:color w:val="auto"/>
        </w:rPr>
        <w:t>Amendment to Collaboration Agreement between the Registrant and Genentech, Inc., dated November 30,</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1995.</w:t>
      </w:r>
    </w:p>
    <w:p>
      <w:pPr>
        <w:spacing w:after="0" w:line="219"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10.48(11)</w:t>
      </w:r>
      <w:r>
        <w:rPr>
          <w:sz w:val="20"/>
          <w:szCs w:val="20"/>
          <w:color w:val="auto"/>
        </w:rPr>
        <w:tab/>
      </w:r>
      <w:r>
        <w:rPr>
          <w:rFonts w:ascii="Arial" w:cs="Arial" w:eastAsia="Arial" w:hAnsi="Arial"/>
          <w:sz w:val="15"/>
          <w:szCs w:val="15"/>
          <w:color w:val="auto"/>
        </w:rPr>
        <w:t>License Agreement between the Registrant and Chugai Pharmaceutical Co., Ltd., dated March 31, 1996.</w:t>
      </w:r>
    </w:p>
    <w:p>
      <w:pPr>
        <w:spacing w:after="0" w:line="225"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10.49(14)</w:t>
      </w:r>
      <w:r>
        <w:rPr>
          <w:sz w:val="20"/>
          <w:szCs w:val="20"/>
          <w:color w:val="auto"/>
        </w:rPr>
        <w:tab/>
      </w:r>
      <w:r>
        <w:rPr>
          <w:rFonts w:ascii="Arial" w:cs="Arial" w:eastAsia="Arial" w:hAnsi="Arial"/>
          <w:sz w:val="15"/>
          <w:szCs w:val="15"/>
          <w:color w:val="auto"/>
        </w:rPr>
        <w:t>Lease Agreement between the Registrant and All Spectrum Services, Inc., dated August 13, 1996.</w:t>
      </w:r>
    </w:p>
    <w:p>
      <w:pPr>
        <w:spacing w:after="0" w:line="225" w:lineRule="exact"/>
        <w:rPr>
          <w:sz w:val="20"/>
          <w:szCs w:val="20"/>
          <w:color w:val="auto"/>
        </w:rPr>
      </w:pPr>
    </w:p>
    <w:p>
      <w:pPr>
        <w:ind w:left="180"/>
        <w:spacing w:after="0"/>
        <w:tabs>
          <w:tab w:leader="none" w:pos="1040" w:val="left"/>
        </w:tabs>
        <w:rPr>
          <w:sz w:val="20"/>
          <w:szCs w:val="20"/>
          <w:color w:val="auto"/>
        </w:rPr>
      </w:pPr>
      <w:r>
        <w:rPr>
          <w:rFonts w:ascii="Arial" w:cs="Arial" w:eastAsia="Arial" w:hAnsi="Arial"/>
          <w:sz w:val="18"/>
          <w:szCs w:val="18"/>
          <w:color w:val="auto"/>
        </w:rPr>
        <w:t>10.50(1)</w:t>
      </w:r>
      <w:r>
        <w:rPr>
          <w:sz w:val="20"/>
          <w:szCs w:val="20"/>
          <w:color w:val="auto"/>
        </w:rPr>
        <w:tab/>
      </w:r>
      <w:r>
        <w:rPr>
          <w:rFonts w:ascii="Arial" w:cs="Arial" w:eastAsia="Arial" w:hAnsi="Arial"/>
          <w:sz w:val="16"/>
          <w:szCs w:val="16"/>
          <w:color w:val="auto"/>
        </w:rPr>
        <w:t>Form of Indemnification Agreement for Officers and Directors.</w:t>
      </w:r>
    </w:p>
    <w:p>
      <w:pPr>
        <w:spacing w:after="0" w:line="225" w:lineRule="exact"/>
        <w:rPr>
          <w:sz w:val="20"/>
          <w:szCs w:val="20"/>
          <w:color w:val="auto"/>
        </w:rPr>
      </w:pPr>
    </w:p>
    <w:p>
      <w:pPr>
        <w:ind w:left="1060" w:right="1499" w:hanging="1056"/>
        <w:spacing w:after="0" w:line="268" w:lineRule="auto"/>
        <w:tabs>
          <w:tab w:leader="none" w:pos="1040" w:val="left"/>
        </w:tabs>
        <w:rPr>
          <w:sz w:val="20"/>
          <w:szCs w:val="20"/>
          <w:color w:val="auto"/>
        </w:rPr>
      </w:pPr>
      <w:r>
        <w:rPr>
          <w:rFonts w:ascii="Arial" w:cs="Arial" w:eastAsia="Arial" w:hAnsi="Arial"/>
          <w:sz w:val="18"/>
          <w:szCs w:val="18"/>
          <w:color w:val="auto"/>
        </w:rPr>
        <w:t>10.51(16)+</w:t>
      </w:r>
      <w:r>
        <w:rPr>
          <w:sz w:val="20"/>
          <w:szCs w:val="20"/>
          <w:color w:val="auto"/>
        </w:rPr>
        <w:tab/>
      </w:r>
      <w:r>
        <w:rPr>
          <w:rFonts w:ascii="Arial" w:cs="Arial" w:eastAsia="Arial" w:hAnsi="Arial"/>
          <w:sz w:val="18"/>
          <w:szCs w:val="18"/>
          <w:color w:val="auto"/>
        </w:rPr>
        <w:t>9-AC Asset Transfer Agreement between the Registrant, Pharmacia &amp; Upjohn S.p.A. and Pharmacia &amp; Upjohn Company, dated February 10, 1997.</w:t>
      </w:r>
    </w:p>
    <w:p>
      <w:pPr>
        <w:spacing w:after="0" w:line="186" w:lineRule="exact"/>
        <w:rPr>
          <w:sz w:val="20"/>
          <w:szCs w:val="20"/>
          <w:color w:val="auto"/>
        </w:rPr>
      </w:pPr>
    </w:p>
    <w:p>
      <w:pPr>
        <w:ind w:left="1060" w:right="1459" w:hanging="957"/>
        <w:spacing w:after="0" w:line="259" w:lineRule="auto"/>
        <w:tabs>
          <w:tab w:leader="none" w:pos="1040" w:val="left"/>
        </w:tabs>
        <w:rPr>
          <w:sz w:val="20"/>
          <w:szCs w:val="20"/>
          <w:color w:val="auto"/>
        </w:rPr>
      </w:pPr>
      <w:r>
        <w:rPr>
          <w:rFonts w:ascii="Arial" w:cs="Arial" w:eastAsia="Arial" w:hAnsi="Arial"/>
          <w:sz w:val="18"/>
          <w:szCs w:val="18"/>
          <w:color w:val="auto"/>
        </w:rPr>
        <w:t>10.52(19)</w:t>
      </w:r>
      <w:r>
        <w:rPr>
          <w:sz w:val="20"/>
          <w:szCs w:val="20"/>
          <w:color w:val="auto"/>
        </w:rPr>
        <w:tab/>
      </w:r>
      <w:r>
        <w:rPr>
          <w:rFonts w:ascii="Arial" w:cs="Arial" w:eastAsia="Arial" w:hAnsi="Arial"/>
          <w:sz w:val="18"/>
          <w:szCs w:val="18"/>
          <w:color w:val="auto"/>
        </w:rPr>
        <w:t>Purchase Agreement for $300,000,000 Liquid Yield Option™ Notes due 2019 (Zero Coupon— Subordinated) dated as of February 9, 1999 between the Registrant and Merrill Lynch, Pierce, Fenner &amp; Smith Incorporated.</w:t>
      </w:r>
    </w:p>
    <w:p>
      <w:pPr>
        <w:spacing w:after="0" w:line="194" w:lineRule="exact"/>
        <w:rPr>
          <w:sz w:val="20"/>
          <w:szCs w:val="20"/>
          <w:color w:val="auto"/>
        </w:rPr>
      </w:pPr>
    </w:p>
    <w:p>
      <w:pPr>
        <w:ind w:left="1060" w:right="1619" w:hanging="957"/>
        <w:spacing w:after="0" w:line="268" w:lineRule="auto"/>
        <w:tabs>
          <w:tab w:leader="none" w:pos="1040" w:val="left"/>
        </w:tabs>
        <w:rPr>
          <w:sz w:val="20"/>
          <w:szCs w:val="20"/>
          <w:color w:val="auto"/>
        </w:rPr>
      </w:pPr>
      <w:r>
        <w:rPr>
          <w:rFonts w:ascii="Arial" w:cs="Arial" w:eastAsia="Arial" w:hAnsi="Arial"/>
          <w:sz w:val="18"/>
          <w:szCs w:val="18"/>
          <w:color w:val="auto"/>
        </w:rPr>
        <w:t>10.53(19)</w:t>
      </w:r>
      <w:r>
        <w:rPr>
          <w:sz w:val="20"/>
          <w:szCs w:val="20"/>
          <w:color w:val="auto"/>
        </w:rPr>
        <w:tab/>
      </w:r>
      <w:r>
        <w:rPr>
          <w:rFonts w:ascii="Arial" w:cs="Arial" w:eastAsia="Arial" w:hAnsi="Arial"/>
          <w:sz w:val="18"/>
          <w:szCs w:val="18"/>
          <w:color w:val="auto"/>
        </w:rPr>
        <w:t>Indenture dated as of February 16, 1999 between the Registrant and Chase Manhatten Bank and Trust Company, National Association.</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10.54(21)+</w:t>
      </w:r>
      <w:r>
        <w:rPr>
          <w:sz w:val="20"/>
          <w:szCs w:val="20"/>
          <w:color w:val="auto"/>
        </w:rPr>
        <w:tab/>
      </w:r>
      <w:r>
        <w:rPr>
          <w:rFonts w:ascii="Arial" w:cs="Arial" w:eastAsia="Arial" w:hAnsi="Arial"/>
          <w:sz w:val="15"/>
          <w:szCs w:val="15"/>
          <w:color w:val="auto"/>
        </w:rPr>
        <w:t>Collaboration &amp; License Agreement between the Company and Schering Aktiengesellschaft, dated June 9,</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1999.</w:t>
      </w:r>
    </w:p>
    <w:p>
      <w:pPr>
        <w:spacing w:after="0" w:line="219" w:lineRule="exact"/>
        <w:rPr>
          <w:sz w:val="20"/>
          <w:szCs w:val="20"/>
          <w:color w:val="auto"/>
        </w:rPr>
      </w:pPr>
    </w:p>
    <w:p>
      <w:pPr>
        <w:ind w:left="1060" w:right="1519" w:hanging="1056"/>
        <w:spacing w:after="0" w:line="268" w:lineRule="auto"/>
        <w:tabs>
          <w:tab w:leader="none" w:pos="1040" w:val="left"/>
        </w:tabs>
        <w:rPr>
          <w:sz w:val="20"/>
          <w:szCs w:val="20"/>
          <w:color w:val="auto"/>
        </w:rPr>
      </w:pPr>
      <w:r>
        <w:rPr>
          <w:rFonts w:ascii="Arial" w:cs="Arial" w:eastAsia="Arial" w:hAnsi="Arial"/>
          <w:sz w:val="18"/>
          <w:szCs w:val="18"/>
          <w:color w:val="auto"/>
        </w:rPr>
        <w:t>10.58(22)+</w:t>
      </w:r>
      <w:r>
        <w:rPr>
          <w:sz w:val="20"/>
          <w:szCs w:val="20"/>
          <w:color w:val="auto"/>
        </w:rPr>
        <w:tab/>
      </w:r>
      <w:r>
        <w:rPr>
          <w:rFonts w:ascii="Arial" w:cs="Arial" w:eastAsia="Arial" w:hAnsi="Arial"/>
          <w:sz w:val="18"/>
          <w:szCs w:val="18"/>
          <w:color w:val="auto"/>
        </w:rPr>
        <w:t>Amended and Restated Collaborative Research and License agreement between IDEC Pharmaceuticals Corporation and SmithKline Beecham p.l.c., dated February 29, 2000</w:t>
      </w:r>
    </w:p>
    <w:p>
      <w:pPr>
        <w:spacing w:after="0" w:line="186" w:lineRule="exact"/>
        <w:rPr>
          <w:sz w:val="20"/>
          <w:szCs w:val="20"/>
          <w:color w:val="auto"/>
        </w:rPr>
      </w:pPr>
    </w:p>
    <w:p>
      <w:pPr>
        <w:ind w:left="1060" w:right="1359" w:hanging="1056"/>
        <w:spacing w:after="0" w:line="268" w:lineRule="auto"/>
        <w:tabs>
          <w:tab w:leader="none" w:pos="1040" w:val="left"/>
        </w:tabs>
        <w:rPr>
          <w:sz w:val="20"/>
          <w:szCs w:val="20"/>
          <w:color w:val="auto"/>
        </w:rPr>
      </w:pPr>
      <w:r>
        <w:rPr>
          <w:rFonts w:ascii="Arial" w:cs="Arial" w:eastAsia="Arial" w:hAnsi="Arial"/>
          <w:sz w:val="18"/>
          <w:szCs w:val="18"/>
          <w:color w:val="auto"/>
        </w:rPr>
        <w:t>10.60(23)+</w:t>
      </w:r>
      <w:r>
        <w:rPr>
          <w:sz w:val="20"/>
          <w:szCs w:val="20"/>
          <w:color w:val="auto"/>
        </w:rPr>
        <w:tab/>
      </w:r>
      <w:r>
        <w:rPr>
          <w:rFonts w:ascii="Arial" w:cs="Arial" w:eastAsia="Arial" w:hAnsi="Arial"/>
          <w:sz w:val="18"/>
          <w:szCs w:val="18"/>
          <w:color w:val="auto"/>
        </w:rPr>
        <w:t>Collaborative Development Agreement between the Company and Taisho Pharmaceutical Co., Ltd. dated December 22, 1999.</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10.61(23)+</w:t>
      </w:r>
      <w:r>
        <w:rPr>
          <w:sz w:val="20"/>
          <w:szCs w:val="20"/>
          <w:color w:val="auto"/>
        </w:rPr>
        <w:tab/>
      </w:r>
      <w:r>
        <w:rPr>
          <w:rFonts w:ascii="Arial" w:cs="Arial" w:eastAsia="Arial" w:hAnsi="Arial"/>
          <w:sz w:val="15"/>
          <w:szCs w:val="15"/>
          <w:color w:val="auto"/>
        </w:rPr>
        <w:t>License Agreement between the Company and Taisho Pharmaceutical Co., Ltd. dated December 22, 1999.</w:t>
      </w:r>
    </w:p>
    <w:p>
      <w:pPr>
        <w:spacing w:after="0" w:line="225" w:lineRule="exact"/>
        <w:rPr>
          <w:sz w:val="20"/>
          <w:szCs w:val="20"/>
          <w:color w:val="auto"/>
        </w:rPr>
      </w:pPr>
    </w:p>
    <w:p>
      <w:pPr>
        <w:ind w:left="1060" w:right="1659" w:hanging="1056"/>
        <w:spacing w:after="0" w:line="268" w:lineRule="auto"/>
        <w:tabs>
          <w:tab w:leader="none" w:pos="1040" w:val="left"/>
        </w:tabs>
        <w:rPr>
          <w:sz w:val="20"/>
          <w:szCs w:val="20"/>
          <w:color w:val="auto"/>
        </w:rPr>
      </w:pPr>
      <w:r>
        <w:rPr>
          <w:rFonts w:ascii="Arial" w:cs="Arial" w:eastAsia="Arial" w:hAnsi="Arial"/>
          <w:sz w:val="18"/>
          <w:szCs w:val="18"/>
          <w:color w:val="auto"/>
        </w:rPr>
        <w:t>10.62(24)+</w:t>
      </w:r>
      <w:r>
        <w:rPr>
          <w:sz w:val="20"/>
          <w:szCs w:val="20"/>
          <w:color w:val="auto"/>
        </w:rPr>
        <w:tab/>
      </w:r>
      <w:r>
        <w:rPr>
          <w:rFonts w:ascii="Arial" w:cs="Arial" w:eastAsia="Arial" w:hAnsi="Arial"/>
          <w:sz w:val="18"/>
          <w:szCs w:val="18"/>
          <w:color w:val="auto"/>
        </w:rPr>
        <w:t>Purchase Agreement and Escrow Instructions dated August 31, 2000 between the Company and Ivey Ranch Development Company, LLC.</w:t>
      </w:r>
    </w:p>
    <w:p>
      <w:pPr>
        <w:spacing w:after="0" w:line="18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10.63(25)+</w:t>
      </w:r>
      <w:r>
        <w:rPr>
          <w:sz w:val="20"/>
          <w:szCs w:val="20"/>
          <w:color w:val="auto"/>
        </w:rPr>
        <w:tab/>
      </w:r>
      <w:r>
        <w:rPr>
          <w:rFonts w:ascii="Arial" w:cs="Arial" w:eastAsia="Arial" w:hAnsi="Arial"/>
          <w:sz w:val="15"/>
          <w:szCs w:val="15"/>
          <w:color w:val="auto"/>
        </w:rPr>
        <w:t>Isotope Agreement between us and MDS Nordion Inc. as amended by a first amendment on January 21,</w:t>
      </w:r>
    </w:p>
    <w:p>
      <w:pPr>
        <w:spacing w:after="0" w:line="1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2000 and a second amendment on March 16, 2001.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146050</wp:posOffset>
            </wp:positionV>
            <wp:extent cx="7250430" cy="215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60" w:right="1379" w:hanging="1056"/>
        <w:spacing w:after="0" w:line="256" w:lineRule="auto"/>
        <w:tabs>
          <w:tab w:leader="none" w:pos="1040" w:val="left"/>
        </w:tabs>
        <w:rPr>
          <w:sz w:val="20"/>
          <w:szCs w:val="20"/>
          <w:color w:val="auto"/>
        </w:rPr>
      </w:pPr>
      <w:r>
        <w:rPr>
          <w:rFonts w:ascii="Arial" w:cs="Arial" w:eastAsia="Arial" w:hAnsi="Arial"/>
          <w:sz w:val="18"/>
          <w:szCs w:val="18"/>
          <w:color w:val="auto"/>
        </w:rPr>
        <w:t>10.64(28)+</w:t>
      </w:r>
      <w:r>
        <w:rPr>
          <w:sz w:val="20"/>
          <w:szCs w:val="20"/>
          <w:color w:val="auto"/>
        </w:rPr>
        <w:tab/>
      </w:r>
      <w:r>
        <w:rPr>
          <w:rFonts w:ascii="Arial" w:cs="Arial" w:eastAsia="Arial" w:hAnsi="Arial"/>
          <w:sz w:val="18"/>
          <w:szCs w:val="18"/>
          <w:color w:val="auto"/>
        </w:rPr>
        <w:t>Purchase and Sale Agreement and Escrow Instructions between San Dieguito Partnership, L.P. and IDEC Pharmaceuticals Corporation, dated July 17, 2001, and the First, Second and Third Amendments to the Purchase and Sale Agreement and Escrow Instructions dated August 17, 2001, August 24, 2001 and August 29, 2001, respectively.</w:t>
      </w:r>
    </w:p>
    <w:p>
      <w:pPr>
        <w:spacing w:after="0" w:line="197" w:lineRule="exact"/>
        <w:rPr>
          <w:sz w:val="20"/>
          <w:szCs w:val="20"/>
          <w:color w:val="auto"/>
        </w:rPr>
      </w:pPr>
    </w:p>
    <w:p>
      <w:pPr>
        <w:ind w:left="1060" w:right="1539" w:hanging="1056"/>
        <w:spacing w:after="0" w:line="268" w:lineRule="auto"/>
        <w:tabs>
          <w:tab w:leader="none" w:pos="1040" w:val="left"/>
        </w:tabs>
        <w:rPr>
          <w:sz w:val="20"/>
          <w:szCs w:val="20"/>
          <w:color w:val="auto"/>
        </w:rPr>
      </w:pPr>
      <w:r>
        <w:rPr>
          <w:rFonts w:ascii="Arial" w:cs="Arial" w:eastAsia="Arial" w:hAnsi="Arial"/>
          <w:sz w:val="18"/>
          <w:szCs w:val="18"/>
          <w:color w:val="auto"/>
        </w:rPr>
        <w:t>10.65(28)+</w:t>
      </w:r>
      <w:r>
        <w:rPr>
          <w:sz w:val="20"/>
          <w:szCs w:val="20"/>
          <w:color w:val="auto"/>
        </w:rPr>
        <w:tab/>
      </w:r>
      <w:r>
        <w:rPr>
          <w:rFonts w:ascii="Arial" w:cs="Arial" w:eastAsia="Arial" w:hAnsi="Arial"/>
          <w:sz w:val="18"/>
          <w:szCs w:val="18"/>
          <w:color w:val="auto"/>
        </w:rPr>
        <w:t>Supply Agreement between DSM Pharmaceuticals, Inc., formerly Catalytica Pharmaceuticals, Inc. and IDEC Pharmaceuticals Corporation dated August 8, 2001.</w:t>
      </w:r>
    </w:p>
    <w:p>
      <w:pPr>
        <w:spacing w:after="0" w:line="186" w:lineRule="exact"/>
        <w:rPr>
          <w:sz w:val="20"/>
          <w:szCs w:val="20"/>
          <w:color w:val="auto"/>
        </w:rPr>
      </w:pPr>
    </w:p>
    <w:p>
      <w:pPr>
        <w:ind w:left="1060" w:right="1739" w:hanging="1056"/>
        <w:spacing w:after="0" w:line="332" w:lineRule="auto"/>
        <w:tabs>
          <w:tab w:leader="none" w:pos="1040" w:val="left"/>
        </w:tabs>
        <w:rPr>
          <w:sz w:val="20"/>
          <w:szCs w:val="20"/>
          <w:color w:val="auto"/>
        </w:rPr>
      </w:pPr>
      <w:r>
        <w:rPr>
          <w:rFonts w:ascii="Arial" w:cs="Arial" w:eastAsia="Arial" w:hAnsi="Arial"/>
          <w:sz w:val="18"/>
          <w:szCs w:val="18"/>
          <w:color w:val="auto"/>
        </w:rPr>
        <w:t>10.66(28)+</w:t>
      </w:r>
      <w:r>
        <w:rPr>
          <w:sz w:val="20"/>
          <w:szCs w:val="20"/>
          <w:color w:val="auto"/>
        </w:rPr>
        <w:tab/>
      </w:r>
      <w:r>
        <w:rPr>
          <w:rFonts w:ascii="Arial" w:cs="Arial" w:eastAsia="Arial" w:hAnsi="Arial"/>
          <w:sz w:val="16"/>
          <w:szCs w:val="16"/>
          <w:color w:val="auto"/>
        </w:rPr>
        <w:t>Collaborative Development Agreement between IDEC Pharmaceuticals Corporation and Mitsubishi Pharma Corporation, formerly Mitsubishi-Tokyo Pharmaceuticals, Inc., dated September 21, 2001.</w:t>
      </w:r>
    </w:p>
    <w:p>
      <w:pPr>
        <w:spacing w:after="0" w:line="139"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10.67(28)</w:t>
      </w:r>
      <w:r>
        <w:rPr>
          <w:sz w:val="20"/>
          <w:szCs w:val="20"/>
          <w:color w:val="auto"/>
        </w:rPr>
        <w:tab/>
      </w:r>
      <w:r>
        <w:rPr>
          <w:rFonts w:ascii="Arial" w:cs="Arial" w:eastAsia="Arial" w:hAnsi="Arial"/>
          <w:sz w:val="15"/>
          <w:szCs w:val="15"/>
          <w:color w:val="auto"/>
        </w:rPr>
        <w:t>Amended and Restated IDEC Pharmaceuticals Corporation Deferred Compensation Plan dated</w:t>
      </w:r>
    </w:p>
    <w:p>
      <w:pPr>
        <w:sectPr>
          <w:pgSz w:w="11900" w:h="16853" w:orient="portrait"/>
          <w:cols w:equalWidth="0" w:num="1">
            <w:col w:w="9819"/>
          </w:cols>
          <w:pgMar w:left="640" w:top="131" w:right="1440" w:bottom="0" w:gutter="0" w:footer="0" w:header="0"/>
        </w:sectPr>
      </w:pPr>
    </w:p>
    <w:bookmarkStart w:id="46" w:name="page47"/>
    <w:bookmarkEnd w:id="46"/>
    <w:p>
      <w:pPr>
        <w:ind w:left="1460"/>
        <w:spacing w:after="0"/>
        <w:rPr>
          <w:sz w:val="20"/>
          <w:szCs w:val="20"/>
          <w:color w:val="auto"/>
        </w:rPr>
      </w:pPr>
      <w:r>
        <w:rPr>
          <w:rFonts w:ascii="Arial" w:cs="Arial" w:eastAsia="Arial" w:hAnsi="Arial"/>
          <w:sz w:val="18"/>
          <w:szCs w:val="18"/>
          <w:color w:val="auto"/>
        </w:rPr>
        <w:t>September 5, 2001.</w:t>
      </w:r>
    </w:p>
    <w:p>
      <w:pPr>
        <w:spacing w:after="0" w:line="225" w:lineRule="exact"/>
        <w:rPr>
          <w:sz w:val="20"/>
          <w:szCs w:val="20"/>
          <w:color w:val="auto"/>
        </w:rPr>
      </w:pPr>
    </w:p>
    <w:p>
      <w:pPr>
        <w:ind w:left="1460" w:right="1459" w:hanging="752"/>
        <w:spacing w:after="0" w:line="332" w:lineRule="auto"/>
        <w:tabs>
          <w:tab w:leader="none" w:pos="144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Third Amendment to Agreement between MDS Canada Inc., MDS Nordion division, successor to MDS Nordion Inc. and IDEC Pharmaceuticals Corporation dated November 12, 2001.</w:t>
      </w:r>
    </w:p>
    <w:p>
      <w:pPr>
        <w:spacing w:after="0" w:line="139"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Computation of Ratio of Earnings to Fixed Charges.</w:t>
      </w:r>
    </w:p>
    <w:p>
      <w:pPr>
        <w:spacing w:after="0" w:line="225" w:lineRule="exact"/>
        <w:rPr>
          <w:sz w:val="20"/>
          <w:szCs w:val="20"/>
          <w:color w:val="auto"/>
        </w:rPr>
      </w:pPr>
    </w:p>
    <w:p>
      <w:pPr>
        <w:ind w:left="680"/>
        <w:spacing w:after="0"/>
        <w:tabs>
          <w:tab w:leader="none" w:pos="144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5"/>
          <w:szCs w:val="15"/>
          <w:color w:val="auto"/>
        </w:rPr>
        <w:t>Subsidiary of the Company.</w:t>
      </w:r>
    </w:p>
    <w:p>
      <w:pPr>
        <w:spacing w:after="0" w:line="225" w:lineRule="exact"/>
        <w:rPr>
          <w:sz w:val="20"/>
          <w:szCs w:val="20"/>
          <w:color w:val="auto"/>
        </w:rPr>
      </w:pPr>
    </w:p>
    <w:p>
      <w:pPr>
        <w:ind w:left="880"/>
        <w:spacing w:after="0"/>
        <w:tabs>
          <w:tab w:leader="none" w:pos="1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Independent Auditors' Report on Schedule and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1050290" cy="215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portions of this agreement.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Confidential Treatment has been granted with respect to portions of this agreement.</w:t>
      </w:r>
    </w:p>
    <w:p>
      <w:pPr>
        <w:spacing w:after="0" w:line="266"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Trademark of Merrill Lynch &amp; Co., Inc.</w:t>
      </w:r>
    </w:p>
    <w:p>
      <w:pPr>
        <w:spacing w:after="0" w:line="239"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8-B filed on June 2, 1997.</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S-1, File No. 33-40756.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Annual Report on Form 10-K for the year ended December 31, 1992.</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S-1, File No. 33-76080.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S-8, File No. 33-93794.</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Annual Report on Form 10-K for the year ended December 31, 1994.</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March 31, 1995.</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S-8, File No. 33-90738.</w:t>
      </w:r>
    </w:p>
    <w:p>
      <w:pPr>
        <w:spacing w:after="0" w:line="252" w:lineRule="exact"/>
        <w:rPr>
          <w:rFonts w:ascii="Arial" w:cs="Arial" w:eastAsia="Arial" w:hAnsi="Arial"/>
          <w:sz w:val="18"/>
          <w:szCs w:val="18"/>
          <w:color w:val="auto"/>
        </w:rPr>
      </w:pPr>
    </w:p>
    <w:p>
      <w:pPr>
        <w:ind w:left="5620" w:right="1279" w:hanging="5612"/>
        <w:spacing w:after="0" w:line="519" w:lineRule="auto"/>
        <w:tabs>
          <w:tab w:leader="none" w:pos="54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Quarterly Report on Form 10-Q for the quarter ended June 30, 1995. 71</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4.4 filed with our Registration Statement on Form S-3, File No. 333-85339.</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March 31, 1996.</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8-K, dated May 21, 1996.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S-8, File No. 333-81625.</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September 30, 1996.</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Annual Report on Form 10-K for the year ended December 31, 1995.</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June 30, 1997.</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99.1 to our Registration Statement on Form S-8, File No. 333-65494.</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Registration Statement on Form 8-A, dated August 1, 1997.</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Annual Report on Form 10-K for the fiscal year ended December 31, 1998.</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Proxy Statement filed on November 4,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June 30, 1999.</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Annual Report on Form 10-K for the fiscal year ended December 31, 1999.</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June 30, 2000.</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September 30, 2000.</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filed with our Quarterly Report on Form 10-Q for the quarter ended March 31, 2001.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to exhibit 4.1 filed with our Registration Statement on Form 8-A, File No. 333-37128 dated July 27, 2001.</w:t>
      </w:r>
    </w:p>
    <w:p>
      <w:pPr>
        <w:spacing w:after="0" w:line="248" w:lineRule="exact"/>
        <w:rPr>
          <w:rFonts w:ascii="Arial" w:cs="Arial" w:eastAsia="Arial" w:hAnsi="Arial"/>
          <w:sz w:val="16"/>
          <w:szCs w:val="16"/>
          <w:color w:val="auto"/>
        </w:rPr>
      </w:pPr>
    </w:p>
    <w:p>
      <w:pPr>
        <w:spacing w:after="0"/>
        <w:tabs>
          <w:tab w:leader="none" w:pos="0" w:val="left"/>
        </w:tabs>
        <w:numPr>
          <w:ilvl w:val="0"/>
          <w:numId w:val="40"/>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-5144135</wp:posOffset>
            </wp:positionV>
            <wp:extent cx="7250430" cy="215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47" w:name="page48"/>
    <w:bookmarkEnd w:id="47"/>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Incorporated by reference to exhibit filed with our Quarterly Report on Form 10-Q for the quarter ended June 30, 2001.</w:t>
      </w:r>
    </w:p>
    <w:p>
      <w:pPr>
        <w:spacing w:after="0" w:line="239"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Quarterly Report on Form 10-Q for the quarter ended September 30, 2001.</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exhibit filed with our Annual Report on Form 10-K for the fiscal year ended December 31, 2000.</w:t>
      </w:r>
    </w:p>
    <w:p>
      <w:pPr>
        <w:spacing w:after="0" w:line="239"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reports on Form 8-K were filed during the fourth quarter of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IDEC PHARMACEUTICALS CORPORATION</w:t>
      </w:r>
    </w:p>
    <w:p>
      <w:pPr>
        <w:spacing w:after="0" w:line="225" w:lineRule="exact"/>
        <w:rPr>
          <w:sz w:val="20"/>
          <w:szCs w:val="20"/>
          <w:color w:val="auto"/>
        </w:rPr>
      </w:pPr>
    </w:p>
    <w:p>
      <w:pPr>
        <w:spacing w:after="0"/>
        <w:tabs>
          <w:tab w:leader="none" w:pos="5720" w:val="left"/>
          <w:tab w:leader="none" w:pos="7500" w:val="left"/>
        </w:tabs>
        <w:rPr>
          <w:sz w:val="20"/>
          <w:szCs w:val="20"/>
          <w:color w:val="auto"/>
        </w:rPr>
      </w:pPr>
      <w:r>
        <w:rPr>
          <w:rFonts w:ascii="Arial" w:cs="Arial" w:eastAsia="Arial" w:hAnsi="Arial"/>
          <w:sz w:val="18"/>
          <w:szCs w:val="18"/>
          <w:color w:val="auto"/>
        </w:rPr>
        <w:t>Date: April 1,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H. RASTETTER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77470</wp:posOffset>
            </wp:positionV>
            <wp:extent cx="3331845" cy="215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331845" cy="21590"/>
                    </a:xfrm>
                    <a:prstGeom prst="rect">
                      <a:avLst/>
                    </a:prstGeom>
                    <a:noFill/>
                  </pic:spPr>
                </pic:pic>
              </a:graphicData>
            </a:graphic>
          </wp:anchor>
        </w:drawing>
      </w:r>
    </w:p>
    <w:p>
      <w:pPr>
        <w:spacing w:after="0" w:line="23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William H. Rastetter, Ph.D.,</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does hereby constitute and appoint William H. Rastetter and Phillip M. Schneider, or either of them, as his true and lawful attorneys-in-fact and agents, with full power of substitution, for him and his name, place and stead, in any and all capacities, to sign this report filed on Form 10-K and any and all amendments to said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that all said attorneys-in-fact and agents, or their substitute or substitutes may lawfully do or cause to be done by virtue hereof.</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120"/>
        <w:spacing w:after="0"/>
        <w:tabs>
          <w:tab w:leader="none" w:pos="6820" w:val="left"/>
          <w:tab w:leader="none" w:pos="103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Capacity</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jc w:val="center"/>
              <w:ind w:right="152"/>
              <w:spacing w:after="0"/>
              <w:rPr>
                <w:sz w:val="20"/>
                <w:szCs w:val="20"/>
                <w:color w:val="auto"/>
              </w:rPr>
            </w:pPr>
            <w:r>
              <w:rPr>
                <w:rFonts w:ascii="Arial" w:cs="Arial" w:eastAsia="Arial" w:hAnsi="Arial"/>
                <w:sz w:val="18"/>
                <w:szCs w:val="18"/>
                <w:color w:val="auto"/>
                <w:w w:val="96"/>
              </w:rPr>
              <w:t>/s/ WILLIAM H. RASTETTER, PH.D.</w:t>
            </w:r>
          </w:p>
        </w:tc>
        <w:tc>
          <w:tcPr>
            <w:tcW w:w="5020" w:type="dxa"/>
            <w:vAlign w:val="bottom"/>
          </w:tcPr>
          <w:p>
            <w:pPr>
              <w:ind w:left="340"/>
              <w:spacing w:after="0"/>
              <w:rPr>
                <w:sz w:val="20"/>
                <w:szCs w:val="20"/>
                <w:color w:val="auto"/>
              </w:rPr>
            </w:pPr>
            <w:r>
              <w:rPr>
                <w:rFonts w:ascii="Arial" w:cs="Arial" w:eastAsia="Arial" w:hAnsi="Arial"/>
                <w:sz w:val="18"/>
                <w:szCs w:val="18"/>
                <w:color w:val="auto"/>
              </w:rPr>
              <w:t>Chairman and Chief Executive Officer (Principal Executive</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5020" w:type="dxa"/>
            <w:vAlign w:val="bottom"/>
            <w:vMerge w:val="restart"/>
          </w:tcPr>
          <w:p>
            <w:pPr>
              <w:ind w:left="340"/>
              <w:spacing w:after="0"/>
              <w:rPr>
                <w:sz w:val="20"/>
                <w:szCs w:val="20"/>
                <w:color w:val="auto"/>
              </w:rPr>
            </w:pPr>
            <w:r>
              <w:rPr>
                <w:rFonts w:ascii="Arial" w:cs="Arial" w:eastAsia="Arial" w:hAnsi="Arial"/>
                <w:sz w:val="18"/>
                <w:szCs w:val="18"/>
                <w:color w:val="auto"/>
              </w:rPr>
              <w:t>Officer)</w:t>
            </w: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89"/>
              </w:rPr>
              <w:t>William H. Rastetter, Ph.D.</w:t>
            </w:r>
          </w:p>
        </w:tc>
        <w:tc>
          <w:tcPr>
            <w:tcW w:w="502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50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580" w:type="dxa"/>
            <w:vAlign w:val="bottom"/>
          </w:tcPr>
          <w:p>
            <w:pPr>
              <w:jc w:val="center"/>
              <w:ind w:right="152"/>
              <w:spacing w:after="0"/>
              <w:rPr>
                <w:sz w:val="20"/>
                <w:szCs w:val="20"/>
                <w:color w:val="auto"/>
              </w:rPr>
            </w:pPr>
            <w:r>
              <w:rPr>
                <w:rFonts w:ascii="Arial" w:cs="Arial" w:eastAsia="Arial" w:hAnsi="Arial"/>
                <w:sz w:val="18"/>
                <w:szCs w:val="18"/>
                <w:color w:val="auto"/>
                <w:w w:val="95"/>
              </w:rPr>
              <w:t>/s/ PHILLIP M. SCHNEIDER</w:t>
            </w:r>
          </w:p>
        </w:tc>
        <w:tc>
          <w:tcPr>
            <w:tcW w:w="5020" w:type="dxa"/>
            <w:vAlign w:val="bottom"/>
          </w:tcPr>
          <w:p>
            <w:pPr>
              <w:ind w:left="340"/>
              <w:spacing w:after="0"/>
              <w:rPr>
                <w:sz w:val="20"/>
                <w:szCs w:val="20"/>
                <w:color w:val="auto"/>
              </w:rPr>
            </w:pPr>
            <w:r>
              <w:rPr>
                <w:rFonts w:ascii="Arial" w:cs="Arial" w:eastAsia="Arial" w:hAnsi="Arial"/>
                <w:sz w:val="18"/>
                <w:szCs w:val="18"/>
                <w:color w:val="auto"/>
                <w:w w:val="99"/>
              </w:rPr>
              <w:t>Senior Vice President and Chief Financial Officer (Principal</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127"/>
        </w:trPr>
        <w:tc>
          <w:tcPr>
            <w:tcW w:w="4580" w:type="dxa"/>
            <w:vAlign w:val="bottom"/>
            <w:tcBorders>
              <w:bottom w:val="single" w:sz="8" w:color="808080"/>
            </w:tcBorders>
          </w:tcPr>
          <w:p>
            <w:pPr>
              <w:spacing w:after="0"/>
              <w:rPr>
                <w:sz w:val="11"/>
                <w:szCs w:val="11"/>
                <w:color w:val="auto"/>
              </w:rPr>
            </w:pPr>
          </w:p>
        </w:tc>
        <w:tc>
          <w:tcPr>
            <w:tcW w:w="5020" w:type="dxa"/>
            <w:vAlign w:val="bottom"/>
            <w:vMerge w:val="restart"/>
          </w:tcPr>
          <w:p>
            <w:pPr>
              <w:ind w:left="340"/>
              <w:spacing w:after="0"/>
              <w:rPr>
                <w:sz w:val="20"/>
                <w:szCs w:val="20"/>
                <w:color w:val="auto"/>
              </w:rPr>
            </w:pPr>
            <w:r>
              <w:rPr>
                <w:rFonts w:ascii="Arial" w:cs="Arial" w:eastAsia="Arial" w:hAnsi="Arial"/>
                <w:sz w:val="18"/>
                <w:szCs w:val="18"/>
                <w:color w:val="auto"/>
              </w:rPr>
              <w:t>Financial and Accounting Officer)</w:t>
            </w:r>
          </w:p>
        </w:tc>
        <w:tc>
          <w:tcPr>
            <w:tcW w:w="1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1"/>
              </w:rPr>
              <w:t>Phillip M. Schneider</w:t>
            </w:r>
          </w:p>
        </w:tc>
        <w:tc>
          <w:tcPr>
            <w:tcW w:w="5020" w:type="dxa"/>
            <w:vAlign w:val="bottom"/>
            <w:vMerge w:val="continue"/>
          </w:tcPr>
          <w:p>
            <w:pPr>
              <w:spacing w:after="0"/>
              <w:rPr>
                <w:sz w:val="6"/>
                <w:szCs w:val="6"/>
                <w:color w:val="auto"/>
              </w:rPr>
            </w:pPr>
          </w:p>
        </w:tc>
        <w:tc>
          <w:tcPr>
            <w:tcW w:w="1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vMerge w:val="continue"/>
          </w:tcPr>
          <w:p>
            <w:pPr>
              <w:spacing w:after="0"/>
              <w:rPr>
                <w:sz w:val="21"/>
                <w:szCs w:val="21"/>
                <w:color w:val="auto"/>
              </w:rPr>
            </w:pPr>
          </w:p>
        </w:tc>
        <w:tc>
          <w:tcPr>
            <w:tcW w:w="50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3"/>
              </w:rPr>
              <w:t>/s/ HERBERT BOYER, PH.D.</w:t>
            </w:r>
          </w:p>
        </w:tc>
        <w:tc>
          <w:tcPr>
            <w:tcW w:w="5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8"/>
              </w:rPr>
              <w:t>Herbert Boyer, Ph.D.</w:t>
            </w:r>
          </w:p>
        </w:tc>
        <w:tc>
          <w:tcPr>
            <w:tcW w:w="50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52"/>
              <w:spacing w:after="0"/>
              <w:rPr>
                <w:sz w:val="20"/>
                <w:szCs w:val="20"/>
                <w:color w:val="auto"/>
              </w:rPr>
            </w:pPr>
            <w:r>
              <w:rPr>
                <w:rFonts w:ascii="Arial" w:cs="Arial" w:eastAsia="Arial" w:hAnsi="Arial"/>
                <w:sz w:val="18"/>
                <w:szCs w:val="18"/>
                <w:color w:val="auto"/>
                <w:w w:val="94"/>
              </w:rPr>
              <w:t>/s/ CHARLES C. EDWARDS, M.D.</w:t>
            </w:r>
          </w:p>
        </w:tc>
        <w:tc>
          <w:tcPr>
            <w:tcW w:w="5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89"/>
              </w:rPr>
              <w:t>Charles C. Edwards, M.D.</w:t>
            </w:r>
          </w:p>
        </w:tc>
        <w:tc>
          <w:tcPr>
            <w:tcW w:w="50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5020" w:type="dxa"/>
            <w:vAlign w:val="bottom"/>
          </w:tcPr>
          <w:p>
            <w:pPr>
              <w:ind w:left="1040"/>
              <w:spacing w:after="0"/>
              <w:rPr>
                <w:sz w:val="20"/>
                <w:szCs w:val="20"/>
                <w:color w:val="auto"/>
              </w:rPr>
            </w:pPr>
            <w:r>
              <w:rPr>
                <w:rFonts w:ascii="Arial" w:cs="Arial" w:eastAsia="Arial" w:hAnsi="Arial"/>
                <w:sz w:val="18"/>
                <w:szCs w:val="18"/>
                <w:color w:val="auto"/>
              </w:rPr>
              <w:t>73</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58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4580" w:type="dxa"/>
            <w:vAlign w:val="bottom"/>
          </w:tcPr>
          <w:p>
            <w:pPr>
              <w:jc w:val="center"/>
              <w:ind w:right="172"/>
              <w:spacing w:after="0"/>
              <w:rPr>
                <w:sz w:val="20"/>
                <w:szCs w:val="20"/>
                <w:color w:val="auto"/>
              </w:rPr>
            </w:pPr>
            <w:r>
              <w:rPr>
                <w:rFonts w:ascii="Arial" w:cs="Arial" w:eastAsia="Arial" w:hAnsi="Arial"/>
                <w:sz w:val="18"/>
                <w:szCs w:val="18"/>
                <w:color w:val="auto"/>
                <w:w w:val="96"/>
              </w:rPr>
              <w:t>/s/ ALAN B. GLASSBERG, M.D.</w:t>
            </w:r>
          </w:p>
        </w:tc>
        <w:tc>
          <w:tcPr>
            <w:tcW w:w="5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Alan B. Glassberg, M.D.</w:t>
            </w:r>
          </w:p>
        </w:tc>
        <w:tc>
          <w:tcPr>
            <w:tcW w:w="50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52"/>
              <w:spacing w:after="0"/>
              <w:rPr>
                <w:sz w:val="20"/>
                <w:szCs w:val="20"/>
                <w:color w:val="auto"/>
              </w:rPr>
            </w:pPr>
            <w:r>
              <w:rPr>
                <w:rFonts w:ascii="Arial" w:cs="Arial" w:eastAsia="Arial" w:hAnsi="Arial"/>
                <w:sz w:val="18"/>
                <w:szCs w:val="18"/>
                <w:color w:val="auto"/>
                <w:w w:val="97"/>
              </w:rPr>
              <w:t>/s/ KAZUHIRO HASHIMOTO</w:t>
            </w:r>
          </w:p>
        </w:tc>
        <w:tc>
          <w:tcPr>
            <w:tcW w:w="5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tcPr>
          <w:p>
            <w:pPr>
              <w:jc w:val="center"/>
              <w:spacing w:after="0"/>
              <w:rPr>
                <w:sz w:val="20"/>
                <w:szCs w:val="20"/>
                <w:color w:val="auto"/>
              </w:rPr>
            </w:pPr>
            <w:r>
              <w:rPr>
                <w:rFonts w:ascii="Arial" w:cs="Arial" w:eastAsia="Arial" w:hAnsi="Arial"/>
                <w:sz w:val="18"/>
                <w:szCs w:val="18"/>
                <w:color w:val="auto"/>
                <w:w w:val="91"/>
              </w:rPr>
              <w:t>Kazuhiro Hashimoto</w:t>
            </w:r>
          </w:p>
        </w:tc>
        <w:tc>
          <w:tcPr>
            <w:tcW w:w="50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4580" w:type="dxa"/>
            <w:vAlign w:val="bottom"/>
          </w:tcPr>
          <w:p>
            <w:pPr>
              <w:jc w:val="center"/>
              <w:ind w:right="152"/>
              <w:spacing w:after="0"/>
              <w:rPr>
                <w:sz w:val="20"/>
                <w:szCs w:val="20"/>
                <w:color w:val="auto"/>
              </w:rPr>
            </w:pPr>
            <w:r>
              <w:rPr>
                <w:rFonts w:ascii="Arial" w:cs="Arial" w:eastAsia="Arial" w:hAnsi="Arial"/>
                <w:sz w:val="18"/>
                <w:szCs w:val="18"/>
                <w:color w:val="auto"/>
                <w:w w:val="92"/>
              </w:rPr>
              <w:t>/s/ FRANKLIN P. JOHNSON, JR.</w:t>
            </w:r>
          </w:p>
        </w:tc>
        <w:tc>
          <w:tcPr>
            <w:tcW w:w="50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4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tcPr>
          <w:p>
            <w:pPr>
              <w:spacing w:after="0"/>
              <w:rPr>
                <w:sz w:val="10"/>
                <w:szCs w:val="10"/>
                <w:color w:val="auto"/>
              </w:rPr>
            </w:pPr>
          </w:p>
        </w:tc>
        <w:tc>
          <w:tcPr>
            <w:tcW w:w="5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-4199255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-4199255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-3633470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-3633470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-3067050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-2501265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-1574800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-1574800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-1146175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-580390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7" w:orient="portrait"/>
          <w:cols w:equalWidth="0" w:num="1">
            <w:col w:w="11420"/>
          </w:cols>
          <w:pgMar w:left="240" w:top="131" w:right="2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80" w:type="dxa"/>
            <w:vAlign w:val="bottom"/>
          </w:tcPr>
          <w:p>
            <w:pPr>
              <w:jc w:val="center"/>
              <w:ind w:left="892"/>
              <w:spacing w:after="0"/>
              <w:rPr>
                <w:sz w:val="20"/>
                <w:szCs w:val="20"/>
                <w:color w:val="auto"/>
              </w:rPr>
            </w:pPr>
            <w:r>
              <w:rPr>
                <w:rFonts w:ascii="Arial" w:cs="Arial" w:eastAsia="Arial" w:hAnsi="Arial"/>
                <w:sz w:val="18"/>
                <w:szCs w:val="18"/>
                <w:color w:val="auto"/>
                <w:w w:val="86"/>
              </w:rPr>
              <w:t>Franklin P. Johnson, Jr.</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80" w:type="dxa"/>
            <w:vAlign w:val="bottom"/>
          </w:tcPr>
          <w:p>
            <w:pPr>
              <w:jc w:val="center"/>
              <w:ind w:left="632"/>
              <w:spacing w:after="0"/>
              <w:rPr>
                <w:sz w:val="20"/>
                <w:szCs w:val="20"/>
                <w:color w:val="auto"/>
              </w:rPr>
            </w:pPr>
            <w:r>
              <w:rPr>
                <w:rFonts w:ascii="Arial" w:cs="Arial" w:eastAsia="Arial" w:hAnsi="Arial"/>
                <w:sz w:val="18"/>
                <w:szCs w:val="18"/>
                <w:color w:val="auto"/>
                <w:w w:val="93"/>
              </w:rPr>
              <w:t>/s/ ROBERT W. PANGIA</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jc w:val="center"/>
              <w:ind w:left="892"/>
              <w:spacing w:after="0"/>
              <w:rPr>
                <w:sz w:val="20"/>
                <w:szCs w:val="20"/>
                <w:color w:val="auto"/>
              </w:rPr>
            </w:pPr>
            <w:r>
              <w:rPr>
                <w:rFonts w:ascii="Arial" w:cs="Arial" w:eastAsia="Arial" w:hAnsi="Arial"/>
                <w:sz w:val="18"/>
                <w:szCs w:val="18"/>
                <w:color w:val="auto"/>
                <w:w w:val="87"/>
              </w:rPr>
              <w:t>Robert W. Pangia</w:t>
            </w:r>
          </w:p>
        </w:tc>
        <w:tc>
          <w:tcPr>
            <w:tcW w:w="980" w:type="dxa"/>
            <w:vAlign w:val="bottom"/>
          </w:tcPr>
          <w:p>
            <w:pPr>
              <w:spacing w:after="0"/>
              <w:rPr>
                <w:sz w:val="24"/>
                <w:szCs w:val="24"/>
                <w:color w:val="auto"/>
              </w:rPr>
            </w:pPr>
          </w:p>
        </w:tc>
        <w:tc>
          <w:tcPr>
            <w:tcW w:w="980" w:type="dxa"/>
            <w:vAlign w:val="bottom"/>
            <w:gridSpan w:val="3"/>
          </w:tcPr>
          <w:p>
            <w:pPr>
              <w:ind w:left="340"/>
              <w:spacing w:after="0"/>
              <w:rPr>
                <w:sz w:val="20"/>
                <w:szCs w:val="20"/>
                <w:color w:val="auto"/>
              </w:rPr>
            </w:pPr>
            <w:r>
              <w:rPr>
                <w:rFonts w:ascii="Arial" w:cs="Arial" w:eastAsia="Arial" w:hAnsi="Arial"/>
                <w:sz w:val="18"/>
                <w:szCs w:val="18"/>
                <w:color w:val="auto"/>
                <w:w w:val="98"/>
              </w:rPr>
              <w:t>Director</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80" w:type="dxa"/>
            <w:vAlign w:val="bottom"/>
          </w:tcPr>
          <w:p>
            <w:pPr>
              <w:jc w:val="center"/>
              <w:ind w:left="612"/>
              <w:spacing w:after="0"/>
              <w:rPr>
                <w:sz w:val="20"/>
                <w:szCs w:val="20"/>
                <w:color w:val="auto"/>
              </w:rPr>
            </w:pPr>
            <w:r>
              <w:rPr>
                <w:rFonts w:ascii="Arial" w:cs="Arial" w:eastAsia="Arial" w:hAnsi="Arial"/>
                <w:sz w:val="18"/>
                <w:szCs w:val="18"/>
                <w:color w:val="auto"/>
                <w:w w:val="91"/>
              </w:rPr>
              <w:t>/s/ BRUCE R. ROSS</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jc w:val="center"/>
              <w:ind w:left="892"/>
              <w:spacing w:after="0"/>
              <w:rPr>
                <w:sz w:val="20"/>
                <w:szCs w:val="20"/>
                <w:color w:val="auto"/>
              </w:rPr>
            </w:pPr>
            <w:r>
              <w:rPr>
                <w:rFonts w:ascii="Arial" w:cs="Arial" w:eastAsia="Arial" w:hAnsi="Arial"/>
                <w:sz w:val="18"/>
                <w:szCs w:val="18"/>
                <w:color w:val="auto"/>
                <w:w w:val="86"/>
              </w:rPr>
              <w:t>Bruce R. Ross</w:t>
            </w:r>
          </w:p>
        </w:tc>
        <w:tc>
          <w:tcPr>
            <w:tcW w:w="980" w:type="dxa"/>
            <w:vAlign w:val="bottom"/>
          </w:tcPr>
          <w:p>
            <w:pPr>
              <w:spacing w:after="0"/>
              <w:rPr>
                <w:sz w:val="24"/>
                <w:szCs w:val="24"/>
                <w:color w:val="auto"/>
              </w:rPr>
            </w:pPr>
          </w:p>
        </w:tc>
        <w:tc>
          <w:tcPr>
            <w:tcW w:w="980" w:type="dxa"/>
            <w:vAlign w:val="bottom"/>
            <w:gridSpan w:val="3"/>
          </w:tcPr>
          <w:p>
            <w:pPr>
              <w:ind w:left="340"/>
              <w:spacing w:after="0"/>
              <w:rPr>
                <w:sz w:val="20"/>
                <w:szCs w:val="20"/>
                <w:color w:val="auto"/>
              </w:rPr>
            </w:pPr>
            <w:r>
              <w:rPr>
                <w:rFonts w:ascii="Arial" w:cs="Arial" w:eastAsia="Arial" w:hAnsi="Arial"/>
                <w:sz w:val="18"/>
                <w:szCs w:val="18"/>
                <w:color w:val="auto"/>
                <w:w w:val="98"/>
              </w:rPr>
              <w:t>Director</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80" w:type="dxa"/>
            <w:vAlign w:val="bottom"/>
          </w:tcPr>
          <w:p>
            <w:pPr>
              <w:jc w:val="center"/>
              <w:ind w:left="632"/>
              <w:spacing w:after="0"/>
              <w:rPr>
                <w:sz w:val="20"/>
                <w:szCs w:val="20"/>
                <w:color w:val="auto"/>
              </w:rPr>
            </w:pPr>
            <w:r>
              <w:rPr>
                <w:rFonts w:ascii="Arial" w:cs="Arial" w:eastAsia="Arial" w:hAnsi="Arial"/>
                <w:sz w:val="18"/>
                <w:szCs w:val="18"/>
                <w:color w:val="auto"/>
                <w:w w:val="96"/>
              </w:rPr>
              <w:t>/s/ LYNN SCHENK</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jc w:val="center"/>
              <w:ind w:left="892"/>
              <w:spacing w:after="0"/>
              <w:rPr>
                <w:sz w:val="20"/>
                <w:szCs w:val="20"/>
                <w:color w:val="auto"/>
              </w:rPr>
            </w:pPr>
            <w:r>
              <w:rPr>
                <w:rFonts w:ascii="Arial" w:cs="Arial" w:eastAsia="Arial" w:hAnsi="Arial"/>
                <w:sz w:val="18"/>
                <w:szCs w:val="18"/>
                <w:color w:val="auto"/>
                <w:w w:val="88"/>
              </w:rPr>
              <w:t>Lynn Schenk</w:t>
            </w:r>
          </w:p>
        </w:tc>
        <w:tc>
          <w:tcPr>
            <w:tcW w:w="980" w:type="dxa"/>
            <w:vAlign w:val="bottom"/>
          </w:tcPr>
          <w:p>
            <w:pPr>
              <w:spacing w:after="0"/>
              <w:rPr>
                <w:sz w:val="24"/>
                <w:szCs w:val="24"/>
                <w:color w:val="auto"/>
              </w:rPr>
            </w:pPr>
          </w:p>
        </w:tc>
        <w:tc>
          <w:tcPr>
            <w:tcW w:w="980" w:type="dxa"/>
            <w:vAlign w:val="bottom"/>
            <w:gridSpan w:val="3"/>
          </w:tcPr>
          <w:p>
            <w:pPr>
              <w:ind w:left="340"/>
              <w:spacing w:after="0"/>
              <w:rPr>
                <w:sz w:val="20"/>
                <w:szCs w:val="20"/>
                <w:color w:val="auto"/>
              </w:rPr>
            </w:pPr>
            <w:r>
              <w:rPr>
                <w:rFonts w:ascii="Arial" w:cs="Arial" w:eastAsia="Arial" w:hAnsi="Arial"/>
                <w:sz w:val="18"/>
                <w:szCs w:val="18"/>
                <w:color w:val="auto"/>
                <w:w w:val="98"/>
              </w:rPr>
              <w:t>Director</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80" w:type="dxa"/>
            <w:vAlign w:val="bottom"/>
          </w:tcPr>
          <w:p>
            <w:pPr>
              <w:jc w:val="center"/>
              <w:ind w:left="612"/>
              <w:spacing w:after="0"/>
              <w:rPr>
                <w:sz w:val="20"/>
                <w:szCs w:val="20"/>
                <w:color w:val="auto"/>
              </w:rPr>
            </w:pPr>
            <w:r>
              <w:rPr>
                <w:rFonts w:ascii="Arial" w:cs="Arial" w:eastAsia="Arial" w:hAnsi="Arial"/>
                <w:sz w:val="18"/>
                <w:szCs w:val="18"/>
                <w:color w:val="auto"/>
                <w:w w:val="99"/>
              </w:rPr>
              <w:t>/s/ WILLIAM D. YOUNG</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80" w:type="dxa"/>
            <w:vAlign w:val="bottom"/>
          </w:tcPr>
          <w:p>
            <w:pPr>
              <w:jc w:val="center"/>
              <w:ind w:left="892"/>
              <w:spacing w:after="0"/>
              <w:rPr>
                <w:sz w:val="20"/>
                <w:szCs w:val="20"/>
                <w:color w:val="auto"/>
              </w:rPr>
            </w:pPr>
            <w:r>
              <w:rPr>
                <w:rFonts w:ascii="Arial" w:cs="Arial" w:eastAsia="Arial" w:hAnsi="Arial"/>
                <w:sz w:val="18"/>
                <w:szCs w:val="18"/>
                <w:color w:val="auto"/>
                <w:w w:val="92"/>
              </w:rPr>
              <w:t>William D. Young</w:t>
            </w:r>
          </w:p>
        </w:tc>
        <w:tc>
          <w:tcPr>
            <w:tcW w:w="980" w:type="dxa"/>
            <w:vAlign w:val="bottom"/>
          </w:tcPr>
          <w:p>
            <w:pPr>
              <w:spacing w:after="0"/>
              <w:rPr>
                <w:sz w:val="24"/>
                <w:szCs w:val="24"/>
                <w:color w:val="auto"/>
              </w:rPr>
            </w:pPr>
          </w:p>
        </w:tc>
        <w:tc>
          <w:tcPr>
            <w:tcW w:w="980" w:type="dxa"/>
            <w:vAlign w:val="bottom"/>
            <w:gridSpan w:val="3"/>
          </w:tcPr>
          <w:p>
            <w:pPr>
              <w:ind w:left="340"/>
              <w:spacing w:after="0"/>
              <w:rPr>
                <w:sz w:val="20"/>
                <w:szCs w:val="20"/>
                <w:color w:val="auto"/>
              </w:rPr>
            </w:pPr>
            <w:r>
              <w:rPr>
                <w:rFonts w:ascii="Arial" w:cs="Arial" w:eastAsia="Arial" w:hAnsi="Arial"/>
                <w:sz w:val="18"/>
                <w:szCs w:val="18"/>
                <w:color w:val="auto"/>
                <w:w w:val="98"/>
              </w:rPr>
              <w:t>Director</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April 1, 2002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right="540"/>
              <w:spacing w:after="0"/>
              <w:rPr>
                <w:sz w:val="20"/>
                <w:szCs w:val="20"/>
                <w:color w:val="auto"/>
              </w:rPr>
            </w:pPr>
            <w:r>
              <w:rPr>
                <w:rFonts w:ascii="Arial" w:cs="Arial" w:eastAsia="Arial" w:hAnsi="Arial"/>
                <w:sz w:val="18"/>
                <w:szCs w:val="18"/>
                <w:color w:val="auto"/>
                <w:w w:val="89"/>
              </w:rPr>
              <w:t>74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gridSpan w:val="2"/>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gridSpan w:val="4"/>
          </w:tcPr>
          <w:p>
            <w:pPr>
              <w:jc w:val="center"/>
              <w:ind w:left="232"/>
              <w:spacing w:after="0"/>
              <w:rPr>
                <w:sz w:val="20"/>
                <w:szCs w:val="20"/>
                <w:color w:val="auto"/>
              </w:rPr>
            </w:pPr>
            <w:r>
              <w:rPr>
                <w:rFonts w:ascii="Arial" w:cs="Arial" w:eastAsia="Arial" w:hAnsi="Arial"/>
                <w:sz w:val="18"/>
                <w:szCs w:val="18"/>
                <w:b w:val="1"/>
                <w:bCs w:val="1"/>
                <w:color w:val="auto"/>
                <w:w w:val="99"/>
              </w:rPr>
              <w:t>SCHEDULE II</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00" w:type="dxa"/>
            <w:vAlign w:val="bottom"/>
            <w:gridSpan w:val="11"/>
          </w:tcPr>
          <w:p>
            <w:pPr>
              <w:jc w:val="center"/>
              <w:ind w:left="2952"/>
              <w:spacing w:after="0"/>
              <w:rPr>
                <w:sz w:val="20"/>
                <w:szCs w:val="20"/>
                <w:color w:val="auto"/>
              </w:rPr>
            </w:pPr>
            <w:r>
              <w:rPr>
                <w:rFonts w:ascii="Arial" w:cs="Arial" w:eastAsia="Arial" w:hAnsi="Arial"/>
                <w:sz w:val="18"/>
                <w:szCs w:val="18"/>
                <w:b w:val="1"/>
                <w:bCs w:val="1"/>
                <w:color w:val="auto"/>
                <w:w w:val="98"/>
              </w:rPr>
              <w:t>IDEC PHARMACEUTICALS CORPORATION AND SUBSIDIARY</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8"/>
              </w:rPr>
              <w:t>VALUATION AND QUALIFYING ACCOUNTS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240" w:type="dxa"/>
            <w:vAlign w:val="bottom"/>
            <w:gridSpan w:val="8"/>
          </w:tcPr>
          <w:p>
            <w:pPr>
              <w:jc w:val="center"/>
              <w:spacing w:after="0"/>
              <w:rPr>
                <w:sz w:val="20"/>
                <w:szCs w:val="20"/>
                <w:color w:val="auto"/>
              </w:rPr>
            </w:pPr>
            <w:r>
              <w:rPr>
                <w:rFonts w:ascii="Arial" w:cs="Arial" w:eastAsia="Arial" w:hAnsi="Arial"/>
                <w:sz w:val="18"/>
                <w:szCs w:val="18"/>
                <w:b w:val="1"/>
                <w:bCs w:val="1"/>
                <w:color w:val="auto"/>
                <w:w w:val="87"/>
              </w:rPr>
              <w:t>Years Ended December 31, 2001, 2000 and 1999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86"/>
              </w:rPr>
              <w:t>Additions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Balance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7"/>
              </w:rPr>
              <w:t>Charged To</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5"/>
              </w:rPr>
              <w:t>Costs And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At End</w:t>
            </w:r>
          </w:p>
        </w:tc>
        <w:tc>
          <w:tcPr>
            <w:tcW w:w="0" w:type="dxa"/>
            <w:vAlign w:val="bottom"/>
          </w:tcPr>
          <w:p>
            <w:pPr>
              <w:spacing w:after="0"/>
              <w:rPr>
                <w:sz w:val="1"/>
                <w:szCs w:val="1"/>
                <w:color w:val="auto"/>
              </w:rPr>
            </w:pPr>
          </w:p>
        </w:tc>
      </w:tr>
      <w:tr>
        <w:trPr>
          <w:trHeight w:val="174"/>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Of Year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84"/>
              <w:spacing w:after="0"/>
              <w:rPr>
                <w:sz w:val="20"/>
                <w:szCs w:val="20"/>
                <w:color w:val="auto"/>
              </w:rPr>
            </w:pPr>
            <w:r>
              <w:rPr>
                <w:rFonts w:ascii="Arial" w:cs="Arial" w:eastAsia="Arial" w:hAnsi="Arial"/>
                <w:sz w:val="14"/>
                <w:szCs w:val="14"/>
                <w:b w:val="1"/>
                <w:bCs w:val="1"/>
                <w:color w:val="auto"/>
                <w:w w:val="79"/>
              </w:rPr>
              <w:t>Expenses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Deductions</w:t>
            </w:r>
          </w:p>
        </w:tc>
        <w:tc>
          <w:tcPr>
            <w:tcW w:w="180" w:type="dxa"/>
            <w:vAlign w:val="bottom"/>
          </w:tcPr>
          <w:p>
            <w:pPr>
              <w:spacing w:after="0"/>
              <w:rPr>
                <w:sz w:val="15"/>
                <w:szCs w:val="15"/>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2001</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w w:val="97"/>
              </w:rPr>
              <w:t>Allowance for contract revenue receivables</w:t>
            </w:r>
          </w:p>
        </w:tc>
        <w:tc>
          <w:tcPr>
            <w:tcW w:w="1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2000</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w w:val="97"/>
              </w:rPr>
              <w:t>Allowance for contract revenue receivables</w:t>
            </w:r>
          </w:p>
        </w:tc>
        <w:tc>
          <w:tcPr>
            <w:tcW w:w="1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1999</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Arial" w:cs="Arial" w:eastAsia="Arial" w:hAnsi="Arial"/>
                <w:sz w:val="18"/>
                <w:szCs w:val="18"/>
                <w:color w:val="auto"/>
                <w:w w:val="95"/>
              </w:rPr>
              <w:t>Allowance for contract revenue Receivables</w:t>
            </w:r>
          </w:p>
        </w:tc>
        <w:tc>
          <w:tcPr>
            <w:tcW w:w="19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(723)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80" w:type="dxa"/>
            <w:vAlign w:val="bottom"/>
          </w:tcPr>
          <w:p>
            <w:pPr>
              <w:spacing w:after="0"/>
              <w:rPr>
                <w:sz w:val="5"/>
                <w:szCs w:val="5"/>
                <w:color w:val="auto"/>
              </w:rPr>
            </w:pPr>
          </w:p>
        </w:tc>
        <w:tc>
          <w:tcPr>
            <w:tcW w:w="9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center"/>
              <w:ind w:right="540"/>
              <w:spacing w:after="0"/>
              <w:rPr>
                <w:sz w:val="20"/>
                <w:szCs w:val="20"/>
                <w:color w:val="auto"/>
              </w:rPr>
            </w:pPr>
            <w:r>
              <w:rPr>
                <w:rFonts w:ascii="Arial" w:cs="Arial" w:eastAsia="Arial" w:hAnsi="Arial"/>
                <w:sz w:val="18"/>
                <w:szCs w:val="18"/>
                <w:color w:val="auto"/>
                <w:w w:val="89"/>
              </w:rPr>
              <w:t>75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-6171565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-6171565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-5605780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-5605780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-5039995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-5039995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-4473575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-4473575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-3839210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-3839210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-1866900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-1866900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-1866900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-1866900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-1866900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-1866900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-1866900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-1866900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-1866900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-1420495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-1420495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-1420495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-1420495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-1420495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-1420495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-1420495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-1420495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-974725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-974725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-974725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-974725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-974725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-974725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-974725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-974725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DOCUMENTS INCORPORATED BY REFERENCE</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IDEC PHARMACEUTICALS CORPORATION ANNUAL REPORT ON FORM 10-K FOR THE FISCAL YEAR ENDED DECEMBER 31, 2001 TABLE OF</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FORWARD-LOOKING INFORMATION AND RISK FACTORS THAT MAY AFFECT FUTURE RESULTS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2. Properties.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5. Market for Registrant's Common Equity and Related Stockholder Matters.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6. Selected Financial Data.</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7A. Quantitative and Qualitative Disclosures About Market Risk.</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8. Consolidated Financial Statements and Supplementary Data</w:t>
        </w:r>
      </w:hyperlink>
    </w:p>
    <w:p>
      <w:pPr>
        <w:sectPr>
          <w:pgSz w:w="11900" w:h="16838" w:orient="portrait"/>
          <w:cols w:equalWidth="0" w:num="1">
            <w:col w:w="11420"/>
          </w:cols>
          <w:pgMar w:left="240" w:top="131" w:right="239" w:bottom="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IDEC Pharmaceuticals Corporation and Subsidiary CONSOLIDATED STATEMENTS OF OPERATIONS (In thousands, except per share data)</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IDEC Pharmaceuticals Corporation and Subsidiary CONSOLIDATED BALANCE SHEETS (In thousands, except par value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IDEC Pharmaceuticals Corporation and Subsidiary CONSOLIDATED STATEMENTS OF STOCKHOLDERS' EQUITY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IDEC Pharmaceuticals Corporation and Subsidiary CONSOLIDATED STATEMENTS OF CASH FLOWS (In thousands)</w:t>
        </w:r>
      </w:hyperlink>
    </w:p>
    <w:p>
      <w:pPr>
        <w:spacing w:after="0" w:line="9" w:lineRule="exact"/>
        <w:rPr>
          <w:sz w:val="20"/>
          <w:szCs w:val="20"/>
          <w:color w:val="auto"/>
        </w:rPr>
      </w:pPr>
    </w:p>
    <w:p>
      <w:pPr>
        <w:ind w:right="3280"/>
        <w:spacing w:after="0" w:line="261" w:lineRule="auto"/>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IDEC Pharmaceuticals Corporation and Subsidiary NOTES TO CONSOLIDATED FINANCIAL STATEMENTS</w:t>
        </w:r>
      </w:hyperlink>
      <w:r>
        <w:rPr>
          <w:rFonts w:ascii="Arial" w:cs="Arial" w:eastAsia="Arial" w:hAnsi="Arial"/>
          <w:sz w:val="18"/>
          <w:szCs w:val="18"/>
          <w:u w:val="single" w:color="auto"/>
          <w:color w:val="0000EE"/>
        </w:rPr>
        <w:t xml:space="preserve"> </w:t>
      </w:r>
      <w:hyperlink w:anchor="page43">
        <w:r>
          <w:rPr>
            <w:rFonts w:ascii="Arial" w:cs="Arial" w:eastAsia="Arial" w:hAnsi="Arial"/>
            <w:sz w:val="18"/>
            <w:szCs w:val="18"/>
            <w:u w:val="single" w:color="auto"/>
            <w:color w:val="0000EE"/>
          </w:rPr>
          <w:t>INDEPENDENT AUDITORS' REPORT</w:t>
        </w:r>
      </w:hyperlink>
    </w:p>
    <w:p>
      <w:pPr>
        <w:spacing w:after="0" w:line="192"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10. Directors and Executive Officers of the Registrant.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11. Executive Compensation.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12. Security Ownership of Certain Beneficial Owners and Management.</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13. Certain Relationships and Related Transactions.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14. Exhibits, Financial Statement Schedules and Reports on Form 8-K.</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SCHEDULE II</w:t>
        </w:r>
      </w:hyperlink>
    </w:p>
    <w:p>
      <w:pPr>
        <w:spacing w:after="0" w:line="9" w:lineRule="exact"/>
        <w:rPr>
          <w:sz w:val="20"/>
          <w:szCs w:val="20"/>
          <w:color w:val="auto"/>
        </w:rPr>
      </w:pPr>
    </w:p>
    <w:p>
      <w:pPr>
        <w:spacing w:after="0" w:line="261" w:lineRule="auto"/>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IDEC PHARMACEUTICALS CORPORATION AND SUBSIDIARY VALUATION AND QUALIFYING ACCOUNTS (In thousands) Years Ended December</w:t>
        </w:r>
      </w:hyperlink>
      <w:r>
        <w:rPr>
          <w:rFonts w:ascii="Arial" w:cs="Arial" w:eastAsia="Arial" w:hAnsi="Arial"/>
          <w:sz w:val="18"/>
          <w:szCs w:val="18"/>
          <w:u w:val="single" w:color="auto"/>
          <w:color w:val="0000EE"/>
        </w:rPr>
        <w:t xml:space="preserve"> </w:t>
      </w:r>
      <w:hyperlink w:anchor="page49">
        <w:r>
          <w:rPr>
            <w:rFonts w:ascii="Arial" w:cs="Arial" w:eastAsia="Arial" w:hAnsi="Arial"/>
            <w:sz w:val="18"/>
            <w:szCs w:val="18"/>
            <w:u w:val="single" w:color="auto"/>
            <w:color w:val="0000EE"/>
          </w:rPr>
          <w:t>31, 2001, 2000 and 1999</w:t>
        </w:r>
      </w:hyperlink>
    </w:p>
    <w:p>
      <w:pPr>
        <w:sectPr>
          <w:pgSz w:w="11900" w:h="16838" w:orient="portrait"/>
          <w:cols w:equalWidth="0" w:num="1">
            <w:col w:w="11280"/>
          </w:cols>
          <w:pgMar w:left="240" w:top="131" w:right="379" w:bottom="1440" w:gutter="0" w:footer="0" w:header="0"/>
        </w:sectPr>
      </w:pPr>
    </w:p>
    <w:bookmarkStart w:id="50" w:name="page51"/>
    <w:bookmarkEnd w:id="50"/>
    <w:p>
      <w:pPr>
        <w:spacing w:after="0"/>
        <w:tabs>
          <w:tab w:leader="none" w:pos="6940" w:val="left"/>
        </w:tabs>
        <w:rPr>
          <w:sz w:val="20"/>
          <w:szCs w:val="20"/>
          <w:color w:val="auto"/>
        </w:rPr>
      </w:pPr>
      <w:r>
        <w:rPr>
          <w:rFonts w:ascii="Courier New" w:cs="Courier New" w:eastAsia="Courier New" w:hAnsi="Courier New"/>
          <w:sz w:val="18"/>
          <w:szCs w:val="18"/>
          <w:color w:val="auto"/>
        </w:rPr>
        <w:t>CONFIDENTIAL TREATMENT REQUESTED</w:t>
      </w:r>
      <w:r>
        <w:rPr>
          <w:sz w:val="20"/>
          <w:szCs w:val="20"/>
          <w:color w:val="auto"/>
        </w:rPr>
        <w:tab/>
      </w:r>
      <w:r>
        <w:rPr>
          <w:rFonts w:ascii="Courier New" w:cs="Courier New" w:eastAsia="Courier New" w:hAnsi="Courier New"/>
          <w:sz w:val="16"/>
          <w:szCs w:val="16"/>
          <w:color w:val="auto"/>
        </w:rPr>
        <w:t>EXHIBIT 10.68</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CONFIDENTIAL TREATMENT REQUESTED: INFORMATION FOR WHICH CONFIDENTIAL TREATMENT IS REQUESTED IS OMITTED AND IS NOTED WITH "[CONFIDENTIAL TREATMENT REQUESTED]." AN UNREDACTED VERSION OF THIS DOCUMENT HAS BEEN FILED SEPARATELY WITH THE SECURITIES AND EXCHANGE COMMISSION.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THIRD AMENDMENT TO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THIRD AMENDMENT TO AGREEMENT ("Third Amendment") is made and effective as of this 12th day of November, 2001, by and between MDS (CANADA) INC., MDS NORDION division, successor to MDS NORDION INC. ("Nordion"), and IDEC PHARMACEUTICALS CORPORATION ("IDEC").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WHEREAS: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 Nordion and IDEC are parties to that certain Agreement dated May 14, 1999, whereby Nordion agreed to manufacture and supply Isotope for use with IDEC's Labelled Drug ("Isotope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 The Isotope Agreement was subsequently amended by a letter agreement between the parties dated January 25, 2000 (`First Amendment"), a letter agreement between the parties dated March 21, 2000 relating to Isotope dose size ("Isotope Dose Size Letter") and a Letter Agreement between the parties dated March 22, 2001 ("Second Amendment"). The Isotope Agreement, as amended by the First Amendment, Isotope Dose Size Letter and Second Amendment are collectively referred to herein as the "Agreement."</w:t>
      </w: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 Nordion and IDEC desire to further amend the Agreement as set forth in this Third Amendment.</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 Unless otherwise defined herein, capitalized items as used herein shall have the meanings as given thereto in the Agreement.</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NOW THEREFORE, in consideration of the mutual covenants and agreements herein contained, and subject to the terms and conditions hereinafter set out, the parties agree as follows:</w:t>
      </w:r>
    </w:p>
    <w:p>
      <w:pPr>
        <w:spacing w:after="0" w:line="203" w:lineRule="exact"/>
        <w:rPr>
          <w:sz w:val="20"/>
          <w:szCs w:val="20"/>
          <w:color w:val="auto"/>
        </w:rPr>
      </w:pPr>
    </w:p>
    <w:p>
      <w:pPr>
        <w:ind w:left="540" w:hanging="532"/>
        <w:spacing w:after="0"/>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DOSE SIZE, PRICE AND REPORTING.</w:t>
      </w:r>
    </w:p>
    <w:p>
      <w:pPr>
        <w:spacing w:after="0" w:line="206" w:lineRule="exact"/>
        <w:rPr>
          <w:rFonts w:ascii="Courier New" w:cs="Courier New" w:eastAsia="Courier New" w:hAnsi="Courier New"/>
          <w:sz w:val="18"/>
          <w:szCs w:val="18"/>
          <w:color w:val="auto"/>
        </w:rPr>
      </w:pPr>
    </w:p>
    <w:p>
      <w:pPr>
        <w:ind w:left="1060" w:right="1879" w:hanging="527"/>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 Section 6.2 of the Agreement relating to production planning for Clinical Trial and Pre-Commercial Phase supply is amended to provide that Isotope may be shipped in as many as [CONFIDENTIAL TREATMENT REQUESTED] sizes to be discussed by the parties and approved by IDEC, however it is anticipated that a dose size of [CONFIDENTIAL TREATMENT REQUESTED] per vial at Calibration will be required.</w:t>
      </w:r>
    </w:p>
    <w:p>
      <w:pPr>
        <w:spacing w:after="0" w:line="185" w:lineRule="exact"/>
        <w:rPr>
          <w:rFonts w:ascii="Courier New" w:cs="Courier New" w:eastAsia="Courier New" w:hAnsi="Courier New"/>
          <w:sz w:val="18"/>
          <w:szCs w:val="18"/>
          <w:color w:val="auto"/>
        </w:rPr>
      </w:pPr>
    </w:p>
    <w:p>
      <w:pPr>
        <w:ind w:left="1060" w:right="24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During the Commercial Phase the dose size shall be [CONFIDENTIAL TREATMENT REQUESTED] at Calibration.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18" w:lineRule="exact"/>
        <w:rPr>
          <w:sz w:val="20"/>
          <w:szCs w:val="20"/>
          <w:color w:val="auto"/>
        </w:rPr>
      </w:pPr>
    </w:p>
    <w:p>
      <w:pPr>
        <w:jc w:val="center"/>
        <w:ind w:right="1559"/>
        <w:spacing w:after="0"/>
        <w:tabs>
          <w:tab w:leader="none" w:pos="1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Subject to Section 7.6 of the Agreement, the maximum purchase price</w:t>
      </w:r>
    </w:p>
    <w:p>
      <w:pPr>
        <w:spacing w:after="0" w:line="4" w:lineRule="exact"/>
        <w:rPr>
          <w:sz w:val="20"/>
          <w:szCs w:val="20"/>
          <w:color w:val="auto"/>
        </w:rPr>
      </w:pPr>
    </w:p>
    <w:p>
      <w:pPr>
        <w:ind w:left="1060" w:right="1879"/>
        <w:spacing w:after="0" w:line="237" w:lineRule="auto"/>
        <w:rPr>
          <w:sz w:val="20"/>
          <w:szCs w:val="20"/>
          <w:color w:val="auto"/>
        </w:rPr>
      </w:pPr>
      <w:r>
        <w:rPr>
          <w:rFonts w:ascii="Courier New" w:cs="Courier New" w:eastAsia="Courier New" w:hAnsi="Courier New"/>
          <w:sz w:val="18"/>
          <w:szCs w:val="18"/>
          <w:color w:val="auto"/>
        </w:rPr>
        <w:t>for Isotope during the Commercial Phase shall be [CONFIDENTIAL TREATMENT REQUESTED] per dose. The purchase price includes all shipping, insurance and customs charges ("Charges") currently estimated to average [CONFIDENTIAL TREATMENT REQUESTED] per dose. The parties agree to adjust the minimum purchase price on an annual basis commencing [CONFIDENTIAL TREATMENT REQUESTED] to reflect any increase or decrease in the average cost of such Charges incurred by Nordion during the prior year.</w:t>
      </w:r>
    </w:p>
    <w:p>
      <w:pPr>
        <w:spacing w:after="0" w:line="212" w:lineRule="exact"/>
        <w:rPr>
          <w:sz w:val="20"/>
          <w:szCs w:val="20"/>
          <w:color w:val="auto"/>
        </w:rPr>
      </w:pPr>
    </w:p>
    <w:p>
      <w:pPr>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1.4</w:t>
        <w:tab/>
        <w:t>Upon commencement of the Commercial Phase and notwithstanding the notice required set out in Section 7.1(ii) of the Agreement, Nordion shall [CONFIDENTIAL TREATMENT REQUESTED] for use with IDEC's Monoclonal Antibody. Title in and to Isotope and risk of loss shall [CONFIDENTIAL TREATMENT REQUESTED]. For the purposes of certainty, Nordion may refuse to supply Isotope [CONFIDENTIAL TREATMENT REQUESTED]. Such refusal to supply shall not affect IDEC's minimum purchase commitment under the Agreement.</w:t>
      </w:r>
    </w:p>
    <w:p>
      <w:pPr>
        <w:spacing w:after="0" w:line="212"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1.5</w:t>
        <w:tab/>
        <w:t>From time to time during the Commercial Phase, but in any event not less than [CONFIDENTIAL TREATMENT REQUESTED], the parties shall meet to discuss Isotope vial fill optimization. If the parties determine in good faith that the amount of Isotope shipped per dose can be reduced without impacting the [CONFIDENTIAL TREATMENT REQUESTED] at</w:t>
      </w:r>
    </w:p>
    <w:p>
      <w:pPr>
        <w:sectPr>
          <w:pgSz w:w="11900" w:h="16838" w:orient="portrait"/>
          <w:cols w:equalWidth="0" w:num="1">
            <w:col w:w="10219"/>
          </w:cols>
          <w:pgMar w:left="240" w:top="541" w:right="1440" w:bottom="0" w:gutter="0" w:footer="0" w:header="0"/>
        </w:sectPr>
      </w:pPr>
    </w:p>
    <w:bookmarkStart w:id="51" w:name="page52"/>
    <w:bookmarkEnd w:id="51"/>
    <w:p>
      <w:pPr>
        <w:ind w:left="1052" w:right="1999"/>
        <w:spacing w:after="0" w:line="237" w:lineRule="auto"/>
        <w:rPr>
          <w:sz w:val="20"/>
          <w:szCs w:val="20"/>
          <w:color w:val="auto"/>
        </w:rPr>
      </w:pPr>
      <w:r>
        <w:rPr>
          <w:rFonts w:ascii="Courier New" w:cs="Courier New" w:eastAsia="Courier New" w:hAnsi="Courier New"/>
          <w:sz w:val="18"/>
          <w:szCs w:val="18"/>
          <w:color w:val="auto"/>
        </w:rPr>
        <w:t>Calibration dose size requirement or that a smaller dose size meets Labelled Drug administration requirements, the purchase price shall, subject to Section 7.6 of the Agreement, be based on a maximum price of [CONFIDENTIAL TREATMENT REQUESTED] per [CONFIDENTIAL TREATMENT REQUESTED] at Calibration, plus Charges.</w:t>
      </w:r>
    </w:p>
    <w:p>
      <w:pPr>
        <w:spacing w:after="0" w:line="209" w:lineRule="exact"/>
        <w:rPr>
          <w:sz w:val="20"/>
          <w:szCs w:val="20"/>
          <w:color w:val="auto"/>
        </w:rPr>
      </w:pPr>
    </w:p>
    <w:p>
      <w:pPr>
        <w:ind w:left="1052" w:right="17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1.6</w:t>
        <w:tab/>
        <w:t>Once construction of the New Faci1ity is comp1ete and it is capable of supplying Isotope the readiness fee in Section 6.5 of the Agreement shall be increased to [CONFIDENTIAL TREATMENT REQUESTED] and [CONFIDENTIAL TREATMENT REQUESTED], shall not [CONFIDENTIAL TREATMENT REQUESTED]. In the event Nordion is sourcing radiochemica1 grade yttrium-90 in house, for the purposes or Section 6.5 of the Agreement, the [CONFIDENTIAL TREATMENT REQUESTED] shall be [CONFIDENTIAL TREATMENT REQUESTED].</w:t>
      </w:r>
    </w:p>
    <w:p>
      <w:pPr>
        <w:spacing w:after="0" w:line="212" w:lineRule="exact"/>
        <w:rPr>
          <w:sz w:val="20"/>
          <w:szCs w:val="20"/>
          <w:color w:val="auto"/>
        </w:rPr>
      </w:pPr>
    </w:p>
    <w:p>
      <w:pPr>
        <w:ind w:left="1052" w:right="1779" w:hanging="526"/>
        <w:spacing w:after="0" w:line="236" w:lineRule="auto"/>
        <w:tabs>
          <w:tab w:leader="none" w:pos="1032" w:val="left"/>
        </w:tabs>
        <w:rPr>
          <w:sz w:val="20"/>
          <w:szCs w:val="20"/>
          <w:color w:val="auto"/>
        </w:rPr>
      </w:pPr>
      <w:r>
        <w:rPr>
          <w:rFonts w:ascii="Courier New" w:cs="Courier New" w:eastAsia="Courier New" w:hAnsi="Courier New"/>
          <w:sz w:val="18"/>
          <w:szCs w:val="18"/>
          <w:color w:val="auto"/>
        </w:rPr>
        <w:t>1.7</w:t>
        <w:tab/>
        <w:t>Nordion agrees that it shall provide or otherwise cause to be provided to IDEC the following reports on a per customer basis by e-mail or fax:</w:t>
      </w:r>
    </w:p>
    <w:p>
      <w:pPr>
        <w:spacing w:after="0" w:line="209" w:lineRule="exact"/>
        <w:rPr>
          <w:sz w:val="20"/>
          <w:szCs w:val="20"/>
          <w:color w:val="auto"/>
        </w:rPr>
      </w:pPr>
    </w:p>
    <w:p>
      <w:pPr>
        <w:ind w:left="1792" w:right="1879" w:hanging="739"/>
        <w:spacing w:after="0" w:line="237" w:lineRule="auto"/>
        <w:tabs>
          <w:tab w:leader="none" w:pos="179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confirmation, within 1 full business day of receipt of Isotope orders, setting out the total number of orders placed in a particular day from customers including a summary of declined orders for reasons including</w:t>
      </w:r>
    </w:p>
    <w:p>
      <w:pPr>
        <w:spacing w:after="0" w:line="20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5052"/>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1792" w:right="2199"/>
        <w:spacing w:after="0" w:line="235" w:lineRule="auto"/>
        <w:rPr>
          <w:sz w:val="20"/>
          <w:szCs w:val="20"/>
          <w:color w:val="auto"/>
        </w:rPr>
      </w:pPr>
      <w:r>
        <w:rPr>
          <w:rFonts w:ascii="Courier New" w:cs="Courier New" w:eastAsia="Courier New" w:hAnsi="Courier New"/>
          <w:sz w:val="18"/>
          <w:szCs w:val="18"/>
          <w:color w:val="auto"/>
        </w:rPr>
        <w:t>but not limited to customer's failure to have a radioactive materials license;</w:t>
      </w:r>
    </w:p>
    <w:p>
      <w:pPr>
        <w:spacing w:after="0" w:line="208" w:lineRule="exact"/>
        <w:rPr>
          <w:sz w:val="20"/>
          <w:szCs w:val="20"/>
          <w:color w:val="auto"/>
        </w:rPr>
      </w:pPr>
    </w:p>
    <w:p>
      <w:pPr>
        <w:ind w:left="1792" w:right="1779" w:hanging="739"/>
        <w:spacing w:after="0" w:line="236" w:lineRule="auto"/>
        <w:tabs>
          <w:tab w:leader="none" w:pos="179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shipping notice including information with respect to planned Isotope shipping dates, customer address and quantities ordered, provided on the day of shipment;</w:t>
      </w:r>
    </w:p>
    <w:p>
      <w:pPr>
        <w:spacing w:after="0" w:line="208" w:lineRule="exact"/>
        <w:rPr>
          <w:rFonts w:ascii="Courier New" w:cs="Courier New" w:eastAsia="Courier New" w:hAnsi="Courier New"/>
          <w:sz w:val="18"/>
          <w:szCs w:val="18"/>
          <w:color w:val="auto"/>
        </w:rPr>
      </w:pPr>
    </w:p>
    <w:p>
      <w:pPr>
        <w:ind w:left="1792" w:right="1779" w:hanging="739"/>
        <w:spacing w:after="0" w:line="237" w:lineRule="auto"/>
        <w:tabs>
          <w:tab w:leader="none" w:pos="179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weekly summary exception reports provided on Friday of each week setting out missed shipments (arrival after 12 noon in customer's time zone), product complaints and replaced doses in such week, if applicable; and</w:t>
      </w:r>
    </w:p>
    <w:p>
      <w:pPr>
        <w:spacing w:after="0" w:line="207" w:lineRule="exact"/>
        <w:rPr>
          <w:rFonts w:ascii="Courier New" w:cs="Courier New" w:eastAsia="Courier New" w:hAnsi="Courier New"/>
          <w:sz w:val="18"/>
          <w:szCs w:val="18"/>
          <w:color w:val="auto"/>
        </w:rPr>
      </w:pPr>
    </w:p>
    <w:p>
      <w:pPr>
        <w:ind w:left="1792" w:hanging="739"/>
        <w:spacing w:after="0"/>
        <w:tabs>
          <w:tab w:leader="none" w:pos="179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distribution or other reports required by the FDA.</w:t>
      </w:r>
    </w:p>
    <w:p>
      <w:pPr>
        <w:spacing w:after="0" w:line="224" w:lineRule="exact"/>
        <w:rPr>
          <w:sz w:val="20"/>
          <w:szCs w:val="20"/>
          <w:color w:val="auto"/>
        </w:rPr>
      </w:pPr>
    </w:p>
    <w:p>
      <w:pPr>
        <w:ind w:left="1052" w:right="1779"/>
        <w:spacing w:after="0" w:line="237" w:lineRule="auto"/>
        <w:rPr>
          <w:sz w:val="20"/>
          <w:szCs w:val="20"/>
          <w:color w:val="auto"/>
        </w:rPr>
      </w:pPr>
      <w:r>
        <w:rPr>
          <w:rFonts w:ascii="Courier New" w:cs="Courier New" w:eastAsia="Courier New" w:hAnsi="Courier New"/>
          <w:sz w:val="18"/>
          <w:szCs w:val="18"/>
          <w:color w:val="auto"/>
        </w:rPr>
        <w:t>For the purpose of the audit rights set out in Section 11.1 of the Agreement, IDEC'S right of audit shall be extended for the purpose of verification of fulfillment of Nordion's obligations set forth in this Section 1.7. Any auditor engaged pursuant to Section 11.1 of the Agreement shall prior to carrying out such audit enter into a confidentiality agreement reasonably acceptable to Nordion and IDEC for the purpose of protecting the confidential information of each respective party.</w:t>
      </w:r>
    </w:p>
    <w:p>
      <w:pPr>
        <w:spacing w:after="0" w:line="207" w:lineRule="exact"/>
        <w:rPr>
          <w:sz w:val="20"/>
          <w:szCs w:val="20"/>
          <w:color w:val="auto"/>
        </w:rPr>
      </w:pPr>
    </w:p>
    <w:p>
      <w:pPr>
        <w:ind w:left="532" w:hanging="532"/>
        <w:spacing w:after="0"/>
        <w:tabs>
          <w:tab w:leader="none" w:pos="53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RIGHTS.</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 IDEC agrees that it shall not exercise its termination rights set forth in Section 17.3 of the Agreement and such termination right, except as set forth below, shall be suspended until such time as [CONFIDENTIAL TREATMENT REQUESTED] reach [CONFIDENTIAL TREATMENT REQUESTED] in the aggregate, including [CONFIDENTIAL TREATMENT REQUESTED] under the Agreement or to third parties during the period in which the Agreement remains in force [CONFIDENTIAL TREATMENT REQUESTED]. Nordion shall notify IDEC as soon as Nordion becomes aware that the [CONFIDENTIAL TREATMENT REQUESTED] has been reached.</w:t>
      </w:r>
    </w:p>
    <w:p>
      <w:pPr>
        <w:spacing w:after="0" w:line="213" w:lineRule="exact"/>
        <w:rPr>
          <w:rFonts w:ascii="Courier New" w:cs="Courier New" w:eastAsia="Courier New" w:hAnsi="Courier New"/>
          <w:sz w:val="18"/>
          <w:szCs w:val="18"/>
          <w:color w:val="auto"/>
        </w:rPr>
      </w:pPr>
    </w:p>
    <w:p>
      <w:pPr>
        <w:ind w:left="1052" w:right="187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 Nordion agrees that it shall not exercise its termination rights set forth in Section 17.3 of the Agreement and such termination rights shall be suspended until Nordion has had the capability to commercially supply Isotope from the KRMF Facility (as such term is defined in Section 4.1 of this Third Amendment below) for five years. This five-year period includes the 24-month notice requirement set forth in Section 17.3 of the Agreement. For purposes of this Section</w:t>
      </w:r>
    </w:p>
    <w:p>
      <w:pPr>
        <w:spacing w:after="0" w:line="1" w:lineRule="exact"/>
        <w:rPr>
          <w:rFonts w:ascii="Courier New" w:cs="Courier New" w:eastAsia="Courier New" w:hAnsi="Courier New"/>
          <w:sz w:val="18"/>
          <w:szCs w:val="18"/>
          <w:color w:val="auto"/>
        </w:rPr>
      </w:pPr>
    </w:p>
    <w:p>
      <w:pPr>
        <w:ind w:left="10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 and elsewhere in this Third Amendment, Nordion shall be deemed to be capable of commercially supplying Isotope from the KRMF Facility as of [CONFIDENTIAL TREATMENT REQUESTED]. Nordion shall timely notify IDEC of such date.</w:t>
      </w:r>
    </w:p>
    <w:p>
      <w:pPr>
        <w:spacing w:after="0" w:line="207" w:lineRule="exact"/>
        <w:rPr>
          <w:rFonts w:ascii="Courier New" w:cs="Courier New" w:eastAsia="Courier New" w:hAnsi="Courier New"/>
          <w:sz w:val="18"/>
          <w:szCs w:val="18"/>
          <w:color w:val="auto"/>
        </w:rPr>
      </w:pPr>
    </w:p>
    <w:p>
      <w:pPr>
        <w:ind w:left="1052" w:right="177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2.3 Notwithstanding Section 2.1 of this Third Amendment, IDEC may exercise its termination right pursuant to Section 17.3 of the Agreement at any time prior to the later of (i) BLA approval of the Labelled Drug or</w:t>
      </w:r>
    </w:p>
    <w:p>
      <w:pPr>
        <w:ind w:left="1572" w:hanging="519"/>
        <w:spacing w:after="0" w:line="238" w:lineRule="auto"/>
        <w:tabs>
          <w:tab w:leader="none" w:pos="1572"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Nordion is</w:t>
      </w:r>
    </w:p>
    <w:p>
      <w:pPr>
        <w:sectPr>
          <w:pgSz w:w="11900" w:h="16838" w:orient="portrait"/>
          <w:cols w:equalWidth="0" w:num="1">
            <w:col w:w="10211"/>
          </w:cols>
          <w:pgMar w:left="248" w:top="142" w:right="1440" w:bottom="0" w:gutter="0" w:footer="0" w:header="0"/>
        </w:sectPr>
      </w:pPr>
    </w:p>
    <w:bookmarkStart w:id="52" w:name="page53"/>
    <w:bookmarkEnd w:id="52"/>
    <w:p>
      <w:pPr>
        <w:ind w:left="316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capable of commercially supplying Isotope from the KRMF Facility. In the event that IDEC exercises its right to terminate the Agreement pursuant to this Section 2.3, or Nordion or IDEC terminate the Agreement pursuant to Section 17.6 of the Agreement, IDEC, [CONFIDENTIAL TREATMENT REQUESTED], shall pay Nordion an amount equal to the sum of:</w:t>
      </w:r>
    </w:p>
    <w:p>
      <w:pPr>
        <w:spacing w:after="0" w:line="210" w:lineRule="exact"/>
        <w:rPr>
          <w:sz w:val="20"/>
          <w:szCs w:val="20"/>
          <w:color w:val="auto"/>
        </w:rPr>
      </w:pPr>
    </w:p>
    <w:p>
      <w:pPr>
        <w:ind w:left="740" w:right="1779" w:hanging="1"/>
        <w:spacing w:after="0" w:line="237" w:lineRule="auto"/>
        <w:tabs>
          <w:tab w:leader="none" w:pos="126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lesser of (i) [CONFIDENTIAL TREATMENT REQUESTED] minus [CONFIDENTIAL TREATMENT REQUESTED] under the Agreement from the sale of Isotope and/or Yttriurn-90 manufactured by the [CONFIDENTIAL TREATMENT REQUESTED] up to the effective date of termination or (ii) Nordion's [CONFIDENTIAL TREATMENT REQUESTED] associated with the establishment of the [CONFIDENTIAL TREATMENT REQUESTED] to the date of the termination notice minus [CONFIDENTIAL TREATMENT REQUESTED] under the Agreement from the sale of Isotope and/or Yttrium-90 manufactured by the [CONFIDENTIAL TREATMENT REQUESTED] up to the effective date of termination, plus</w:t>
      </w:r>
    </w:p>
    <w:p>
      <w:pPr>
        <w:spacing w:after="0" w:line="215" w:lineRule="exact"/>
        <w:rPr>
          <w:rFonts w:ascii="Courier New" w:cs="Courier New" w:eastAsia="Courier New" w:hAnsi="Courier New"/>
          <w:sz w:val="18"/>
          <w:szCs w:val="18"/>
          <w:color w:val="auto"/>
        </w:rPr>
      </w:pPr>
    </w:p>
    <w:p>
      <w:pPr>
        <w:ind w:left="740" w:right="2199" w:hanging="1"/>
        <w:spacing w:after="0" w:line="236" w:lineRule="auto"/>
        <w:tabs>
          <w:tab w:leader="none" w:pos="126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amount equal to [CONFIDENTIAL TREATMENT REQUESTED], provided, however, in no event shall such amount exceed [CONFIDENTIAL TREATMENT REQUESTED], plus</w:t>
      </w:r>
    </w:p>
    <w:p>
      <w:pPr>
        <w:spacing w:after="0" w:line="208" w:lineRule="exact"/>
        <w:rPr>
          <w:rFonts w:ascii="Courier New" w:cs="Courier New" w:eastAsia="Courier New" w:hAnsi="Courier New"/>
          <w:sz w:val="18"/>
          <w:szCs w:val="18"/>
          <w:color w:val="auto"/>
        </w:rPr>
      </w:pPr>
    </w:p>
    <w:p>
      <w:pPr>
        <w:ind w:left="740" w:right="1879" w:hanging="1"/>
        <w:spacing w:after="0" w:line="235" w:lineRule="auto"/>
        <w:tabs>
          <w:tab w:leader="none" w:pos="126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amounts otherwise payable pursuant to Section 17.3 of the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7" w:lineRule="exact"/>
        <w:rPr>
          <w:sz w:val="20"/>
          <w:szCs w:val="20"/>
          <w:color w:val="auto"/>
        </w:rPr>
      </w:pPr>
    </w:p>
    <w:p>
      <w:pPr>
        <w:jc w:val="both"/>
        <w:ind w:right="2199"/>
        <w:spacing w:after="0" w:line="290" w:lineRule="auto"/>
        <w:rPr>
          <w:sz w:val="20"/>
          <w:szCs w:val="20"/>
          <w:color w:val="auto"/>
        </w:rPr>
      </w:pPr>
      <w:r>
        <w:rPr>
          <w:rFonts w:ascii="Courier New" w:cs="Courier New" w:eastAsia="Courier New" w:hAnsi="Courier New"/>
          <w:sz w:val="16"/>
          <w:szCs w:val="16"/>
          <w:color w:val="auto"/>
        </w:rPr>
        <w:t>Upon receipt of notice of termination of the Agreement pursuant to this Section 2.3, Nordion may cease all work on the KRMF Facility.</w:t>
      </w:r>
    </w:p>
    <w:p>
      <w:pPr>
        <w:spacing w:after="0" w:line="170" w:lineRule="exact"/>
        <w:rPr>
          <w:sz w:val="20"/>
          <w:szCs w:val="20"/>
          <w:color w:val="auto"/>
        </w:rPr>
      </w:pPr>
    </w:p>
    <w:p>
      <w:pPr>
        <w:ind w:right="1879" w:hanging="526"/>
        <w:spacing w:after="0" w:line="271" w:lineRule="auto"/>
        <w:rPr>
          <w:sz w:val="20"/>
          <w:szCs w:val="20"/>
          <w:color w:val="auto"/>
        </w:rPr>
      </w:pPr>
      <w:r>
        <w:rPr>
          <w:rFonts w:ascii="Courier New" w:cs="Courier New" w:eastAsia="Courier New" w:hAnsi="Courier New"/>
          <w:sz w:val="18"/>
          <w:szCs w:val="18"/>
          <w:color w:val="auto"/>
        </w:rPr>
        <w:t>2.4</w:t>
      </w:r>
      <w:r>
        <w:rPr>
          <w:sz w:val="20"/>
          <w:szCs w:val="20"/>
          <w:color w:val="auto"/>
        </w:rPr>
        <w:t xml:space="preserve"> </w:t>
      </w:r>
      <w:r>
        <w:rPr>
          <w:rFonts w:ascii="Courier New" w:cs="Courier New" w:eastAsia="Courier New" w:hAnsi="Courier New"/>
          <w:sz w:val="16"/>
          <w:szCs w:val="16"/>
          <w:color w:val="auto"/>
        </w:rPr>
        <w:t>In addition to IDEC's rights set forth in Section 2.3 of this Third Amendment, and notwithstanding Section 2.1 above, IDEC may terminate the Agreement with respect to [CONFIDENTIAL TREATMENT REQUESTED], at any time prior to the later of (i) BLA approval of the Labelled Drug, or (ii) the date Nordion is capable of commercially supplying Isotope from the KRMF Facility. In the event that IDEC exercises its right under this Section 2.4, IDEC, in order to [CONFIDENTIAL TREATMENT REQUESTED], provided, however, in no event shall such amount exceed [CONFIDENTIAL TREATMENT REQUESTED].</w:t>
      </w:r>
    </w:p>
    <w:p>
      <w:pPr>
        <w:spacing w:after="0" w:line="184"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2.5</w:t>
      </w:r>
      <w:r>
        <w:rPr>
          <w:sz w:val="20"/>
          <w:szCs w:val="20"/>
          <w:color w:val="auto"/>
        </w:rPr>
        <w:t xml:space="preserve"> </w:t>
      </w:r>
      <w:r>
        <w:rPr>
          <w:rFonts w:ascii="Courier New" w:cs="Courier New" w:eastAsia="Courier New" w:hAnsi="Courier New"/>
          <w:sz w:val="18"/>
          <w:szCs w:val="18"/>
          <w:color w:val="auto"/>
        </w:rPr>
        <w:t>Subject to Section 7.6 of the Agreement, Nordion agrees that IDEC may at any time within [CONFIDENTIAL TREATMENT REQUESTED] following the effective date of termination pursuant to Sections 2.3, 2.4, 5.11 and 5.13 of this Third Amendment reinstate the Agreement as amended by this Third Amendment upon [CONFIDENTIAL TREATMENT REQUESTED] prior written notice to Nordion, and provided the parties agree on an amount to be secured in Escrow to</w:t>
      </w: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be negotiated in good faith for [CONFIDENTIAL TREATMENT REQUESTED] after the date of termination, as the case may be. It is acknowledged and agreed that the Agreement, as reinstated, shall [CONFIDENTIAL TREATMENT REQUESTED]. Notwithstanding anything to the contrary set forth in this Section 2.5, in the event Nordion advises IDEC in writing during the [CONFIDENTIAL TREATMENT REQUESTED] reinstatement period that it has initiated negotiations with a third party regarding use of [CONFIDENTIAL TREATMENT REQUESTED]. IDEC shall have [CONFIDENTIAL TREATMENT REQUESTED] from the date of such notification to elect with respect to such facility to reinstate the Agreement in accordance with this Section 2.5 or waive such right of reinstatement. IDEC's failure to respond within the forgoing [CONFIDENTIAL TREATMENT REQUESTED] period shall be deemed a waiver of IDEC's right of reinstatement. In the event IDEC waives such right of reinstatement and Nordion's negotiations with such third party fail to result in agreement to utilize the applicable facility, Nordion shall promptly notify IDEC and IDEC shall again have thc right of reinstatement set forth in this Section 2.5 until expiration of the original [CONFIDENTIAL TREATMENT REQUESTED] reinstatement period, subject to Nordion's continuing right to initiate negotiations with a third party and to require IDEC to elect to reinstate the Agreement or waive such right within [CONFIDENTIAL TREATMENT REQUESTED].</w:t>
      </w:r>
    </w:p>
    <w:p>
      <w:pPr>
        <w:sectPr>
          <w:pgSz w:w="11900" w:h="16838" w:orient="portrait"/>
          <w:cols w:equalWidth="0" w:num="1">
            <w:col w:w="9159"/>
          </w:cols>
          <w:pgMar w:left="1300" w:top="136" w:right="1440" w:bottom="116" w:gutter="0" w:footer="0" w:header="0"/>
        </w:sectPr>
      </w:pPr>
    </w:p>
    <w:bookmarkStart w:id="53" w:name="page54"/>
    <w:bookmarkEnd w:id="53"/>
    <w:p>
      <w:pPr>
        <w:ind w:left="1052" w:right="17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2.6</w:t>
        <w:tab/>
        <w:t>This Article 2 of this Third Amendment hereby supersedes Article 2 of the Second Amendment. In the event IDEC exercises the termination rights set forth in Section 2.4 of this Third Amendment, Article 2 of the Second Amendment shall be reinstated and Sections 2.1 - 2.5, 3.1 - 3.4, 4.1 - 4.4, 51 - 5.13 and 7.4 of this Third Amendment shall no longer be applicable, provided IDEC has met all of its obligations set out in Section 2.4 above.</w:t>
      </w:r>
    </w:p>
    <w:p>
      <w:pPr>
        <w:spacing w:after="0" w:line="205" w:lineRule="exact"/>
        <w:rPr>
          <w:sz w:val="20"/>
          <w:szCs w:val="20"/>
          <w:color w:val="auto"/>
        </w:rPr>
      </w:pPr>
    </w:p>
    <w:p>
      <w:pPr>
        <w:ind w:left="532" w:hanging="532"/>
        <w:spacing w:after="0"/>
        <w:tabs>
          <w:tab w:leader="none" w:pos="5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PURCHASE COMMITMENT.</w:t>
      </w:r>
    </w:p>
    <w:p>
      <w:pPr>
        <w:spacing w:after="0" w:line="207" w:lineRule="exact"/>
        <w:rPr>
          <w:sz w:val="20"/>
          <w:szCs w:val="20"/>
          <w:color w:val="auto"/>
        </w:rPr>
      </w:pPr>
    </w:p>
    <w:p>
      <w:pPr>
        <w:jc w:val="both"/>
        <w:ind w:left="1052" w:right="241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3.1</w:t>
        <w:tab/>
        <w:t>The [CONFIDENTIAL TREATMENT REQUESTED] Commercial Phase minimum purchase commitment set forth in Section 7.1(i) the Agreement is hereby amended and replaced with the following Commercial Phase minimum purchase commitment.</w:t>
      </w:r>
    </w:p>
    <w:p>
      <w:pPr>
        <w:spacing w:after="0" w:line="207"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2"/>
        <w:spacing w:after="0"/>
        <w:rPr>
          <w:sz w:val="20"/>
          <w:szCs w:val="20"/>
          <w:color w:val="auto"/>
        </w:rPr>
      </w:pPr>
      <w:r>
        <w:rPr>
          <w:rFonts w:ascii="Courier New" w:cs="Courier New" w:eastAsia="Courier New" w:hAnsi="Courier New"/>
          <w:sz w:val="18"/>
          <w:szCs w:val="18"/>
          <w:color w:val="auto"/>
        </w:rPr>
        <w:t>MINIMUM PURCHASE COMMITMENT</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52"/>
        <w:spacing w:after="0"/>
        <w:tabs>
          <w:tab w:leader="none" w:pos="5032" w:val="left"/>
        </w:tabs>
        <w:rPr>
          <w:sz w:val="20"/>
          <w:szCs w:val="20"/>
          <w:color w:val="auto"/>
        </w:rPr>
      </w:pPr>
      <w:r>
        <w:rPr>
          <w:rFonts w:ascii="Courier New" w:cs="Courier New" w:eastAsia="Courier New" w:hAnsi="Courier New"/>
          <w:sz w:val="18"/>
          <w:szCs w:val="18"/>
          <w:color w:val="auto"/>
        </w:rPr>
        <w:t>[CONFIDENTIAL TREATMENT</w:t>
      </w:r>
      <w:r>
        <w:rPr>
          <w:sz w:val="20"/>
          <w:szCs w:val="20"/>
          <w:color w:val="auto"/>
        </w:rPr>
        <w:tab/>
      </w:r>
      <w:r>
        <w:rPr>
          <w:rFonts w:ascii="Courier New" w:cs="Courier New" w:eastAsia="Courier New" w:hAnsi="Courier New"/>
          <w:sz w:val="16"/>
          <w:szCs w:val="16"/>
          <w:color w:val="auto"/>
        </w:rPr>
        <w:t>Gross Revenue excluding Charges</w:t>
      </w:r>
    </w:p>
    <w:p>
      <w:pPr>
        <w:ind w:left="1472"/>
        <w:spacing w:after="0"/>
        <w:tabs>
          <w:tab w:leader="none" w:pos="5032" w:val="left"/>
        </w:tabs>
        <w:rPr>
          <w:sz w:val="20"/>
          <w:szCs w:val="20"/>
          <w:color w:val="auto"/>
        </w:rPr>
      </w:pPr>
      <w:r>
        <w:rPr>
          <w:rFonts w:ascii="Courier New" w:cs="Courier New" w:eastAsia="Courier New" w:hAnsi="Courier New"/>
          <w:sz w:val="18"/>
          <w:szCs w:val="18"/>
          <w:color w:val="auto"/>
        </w:rPr>
        <w:t>REQUESTED] Period</w:t>
      </w:r>
      <w:r>
        <w:rPr>
          <w:sz w:val="20"/>
          <w:szCs w:val="20"/>
          <w:color w:val="auto"/>
        </w:rPr>
        <w:tab/>
      </w:r>
      <w:r>
        <w:rPr>
          <w:rFonts w:ascii="Courier New" w:cs="Courier New" w:eastAsia="Courier New" w:hAnsi="Courier New"/>
          <w:sz w:val="16"/>
          <w:szCs w:val="16"/>
          <w:color w:val="auto"/>
        </w:rPr>
        <w:t>($ US) from the sale of Isotope</w:t>
      </w:r>
    </w:p>
    <w:p>
      <w:pPr>
        <w:spacing w:after="0" w:line="5"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Commencement of Commercial Phase</w:t>
      </w:r>
    </w:p>
    <w:p>
      <w:pPr>
        <w:ind w:left="1152"/>
        <w:spacing w:after="0" w:line="238" w:lineRule="auto"/>
        <w:rPr>
          <w:sz w:val="20"/>
          <w:szCs w:val="20"/>
          <w:color w:val="auto"/>
        </w:rPr>
      </w:pPr>
      <w:r>
        <w:rPr>
          <w:rFonts w:ascii="Courier New" w:cs="Courier New" w:eastAsia="Courier New" w:hAnsi="Courier New"/>
          <w:sz w:val="18"/>
          <w:szCs w:val="18"/>
          <w:color w:val="auto"/>
        </w:rPr>
        <w:t>through the date</w:t>
      </w:r>
    </w:p>
    <w:p>
      <w:pPr>
        <w:ind w:left="1052"/>
        <w:spacing w:after="0"/>
        <w:tabs>
          <w:tab w:leader="none" w:pos="4832" w:val="left"/>
        </w:tabs>
        <w:rPr>
          <w:sz w:val="20"/>
          <w:szCs w:val="20"/>
          <w:color w:val="auto"/>
        </w:rPr>
      </w:pPr>
      <w:r>
        <w:rPr>
          <w:rFonts w:ascii="Courier New" w:cs="Courier New" w:eastAsia="Courier New" w:hAnsi="Courier New"/>
          <w:sz w:val="18"/>
          <w:szCs w:val="18"/>
          <w:color w:val="auto"/>
        </w:rPr>
        <w:t>[CONFIDENTIAL TREATMENT REQUESTED]</w:t>
      </w:r>
      <w:r>
        <w:rPr>
          <w:sz w:val="20"/>
          <w:szCs w:val="20"/>
          <w:color w:val="auto"/>
        </w:rPr>
        <w:tab/>
      </w:r>
      <w:r>
        <w:rPr>
          <w:rFonts w:ascii="Courier New" w:cs="Courier New" w:eastAsia="Courier New" w:hAnsi="Courier New"/>
          <w:sz w:val="16"/>
          <w:szCs w:val="16"/>
          <w:color w:val="auto"/>
        </w:rPr>
        <w:t>[CONFIDENTIAL TREATMENT REQUESTED]</w:t>
      </w:r>
    </w:p>
    <w:p>
      <w:pPr>
        <w:ind w:left="1052"/>
        <w:spacing w:after="0" w:line="237" w:lineRule="auto"/>
        <w:rPr>
          <w:sz w:val="20"/>
          <w:szCs w:val="20"/>
          <w:color w:val="auto"/>
        </w:rPr>
      </w:pPr>
      <w:r>
        <w:rPr>
          <w:rFonts w:ascii="Courier New" w:cs="Courier New" w:eastAsia="Courier New" w:hAnsi="Courier New"/>
          <w:sz w:val="18"/>
          <w:szCs w:val="18"/>
          <w:color w:val="auto"/>
        </w:rPr>
        <w:t>following the commencement of the</w:t>
      </w:r>
    </w:p>
    <w:p>
      <w:pPr>
        <w:ind w:left="1152"/>
        <w:spacing w:after="0" w:line="238" w:lineRule="auto"/>
        <w:rPr>
          <w:sz w:val="20"/>
          <w:szCs w:val="20"/>
          <w:color w:val="auto"/>
        </w:rPr>
      </w:pPr>
      <w:r>
        <w:rPr>
          <w:rFonts w:ascii="Courier New" w:cs="Courier New" w:eastAsia="Courier New" w:hAnsi="Courier New"/>
          <w:sz w:val="18"/>
          <w:szCs w:val="18"/>
          <w:color w:val="auto"/>
        </w:rPr>
        <w:t>Commercial Phase</w:t>
      </w:r>
    </w:p>
    <w:p>
      <w:pPr>
        <w:ind w:left="1052"/>
        <w:spacing w:after="0"/>
        <w:rPr>
          <w:sz w:val="20"/>
          <w:szCs w:val="20"/>
          <w:color w:val="auto"/>
        </w:rPr>
      </w:pPr>
      <w:r>
        <w:rPr>
          <w:rFonts w:ascii="Courier New" w:cs="Courier New" w:eastAsia="Courier New" w:hAnsi="Courier New"/>
          <w:sz w:val="18"/>
          <w:szCs w:val="18"/>
          <w:color w:val="auto"/>
        </w:rPr>
        <w:t>[CONFIDENTIAL TREATMENT REQUESTED]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052"/>
        <w:spacing w:after="0"/>
        <w:tabs>
          <w:tab w:leader="none" w:pos="4832" w:val="left"/>
        </w:tabs>
        <w:rPr>
          <w:sz w:val="20"/>
          <w:szCs w:val="20"/>
          <w:color w:val="auto"/>
        </w:rPr>
      </w:pPr>
      <w:r>
        <w:rPr>
          <w:rFonts w:ascii="Courier New" w:cs="Courier New" w:eastAsia="Courier New" w:hAnsi="Courier New"/>
          <w:sz w:val="18"/>
          <w:szCs w:val="18"/>
          <w:color w:val="auto"/>
        </w:rPr>
        <w:t>[CONFIDENTIAL TREATMENT REQUESTED]</w:t>
      </w:r>
      <w:r>
        <w:rPr>
          <w:sz w:val="20"/>
          <w:szCs w:val="20"/>
          <w:color w:val="auto"/>
        </w:rPr>
        <w:tab/>
      </w:r>
      <w:r>
        <w:rPr>
          <w:rFonts w:ascii="Courier New" w:cs="Courier New" w:eastAsia="Courier New" w:hAnsi="Courier New"/>
          <w:sz w:val="16"/>
          <w:szCs w:val="16"/>
          <w:color w:val="auto"/>
        </w:rPr>
        <w:t>[CONFIDENTIAL TREATMENT REQUESTED]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p>
      <w:pPr>
        <w:ind w:left="1052"/>
        <w:spacing w:after="0"/>
        <w:tabs>
          <w:tab w:leader="none" w:pos="4832" w:val="left"/>
        </w:tabs>
        <w:rPr>
          <w:sz w:val="20"/>
          <w:szCs w:val="20"/>
          <w:color w:val="auto"/>
        </w:rPr>
      </w:pPr>
      <w:r>
        <w:rPr>
          <w:rFonts w:ascii="Courier New" w:cs="Courier New" w:eastAsia="Courier New" w:hAnsi="Courier New"/>
          <w:sz w:val="18"/>
          <w:szCs w:val="18"/>
          <w:color w:val="auto"/>
        </w:rPr>
        <w:t>[CONFIDENTIAL TREATMENT REQUESTED]</w:t>
      </w:r>
      <w:r>
        <w:rPr>
          <w:sz w:val="20"/>
          <w:szCs w:val="20"/>
          <w:color w:val="auto"/>
        </w:rPr>
        <w:tab/>
      </w:r>
      <w:r>
        <w:rPr>
          <w:rFonts w:ascii="Courier New" w:cs="Courier New" w:eastAsia="Courier New" w:hAnsi="Courier New"/>
          <w:sz w:val="16"/>
          <w:szCs w:val="16"/>
          <w:color w:val="auto"/>
        </w:rPr>
        <w:t>[CONFIDENTIAL TREATMENT REQUESTED]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52"/>
        <w:spacing w:after="0"/>
        <w:tabs>
          <w:tab w:leader="none" w:pos="4832" w:val="left"/>
        </w:tabs>
        <w:rPr>
          <w:sz w:val="20"/>
          <w:szCs w:val="20"/>
          <w:color w:val="auto"/>
        </w:rPr>
      </w:pPr>
      <w:r>
        <w:rPr>
          <w:rFonts w:ascii="Courier New" w:cs="Courier New" w:eastAsia="Courier New" w:hAnsi="Courier New"/>
          <w:sz w:val="18"/>
          <w:szCs w:val="18"/>
          <w:color w:val="auto"/>
        </w:rPr>
        <w:t>[CONFIDENTIAL TREATMENT</w:t>
      </w:r>
      <w:r>
        <w:rPr>
          <w:sz w:val="20"/>
          <w:szCs w:val="20"/>
          <w:color w:val="auto"/>
        </w:rPr>
        <w:tab/>
      </w:r>
      <w:r>
        <w:rPr>
          <w:rFonts w:ascii="Courier New" w:cs="Courier New" w:eastAsia="Courier New" w:hAnsi="Courier New"/>
          <w:sz w:val="16"/>
          <w:szCs w:val="16"/>
          <w:color w:val="auto"/>
        </w:rPr>
        <w:t>[CONFIDENTIAL TREATMENT</w:t>
      </w:r>
    </w:p>
    <w:p>
      <w:pPr>
        <w:spacing w:after="0" w:line="20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5052"/>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18" w:lineRule="exact"/>
        <w:rPr>
          <w:sz w:val="20"/>
          <w:szCs w:val="20"/>
          <w:color w:val="auto"/>
        </w:rPr>
      </w:pPr>
    </w:p>
    <w:p>
      <w:pPr>
        <w:ind w:left="2112"/>
        <w:spacing w:after="0"/>
        <w:tabs>
          <w:tab w:leader="none" w:pos="5872" w:val="left"/>
        </w:tabs>
        <w:rPr>
          <w:sz w:val="20"/>
          <w:szCs w:val="20"/>
          <w:color w:val="auto"/>
        </w:rPr>
      </w:pPr>
      <w:r>
        <w:rPr>
          <w:rFonts w:ascii="Courier New" w:cs="Courier New" w:eastAsia="Courier New" w:hAnsi="Courier New"/>
          <w:sz w:val="18"/>
          <w:szCs w:val="18"/>
          <w:color w:val="auto"/>
        </w:rPr>
        <w:t>REQUESTED]</w:t>
      </w:r>
      <w:r>
        <w:rPr>
          <w:sz w:val="20"/>
          <w:szCs w:val="20"/>
          <w:color w:val="auto"/>
        </w:rPr>
        <w:tab/>
      </w:r>
      <w:r>
        <w:rPr>
          <w:rFonts w:ascii="Courier New" w:cs="Courier New" w:eastAsia="Courier New" w:hAnsi="Courier New"/>
          <w:sz w:val="18"/>
          <w:szCs w:val="18"/>
          <w:color w:val="auto"/>
        </w:rPr>
        <w:t>REQUESTED]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52"/>
        <w:spacing w:after="0"/>
        <w:tabs>
          <w:tab w:leader="none" w:pos="4832" w:val="left"/>
        </w:tabs>
        <w:rPr>
          <w:sz w:val="20"/>
          <w:szCs w:val="20"/>
          <w:color w:val="auto"/>
        </w:rPr>
      </w:pPr>
      <w:r>
        <w:rPr>
          <w:rFonts w:ascii="Courier New" w:cs="Courier New" w:eastAsia="Courier New" w:hAnsi="Courier New"/>
          <w:sz w:val="18"/>
          <w:szCs w:val="18"/>
          <w:color w:val="auto"/>
        </w:rPr>
        <w:t>[CONFIDENTIAL TREATMENT REQUESTED]</w:t>
      </w:r>
      <w:r>
        <w:rPr>
          <w:sz w:val="20"/>
          <w:szCs w:val="20"/>
          <w:color w:val="auto"/>
        </w:rPr>
        <w:tab/>
      </w:r>
      <w:r>
        <w:rPr>
          <w:rFonts w:ascii="Courier New" w:cs="Courier New" w:eastAsia="Courier New" w:hAnsi="Courier New"/>
          <w:sz w:val="16"/>
          <w:szCs w:val="16"/>
          <w:color w:val="auto"/>
        </w:rPr>
        <w:t>[CONFIDENTIAL TREATMENT REQUESTED]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792"/>
        <w:spacing w:after="0"/>
        <w:tabs>
          <w:tab w:leader="none" w:pos="4832" w:val="left"/>
        </w:tabs>
        <w:rPr>
          <w:sz w:val="20"/>
          <w:szCs w:val="20"/>
          <w:color w:val="auto"/>
        </w:rPr>
      </w:pPr>
      <w:r>
        <w:rPr>
          <w:rFonts w:ascii="Courier New" w:cs="Courier New" w:eastAsia="Courier New" w:hAnsi="Courier New"/>
          <w:sz w:val="18"/>
          <w:szCs w:val="18"/>
          <w:color w:val="auto"/>
        </w:rPr>
        <w:t>Cumulative Total</w:t>
      </w:r>
      <w:r>
        <w:rPr>
          <w:sz w:val="20"/>
          <w:szCs w:val="20"/>
          <w:color w:val="auto"/>
        </w:rPr>
        <w:tab/>
      </w:r>
      <w:r>
        <w:rPr>
          <w:rFonts w:ascii="Courier New" w:cs="Courier New" w:eastAsia="Courier New" w:hAnsi="Courier New"/>
          <w:sz w:val="16"/>
          <w:szCs w:val="16"/>
          <w:color w:val="auto"/>
        </w:rPr>
        <w:t>[CONFIDENTIAL TREATMENT REQUESTED]</w:t>
      </w:r>
    </w:p>
    <w:p>
      <w:pPr>
        <w:spacing w:after="0" w:line="4"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052" w:right="1779" w:hanging="526"/>
        <w:spacing w:after="0" w:line="271" w:lineRule="auto"/>
        <w:tabs>
          <w:tab w:leader="none" w:pos="1032"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Notwithstanding anything to the contrary set forth in Section 7.1(iii) of the Agreement, commencing as of the end of [CONFIDENTIAL TREATMENT REQUESTED] of the Commercial Phase, and at the end of each [CONFIDENTIAL TREATMENT REQUESTED] period thereafter, minimum payments payable to Nordion as a result of IDEC's Commercial Phase minimum purchase commitment (as such commitment may be adjusted pursuant to Sections 3.3, 3.4 and 3.5 below) shall take into account [CONFIDENTIAL TREATMENT REQUESTED] as well as [CONFIDENTIAL TREATMENT REQUESTED].</w:t>
      </w:r>
    </w:p>
    <w:p>
      <w:pPr>
        <w:spacing w:after="0" w:line="186" w:lineRule="exact"/>
        <w:rPr>
          <w:sz w:val="20"/>
          <w:szCs w:val="20"/>
          <w:color w:val="auto"/>
        </w:rPr>
      </w:pPr>
    </w:p>
    <w:p>
      <w:pPr>
        <w:ind w:left="1052" w:right="1999"/>
        <w:spacing w:after="0" w:line="270" w:lineRule="auto"/>
        <w:rPr>
          <w:sz w:val="20"/>
          <w:szCs w:val="20"/>
          <w:color w:val="auto"/>
        </w:rPr>
      </w:pPr>
      <w:r>
        <w:rPr>
          <w:rFonts w:ascii="Courier New" w:cs="Courier New" w:eastAsia="Courier New" w:hAnsi="Courier New"/>
          <w:sz w:val="16"/>
          <w:szCs w:val="16"/>
          <w:color w:val="auto"/>
        </w:rPr>
        <w:t>For example, if Nordion's [CONFIDENTIAL TREATMENT REQUESTED] was [CONFIDENTIAL TREATMENT REQUESTED] during [CONFIDENTIAL TREATMENT REQUESTED], and [CONFIDENTIAL TREATMENT REQUESTED] during [CONFIDENTIAL TREATMENT REQUESTED], IDEC would owe Nordion [CONFIDENTIAL TREATMENT REQUESTED] for [CONFIDENTIAL TREATMENT REQUESTED], since [CONFIDENTIAL TREATMENT REQUESTED] exceeded IDEC's [CONFIDENTIAL TREATMENT REQUESTED] for such period. At the end of [CONFIDENTIAL TREATMENT REQUESTED], IDEC, however, would be required to pay [CONFIDENTIAL TREATMENT REQUESTED] to Nordion. [CONFIDENTIAL TREATMENT REQUESTED] for [CONFIDENTIAL TREATMENT REQUESTED].</w:t>
      </w:r>
    </w:p>
    <w:p>
      <w:pPr>
        <w:spacing w:after="0" w:line="189" w:lineRule="exact"/>
        <w:rPr>
          <w:sz w:val="20"/>
          <w:szCs w:val="20"/>
          <w:color w:val="auto"/>
        </w:rPr>
      </w:pPr>
    </w:p>
    <w:p>
      <w:pPr>
        <w:ind w:left="1052" w:right="1879"/>
        <w:spacing w:after="0" w:line="237" w:lineRule="auto"/>
        <w:rPr>
          <w:sz w:val="20"/>
          <w:szCs w:val="20"/>
          <w:color w:val="auto"/>
        </w:rPr>
      </w:pPr>
      <w:r>
        <w:rPr>
          <w:rFonts w:ascii="Courier New" w:cs="Courier New" w:eastAsia="Courier New" w:hAnsi="Courier New"/>
          <w:sz w:val="18"/>
          <w:szCs w:val="18"/>
          <w:color w:val="auto"/>
        </w:rPr>
        <w:t>Continuing this example, if [CONFIDENTIAL TREATMENT REQUESTED]was [CONFIDENTIAL TREATMENT REQUESTED], IDEC would owe Nordion [CONFIDENTIAL TREATMENT REQUESTED] at the end of [CONFIDENTIAL TREATMENT REQUESTED], and [CONFIDENTIAL TREATMENT REQUESTED] -- [CONFIDENTIAL TREATMENT REQUESTED] plus prior [CONFIDENTIAL TREATMENT REQUESTED].</w:t>
      </w:r>
    </w:p>
    <w:p>
      <w:pPr>
        <w:spacing w:after="0" w:line="210" w:lineRule="exact"/>
        <w:rPr>
          <w:sz w:val="20"/>
          <w:szCs w:val="20"/>
          <w:color w:val="auto"/>
        </w:rPr>
      </w:pPr>
    </w:p>
    <w:p>
      <w:pPr>
        <w:ind w:left="1052" w:right="2099"/>
        <w:spacing w:after="0" w:line="273" w:lineRule="auto"/>
        <w:rPr>
          <w:sz w:val="20"/>
          <w:szCs w:val="20"/>
          <w:color w:val="auto"/>
        </w:rPr>
      </w:pPr>
      <w:r>
        <w:rPr>
          <w:rFonts w:ascii="Courier New" w:cs="Courier New" w:eastAsia="Courier New" w:hAnsi="Courier New"/>
          <w:sz w:val="16"/>
          <w:szCs w:val="16"/>
          <w:color w:val="auto"/>
        </w:rPr>
        <w:t>If IDEC were, at the end of any [CONFIDENTIAL TREATMENT REQUESTED] period designated above, due a refund of any over-payment of a [CONFIDENTIAL TREATMENT REQUESTED], IDEC shall invoice Nordion for such [CONFIDENTIAL TREATMENT REQUESTED] and Nordion shall forward payment to IDEC within thirty (30) days of the date of the invoice.</w:t>
      </w:r>
    </w:p>
    <w:p>
      <w:pPr>
        <w:spacing w:after="0" w:line="179"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For example, if during [CONFIDENTIAL TREATMENT REQUESTED] of the</w:t>
      </w:r>
    </w:p>
    <w:p>
      <w:pPr>
        <w:sectPr>
          <w:pgSz w:w="11900" w:h="16838" w:orient="portrait"/>
          <w:cols w:equalWidth="0" w:num="1">
            <w:col w:w="10211"/>
          </w:cols>
          <w:pgMar w:left="248" w:top="344" w:right="1440" w:bottom="0" w:gutter="0" w:footer="0" w:header="0"/>
        </w:sectPr>
      </w:pPr>
    </w:p>
    <w:bookmarkStart w:id="54" w:name="page55"/>
    <w:bookmarkEnd w:id="54"/>
    <w:p>
      <w:pPr>
        <w:ind w:left="1052"/>
        <w:spacing w:after="0"/>
        <w:rPr>
          <w:sz w:val="20"/>
          <w:szCs w:val="20"/>
          <w:color w:val="auto"/>
        </w:rPr>
      </w:pPr>
      <w:r>
        <w:rPr>
          <w:rFonts w:ascii="Courier New" w:cs="Courier New" w:eastAsia="Courier New" w:hAnsi="Courier New"/>
          <w:sz w:val="18"/>
          <w:szCs w:val="18"/>
          <w:color w:val="auto"/>
        </w:rPr>
        <w:t>example described above, [CONFIDENTIAL TREATMENT</w:t>
      </w:r>
    </w:p>
    <w:p>
      <w:pPr>
        <w:spacing w:after="0" w:line="20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5052"/>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1052" w:right="2519"/>
        <w:spacing w:after="0" w:line="275" w:lineRule="auto"/>
        <w:rPr>
          <w:sz w:val="20"/>
          <w:szCs w:val="20"/>
          <w:color w:val="auto"/>
        </w:rPr>
      </w:pPr>
      <w:r>
        <w:rPr>
          <w:rFonts w:ascii="Courier New" w:cs="Courier New" w:eastAsia="Courier New" w:hAnsi="Courier New"/>
          <w:sz w:val="16"/>
          <w:szCs w:val="16"/>
          <w:color w:val="auto"/>
        </w:rPr>
        <w:t>REQUESTED], IDEC would be entitled to [CONFIDENTIAL TREATMENT REQUESTED]. [CONFIDENTIAL TREATMENT REQUESTED] made by IDEC [CONFIDENTIAL TREATMENT REQUESTED] plus [CONFIDENTIAL TREATMENT REQUESTED] minus [CONFIDENTIAL TREATMENT REQUESTED].</w:t>
      </w:r>
    </w:p>
    <w:p>
      <w:pPr>
        <w:spacing w:after="0" w:line="182" w:lineRule="exact"/>
        <w:rPr>
          <w:sz w:val="20"/>
          <w:szCs w:val="20"/>
          <w:color w:val="auto"/>
        </w:rPr>
      </w:pPr>
    </w:p>
    <w:p>
      <w:pPr>
        <w:ind w:left="1052" w:right="1779" w:hanging="526"/>
        <w:spacing w:after="0" w:line="270" w:lineRule="auto"/>
        <w:tabs>
          <w:tab w:leader="none" w:pos="1032"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In the event Nordion has not submitted an updated DMF (or NDA, if required) for the KRMF Facility to the FDA on or before [CONFIDENTIAL TREATMENT REQUESTED]. IDEC's [CONFIDENTIAL TREATMENT REQUESTED] set forth in Section 3,1 above and the [CONFIDENTIAL TREATMENT REQUESTED] amount associated with the [CONFIDENTIAL TREATMENT REQUESTED] shall each be reduced by [CONFIDENTIAL TREATMENT REQUESTED] and shall continue to be reduced by [CONFIDENTIAL TREATMENT REQUESTED]on the 12th day each month following [CONFIDENTIAL TREATMENT REQUESTED] until the updated DMF (or NDA, if required) is submitted, provided, however, in no event shall such reductions cause the [CONFIDENTIAL TREATMENT REQUESTED] and amount associated with the [CONFIDENTIAL TREATMENT REQUESTED] to fall below [CONFIDENTIAL TREATMENT REQUESTED]. Attachment 1, incorporated herein by reference, sets forth the [CONFIDENTIAL TREATMENT REQUESTED] schedules as so reduced by [CONFIDENTIAL TREATMENT REQUESTED] increments.</w:t>
      </w:r>
    </w:p>
    <w:p>
      <w:pPr>
        <w:spacing w:after="0" w:line="387" w:lineRule="exact"/>
        <w:rPr>
          <w:sz w:val="20"/>
          <w:szCs w:val="20"/>
          <w:color w:val="auto"/>
        </w:rPr>
      </w:pPr>
    </w:p>
    <w:p>
      <w:pPr>
        <w:ind w:left="1052" w:right="1779" w:hanging="526"/>
        <w:spacing w:after="0" w:line="269" w:lineRule="auto"/>
        <w:tabs>
          <w:tab w:leader="none" w:pos="1032"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In the event Nordion has not established the capability to commence commercial supply of Isotope from the KRMF Facility by [CONFIDENTIAL TREATMENT REQUESTED], provided and to the extent such delay is not the result of the failure by IDEC to allow Nordion to cross-file the DMF against IDEC's BLA, IDEC's [CONFIDENTIAL TREATMENT REQUESTED] and the [CONFIDENTIAL TREATMENT REQUESTED] amount associated with the [CONFIDENTIAL TREATMENT REQUESTED], as the same may have been reduced pursuant to Section 3.3 above, shall each be further reduced by [CONFIDENTIAL TREATMENT REQUESTED] on the 12th day of each month following [CONFIDENTIAL TREATMENT REQUESTED] until the date by which Nordion is capable of commercially supplying Isotope from the KRMF Facility. In no event shall such reductions cause the [CONFIDENTIAL TREATMENT REQUESTED] and the amount associated with the [CONFIDENTIAL TREATMENT REQUESTED] to fall below [CONFIDENTIAL TREATMENT REQUESTED]. Attachment 1, incorporated herein by reference, sets forth the [CONFIDENTIAL TREATMENT REQUESTED] schedules as so reduced by [CONFIDENTIAL TREATMENT REQUESTED] increments.</w:t>
      </w:r>
    </w:p>
    <w:p>
      <w:pPr>
        <w:spacing w:after="0" w:line="390" w:lineRule="exact"/>
        <w:rPr>
          <w:sz w:val="20"/>
          <w:szCs w:val="20"/>
          <w:color w:val="auto"/>
        </w:rPr>
      </w:pPr>
    </w:p>
    <w:p>
      <w:pPr>
        <w:jc w:val="center"/>
        <w:ind w:right="1567"/>
        <w:spacing w:after="0"/>
        <w:tabs>
          <w:tab w:leader="none" w:pos="1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If during the [CONFIDENTIAL TREATMENT REQUESTED], IDEC's demand for</w:t>
      </w:r>
    </w:p>
    <w:p>
      <w:pPr>
        <w:spacing w:after="0" w:line="4" w:lineRule="exact"/>
        <w:rPr>
          <w:sz w:val="20"/>
          <w:szCs w:val="20"/>
          <w:color w:val="auto"/>
        </w:rPr>
      </w:pPr>
    </w:p>
    <w:p>
      <w:pPr>
        <w:ind w:left="1052" w:right="2319"/>
        <w:spacing w:after="0" w:line="237" w:lineRule="auto"/>
        <w:rPr>
          <w:sz w:val="20"/>
          <w:szCs w:val="20"/>
          <w:color w:val="auto"/>
        </w:rPr>
      </w:pPr>
      <w:r>
        <w:rPr>
          <w:rFonts w:ascii="Courier New" w:cs="Courier New" w:eastAsia="Courier New" w:hAnsi="Courier New"/>
          <w:sz w:val="18"/>
          <w:szCs w:val="18"/>
          <w:color w:val="auto"/>
        </w:rPr>
        <w:t>Isotope under-utilizes the capacity of [CONFIDENTIAL TREATMENT REQUESTED], the [CONFIDENTIAL TREATMENT REQUESTED] and the amount associated with the [CONFIDENTIAL TREATMENT REQUESTED] shall be [CONFIDENTIAL TREATMENT</w:t>
      </w:r>
    </w:p>
    <w:p>
      <w:pPr>
        <w:spacing w:after="0" w:line="20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5052"/>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1052" w:right="2099"/>
        <w:spacing w:after="0" w:line="236" w:lineRule="auto"/>
        <w:rPr>
          <w:sz w:val="20"/>
          <w:szCs w:val="20"/>
          <w:color w:val="auto"/>
        </w:rPr>
      </w:pPr>
      <w:r>
        <w:rPr>
          <w:rFonts w:ascii="Courier New" w:cs="Courier New" w:eastAsia="Courier New" w:hAnsi="Courier New"/>
          <w:sz w:val="18"/>
          <w:szCs w:val="18"/>
          <w:color w:val="auto"/>
        </w:rPr>
        <w:t>REQUESTED] to the extent of [CONFIDENTIAL TREATMENT REQUESTED]. Nordion shall have no obligation to seek out sales to third parties [CONFIDENTIAL TREATMENT REQUESTED].</w:t>
      </w:r>
    </w:p>
    <w:p>
      <w:pPr>
        <w:spacing w:after="0" w:line="203" w:lineRule="exact"/>
        <w:rPr>
          <w:sz w:val="20"/>
          <w:szCs w:val="20"/>
          <w:color w:val="auto"/>
        </w:rPr>
      </w:pPr>
    </w:p>
    <w:p>
      <w:pPr>
        <w:ind w:left="532" w:hanging="532"/>
        <w:spacing w:after="0"/>
        <w:tabs>
          <w:tab w:leader="none" w:pos="532"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KRMF FACILITY.</w:t>
      </w:r>
    </w:p>
    <w:p>
      <w:pPr>
        <w:spacing w:after="0" w:line="206"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Nordion shall use commercially reasonable efforts to construct a new automated production suite capable of producing Isotope ("KRMF Facility"). It is understood and acknowledged by the parties that the Completion Dates and the sequence for carrying out the activities shall serve only as a guide. Nordion shall use commercially reasonable efforts to complete projects on or in advance of stated Completion Dates. IDEC acknowledges, however, that Nordion's ability to meet Completion Dates depends heavily on the ability of external vendors, suppliers and consultants to complete engineering, manufacture, deliveries and projects in a timely manner. The project schedule shall be as follows:</w:t>
      </w:r>
    </w:p>
    <w:p>
      <w:pPr>
        <w:spacing w:after="0" w:line="210" w:lineRule="exact"/>
        <w:rPr>
          <w:sz w:val="20"/>
          <w:szCs w:val="20"/>
          <w:color w:val="auto"/>
        </w:rPr>
      </w:pPr>
    </w:p>
    <w:tbl>
      <w:tblPr>
        <w:tblLayout w:type="fixed"/>
        <w:tblInd w:w="3152"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3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COMPLETION DATE</w:t>
            </w:r>
          </w:p>
        </w:tc>
      </w:tr>
      <w:tr>
        <w:trPr>
          <w:trHeight w:val="203"/>
        </w:trPr>
        <w:tc>
          <w:tcPr>
            <w:tcW w:w="1640" w:type="dxa"/>
            <w:vAlign w:val="bottom"/>
          </w:tcPr>
          <w:p>
            <w:pPr>
              <w:spacing w:after="0"/>
              <w:rPr>
                <w:sz w:val="17"/>
                <w:szCs w:val="17"/>
                <w:color w:val="auto"/>
              </w:rPr>
            </w:pPr>
          </w:p>
        </w:tc>
        <w:tc>
          <w:tcPr>
            <w:tcW w:w="3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MONTHS FOLLOWING</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EVENT</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EXECUTION OF THIRD</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AMENDMENT)</w:t>
            </w:r>
          </w:p>
        </w:tc>
      </w:tr>
    </w:tbl>
    <w:p>
      <w:pPr>
        <w:sectPr>
          <w:pgSz w:w="11900" w:h="16838" w:orient="portrait"/>
          <w:cols w:equalWidth="0" w:num="1">
            <w:col w:w="10211"/>
          </w:cols>
          <w:pgMar w:left="248" w:top="136" w:right="1440" w:bottom="0" w:gutter="0" w:footer="0" w:header="0"/>
        </w:sectPr>
      </w:pPr>
    </w:p>
    <w:bookmarkStart w:id="55" w:name="page56"/>
    <w:bookmarkEnd w:id="55"/>
    <w:p>
      <w:pPr>
        <w:ind w:left="1052"/>
        <w:spacing w:after="0"/>
        <w:rPr>
          <w:sz w:val="20"/>
          <w:szCs w:val="20"/>
          <w:color w:val="auto"/>
        </w:rPr>
      </w:pPr>
      <w:r>
        <w:rPr>
          <w:rFonts w:ascii="Courier New" w:cs="Courier New" w:eastAsia="Courier New" w:hAnsi="Courier New"/>
          <w:sz w:val="18"/>
          <w:szCs w:val="18"/>
          <w:color w:val="auto"/>
        </w:rPr>
        <w:t>Preliminary Engineering</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Major Equipment purchased</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Dispensing line installation</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Process Validation Completed</w:t>
      </w:r>
    </w:p>
    <w:p>
      <w:pPr>
        <w:spacing w:after="0" w:line="207" w:lineRule="exact"/>
        <w:rPr>
          <w:sz w:val="20"/>
          <w:szCs w:val="20"/>
          <w:color w:val="auto"/>
        </w:rPr>
      </w:pPr>
    </w:p>
    <w:p>
      <w:pPr>
        <w:ind w:left="1052"/>
        <w:spacing w:after="0"/>
        <w:rPr>
          <w:sz w:val="20"/>
          <w:szCs w:val="20"/>
          <w:color w:val="auto"/>
        </w:rPr>
      </w:pPr>
      <w:r>
        <w:rPr>
          <w:rFonts w:ascii="Courier New" w:cs="Courier New" w:eastAsia="Courier New" w:hAnsi="Courier New"/>
          <w:sz w:val="16"/>
          <w:szCs w:val="16"/>
          <w:color w:val="auto"/>
        </w:rPr>
        <w:t>Submission of updated DMF (or NDA,</w:t>
      </w:r>
    </w:p>
    <w:p>
      <w:pPr>
        <w:spacing w:after="0" w:line="16"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if required)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[CONFIDENTIAL TREATMENT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REQUESTED]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TREATMENT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REQUESTED]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TREATMENT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REQUESTED]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TREATMENT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REQUESTED]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[CONFIDENTIAL TREATMENT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REQUESTED]</w:t>
      </w:r>
    </w:p>
    <w:p>
      <w:pPr>
        <w:spacing w:after="0" w:line="200" w:lineRule="exact"/>
        <w:rPr>
          <w:sz w:val="20"/>
          <w:szCs w:val="20"/>
          <w:color w:val="auto"/>
        </w:rPr>
      </w:pPr>
    </w:p>
    <w:p>
      <w:pPr>
        <w:sectPr>
          <w:pgSz w:w="11900" w:h="16838" w:orient="portrait"/>
          <w:cols w:equalWidth="0" w:num="2">
            <w:col w:w="5172" w:space="720"/>
            <w:col w:w="4319"/>
          </w:cols>
          <w:pgMar w:left="248" w:top="136" w:right="1440" w:bottom="0" w:gutter="0" w:footer="0" w:header="0"/>
        </w:sectPr>
      </w:pPr>
    </w:p>
    <w:p>
      <w:pPr>
        <w:spacing w:after="0" w:line="7" w:lineRule="exact"/>
        <w:rPr>
          <w:sz w:val="20"/>
          <w:szCs w:val="20"/>
          <w:color w:val="auto"/>
        </w:rPr>
      </w:pPr>
    </w:p>
    <w:p>
      <w:pPr>
        <w:ind w:left="1052" w:right="1999"/>
        <w:spacing w:after="0" w:line="235" w:lineRule="auto"/>
        <w:rPr>
          <w:sz w:val="20"/>
          <w:szCs w:val="20"/>
          <w:color w:val="auto"/>
        </w:rPr>
      </w:pPr>
      <w:r>
        <w:rPr>
          <w:rFonts w:ascii="Courier New" w:cs="Courier New" w:eastAsia="Courier New" w:hAnsi="Courier New"/>
          <w:sz w:val="18"/>
          <w:szCs w:val="18"/>
          <w:color w:val="auto"/>
        </w:rPr>
        <w:t>Nordion shall provide IDEC with detailed monthly progress reports as to the status of the project.</w:t>
      </w:r>
    </w:p>
    <w:p>
      <w:pPr>
        <w:spacing w:after="0" w:line="208" w:lineRule="exact"/>
        <w:rPr>
          <w:sz w:val="20"/>
          <w:szCs w:val="20"/>
          <w:color w:val="auto"/>
        </w:rPr>
      </w:pPr>
    </w:p>
    <w:p>
      <w:pPr>
        <w:ind w:left="1052" w:right="18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4.2</w:t>
        <w:tab/>
        <w:t>The KRMF Facility shall produce Isotope for [CONFIDENTIAL TREATMENT REQUESTED] patient treatments or as otherwise agreed. Subject to Section 7.4 of the Agreement, Nordion shall produce Isotope from the KRMF Facility for additional patient treatment days provided [CONFIDENTIAL TREATMENT REQUESTED] or more vials are ordered for such day. Upon IDEC's request, and provided Nordion has the capacity to supply, Nordion shall supply Yttrium-90 from the KRMF Facility for other IDEC applications on the same terms and conditions of the Agreement subject to equitable adjustments based on dose requirements and such purchases shall be applied to IDEC's minimum purchase commitment described in Article 3 above.</w:t>
      </w: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5052"/>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1052" w:right="1779" w:hanging="526"/>
        <w:spacing w:after="0" w:line="272" w:lineRule="auto"/>
        <w:tabs>
          <w:tab w:leader="none" w:pos="1032"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The capacity of the KRMF Facility shall not be less than [CONFIDENTIAL TREATMENT REQUESTED], including [CONFIDENTIAL TREATMENT REQUESTED] required for quality control and to meet regulating requirements, provided, however, in no event shall the capacity of the KRMF Facility be less than [CONFIDENTIAL TREATMENT REQUESTED] for commercial shipment [CONFIDENTIAL TREATMENT REQUESTED].</w:t>
      </w:r>
    </w:p>
    <w:p>
      <w:pPr>
        <w:spacing w:after="0" w:line="186" w:lineRule="exact"/>
        <w:rPr>
          <w:sz w:val="20"/>
          <w:szCs w:val="20"/>
          <w:color w:val="auto"/>
        </w:rPr>
      </w:pPr>
    </w:p>
    <w:p>
      <w:pPr>
        <w:ind w:left="1052" w:right="18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4.4</w:t>
        <w:tab/>
        <w:t>Forty five (45) days after the establishment of the capability to commence Commercial Supply of Isotope from the KRMF Facility, Nordion [CONFIDENTIAL TREATMENT REQUESTED], provided, however, this Section shall not reduce or relieve Nordion's supply obligation under the Agreement.</w:t>
      </w:r>
    </w:p>
    <w:p>
      <w:pPr>
        <w:spacing w:after="0" w:line="203" w:lineRule="exact"/>
        <w:rPr>
          <w:sz w:val="20"/>
          <w:szCs w:val="20"/>
          <w:color w:val="auto"/>
        </w:rPr>
      </w:pPr>
    </w:p>
    <w:p>
      <w:pPr>
        <w:ind w:left="532" w:hanging="532"/>
        <w:spacing w:after="0"/>
        <w:tabs>
          <w:tab w:leader="none" w:pos="5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w:t>
      </w:r>
    </w:p>
    <w:p>
      <w:pPr>
        <w:spacing w:after="0" w:line="206" w:lineRule="exact"/>
        <w:rPr>
          <w:rFonts w:ascii="Courier New" w:cs="Courier New" w:eastAsia="Courier New" w:hAnsi="Courier New"/>
          <w:sz w:val="18"/>
          <w:szCs w:val="18"/>
          <w:color w:val="auto"/>
        </w:rPr>
      </w:pPr>
    </w:p>
    <w:p>
      <w:pPr>
        <w:ind w:left="1052" w:right="1779" w:hanging="52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Upon execution of this Third Amendment, IDEC shall establish an escrow account with Union Bank of California, N.A. ("Escrow"). Each party including Escrow shall execute and abide by the Escrow Agreement attached hereto as Attachment 2. IDEC shall, as set forth in Section</w:t>
      </w:r>
    </w:p>
    <w:p>
      <w:pPr>
        <w:ind w:left="105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5.3 and 5.4 below, deposit funds into Escrow to ensure payment to Nordion of the minimum purchase commitment under the Agreement as well as IDEC's obligation to [CONFIDENTIAL TREATMENT REQUESTED] of this Third Amendment, or as otherwise set forth below. The cost of establishing and maintaining the Escrow shall be shared by IDEC and Nordion equally.</w:t>
      </w:r>
    </w:p>
    <w:p>
      <w:pPr>
        <w:spacing w:after="0" w:line="210" w:lineRule="exact"/>
        <w:rPr>
          <w:sz w:val="20"/>
          <w:szCs w:val="20"/>
          <w:color w:val="auto"/>
        </w:rPr>
      </w:pPr>
    </w:p>
    <w:p>
      <w:pPr>
        <w:ind w:left="1052" w:right="1779"/>
        <w:spacing w:after="0" w:line="237" w:lineRule="auto"/>
        <w:rPr>
          <w:sz w:val="20"/>
          <w:szCs w:val="20"/>
          <w:color w:val="auto"/>
        </w:rPr>
      </w:pPr>
      <w:r>
        <w:rPr>
          <w:rFonts w:ascii="Courier New" w:cs="Courier New" w:eastAsia="Courier New" w:hAnsi="Courier New"/>
          <w:sz w:val="18"/>
          <w:szCs w:val="18"/>
          <w:color w:val="auto"/>
        </w:rPr>
        <w:t>IDEC shall have the right to direct Escrow to invest the funds in accordance with the investment guidelines attached hereto as Attachment 3. Subject to the terms of this Third Amendment, IDEC shall receive the full benefit of investment returns paid on funds in Escrow. Investment returns may be drawn by IDEC, in accordance with this Third Amendment, from Escrow on a quarterly basis.</w:t>
      </w:r>
    </w:p>
    <w:p>
      <w:pPr>
        <w:spacing w:after="0" w:line="210" w:lineRule="exact"/>
        <w:rPr>
          <w:sz w:val="20"/>
          <w:szCs w:val="20"/>
          <w:color w:val="auto"/>
        </w:rPr>
      </w:pPr>
    </w:p>
    <w:p>
      <w:pPr>
        <w:ind w:left="1052" w:right="1999" w:hanging="526"/>
        <w:spacing w:after="0" w:line="275" w:lineRule="auto"/>
        <w:tabs>
          <w:tab w:leader="none" w:pos="1032"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Upon execution of this Third Amendment, IDEC shall deposit an amount equal to [CONFIDENTIAL TREATMENT REQUESTED] associated with [CONFIDENTIAL TREATMENT REQUESTED] (as such [CONFIDENTIAL TREATMENT REQUESTED] and amounts are defined in Attachment 4 hereto).</w:t>
      </w:r>
    </w:p>
    <w:p>
      <w:pPr>
        <w:spacing w:after="0" w:line="182" w:lineRule="exact"/>
        <w:rPr>
          <w:sz w:val="20"/>
          <w:szCs w:val="20"/>
          <w:color w:val="auto"/>
        </w:rPr>
      </w:pPr>
    </w:p>
    <w:p>
      <w:pPr>
        <w:ind w:left="1052" w:right="1779" w:hanging="526"/>
        <w:spacing w:after="0" w:line="237" w:lineRule="auto"/>
        <w:tabs>
          <w:tab w:leader="none" w:pos="1032" w:val="left"/>
        </w:tabs>
        <w:rPr>
          <w:sz w:val="20"/>
          <w:szCs w:val="20"/>
          <w:color w:val="auto"/>
        </w:rPr>
      </w:pPr>
      <w:r>
        <w:rPr>
          <w:rFonts w:ascii="Courier New" w:cs="Courier New" w:eastAsia="Courier New" w:hAnsi="Courier New"/>
          <w:sz w:val="18"/>
          <w:szCs w:val="18"/>
          <w:color w:val="auto"/>
        </w:rPr>
        <w:t>5.3</w:t>
        <w:tab/>
        <w:t>IDEC shall make additional deposits into Escrow equal to the [CONFIDENTIAL TREATMENT REQUESTED] associated with [CONFIDENTIAL TREATMENT REQUESTED] as defined in Attachment 4. For purposes of IDEC's obligations hereunder, Nordion and IDEC agree that the deposits set forth in Attachment 4 [CONFIDENTIAL TREATMENT REQUESTED]. Nordion shall notify IDEC in writing not less than [CONFIDENTIAL TREATMENT REQUESTED] prior to the anticipated commencement of the work associated with each [CONFIDENTIAL TREATMENT REQUESTED]. During the [CONFIDENTIAL TREATMENT REQUESTED] prior to each anticipated commencement date, IDEC shall have the right to inspect the work in progress to</w:t>
      </w:r>
    </w:p>
    <w:p>
      <w:pPr>
        <w:sectPr>
          <w:pgSz w:w="11900" w:h="16838" w:orient="portrait"/>
          <w:cols w:equalWidth="0" w:num="1">
            <w:col w:w="10211"/>
          </w:cols>
          <w:pgMar w:left="248" w:top="136" w:right="1440" w:bottom="0" w:gutter="0" w:footer="0" w:header="0"/>
          <w:type w:val="continuous"/>
        </w:sectPr>
      </w:pPr>
    </w:p>
    <w:bookmarkStart w:id="56" w:name="page57"/>
    <w:bookmarkEnd w:id="56"/>
    <w:p>
      <w:pPr>
        <w:ind w:left="316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determine if the work associated with [CONFIDENTIAL TREATMENT REQUESTED] is imminent and appropriate based on work completed. IDEC shall notify Nordion in writing not less than [CONFIDENTIAL TREATMENT REQUESTED] prior to each anticipated commencement date if IDEC in its reasonable discretion determines that the work to date is materially deficient or if commencement of work associated with [CONFIDENTIAL TREATMENT REQUESTED] is not imminent. If IDEC fails to so notify Nordion, IDEC shall make the requisite deposit into Escrow on or prior to the anticipated commencement date of the [CONFIDENTIAL TREATMENT REQUESTED]. Any notice by IDEC under this Section 5.3 shall include a detailed explanation of the reasons why the amount associated with the [CONFIDENTIAL TREATMENT REQUESTED]is not yet payable to Nordion pursuant to this Section 5.3.</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Upon receipt of such notice, if any, Nordion shall commence cure of any deficiency noted and shall notify IDEC upon completion. IDEC shall have [CONFIDENTIAL TREATMENT REQUESTED] following such notice to inspect the work and to determine if the work associated with the [CONFIDENTIAL TREATMENT REQUESTED] is imminent and appropriate. On or prior to expiration of such [CONFIDENTIAL TREATMENT REQUESTED] period, IDEC shall notify Nordion if IDEC in its reasonable discretion determines that the work remains materially deficient or if commencement of work associated with the [CONFIDENTIAL TREATMENT REQUESTED] is not imminent. If IDEC fails to so notify Nordion, IDEC shall make the requisite deposit into Escrow on or prior to the end of such [CONFIDENTIAL TREATMENT REQUESTED] period. Upon receipt of any notice under this second paragraph of Section 5.3, Nordion shall commence cure of any deficiency noted and reimburse IDEC for its reasonable travel and other out-of-pocket expenses including the reasonable expenses and costs of any expert retained by IDEC to review Nordion's work. Nordion shall notify IDEC upon completion of the work and the [CONFIDENTIAL TREATMENT REQUESTED] inspection period described above shall repeat itself until the work is completed.</w:t>
      </w: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IDEC fails to make a requisite deposit into the Escrow in accordance with this Section 5.3, Nordion shall, on [CONFIDENTIAL TREATMENT REQUESTED] prior written notice to IDEC and Escrow, and provided IDEC has not cured such failure within such [CONFIDENTIAL TREATMENT REQUESTED], be entitled to [CONFIDENTIAL TREATMENT REQUESTED].</w:t>
      </w:r>
    </w:p>
    <w:p>
      <w:pPr>
        <w:spacing w:after="0" w:line="210" w:lineRule="exact"/>
        <w:rPr>
          <w:sz w:val="20"/>
          <w:szCs w:val="20"/>
          <w:color w:val="auto"/>
        </w:rPr>
      </w:pPr>
    </w:p>
    <w:p>
      <w:pPr>
        <w:ind w:right="1779" w:hanging="526"/>
        <w:spacing w:after="0" w:line="272" w:lineRule="auto"/>
        <w:rPr>
          <w:sz w:val="20"/>
          <w:szCs w:val="20"/>
          <w:color w:val="auto"/>
        </w:rPr>
      </w:pPr>
      <w:r>
        <w:rPr>
          <w:rFonts w:ascii="Courier New" w:cs="Courier New" w:eastAsia="Courier New" w:hAnsi="Courier New"/>
          <w:sz w:val="18"/>
          <w:szCs w:val="18"/>
          <w:color w:val="auto"/>
        </w:rPr>
        <w:t>5.4</w:t>
      </w:r>
      <w:r>
        <w:rPr>
          <w:sz w:val="20"/>
          <w:szCs w:val="20"/>
          <w:color w:val="auto"/>
        </w:rPr>
        <w:t xml:space="preserve"> </w:t>
      </w:r>
      <w:r>
        <w:rPr>
          <w:rFonts w:ascii="Courier New" w:cs="Courier New" w:eastAsia="Courier New" w:hAnsi="Courier New"/>
          <w:sz w:val="16"/>
          <w:szCs w:val="16"/>
          <w:color w:val="auto"/>
        </w:rPr>
        <w:t>After the later of (i) BLA approval or (ii) the date Nordion is capable of commercially supplying Isotope from the KRMF Facility, IDEC shall then deposit into Escrow [CONFIDENTIAL TREATMENT REQUESTED] to ensure payment to Nordion of the [CONFIDENTIAL TREATMENT REQUESTED] under the Agreement. In the event IDEC fails to make the requisite deposit into the Escrow in accordance with this Section 5.4, Nordion</w:t>
      </w:r>
    </w:p>
    <w:p>
      <w:pPr>
        <w:spacing w:after="0" w:line="18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upon [CONFIDENTIAL TREATMENT REQUESTED] prior written notice to IDEC and Escrow, and provided IDEC has not cured such failure within such [CONFIDENTIAL TREATMENT REQUESTED] period, be entitled to withdraw and retain all sums in Escrow (excluding investment returns), as reconciled pursuant to Section 5.6 below, and Section 2 of the Second Amendment shall be reinstated and Sections 2.1 -- 2.5, 3,1 -- 34, 4.1 -- 4.4, 5.1--5.13 and 7.4 of this Third Amendment shall no longer be applicable.</w:t>
      </w:r>
    </w:p>
    <w:p>
      <w:pPr>
        <w:spacing w:after="0" w:line="212" w:lineRule="exact"/>
        <w:rPr>
          <w:sz w:val="20"/>
          <w:szCs w:val="20"/>
          <w:color w:val="auto"/>
        </w:rPr>
      </w:pPr>
    </w:p>
    <w:p>
      <w:pPr>
        <w:ind w:right="1879" w:hanging="526"/>
        <w:spacing w:after="0" w:line="236" w:lineRule="auto"/>
        <w:rPr>
          <w:sz w:val="20"/>
          <w:szCs w:val="20"/>
          <w:color w:val="auto"/>
        </w:rPr>
      </w:pPr>
      <w:r>
        <w:rPr>
          <w:rFonts w:ascii="Courier New" w:cs="Courier New" w:eastAsia="Courier New" w:hAnsi="Courier New"/>
          <w:sz w:val="18"/>
          <w:szCs w:val="18"/>
          <w:color w:val="auto"/>
        </w:rPr>
        <w:t>5.5</w:t>
      </w:r>
      <w:r>
        <w:rPr>
          <w:sz w:val="20"/>
          <w:szCs w:val="20"/>
          <w:color w:val="auto"/>
        </w:rPr>
        <w:t xml:space="preserve"> </w:t>
      </w:r>
      <w:r>
        <w:rPr>
          <w:rFonts w:ascii="Courier New" w:cs="Courier New" w:eastAsia="Courier New" w:hAnsi="Courier New"/>
          <w:sz w:val="18"/>
          <w:szCs w:val="18"/>
          <w:color w:val="auto"/>
        </w:rPr>
        <w:t>For the purposes of Sections 5.1, 5.2, 5.3 and 54 above, the remedial provisions of Section 17.4 of the Agreement shall not apply to any breach of these Sections by IDEC.</w:t>
      </w:r>
    </w:p>
    <w:p>
      <w:pPr>
        <w:spacing w:after="0" w:line="209" w:lineRule="exact"/>
        <w:rPr>
          <w:sz w:val="20"/>
          <w:szCs w:val="20"/>
          <w:color w:val="auto"/>
        </w:rPr>
      </w:pPr>
    </w:p>
    <w:p>
      <w:pPr>
        <w:ind w:right="1879" w:hanging="526"/>
        <w:spacing w:after="0" w:line="270" w:lineRule="auto"/>
        <w:rPr>
          <w:sz w:val="20"/>
          <w:szCs w:val="20"/>
          <w:color w:val="auto"/>
        </w:rPr>
      </w:pPr>
      <w:r>
        <w:rPr>
          <w:rFonts w:ascii="Courier New" w:cs="Courier New" w:eastAsia="Courier New" w:hAnsi="Courier New"/>
          <w:sz w:val="18"/>
          <w:szCs w:val="18"/>
          <w:color w:val="auto"/>
        </w:rPr>
        <w:t>5.6</w:t>
      </w:r>
      <w:r>
        <w:rPr>
          <w:sz w:val="20"/>
          <w:szCs w:val="20"/>
          <w:color w:val="auto"/>
        </w:rPr>
        <w:t xml:space="preserve"> </w:t>
      </w:r>
      <w:r>
        <w:rPr>
          <w:rFonts w:ascii="Courier New" w:cs="Courier New" w:eastAsia="Courier New" w:hAnsi="Courier New"/>
          <w:sz w:val="16"/>
          <w:szCs w:val="16"/>
          <w:color w:val="auto"/>
        </w:rPr>
        <w:t>Notwithstanding anything to the contrary set forth in Sections 5.2, 5.3 and 54 of this Third Amendment, IDEC and Nordion agree that the amount in Escrow at any time during the term of this Agreement shall not exceed [CONFIDENTIAL TREATMENT REQUESTED], as the same may be adjusted pursuant to Sections 3.3 and 3.4 above, minus cumulative [CONFIDENTIAL TREATMENT REQUESTED]. On the earlier of (i) the date IDEC would otherwise be required to deposit [CONFIDENTIAL TREATMENT REQUESTED] into Escrow under Section 5.4 above or [CONFIDENTIAL TREATMENT REQUESTED] plus (b) the amounts deposited into Escrow under Sections 5.2 and 5.3 exceed [CONFIDENTIAL TREATMENT REQUESTED] as the</w:t>
      </w:r>
    </w:p>
    <w:p>
      <w:pPr>
        <w:sectPr>
          <w:pgSz w:w="11900" w:h="16838" w:orient="portrait"/>
          <w:cols w:equalWidth="0" w:num="1">
            <w:col w:w="9159"/>
          </w:cols>
          <w:pgMar w:left="1300" w:top="136" w:right="1440" w:bottom="0" w:gutter="0" w:footer="0" w:header="0"/>
        </w:sectPr>
      </w:pPr>
    </w:p>
    <w:bookmarkStart w:id="57" w:name="page58"/>
    <w:bookmarkEnd w:id="57"/>
    <w:p>
      <w:pPr>
        <w:ind w:left="520" w:right="1779"/>
        <w:spacing w:after="0" w:line="237" w:lineRule="auto"/>
        <w:rPr>
          <w:sz w:val="20"/>
          <w:szCs w:val="20"/>
          <w:color w:val="auto"/>
        </w:rPr>
      </w:pPr>
      <w:r>
        <w:rPr>
          <w:rFonts w:ascii="Courier New" w:cs="Courier New" w:eastAsia="Courier New" w:hAnsi="Courier New"/>
          <w:sz w:val="18"/>
          <w:szCs w:val="18"/>
          <w:color w:val="auto"/>
        </w:rPr>
        <w:t>same may be adjusted pursuant to Sections 3.3 and 3.4, IDEC and Nordion shall meet to reconcile the amount in Escrow against the amount required to be in Escrow under this Third Amendment. Any amount held in Escrow which exceeds the amount required under this Third Amendment shall be immediately disbursed to IDEC. IDEC and Nordion shall also meet not less than each calendar quarter following the initial reconciliation to reconcile the amount in Escrow against the amount required in Escrow and any amount then held in Escrow which exceeds the amount required under this Third Amendment shall be immediately disbursed to IDEC.</w:t>
      </w:r>
    </w:p>
    <w:p>
      <w:pPr>
        <w:spacing w:after="0" w:line="215" w:lineRule="exact"/>
        <w:rPr>
          <w:sz w:val="20"/>
          <w:szCs w:val="20"/>
          <w:color w:val="auto"/>
        </w:rPr>
      </w:pPr>
    </w:p>
    <w:p>
      <w:pPr>
        <w:ind w:left="520" w:right="1879"/>
        <w:spacing w:after="0" w:line="270" w:lineRule="auto"/>
        <w:rPr>
          <w:sz w:val="20"/>
          <w:szCs w:val="20"/>
          <w:color w:val="auto"/>
        </w:rPr>
      </w:pPr>
      <w:r>
        <w:rPr>
          <w:rFonts w:ascii="Courier New" w:cs="Courier New" w:eastAsia="Courier New" w:hAnsi="Courier New"/>
          <w:sz w:val="16"/>
          <w:szCs w:val="16"/>
          <w:color w:val="auto"/>
        </w:rPr>
        <w:t>For example, if [CONFIDENTIAL TREATMENT REQUESTED] was [CONFIDENTIAL TREATMENT REQUESTED], the amount deposited in Escrow under Sections 5.2 and 5.3 was [CONFIDENTIAL TREATMENT REQUESTED], [CONFIDENTIAL TREATMENT REQUESTED] was [CONFIDENTIAL TREATMENT REQUESTED, and the [CONFIDENTIAL TREATMENT REQUESTED] had yet to be established, then upon reconciliation, IDEC would be entitled to withdraw [CONFIDENTIAL TREATMENT REQUESTED] from Escrow. (The amount in Escrow [CONFIDENTIAL TREATMENT REQUESTED] exceeds the [CONFIDENTIAL TREATMENT REQUESTED] [CONFIDENTIAL TREATMENT REQUESTED] minus [CONFIDENTIAL TREATMENT REQUESTED] [CONFIDENTIAL TREATMENT REQUESTED].</w:t>
      </w:r>
    </w:p>
    <w:p>
      <w:pPr>
        <w:spacing w:after="0" w:line="189" w:lineRule="exact"/>
        <w:rPr>
          <w:sz w:val="20"/>
          <w:szCs w:val="20"/>
          <w:color w:val="auto"/>
        </w:rPr>
      </w:pPr>
    </w:p>
    <w:p>
      <w:pPr>
        <w:ind w:left="520" w:right="1879"/>
        <w:spacing w:after="0" w:line="236" w:lineRule="auto"/>
        <w:rPr>
          <w:sz w:val="20"/>
          <w:szCs w:val="20"/>
          <w:color w:val="auto"/>
        </w:rPr>
      </w:pPr>
      <w:r>
        <w:rPr>
          <w:rFonts w:ascii="Courier New" w:cs="Courier New" w:eastAsia="Courier New" w:hAnsi="Courier New"/>
          <w:sz w:val="18"/>
          <w:szCs w:val="18"/>
          <w:color w:val="auto"/>
        </w:rPr>
        <w:t>Continuing this example, if during the period until the next reconciliation the [CONFIDENTIAL TREATMENT REQUESTED] requirement was reduced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by [CONFIDENTIAL TREATMENT REQUESTED] pursuant to Section 3.3 of this Third Amendment and [CONFIDENTIAL TREATMENT REQUESTED] increased by [CONFIDENTIAL TREATMENT REQUESTED], IDEC would be entitled to withdraw [CONFIDENTIAL TREATMENT REQUESTED] from Escrow upon the next reconciliation. (The amount in Escrow [CONFIDENTIAL TREATMENT REQUESTED] exceeds the [CONFIDENTIAL TREATMENT REQUESTED] [CONFIDENTIAL TREATMENT REQUESTED] minus [CONFIDENTIAL TREATMENT REQUESTED] [CONFIDENTIAL TREATMENT REQUESTED].</w:t>
      </w:r>
    </w:p>
    <w:p>
      <w:pPr>
        <w:spacing w:after="0" w:line="212" w:lineRule="exact"/>
        <w:rPr>
          <w:sz w:val="20"/>
          <w:szCs w:val="20"/>
          <w:color w:val="auto"/>
        </w:rPr>
      </w:pPr>
    </w:p>
    <w:p>
      <w:pPr>
        <w:ind w:left="520" w:right="1779"/>
        <w:spacing w:after="0" w:line="237" w:lineRule="auto"/>
        <w:rPr>
          <w:sz w:val="20"/>
          <w:szCs w:val="20"/>
          <w:color w:val="auto"/>
        </w:rPr>
      </w:pPr>
      <w:r>
        <w:rPr>
          <w:rFonts w:ascii="Courier New" w:cs="Courier New" w:eastAsia="Courier New" w:hAnsi="Courier New"/>
          <w:sz w:val="18"/>
          <w:szCs w:val="18"/>
          <w:color w:val="auto"/>
        </w:rPr>
        <w:t>Further continuing this example, if the next reconciliation occurs on thc date IDEC would otherwise be required to deposit [CONFIDENTIAL TREATMENT REQUESTED] into Escrow under Section 5.4 of this Third Amendment and [CONFIDENTIAL TREATMENT REQUESTED] increased by [CONFIDENTIAL TREATMENT REQUESTED]. IDEC would not be required to deposit [CONFIDENTIAL TREATMENT REQUESTED] into Escrow, but rather would be entitled to withdraw [CONFIDENTIAL TREATMENT REQUESTED] from Escrow. (Thc amount in Escrow [CONFIDENTIAL TREATMENT REQUESTED] exceeds the [CONFIDENTIAL TREATMENT REQUESTED] [CONFIDENTIAL TREATMENT REQUESTED] minus [CONFIDENTIAL TREATMENT REQUESTED] [CONFIDENTIAL TREATMENT REQUESTED].</w:t>
      </w:r>
    </w:p>
    <w:p>
      <w:pPr>
        <w:spacing w:after="0" w:line="216" w:lineRule="exact"/>
        <w:rPr>
          <w:sz w:val="20"/>
          <w:szCs w:val="20"/>
          <w:color w:val="auto"/>
        </w:rPr>
      </w:pPr>
    </w:p>
    <w:p>
      <w:pPr>
        <w:ind w:left="520" w:right="1879"/>
        <w:spacing w:after="0" w:line="270" w:lineRule="auto"/>
        <w:rPr>
          <w:sz w:val="20"/>
          <w:szCs w:val="20"/>
          <w:color w:val="auto"/>
        </w:rPr>
      </w:pPr>
      <w:r>
        <w:rPr>
          <w:rFonts w:ascii="Courier New" w:cs="Courier New" w:eastAsia="Courier New" w:hAnsi="Courier New"/>
          <w:sz w:val="16"/>
          <w:szCs w:val="16"/>
          <w:color w:val="auto"/>
        </w:rPr>
        <w:t>Finally, if on the next reconciliation date, [CONFIDENTIAL TREATMENT REQUESTED] had increased by [CONFIDENTIAL TREATMENT REQUESTED], IDEC would be entitled to withdraw the remaining [CONFIDENTIAL TREATMENT REQUESTED] in Escrow and would have no further obligation to make deposits into Escrow. (The amount in Escrow [CONFIDENTIAL TREATMENT REQUESTED] exceeds the [CONFIDENTIAL TREATMENT REQUESTED] [CONFIDENTIAL TREATMENT REQUESTED] minus [CONFIDENTIAL TREATMENT REQUESTED] [CONFIDENTIAL TREATMENT REQUESTED]. Since at any time following this reconciliation date [CONFIDENTIAL TREATMENT REQUESTED] would exceed the [CONFIDENTIAL TREATMENT REQUESTED], IDEC would have no further obligation to make deposits into Escrow.</w:t>
      </w:r>
    </w:p>
    <w:p>
      <w:pPr>
        <w:spacing w:after="0" w:line="392" w:lineRule="exact"/>
        <w:rPr>
          <w:sz w:val="20"/>
          <w:szCs w:val="20"/>
          <w:color w:val="auto"/>
        </w:rPr>
      </w:pPr>
    </w:p>
    <w:p>
      <w:pPr>
        <w:ind w:left="520" w:right="1999" w:hanging="526"/>
        <w:spacing w:after="0" w:line="236" w:lineRule="auto"/>
        <w:tabs>
          <w:tab w:leader="none" w:pos="500" w:val="left"/>
        </w:tabs>
        <w:rPr>
          <w:sz w:val="20"/>
          <w:szCs w:val="20"/>
          <w:color w:val="auto"/>
        </w:rPr>
      </w:pPr>
      <w:r>
        <w:rPr>
          <w:rFonts w:ascii="Courier New" w:cs="Courier New" w:eastAsia="Courier New" w:hAnsi="Courier New"/>
          <w:sz w:val="18"/>
          <w:szCs w:val="18"/>
          <w:color w:val="auto"/>
        </w:rPr>
        <w:t>5.7</w:t>
        <w:tab/>
        <w:t>In addition to Nordion's right to withdraw funds from Escrow as set forth in Sections 5.3 and 5.4 above, Nordion shell have the right to withdraw funds from Escrow as follows:</w:t>
      </w:r>
    </w:p>
    <w:p>
      <w:pPr>
        <w:spacing w:after="0" w:line="203" w:lineRule="exact"/>
        <w:rPr>
          <w:sz w:val="20"/>
          <w:szCs w:val="20"/>
          <w:color w:val="auto"/>
        </w:rPr>
      </w:pPr>
    </w:p>
    <w:p>
      <w:pPr>
        <w:ind w:left="1260" w:hanging="739"/>
        <w:spacing w:after="0"/>
        <w:tabs>
          <w:tab w:leader="none" w:pos="12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termination of the Agreement:</w:t>
      </w:r>
    </w:p>
    <w:p>
      <w:pPr>
        <w:spacing w:after="0" w:line="206" w:lineRule="exact"/>
        <w:rPr>
          <w:rFonts w:ascii="Courier New" w:cs="Courier New" w:eastAsia="Courier New" w:hAnsi="Courier New"/>
          <w:sz w:val="18"/>
          <w:szCs w:val="18"/>
          <w:color w:val="auto"/>
        </w:rPr>
      </w:pPr>
    </w:p>
    <w:p>
      <w:pPr>
        <w:ind w:left="1260" w:right="2319" w:hanging="1"/>
        <w:spacing w:after="0" w:line="235" w:lineRule="auto"/>
        <w:tabs>
          <w:tab w:leader="none" w:pos="178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IDEC pursuant to Sections 2.3 or 2.4 of this Third Amendment, or</w:t>
      </w:r>
    </w:p>
    <w:p>
      <w:pPr>
        <w:spacing w:after="0" w:line="208" w:lineRule="exact"/>
        <w:rPr>
          <w:rFonts w:ascii="Courier New" w:cs="Courier New" w:eastAsia="Courier New" w:hAnsi="Courier New"/>
          <w:sz w:val="18"/>
          <w:szCs w:val="18"/>
          <w:color w:val="auto"/>
        </w:rPr>
      </w:pPr>
    </w:p>
    <w:p>
      <w:pPr>
        <w:ind w:left="1260" w:right="2619" w:hanging="1"/>
        <w:spacing w:after="0" w:line="235" w:lineRule="auto"/>
        <w:tabs>
          <w:tab w:leader="none" w:pos="1787"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Nordion or IDEC pursuant to Section 17.6 of the Agreement,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CONFIDENTIAL TREATMENT REQUESTED</w:t>
      </w:r>
    </w:p>
    <w:p>
      <w:pPr>
        <w:sectPr>
          <w:pgSz w:w="11900" w:h="16838" w:orient="portrait"/>
          <w:cols w:equalWidth="0" w:num="1">
            <w:col w:w="9679"/>
          </w:cols>
          <w:pgMar w:left="780" w:top="142" w:right="1440" w:bottom="0" w:gutter="0" w:footer="0" w:header="0"/>
        </w:sectPr>
      </w:pPr>
    </w:p>
    <w:bookmarkStart w:id="58" w:name="page59"/>
    <w:bookmarkEnd w:id="58"/>
    <w:p>
      <w:pPr>
        <w:ind w:left="740" w:right="1879"/>
        <w:spacing w:after="0" w:line="237" w:lineRule="auto"/>
        <w:rPr>
          <w:sz w:val="20"/>
          <w:szCs w:val="20"/>
          <w:color w:val="auto"/>
        </w:rPr>
      </w:pPr>
      <w:r>
        <w:rPr>
          <w:rFonts w:ascii="Courier New" w:cs="Courier New" w:eastAsia="Courier New" w:hAnsi="Courier New"/>
          <w:sz w:val="18"/>
          <w:szCs w:val="18"/>
          <w:color w:val="auto"/>
        </w:rPr>
        <w:t>Nordion shall have the right to, (i) request and receive payment from IDEC of those amounts set out in Section 2.3 of this Third Amendment, as applicable, with respect to [CONFIDENTIAL TREATMENT REQUESTED], (ii) submit requests for disbursement and receive payment from Escrow, corresponding to the amount determined in accordance with Sections 2.3 and 2.4 of this Third Amendment, as applicable, with respect to [CONFIDENTIAL TREATMENT REQUESTED].</w:t>
      </w:r>
    </w:p>
    <w:p>
      <w:pPr>
        <w:spacing w:after="0" w:line="212" w:lineRule="exact"/>
        <w:rPr>
          <w:sz w:val="20"/>
          <w:szCs w:val="20"/>
          <w:color w:val="auto"/>
        </w:rPr>
      </w:pPr>
    </w:p>
    <w:p>
      <w:pPr>
        <w:ind w:left="740" w:right="1779" w:hanging="739"/>
        <w:spacing w:after="0" w:line="237"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later of (i) BLA approval or (ii) the date Nordion is capable of commercially supplying Isotope from the KRMF Facility, Nordion shall have, on notice to IDEC and Escrow, the right to submit requests for disbursements and receive payment from Escrow of amounts corresponding to any [CONFIDENTIAL TREATMENT REQUESTED] of Isotope pursuant to Section 3.2 of this Third Amendment.</w:t>
      </w:r>
    </w:p>
    <w:p>
      <w:pPr>
        <w:spacing w:after="0" w:line="211" w:lineRule="exact"/>
        <w:rPr>
          <w:sz w:val="20"/>
          <w:szCs w:val="20"/>
          <w:color w:val="auto"/>
        </w:rPr>
      </w:pPr>
    </w:p>
    <w:p>
      <w:pPr>
        <w:ind w:right="1779" w:hanging="526"/>
        <w:spacing w:after="0" w:line="238" w:lineRule="auto"/>
        <w:rPr>
          <w:sz w:val="20"/>
          <w:szCs w:val="20"/>
          <w:color w:val="auto"/>
        </w:rPr>
      </w:pPr>
      <w:r>
        <w:rPr>
          <w:rFonts w:ascii="Courier New" w:cs="Courier New" w:eastAsia="Courier New" w:hAnsi="Courier New"/>
          <w:sz w:val="18"/>
          <w:szCs w:val="18"/>
          <w:color w:val="auto"/>
        </w:rPr>
        <w:t>5.8</w:t>
      </w:r>
      <w:r>
        <w:rPr>
          <w:sz w:val="20"/>
          <w:szCs w:val="20"/>
          <w:color w:val="auto"/>
        </w:rPr>
        <w:t xml:space="preserve"> </w:t>
      </w:r>
      <w:r>
        <w:rPr>
          <w:rFonts w:ascii="Courier New" w:cs="Courier New" w:eastAsia="Courier New" w:hAnsi="Courier New"/>
          <w:sz w:val="18"/>
          <w:szCs w:val="18"/>
          <w:color w:val="auto"/>
        </w:rPr>
        <w:t>In addition to IDEC's right to withdraw from Escrow as set forth in Section 5.6 above, IDEC shall have the right to withdraw investment returns from Escrow on a quarterly basis to the extent the principal has not been impaired as a result of negative investment returns. Requests for disbursement from Escrow of investment returns shall be submitted in writing to Nordion and Escrow. The request for disbursement shall include the determination and details of the amount claimed, signed by an officer of IDEC. Unless IDEC and Escrow receive written objection signed by an officer of Nordion within five (5) business days after delivery to Nordion and Escrow of IDEC's request for disbursement, Escrow shall immediately remit such payment to IDEC. In its objection, Nordion shall further stipulate those amounts in dispute and the details and reasons disbursement of such amounts are in dispute. The amounts not in dispute due and payable to IDEC shall be immediately disbursed to IDEC from Escrow.</w:t>
      </w:r>
    </w:p>
    <w:p>
      <w:pPr>
        <w:spacing w:after="0" w:line="208" w:lineRule="exact"/>
        <w:rPr>
          <w:sz w:val="20"/>
          <w:szCs w:val="20"/>
          <w:color w:val="auto"/>
        </w:rPr>
      </w:pPr>
    </w:p>
    <w:p>
      <w:pPr>
        <w:ind w:right="1779" w:hanging="526"/>
        <w:spacing w:after="0" w:line="270" w:lineRule="auto"/>
        <w:rPr>
          <w:sz w:val="20"/>
          <w:szCs w:val="20"/>
          <w:color w:val="auto"/>
        </w:rPr>
      </w:pPr>
      <w:r>
        <w:rPr>
          <w:rFonts w:ascii="Courier New" w:cs="Courier New" w:eastAsia="Courier New" w:hAnsi="Courier New"/>
          <w:sz w:val="18"/>
          <w:szCs w:val="18"/>
          <w:color w:val="auto"/>
        </w:rPr>
        <w:t>5.9</w:t>
      </w:r>
      <w:r>
        <w:rPr>
          <w:sz w:val="20"/>
          <w:szCs w:val="20"/>
          <w:color w:val="auto"/>
        </w:rPr>
        <w:t xml:space="preserve"> </w:t>
      </w:r>
      <w:r>
        <w:rPr>
          <w:rFonts w:ascii="Courier New" w:cs="Courier New" w:eastAsia="Courier New" w:hAnsi="Courier New"/>
          <w:sz w:val="16"/>
          <w:szCs w:val="16"/>
          <w:color w:val="auto"/>
        </w:rPr>
        <w:t>Requests for disbursement from Escrow by either party under this Third Amendment shall be submitted to the other party and Escrow. The requests for disbursement shall include the determination and details of the amount claimed signed by an officer of the requesting party. Unless the requesting party and Escrow receive written objection signed by an officer of the other party within five (5) business days after delivery to the other party and Escrow of the requesting party's request for disbursement, Escrow shill immediately remit such payment to requesting party. In its objection, the objecting party shall further stipulate those amounts in dispute and the details and reason such amounts are in dispute. The remaining amounts not in dispute due and payable to requesting party shall be immediately disbursed to the requesting party from Escrow.</w:t>
      </w:r>
    </w:p>
    <w:p>
      <w:pPr>
        <w:spacing w:after="0" w:line="389" w:lineRule="exact"/>
        <w:rPr>
          <w:sz w:val="20"/>
          <w:szCs w:val="20"/>
          <w:color w:val="auto"/>
        </w:rPr>
      </w:pPr>
    </w:p>
    <w:p>
      <w:pPr>
        <w:ind w:right="1999" w:hanging="526"/>
        <w:spacing w:after="0" w:line="237" w:lineRule="auto"/>
        <w:rPr>
          <w:sz w:val="20"/>
          <w:szCs w:val="20"/>
          <w:color w:val="auto"/>
        </w:rPr>
      </w:pPr>
      <w:r>
        <w:rPr>
          <w:rFonts w:ascii="Courier New" w:cs="Courier New" w:eastAsia="Courier New" w:hAnsi="Courier New"/>
          <w:sz w:val="18"/>
          <w:szCs w:val="18"/>
          <w:color w:val="auto"/>
        </w:rPr>
        <w:t>5.10 Any controversy or dispute arising out of Section 5.9 above shall be resolved through binding arbitration conducted by the American Arbitration Association under its Commercial Arbitration Rules ("Rules"). The arbitration shall be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conducted by a single arbitrator mutually selected by the parties from the National Panel of Commercial Arbitrators, or failing such agreement within three (3) days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Arbitration Demand (as defined below), as appointed by the American Arbitration Association under the Rules. Should the requesting party described in Section 5.9 disagree with the objecting party's objection set out above, the requesting party (except if the parties otherwise agree) shall send a demand of intention to arbitrate (the "Arbitration Demand") to the objecting party within 10 days of receipt by the requesting party of objecting party's notice of objection set out above. The objecting party shall respond to the Arbitration Demand within seven (7) days of receipt of such demand. Notwithstanding the submission of an Arbitration Demand, Escrow shall disburse all amounts not in dispute.</w:t>
      </w:r>
    </w:p>
    <w:p>
      <w:pPr>
        <w:spacing w:after="0" w:line="216"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The parties shall commence arbitration on the fifteenth (15th) business day after receipt by the objecting party of the Arbitration Demand or such date thereafter at the earliest convenience of the</w:t>
      </w:r>
    </w:p>
    <w:p>
      <w:pPr>
        <w:sectPr>
          <w:pgSz w:w="11900" w:h="16838" w:orient="portrait"/>
          <w:cols w:equalWidth="0" w:num="1">
            <w:col w:w="9159"/>
          </w:cols>
          <w:pgMar w:left="1300" w:top="142" w:right="1440" w:bottom="0" w:gutter="0" w:footer="0" w:header="0"/>
        </w:sectPr>
      </w:pPr>
    </w:p>
    <w:bookmarkStart w:id="59" w:name="page60"/>
    <w:bookmarkEnd w:id="59"/>
    <w:p>
      <w:pPr>
        <w:ind w:right="1779"/>
        <w:spacing w:after="0" w:line="269" w:lineRule="auto"/>
        <w:rPr>
          <w:sz w:val="20"/>
          <w:szCs w:val="20"/>
          <w:color w:val="auto"/>
        </w:rPr>
      </w:pPr>
      <w:r>
        <w:rPr>
          <w:rFonts w:ascii="Courier New" w:cs="Courier New" w:eastAsia="Courier New" w:hAnsi="Courier New"/>
          <w:sz w:val="16"/>
          <w:szCs w:val="16"/>
          <w:color w:val="auto"/>
        </w:rPr>
        <w:t>arbitrator. The arbitrator may for good cause extend any period of time set out in this Section 5.10. The arbitration shall be held at the offices of the arbitrator in the City of New York or at such other location as mutually agreed by the parties. The parties shall use reasonable efforts to complete such arbitration within one (1) day. The arbitrator shall render his/her decision as soon as reasonably possible after the conclusion of the arbitration proceedings. Nordion and IDEC agree that such decision shall be binding and non-appealable. The costs of arbitration shall be paid by the losing party with each party to bear its own attorney fees. The decision of the arbitrator, pursuant to this section, shall be limited to determination of the following issues, as the case may be (i) determination of whether or not thc requesting party's right to draw against the Escrow has been triggered, and (ii) the amount that may be drawn from Escrow. In considering the matter the arbitrator shall only be entitled to consider (i) notices and reports provided in accordance with this Third Amendment, and (ii) financial records and independent auditor reports (if any), with respect to Isotope sales activities, prepared in accordance with generally accepted accounting principles, including Isotope Batch manufacturing records, Isotope shipping records, Isotope accounts receivable and bad debts (purged of Confidential Information), and other such similar information or financial records as those referenced in this sub item (ii). For the purpose of clarity, IDEC acknowledges that Nordion's obligations under the Agreement are generally limited to the manufacture and distribution of Isotope, and IDEC acknowledges and agrees that under no circumstances shall IDEC argue or submit or the arbitrator be entitled to raise or consider objection to payment of amounts under the Agreement from Escrow based on (a) competitive market conditions encountered by Nordion or IDEC for the sale of Isotope or Labelled Drug, (b) Nordion's lack of marketing activities with respect to sale of Isotope to third parties,</w:t>
      </w:r>
    </w:p>
    <w:p>
      <w:pPr>
        <w:spacing w:after="0" w:line="389" w:lineRule="exact"/>
        <w:rPr>
          <w:sz w:val="20"/>
          <w:szCs w:val="20"/>
          <w:color w:val="auto"/>
        </w:rPr>
      </w:pPr>
    </w:p>
    <w:p>
      <w:pPr>
        <w:ind w:right="1779" w:firstLine="1"/>
        <w:spacing w:after="0" w:line="237"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Isotope charged by Nordion to third parties unless in breach of contract, (d) Force Majeure delaying or preventing IDEC from carrying out its obligations under the Agreement, (e) actual costs incurred to construct the KRMF Facility, or (f) Nordion's refusal to supply Isotope to customers who fail to pay invoices as they become due.</w:t>
      </w:r>
    </w:p>
    <w:p>
      <w:pPr>
        <w:spacing w:after="0" w:line="21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written decision of the arbitrator shall be sufficient authority to require and authorize release or withholding by the Escrow of funds in Escrow in accordance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with such decision. The arbitrator shall provide a brief written summary to both parties of the reasons and basis of the decision. Such decision shall be enforceable by any court of competent jurisdiction.</w:t>
      </w:r>
    </w:p>
    <w:p>
      <w:pPr>
        <w:spacing w:after="0" w:line="178" w:lineRule="exact"/>
        <w:rPr>
          <w:sz w:val="20"/>
          <w:szCs w:val="20"/>
          <w:color w:val="auto"/>
        </w:rPr>
      </w:pPr>
    </w:p>
    <w:p>
      <w:pPr>
        <w:ind w:right="1879" w:hanging="526"/>
        <w:spacing w:after="0" w:line="271" w:lineRule="auto"/>
        <w:rPr>
          <w:sz w:val="20"/>
          <w:szCs w:val="20"/>
          <w:color w:val="auto"/>
        </w:rPr>
      </w:pPr>
      <w:r>
        <w:rPr>
          <w:rFonts w:ascii="Courier New" w:cs="Courier New" w:eastAsia="Courier New" w:hAnsi="Courier New"/>
          <w:sz w:val="16"/>
          <w:szCs w:val="16"/>
          <w:color w:val="auto"/>
        </w:rPr>
        <w:t>5.11 In the event the Agreement is terminated by IDEC or Nordion pursuant to Section 17.5 of the Agreement (bankruptcy), the party not subject to the proceedings described in section 17.5 of the Agreement shall, on notice to the other party and Escrow, be entitled to withdraw and retain the amount in Escrow at such date as reconciled pursuant to Section 5.6 above. In the event Nordion terminates the Agreement pursuant to this Section 5.11, IDEC shall have a reinstatement right equivalent to the reinvestment right set forth in Section 2.5 of this Third Amendment following dismissal of such proceedings.</w:t>
      </w:r>
    </w:p>
    <w:p>
      <w:pPr>
        <w:spacing w:after="0" w:line="184" w:lineRule="exact"/>
        <w:rPr>
          <w:sz w:val="20"/>
          <w:szCs w:val="20"/>
          <w:color w:val="auto"/>
        </w:rPr>
      </w:pPr>
    </w:p>
    <w:p>
      <w:pPr>
        <w:ind w:right="1779" w:hanging="526"/>
        <w:spacing w:after="0" w:line="269" w:lineRule="auto"/>
        <w:rPr>
          <w:sz w:val="20"/>
          <w:szCs w:val="20"/>
          <w:color w:val="auto"/>
        </w:rPr>
      </w:pPr>
      <w:r>
        <w:rPr>
          <w:rFonts w:ascii="Courier New" w:cs="Courier New" w:eastAsia="Courier New" w:hAnsi="Courier New"/>
          <w:sz w:val="16"/>
          <w:szCs w:val="16"/>
          <w:color w:val="auto"/>
        </w:rPr>
        <w:t>5.12 In the event of termination of the Agreement for material breach by either party pursuant to Section 17.4 of the Agreement (material breach), all sums in Escrow as of the date of termination shall, in the event of contested termination by the other party notified to the terminating parry and Escrow in writing within seven (7) days of termination, remain in Escrow pending final determination of the matter by arbitration as described in Section 5.10 above. In the event the other party is found by the arbitrator to be in material breach of the Agreement, the terminating party shall be entitled to withdraw all sums in Escrow. If the other party is found by the arbitrator not to be in material breach of the Agreement, such other party shall be entitled to withdraw all sums in Escrow. If a termination by IDEC for material breach is not contested by Nordion, all sums in Escrow shall be disbursed to IDEC. If a termination for material breach by Nordion is not contested by IDEC, all sums in escrow shall be disbursed to Nordion. Notwithstanding anything to the contrary Set forth in this Section 5.12, the decision of the arbitrator pursuant to this Section 5.12 shall not limit IDEC or Nordion, as the case may be, from pursuing its rights and remedies under the Agreement, including the right to seek damages, including the right to seek the disbursed</w:t>
      </w:r>
    </w:p>
    <w:p>
      <w:pPr>
        <w:sectPr>
          <w:pgSz w:w="11900" w:h="16838" w:orient="portrait"/>
          <w:cols w:equalWidth="0" w:num="1">
            <w:col w:w="9159"/>
          </w:cols>
          <w:pgMar w:left="1300" w:top="142" w:right="1440" w:bottom="0" w:gutter="0" w:footer="0" w:header="0"/>
        </w:sectPr>
      </w:pPr>
    </w:p>
    <w:bookmarkStart w:id="60" w:name="page61"/>
    <w:bookmarkEnd w:id="60"/>
    <w:p>
      <w:pPr>
        <w:ind w:left="1060"/>
        <w:spacing w:after="0"/>
        <w:rPr>
          <w:sz w:val="20"/>
          <w:szCs w:val="20"/>
          <w:color w:val="auto"/>
        </w:rPr>
      </w:pPr>
      <w:r>
        <w:rPr>
          <w:rFonts w:ascii="Courier New" w:cs="Courier New" w:eastAsia="Courier New" w:hAnsi="Courier New"/>
          <w:sz w:val="18"/>
          <w:szCs w:val="18"/>
          <w:color w:val="auto"/>
        </w:rPr>
        <w:t>funds.</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5.13 In the event of termination of the Agreement by IDEC or Nordion pursuant to Section 24.1 of the Agreement (Force Majeure), the terminating party shall, on notice to the other party, and Escrow, be entitled to withdraw and retain the amount in Escrow at such date as reconciled pursuant to Section 5.6 above. In the event Nordion terminates the Agreement pursuant to this Section 5.13, IDEC shall have a reinstatement right equivalent to the reinstatement right set forth in Section 2.5 of this Third Amendment following termination for such Force Majeure event.</w:t>
      </w:r>
    </w:p>
    <w:p>
      <w:pPr>
        <w:spacing w:after="0" w:line="208" w:lineRule="exact"/>
        <w:rPr>
          <w:sz w:val="20"/>
          <w:szCs w:val="20"/>
          <w:color w:val="auto"/>
        </w:rPr>
      </w:pPr>
    </w:p>
    <w:p>
      <w:pPr>
        <w:ind w:left="540" w:hanging="532"/>
        <w:spacing w:after="0"/>
        <w:tabs>
          <w:tab w:leader="none" w:pos="5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IDEC PROJECTIONS</w:t>
      </w:r>
    </w:p>
    <w:p>
      <w:pPr>
        <w:spacing w:after="0" w:line="206" w:lineRule="exact"/>
        <w:rPr>
          <w:rFonts w:ascii="Courier New" w:cs="Courier New" w:eastAsia="Courier New" w:hAnsi="Courier New"/>
          <w:sz w:val="18"/>
          <w:szCs w:val="18"/>
          <w:color w:val="auto"/>
        </w:rPr>
      </w:pPr>
    </w:p>
    <w:p>
      <w:pPr>
        <w:ind w:left="1060" w:right="2319" w:hanging="527"/>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6.1 Attached to this Third Amendment as Attachment 5 is [CONFIDENTIAL TREATMENT REQUESTED]. The [CONFIDENTIAL TREATMENT REQUESTED].</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6.2</w:t>
        <w:tab/>
        <w:t>On or about [CONFIDENTIAL TREATMENT REQUESTED] through the date Nordion is capable of commercially supplying Isotope from the KRMF Facility, IDEC shall update the [CONFIDENTIAL TREATMENT REQUESTED] and taking into account [CONFIDENTIAL TREATMENT REQUESTED]. IDEC and Nordion shall meet the [CONFIDENTIAL TREATMENT REQUESTED] to review the [CONFIDENTIAL TREATMENT REQUESTED].</w:t>
      </w:r>
    </w:p>
    <w:p>
      <w:pPr>
        <w:spacing w:after="0" w:line="210" w:lineRule="exact"/>
        <w:rPr>
          <w:sz w:val="20"/>
          <w:szCs w:val="20"/>
          <w:color w:val="auto"/>
        </w:rPr>
      </w:pPr>
    </w:p>
    <w:p>
      <w:pPr>
        <w:ind w:left="1060" w:right="1779" w:hanging="526"/>
        <w:spacing w:after="0" w:line="275" w:lineRule="auto"/>
        <w:tabs>
          <w:tab w:leader="none" w:pos="10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Without limiting Nordion's supply obligations under the Agreement, Nordion agrees that if [CONFIDENTIAL TREATMENT REQUESTED] indicates that [CONFIDENTIAL TREATMENT REQUESTED], Nordion shall adopt the following strategies as it selects to ensure adequate supply capacity:</w:t>
      </w:r>
    </w:p>
    <w:p>
      <w:pPr>
        <w:spacing w:after="0" w:line="177" w:lineRule="exact"/>
        <w:rPr>
          <w:sz w:val="20"/>
          <w:szCs w:val="20"/>
          <w:color w:val="auto"/>
        </w:rPr>
      </w:pPr>
    </w:p>
    <w:p>
      <w:pPr>
        <w:spacing w:after="0"/>
        <w:tabs>
          <w:tab w:leader="none" w:pos="4300" w:val="left"/>
          <w:tab w:leader="none" w:pos="7460" w:val="left"/>
        </w:tabs>
        <w:rPr>
          <w:sz w:val="20"/>
          <w:szCs w:val="20"/>
          <w:color w:val="auto"/>
        </w:rPr>
      </w:pPr>
      <w:r>
        <w:rPr>
          <w:rFonts w:ascii="Courier New" w:cs="Courier New" w:eastAsia="Courier New" w:hAnsi="Courier New"/>
          <w:sz w:val="18"/>
          <w:szCs w:val="18"/>
          <w:color w:val="auto"/>
        </w:rPr>
        <w:t>STRATEGY</w:t>
      </w:r>
      <w:r>
        <w:rPr>
          <w:sz w:val="20"/>
          <w:szCs w:val="20"/>
          <w:color w:val="auto"/>
        </w:rPr>
        <w:tab/>
      </w:r>
      <w:r>
        <w:rPr>
          <w:rFonts w:ascii="Courier New" w:cs="Courier New" w:eastAsia="Courier New" w:hAnsi="Courier New"/>
          <w:sz w:val="18"/>
          <w:szCs w:val="18"/>
          <w:color w:val="auto"/>
        </w:rPr>
        <w:t>TOTAL NET VIALS/WEEK</w:t>
      </w:r>
      <w:r>
        <w:rPr>
          <w:sz w:val="20"/>
          <w:szCs w:val="20"/>
          <w:color w:val="auto"/>
        </w:rPr>
        <w:tab/>
      </w:r>
      <w:r>
        <w:rPr>
          <w:rFonts w:ascii="Courier New" w:cs="Courier New" w:eastAsia="Courier New" w:hAnsi="Courier New"/>
          <w:sz w:val="16"/>
          <w:szCs w:val="16"/>
          <w:color w:val="auto"/>
        </w:rPr>
        <w:t>LEAD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w:t>
      </w:r>
    </w:p>
    <w:p>
      <w:pPr>
        <w:spacing w:after="0" w:line="206" w:lineRule="exact"/>
        <w:rPr>
          <w:rFonts w:ascii="Courier New" w:cs="Courier New" w:eastAsia="Courier New" w:hAnsi="Courier New"/>
          <w:sz w:val="18"/>
          <w:szCs w:val="18"/>
          <w:color w:val="auto"/>
        </w:rPr>
      </w:pPr>
    </w:p>
    <w:p>
      <w:pPr>
        <w:ind w:left="1060" w:right="1779" w:hanging="527"/>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6.4 Notwithstanding Section 6.3 above, if in Nordion's reasonable business judgment, Nordion determines that strategies 8 and 11 set forth above are unnecessary or premature, and IDEC requires the implementation of either such strategy, IDEC shall pay Nordion an amount equal to [CONFIDENTIAL TREATMENT REQUESTED] of the reasonable out-of-pocket labor and material costs associated with strategy 8, or [CONFIDENTIAL TREATMENT REQUESTED] of the reasonable out-of-pocket costs (and Nordion labour costs at the foregoing rate) associated with strategy 11, if less than, an average of [CONFIDENTIAL TREATMENT REQUESTED] are required and purchased to meet Isotope demand from the implementation of such strategies during the period the [CONFIDENTIAL TREATMENT REQUESTED] excess demand.</w:t>
      </w:r>
    </w:p>
    <w:p>
      <w:pPr>
        <w:spacing w:after="0" w:line="390" w:lineRule="exact"/>
        <w:rPr>
          <w:rFonts w:ascii="Courier New" w:cs="Courier New" w:eastAsia="Courier New" w:hAnsi="Courier New"/>
          <w:sz w:val="18"/>
          <w:szCs w:val="18"/>
          <w:color w:val="auto"/>
        </w:rPr>
      </w:pPr>
    </w:p>
    <w:p>
      <w:pPr>
        <w:ind w:left="1060" w:right="1879" w:hanging="527"/>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6.5 Nordion agrees it shall promptly disclose to IDEC any information it acquires that would be reasonably indicative of a potential Force Majeure event, including without limitation, a labor disruption or strike. In the event of a Force Majeure event, Nordion shall exercise commercially reasonable efforts to eliminate, cure or overcome such event, which efforts shall include, without limitation, the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1060" w:right="1779"/>
        <w:spacing w:after="0" w:line="235" w:lineRule="auto"/>
        <w:rPr>
          <w:sz w:val="20"/>
          <w:szCs w:val="20"/>
          <w:color w:val="auto"/>
        </w:rPr>
      </w:pPr>
      <w:r>
        <w:rPr>
          <w:rFonts w:ascii="Courier New" w:cs="Courier New" w:eastAsia="Courier New" w:hAnsi="Courier New"/>
          <w:sz w:val="18"/>
          <w:szCs w:val="18"/>
          <w:color w:val="auto"/>
        </w:rPr>
        <w:t>strategies described in Section 6.3 above and the lawful deployment of management if possible, to operate the Isotope facilities.</w:t>
      </w:r>
    </w:p>
    <w:p>
      <w:pPr>
        <w:spacing w:after="0" w:line="203" w:lineRule="exact"/>
        <w:rPr>
          <w:sz w:val="20"/>
          <w:szCs w:val="20"/>
          <w:color w:val="auto"/>
        </w:rPr>
      </w:pPr>
    </w:p>
    <w:p>
      <w:pPr>
        <w:ind w:left="540" w:hanging="532"/>
        <w:spacing w:after="0"/>
        <w:tabs>
          <w:tab w:leader="none" w:pos="5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MATTERS</w:t>
      </w:r>
    </w:p>
    <w:p>
      <w:pPr>
        <w:spacing w:after="0" w:line="206" w:lineRule="exact"/>
        <w:rPr>
          <w:rFonts w:ascii="Courier New" w:cs="Courier New" w:eastAsia="Courier New" w:hAnsi="Courier New"/>
          <w:sz w:val="18"/>
          <w:szCs w:val="18"/>
          <w:color w:val="auto"/>
        </w:rPr>
      </w:pPr>
    </w:p>
    <w:p>
      <w:pPr>
        <w:ind w:left="106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In the event IDEC is entitled under the Agreement to seek supply of Isotope from a third party, the minimum purchase commitment described in Section 3.1 of this Third Amendment shall be reduced proportionately.</w:t>
      </w:r>
    </w:p>
    <w:p>
      <w:pPr>
        <w:spacing w:after="0" w:line="207" w:lineRule="exact"/>
        <w:rPr>
          <w:rFonts w:ascii="Courier New" w:cs="Courier New" w:eastAsia="Courier New" w:hAnsi="Courier New"/>
          <w:sz w:val="18"/>
          <w:szCs w:val="18"/>
          <w:color w:val="auto"/>
        </w:rPr>
      </w:pPr>
    </w:p>
    <w:p>
      <w:pPr>
        <w:ind w:left="1060" w:right="199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7.2 During the period of supply from both the original and New Facility, Nordion may be required to produce Isotope in up to [CONFIDENTIAL TREATMENT REQUESTED]. During thc period of such increased production from the original or New Facility, the reference in Section 8.4 (c)</w:t>
      </w:r>
    </w:p>
    <w:p>
      <w:pPr>
        <w:sectPr>
          <w:pgSz w:w="11900" w:h="16838" w:orient="portrait"/>
          <w:cols w:equalWidth="0" w:num="1">
            <w:col w:w="10219"/>
          </w:cols>
          <w:pgMar w:left="240" w:top="136" w:right="1440" w:bottom="0" w:gutter="0" w:footer="0" w:header="0"/>
        </w:sectPr>
      </w:pPr>
    </w:p>
    <w:bookmarkStart w:id="61" w:name="page62"/>
    <w:bookmarkEnd w:id="61"/>
    <w:p>
      <w:pPr>
        <w:ind w:left="1060" w:right="1779" w:firstLine="1"/>
        <w:spacing w:after="0" w:line="273" w:lineRule="auto"/>
        <w:tabs>
          <w:tab w:leader="none" w:pos="148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Agreement to [CONFIDENTIAL TREATMENT REQUESTED] shall be amended to provide for [CONFIDENTIAL TREATMENT REQUESTED]. After Nordion has submitted and updated the DMF for and is supplying Isotope from the KRMF Facility, the reference in Section 8.4 (c) (i) of the Agreement shall revert back to [CONFIDENTIAL TREATMENT REQUESTED]."</w:t>
      </w:r>
    </w:p>
    <w:p>
      <w:pPr>
        <w:spacing w:after="0" w:line="185" w:lineRule="exact"/>
        <w:rPr>
          <w:sz w:val="20"/>
          <w:szCs w:val="20"/>
          <w:color w:val="auto"/>
        </w:rPr>
      </w:pPr>
    </w:p>
    <w:p>
      <w:pPr>
        <w:ind w:left="1060" w:right="231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7.3</w:t>
        <w:tab/>
        <w:t>The references in Section 17.6 of the Agreement to [CONFIDENTIAL TREATMENT REQUESTED] arc hereby amended to refer to [CONFIDENTIAL TREATMENT REQUESTED].</w:t>
      </w:r>
    </w:p>
    <w:p>
      <w:pPr>
        <w:spacing w:after="0" w:line="209" w:lineRule="exact"/>
        <w:rPr>
          <w:sz w:val="20"/>
          <w:szCs w:val="20"/>
          <w:color w:val="auto"/>
        </w:rPr>
      </w:pPr>
    </w:p>
    <w:p>
      <w:pPr>
        <w:ind w:left="1060" w:right="187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7.4</w:t>
        <w:tab/>
        <w:t>Section 17.2 of the Agreement is hereby deleted and replaced with the following:</w:t>
      </w:r>
    </w:p>
    <w:p>
      <w:pPr>
        <w:spacing w:after="0" w:line="203"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17.2</w:t>
      </w:r>
      <w:r>
        <w:rPr>
          <w:sz w:val="20"/>
          <w:szCs w:val="20"/>
          <w:color w:val="auto"/>
        </w:rPr>
        <w:tab/>
      </w:r>
      <w:r>
        <w:rPr>
          <w:rFonts w:ascii="Courier New" w:cs="Courier New" w:eastAsia="Courier New" w:hAnsi="Courier New"/>
          <w:sz w:val="16"/>
          <w:szCs w:val="16"/>
          <w:color w:val="auto"/>
        </w:rPr>
        <w:t>Extension</w:t>
      </w:r>
    </w:p>
    <w:p>
      <w:pPr>
        <w:spacing w:after="0" w:line="207" w:lineRule="exact"/>
        <w:rPr>
          <w:sz w:val="20"/>
          <w:szCs w:val="20"/>
          <w:color w:val="auto"/>
        </w:rPr>
      </w:pPr>
    </w:p>
    <w:p>
      <w:pPr>
        <w:ind w:left="1800" w:right="1879"/>
        <w:spacing w:after="0" w:line="237" w:lineRule="auto"/>
        <w:rPr>
          <w:sz w:val="20"/>
          <w:szCs w:val="20"/>
          <w:color w:val="auto"/>
        </w:rPr>
      </w:pPr>
      <w:r>
        <w:rPr>
          <w:rFonts w:ascii="Courier New" w:cs="Courier New" w:eastAsia="Courier New" w:hAnsi="Courier New"/>
          <w:sz w:val="18"/>
          <w:szCs w:val="18"/>
          <w:color w:val="auto"/>
        </w:rPr>
        <w:t>IDEC may extend the term of the Agreement by an additional [CONFIDENTIAL TREATMENT REQUESTED] after the expiration of the Initial Term by providing written notice to Nordion of its election to extend [CONFIDENTIAL TREATMENT REQUESTED]. Notwithstanding the foregoing, [CONFIDENTIAL TREATMENT REQUESTED].</w:t>
      </w:r>
    </w:p>
    <w:p>
      <w:pPr>
        <w:spacing w:after="0" w:line="204" w:lineRule="exact"/>
        <w:rPr>
          <w:sz w:val="20"/>
          <w:szCs w:val="20"/>
          <w:color w:val="auto"/>
        </w:rPr>
      </w:pP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FURTHER MODIFICATIONS</w:t>
      </w:r>
    </w:p>
    <w:p>
      <w:pPr>
        <w:spacing w:after="0" w:line="206" w:lineRule="exact"/>
        <w:rPr>
          <w:rFonts w:ascii="Courier New" w:cs="Courier New" w:eastAsia="Courier New" w:hAnsi="Courier New"/>
          <w:sz w:val="18"/>
          <w:szCs w:val="18"/>
          <w:color w:val="auto"/>
        </w:rPr>
      </w:pPr>
    </w:p>
    <w:p>
      <w:pPr>
        <w:ind w:left="1060"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 Except as set forth in this Third Amendment all of the terms and conditions of the Agreement shall remain unmodified and in full force and effect. Effective as of the date hereof, all references to the Agreement shall refer to the Agreement as amended by this Third Amendment.</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Third Amendment as of the date first above written.</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MDS (CANADA)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IDEC PHARMACEUTICALS CORPORATION</w:t>
      </w:r>
    </w:p>
    <w:p>
      <w:pPr>
        <w:spacing w:after="0" w:line="200" w:lineRule="exact"/>
        <w:rPr>
          <w:sz w:val="20"/>
          <w:szCs w:val="20"/>
          <w:color w:val="auto"/>
        </w:rPr>
      </w:pPr>
    </w:p>
    <w:p>
      <w:pPr>
        <w:sectPr>
          <w:pgSz w:w="11900" w:h="16838" w:orient="portrait"/>
          <w:cols w:equalWidth="0" w:num="2">
            <w:col w:w="3080" w:space="720"/>
            <w:col w:w="64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Dr. Iain Trevena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Mark Wiggins</w:t>
      </w:r>
    </w:p>
    <w:p>
      <w:pPr>
        <w:spacing w:after="0" w:line="200" w:lineRule="exact"/>
        <w:rPr>
          <w:sz w:val="20"/>
          <w:szCs w:val="20"/>
          <w:color w:val="auto"/>
        </w:rPr>
      </w:pPr>
    </w:p>
    <w:p>
      <w:pPr>
        <w:sectPr>
          <w:pgSz w:w="11900" w:h="16838" w:orient="portrait"/>
          <w:cols w:equalWidth="0" w:num="2">
            <w:col w:w="3080" w:space="720"/>
            <w:col w:w="6419"/>
          </w:cols>
          <w:pgMar w:left="240" w:top="142" w:right="1440" w:bottom="0" w:gutter="0" w:footer="0" w:header="0"/>
          <w:type w:val="continuous"/>
        </w:sectPr>
      </w:pP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Its: Senior Vice President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Nuclear Medicine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Vice President, Marketing and Business</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Development</w:t>
      </w:r>
    </w:p>
    <w:p>
      <w:pPr>
        <w:spacing w:after="0" w:line="200" w:lineRule="exact"/>
        <w:rPr>
          <w:sz w:val="20"/>
          <w:szCs w:val="20"/>
          <w:color w:val="auto"/>
        </w:rPr>
      </w:pPr>
    </w:p>
    <w:p>
      <w:pPr>
        <w:sectPr>
          <w:pgSz w:w="11900" w:h="16838" w:orient="portrait"/>
          <w:cols w:equalWidth="0" w:num="2">
            <w:col w:w="3080" w:space="720"/>
            <w:col w:w="6419"/>
          </w:cols>
          <w:pgMar w:left="240" w:top="142" w:right="1440" w:bottom="0" w:gutter="0" w:footer="0" w:header="0"/>
          <w:type w:val="continuous"/>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ATTACHMENT 1: [CONFIDENTIAL TREATMENT REQUESTED]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2640" w:right="1779" w:firstLine="2423"/>
        <w:spacing w:after="0" w:line="470" w:lineRule="auto"/>
        <w:rPr>
          <w:sz w:val="20"/>
          <w:szCs w:val="20"/>
          <w:color w:val="auto"/>
        </w:rPr>
      </w:pPr>
      <w:r>
        <w:rPr>
          <w:rFonts w:ascii="Courier New" w:cs="Courier New" w:eastAsia="Courier New" w:hAnsi="Courier New"/>
          <w:sz w:val="18"/>
          <w:szCs w:val="18"/>
          <w:color w:val="auto"/>
        </w:rPr>
        <w:t>CONFIDENTIAL TREATMENT REQUESTED ATTACHMENT 2: ESCROW AGREEMENT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Escrow Agreement (`Agreement") is made and entered into as of ________ by</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between IDEC Pharmaceuticals Corporation ("IDEC"), MDS (Canada) Inc., MDS Nordion division, successor to MDS Nordion Inc. ("Nordion"), and Union Bank of California, N.A. ("Escrow Agent") as follows;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6"/>
          <w:szCs w:val="16"/>
          <w:color w:val="auto"/>
        </w:rPr>
        <w:t>ESCROW INSTRUCTIONS</w:t>
      </w:r>
    </w:p>
    <w:p>
      <w:pPr>
        <w:spacing w:after="0" w:line="207" w:lineRule="exact"/>
        <w:rPr>
          <w:sz w:val="20"/>
          <w:szCs w:val="20"/>
          <w:color w:val="auto"/>
        </w:rPr>
      </w:pPr>
    </w:p>
    <w:p>
      <w:pPr>
        <w:ind w:left="540" w:right="24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1.1</w:t>
        <w:tab/>
        <w:t>IDEC has agreed with Nordion to deposit and maintain certain funds in escrow.</w:t>
      </w:r>
    </w:p>
    <w:p>
      <w:pPr>
        <w:spacing w:after="0" w:line="208" w:lineRule="exact"/>
        <w:rPr>
          <w:sz w:val="20"/>
          <w:szCs w:val="20"/>
          <w:color w:val="auto"/>
        </w:rPr>
      </w:pPr>
    </w:p>
    <w:p>
      <w:pPr>
        <w:ind w:left="540" w:right="19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1.2</w:t>
        <w:tab/>
        <w:t>The Escrow Agent agrees to accept said funds for deposit and to establish and maintain a separate account for such funds. Within two (2) business days following receipt of a deposit by IDEC, Escrow Agent shall notify Nordion thereof in writing.</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1.3</w:t>
        <w:tab/>
        <w:t>Subject to section 1.4 of this Agreement, upon receipt by Escrow Agent of a written request for disbursement of funds from escrow from either party signed by an officer of the requesting party, Escrow Agent shall immediately remit such funds to the requesting party. Thc request for</w:t>
      </w:r>
    </w:p>
    <w:p>
      <w:pPr>
        <w:sectPr>
          <w:pgSz w:w="11900" w:h="16838" w:orient="portrait"/>
          <w:cols w:equalWidth="0" w:num="1">
            <w:col w:w="10219"/>
          </w:cols>
          <w:pgMar w:left="240" w:top="142" w:right="1440" w:bottom="0" w:gutter="0" w:footer="0" w:header="0"/>
          <w:type w:val="continuous"/>
        </w:sectPr>
      </w:pPr>
    </w:p>
    <w:bookmarkStart w:id="62" w:name="page63"/>
    <w:bookmarkEnd w:id="62"/>
    <w:p>
      <w:pPr>
        <w:ind w:left="540" w:right="2099"/>
        <w:spacing w:after="0" w:line="235" w:lineRule="auto"/>
        <w:rPr>
          <w:sz w:val="20"/>
          <w:szCs w:val="20"/>
          <w:color w:val="auto"/>
        </w:rPr>
      </w:pPr>
      <w:r>
        <w:rPr>
          <w:rFonts w:ascii="Courier New" w:cs="Courier New" w:eastAsia="Courier New" w:hAnsi="Courier New"/>
          <w:sz w:val="18"/>
          <w:szCs w:val="18"/>
          <w:color w:val="auto"/>
        </w:rPr>
        <w:t>disbursement shall set forth the determination of the amount to be paid, the payee and payee's address or wire instructions.</w:t>
      </w:r>
    </w:p>
    <w:p>
      <w:pPr>
        <w:spacing w:after="0" w:line="208" w:lineRule="exact"/>
        <w:rPr>
          <w:sz w:val="20"/>
          <w:szCs w:val="20"/>
          <w:color w:val="auto"/>
        </w:rPr>
      </w:pPr>
    </w:p>
    <w:p>
      <w:pPr>
        <w:ind w:left="540" w:right="1779" w:hanging="526"/>
        <w:spacing w:after="0" w:line="270" w:lineRule="auto"/>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If the requesting party and Escrow Agent receive written objection signed by an officer of the other party within five (5) days after delivery to the other party and Escrow Agent of the requesting party's request for disbursement, escrow Agent shall, withhold disbursement of the funds and remain in possession of such funds pending resolution by Nordion and IDEC of the objection by mutual agreement or by arbitration. In such written objection, the objecting party shall stipulate those amounts in dispute, the details and reason such amounts are in dispute and those amounts not in dispute. If no such objection is received, the Escrow Agent shall immediately disburse those funds in escrow as requested by the requesting party or, as the case may be, those amounts that are not in dispute. Escrow Agent will accept facsimile signatures with original signatures to follow.</w:t>
      </w:r>
    </w:p>
    <w:p>
      <w:pPr>
        <w:spacing w:after="0" w:line="391"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1.5</w:t>
        <w:tab/>
        <w:t>The written request of a requesting parry in accordance with this Agreement, mutual written agreement of IDEC and Nordion or written decision of the arbitrator shall be sufficient authority to require and authorize release or withholding by the Escrow Agent of funds in escrow.</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1.6</w:t>
        <w:tab/>
        <w:t>Escrow Agent shall provide monthly account statements by mail to IDEC and Nordion setting out the principal amounts deposited into escrow, investment returns accrued and withdrawn, the extent to which the principal has been impaired as a result of negative investment returns and any other withdrawal or disbursement of funds in escrow during the term of the escrow. Escrow Agent shall provide prompt notice to Nordion, with a copy to IDEC, if the investment has been impaired as a result of negative investment returns.</w:t>
      </w:r>
    </w:p>
    <w:p>
      <w:pPr>
        <w:spacing w:after="0" w:line="212"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1.7</w:t>
        <w:tab/>
        <w:t>The escrow shall only bc terminated upon joint written instruction from the parties to this escrow or the disbursement of all funds in escrow.</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1.8</w:t>
        <w:tab/>
        <w:t>Escrow Agent shall invest the funds deposited in escrow pursuant to written instructions from IDEC, provided such instructions are in accordance with the investment guidelines described in the guidelines attached hereto and incorporated herein by reference. IDEC shall fail to provide such instructions, Escrow Agent shall invest funds in the Provident Cash Management Shares T-Fund and it is understood that Escrow Agent may render administrative services and receive fees from thc distributor of such Fund. Upon receipt of notice of request for disbursement from escrow, in accordance with this Agreement Escrow Agent agrees to liquidate the investment to the extent required and to disburse the proceeds to the requesting party.</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2.0</w:t>
      </w:r>
      <w:r>
        <w:rPr>
          <w:sz w:val="20"/>
          <w:szCs w:val="20"/>
          <w:color w:val="auto"/>
        </w:rPr>
        <w:tab/>
      </w:r>
      <w:r>
        <w:rPr>
          <w:rFonts w:ascii="Courier New" w:cs="Courier New" w:eastAsia="Courier New" w:hAnsi="Courier New"/>
          <w:sz w:val="16"/>
          <w:szCs w:val="16"/>
          <w:color w:val="auto"/>
        </w:rPr>
        <w:t>RIGHTS OF ESCROW AGENT</w:t>
      </w:r>
    </w:p>
    <w:p>
      <w:pPr>
        <w:spacing w:after="0" w:line="207" w:lineRule="exact"/>
        <w:rPr>
          <w:sz w:val="20"/>
          <w:szCs w:val="20"/>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2.1</w:t>
        <w:tab/>
        <w:t>The Escrow Agent shall have no duties or responsibilities except those expressly set forth herein.</w:t>
      </w:r>
    </w:p>
    <w:p>
      <w:pPr>
        <w:spacing w:after="0" w:line="208"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2.2</w:t>
        <w:tab/>
        <w:t>No person, firm or corporation will be recognized by the Escrow Agent as a successor or Assignee of this Agreement until acknowledgment by Nordion and IDEC of such successor or assignment is received by Escrow Agent and written evidence be presented to the Escrow Agent, which evidence is satisfactory to the Escrow Agent of such succession or assignment.</w:t>
      </w:r>
    </w:p>
    <w:p>
      <w:pPr>
        <w:spacing w:after="0" w:line="209" w:lineRule="exact"/>
        <w:rPr>
          <w:sz w:val="20"/>
          <w:szCs w:val="20"/>
          <w:color w:val="auto"/>
        </w:rPr>
      </w:pPr>
    </w:p>
    <w:p>
      <w:pPr>
        <w:ind w:left="540" w:right="231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The Escrow Agent shall not be responsible for confirming the identity, authority or rights of any person, firm or corporation executing or delivering or purporting to deliver or execute this Escrow Agreement.</w:t>
      </w:r>
    </w:p>
    <w:p>
      <w:pPr>
        <w:spacing w:after="0" w:line="178"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2.4</w:t>
        <w:tab/>
        <w:t>The Escrow Agent may rely upon any instrument in writing believed by it to be genuine and sufficient and properly presented and shall not be liable or responsible for any action taken or omitted in accordance with the provisions thereof.</w:t>
      </w:r>
    </w:p>
    <w:p>
      <w:pPr>
        <w:spacing w:after="0" w:line="207" w:lineRule="exact"/>
        <w:rPr>
          <w:sz w:val="20"/>
          <w:szCs w:val="20"/>
          <w:color w:val="auto"/>
        </w:rPr>
      </w:pPr>
    </w:p>
    <w:p>
      <w:pPr>
        <w:jc w:val="both"/>
        <w:ind w:left="540" w:right="1999" w:hanging="526"/>
        <w:spacing w:after="0" w:line="275" w:lineRule="auto"/>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The Escrow Agent shall not be liable or responsible for any act it may do or omit to do except for its negligence or willful misconduct. The Escrow Agent may consult with an attorney and be fully protected with respect to any action taken or omitted by it in good faith or on advice of counsel.</w:t>
      </w:r>
    </w:p>
    <w:p>
      <w:pPr>
        <w:spacing w:after="0" w:line="182" w:lineRule="exact"/>
        <w:rPr>
          <w:sz w:val="20"/>
          <w:szCs w:val="20"/>
          <w:color w:val="auto"/>
        </w:rPr>
      </w:pPr>
    </w:p>
    <w:p>
      <w:pPr>
        <w:ind w:left="540" w:right="1779" w:hanging="526"/>
        <w:spacing w:after="0" w:line="272" w:lineRule="auto"/>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In the event any property held by the Escrow Agent hereunder shall be attached, garnished or levied upon under any court order or if the delivery of such property shall be stayed or enjoined by any court order, or if any court order, judgement or decree shall be made or entered affecting such property or affecting any act by the Escrow Agent, the Escrow Agent shall obey and comply with all writs, orders, judgments or decrees so entered or</w:t>
      </w:r>
    </w:p>
    <w:p>
      <w:pPr>
        <w:sectPr>
          <w:pgSz w:w="11900" w:h="16838" w:orient="portrait"/>
          <w:cols w:equalWidth="0" w:num="1">
            <w:col w:w="10219"/>
          </w:cols>
          <w:pgMar w:left="240" w:top="142" w:right="1440" w:bottom="0" w:gutter="0" w:footer="0" w:header="0"/>
        </w:sectPr>
      </w:pPr>
    </w:p>
    <w:bookmarkStart w:id="63" w:name="page64"/>
    <w:bookmarkEnd w:id="63"/>
    <w:p>
      <w:pPr>
        <w:ind w:right="1879"/>
        <w:spacing w:after="0" w:line="237" w:lineRule="auto"/>
        <w:rPr>
          <w:sz w:val="20"/>
          <w:szCs w:val="20"/>
          <w:color w:val="auto"/>
        </w:rPr>
      </w:pPr>
      <w:r>
        <w:rPr>
          <w:rFonts w:ascii="Courier New" w:cs="Courier New" w:eastAsia="Courier New" w:hAnsi="Courier New"/>
          <w:sz w:val="18"/>
          <w:szCs w:val="18"/>
          <w:color w:val="auto"/>
        </w:rPr>
        <w:t>issued, notwithstanding any provisions of this Escrow Agreement to the contrary. If the Escrow Agent obeys and complies with any such writs or decrees, it shall nor be liable to any other parties hereto or to such other person, firm or entity by reason of such compliance, notwithstanding that such writs, orders or decree may be subsequently reversed, modified, annulled, set aside or vacated.</w:t>
      </w:r>
    </w:p>
    <w:p>
      <w:pPr>
        <w:spacing w:after="0" w:line="210"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2.7</w:t>
      </w:r>
      <w:r>
        <w:rPr>
          <w:sz w:val="20"/>
          <w:szCs w:val="20"/>
          <w:color w:val="auto"/>
        </w:rPr>
        <w:t xml:space="preserve"> </w:t>
      </w:r>
      <w:r>
        <w:rPr>
          <w:rFonts w:ascii="Courier New" w:cs="Courier New" w:eastAsia="Courier New" w:hAnsi="Courier New"/>
          <w:sz w:val="18"/>
          <w:szCs w:val="18"/>
          <w:color w:val="auto"/>
        </w:rPr>
        <w:t>IDEC and Nordion shall each pay one-half (1/2) of Escrow Agent's reasonable compensation and shall reimburse the Escrow Agent for all reasonable expenses incurred by the Escrow Agent in connection with the duties and compliance in good faith with the</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terms and conditions of this Escrow Agreement. IDEC and Nordion respectively shall indemnify and hold the Escrow Agent harmless against any and all losses, claims, liabilities, costs, payments and including reasonable legal fees for counsel who may be selected by the Escrow Agent, which may be imposed upon or incurred by Escrow Agent hereunder as a result of the respective acts or omissions of IDEC or Nordion, as the case may be, Escrow Agent's fee schedule is attached hereto as Exhibit A. Escrow Agent may withdraw compensation and expenses from account income in the event payment is not received by Escrow Agent within thirty (30) days of the date of invoice.</w:t>
      </w:r>
    </w:p>
    <w:p>
      <w:pPr>
        <w:spacing w:after="0" w:line="215" w:lineRule="exact"/>
        <w:rPr>
          <w:sz w:val="20"/>
          <w:szCs w:val="20"/>
          <w:color w:val="auto"/>
        </w:rPr>
      </w:pPr>
    </w:p>
    <w:p>
      <w:pPr>
        <w:ind w:right="2319" w:hanging="526"/>
        <w:spacing w:after="0" w:line="236" w:lineRule="auto"/>
        <w:rPr>
          <w:sz w:val="20"/>
          <w:szCs w:val="20"/>
          <w:color w:val="auto"/>
        </w:rPr>
      </w:pPr>
      <w:r>
        <w:rPr>
          <w:rFonts w:ascii="Courier New" w:cs="Courier New" w:eastAsia="Courier New" w:hAnsi="Courier New"/>
          <w:sz w:val="18"/>
          <w:szCs w:val="18"/>
          <w:color w:val="auto"/>
        </w:rPr>
        <w:t>2.8</w:t>
      </w:r>
      <w:r>
        <w:rPr>
          <w:sz w:val="20"/>
          <w:szCs w:val="20"/>
          <w:color w:val="auto"/>
        </w:rPr>
        <w:t xml:space="preserve"> </w:t>
      </w:r>
      <w:r>
        <w:rPr>
          <w:rFonts w:ascii="Courier New" w:cs="Courier New" w:eastAsia="Courier New" w:hAnsi="Courier New"/>
          <w:sz w:val="18"/>
          <w:szCs w:val="18"/>
          <w:color w:val="auto"/>
        </w:rPr>
        <w:t>The Escrow Agent makes no representation as to the validity, value, genuineness or the collectibility of any security or other document or instrument held by or delivered to it.</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Escrow Agent may resign on thirty (30) days' written notice to IDEC and Nordion. IDEC and Nordion may remove Escrow Agent on thirty (30) days' written notice to all parties hereunder. Upon receipt of such notice, IDEC and Nordion shall appoint a successor escrow agent in writing delivered to Escrow Agent. Thereupon, Escrow Agent shall deliver all assets in its custody to such successor escrow agent and all responsibility of Escrow Agent under this Agreement shall terminate; provided, however, Escrow Agent's obligations under this Agreement shall not terminate until delivery of the assets to the successor Escrow Agent. If the parties fail to appoint a successor escrow agent, within five (5) days of expiry of the aforementioned thirty (30) day notice period, the Escrow Agent shall deliver all assets in escrow in its custody to a court of competent jurisdiction as IDEC and Nordion shall instruct in writing or, in the absence of such joint instruction, to an escrow agent appointed by a court of competent jurisdiction as petitioned by any party to this Agreement.</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Escrow Agent may consult with independent legal counsel in the event of any dispute or question as to the interpretation of any of the provisions hereof or its duties hereunder and it shall incur no liability and shall be fully protected in acting in accordance with the opinion and instructions of such counsel. Escrow Agent shall notify IDEC and Nordion in writing when it intends to consult with such independent legal counsel and the anticipated cost. Escrow Agent shall have the right to file legal proceedings, including an interpleader, to determine the proper disposition of assets hereunder, all costs thereof constituting an expense of administration of this Agreement.</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duties and responsibilities of Escrow Agent shall be limited to those expressly set forth in this Escrow Agreement; provided, however, that, with Escrow Agent's written consent, the duties and responsibilities in this Escrow Agreement may bc amended at any time or times by an instrument in writing signed by the parties. With the exception of this Agreement Escrow Agent is not responsible for, or chargeable with knowledge of, any terms or provisions contained in either the underlying agreement referred to in this Agreement or any other separate agreements and understandings between the parties. Thc Escrow Agent shall not be liable for the accuracy of any calculations or the sufficiency of any funds for any purpose. The Escrow Agent shall not have any liability under this Escrow Agreement except to the extent of its own gross negligence or willful misconduct. In no event shall the escrow Agent be liable for any special, indirect or consequential damages.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Escrow Agent is authorized, in its sole discretion, to disregard any and all notices or instructions given by IDEC and Nordion or by any other</w:t>
      </w:r>
    </w:p>
    <w:p>
      <w:pPr>
        <w:sectPr>
          <w:pgSz w:w="11900" w:h="16838" w:orient="portrait"/>
          <w:cols w:equalWidth="0" w:num="1">
            <w:col w:w="9679"/>
          </w:cols>
          <w:pgMar w:left="780" w:top="142" w:right="1440" w:bottom="0" w:gutter="0" w:footer="0" w:header="0"/>
        </w:sectPr>
      </w:pPr>
    </w:p>
    <w:bookmarkStart w:id="64" w:name="page65"/>
    <w:bookmarkEnd w:id="64"/>
    <w:p>
      <w:pPr>
        <w:ind w:left="540" w:right="2199"/>
        <w:spacing w:after="0" w:line="235" w:lineRule="auto"/>
        <w:rPr>
          <w:sz w:val="20"/>
          <w:szCs w:val="20"/>
          <w:color w:val="auto"/>
        </w:rPr>
      </w:pPr>
      <w:r>
        <w:rPr>
          <w:rFonts w:ascii="Courier New" w:cs="Courier New" w:eastAsia="Courier New" w:hAnsi="Courier New"/>
          <w:sz w:val="18"/>
          <w:szCs w:val="18"/>
          <w:color w:val="auto"/>
        </w:rPr>
        <w:t>person, firm or corporation, except such notices or instructions as are specifically provided for herein.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left="540" w:right="1779" w:hanging="526"/>
        <w:spacing w:after="0" w:line="271" w:lineRule="auto"/>
        <w:tabs>
          <w:tab w:leader="none" w:pos="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All communications, notices, requests, consents or demands given or required under this Agreement shall be in writing and shall be deemed to have been duly given when delivered to, sent by facsimile with acknowledged receipt or recognized courier service with acknowledged receipt, or five days after being mailed by prepaid registered or certified mail addressed to, the party for whom intended, as follows, or to such other address as may be furnished by such party by notice in the manner provided herein:</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IDEC:</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3030 Callan Road</w:t>
            </w:r>
          </w:p>
        </w:tc>
      </w:tr>
      <w:tr>
        <w:trPr>
          <w:trHeight w:val="203"/>
        </w:trPr>
        <w:tc>
          <w:tcPr>
            <w:tcW w:w="1580" w:type="dxa"/>
            <w:vAlign w:val="bottom"/>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San Diego, CA</w:t>
            </w:r>
          </w:p>
        </w:tc>
        <w:tc>
          <w:tcPr>
            <w:tcW w:w="4220" w:type="dxa"/>
            <w:vAlign w:val="bottom"/>
          </w:tcPr>
          <w:p>
            <w:pPr>
              <w:jc w:val="right"/>
              <w:ind w:right="3592"/>
              <w:spacing w:after="0" w:line="203" w:lineRule="exact"/>
              <w:rPr>
                <w:sz w:val="20"/>
                <w:szCs w:val="20"/>
                <w:color w:val="auto"/>
              </w:rPr>
            </w:pPr>
            <w:r>
              <w:rPr>
                <w:rFonts w:ascii="Courier New" w:cs="Courier New" w:eastAsia="Courier New" w:hAnsi="Courier New"/>
                <w:sz w:val="18"/>
                <w:szCs w:val="18"/>
                <w:color w:val="auto"/>
                <w:w w:val="96"/>
              </w:rPr>
              <w:t>92121</w:t>
            </w:r>
          </w:p>
        </w:tc>
      </w:tr>
      <w:tr>
        <w:trPr>
          <w:trHeight w:val="203"/>
        </w:trPr>
        <w:tc>
          <w:tcPr>
            <w:tcW w:w="158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Attn: Senior Vice President and Chief Financial Officer</w:t>
            </w:r>
          </w:p>
        </w:tc>
      </w:tr>
      <w:tr>
        <w:trPr>
          <w:trHeight w:val="203"/>
        </w:trPr>
        <w:tc>
          <w:tcPr>
            <w:tcW w:w="158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Fax: (858) 431-8892</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Nordion:</w:t>
            </w:r>
          </w:p>
        </w:tc>
        <w:tc>
          <w:tcPr>
            <w:tcW w:w="1780" w:type="dxa"/>
            <w:vAlign w:val="bottom"/>
          </w:tcPr>
          <w:p>
            <w:pPr>
              <w:ind w:left="200"/>
              <w:spacing w:after="0"/>
              <w:rPr>
                <w:sz w:val="20"/>
                <w:szCs w:val="20"/>
                <w:color w:val="auto"/>
              </w:rPr>
            </w:pPr>
            <w:r>
              <w:rPr>
                <w:rFonts w:ascii="Courier New" w:cs="Courier New" w:eastAsia="Courier New" w:hAnsi="Courier New"/>
                <w:sz w:val="18"/>
                <w:szCs w:val="18"/>
                <w:color w:val="auto"/>
              </w:rPr>
              <w:t>447 March Road</w:t>
            </w:r>
          </w:p>
        </w:tc>
        <w:tc>
          <w:tcPr>
            <w:tcW w:w="422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Ottawa, Ontario</w:t>
            </w:r>
          </w:p>
        </w:tc>
        <w:tc>
          <w:tcPr>
            <w:tcW w:w="4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K2K1X8</w:t>
            </w:r>
          </w:p>
        </w:tc>
        <w:tc>
          <w:tcPr>
            <w:tcW w:w="42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Attn: Vice President and Chief Financial Officer</w:t>
            </w:r>
          </w:p>
        </w:tc>
      </w:tr>
      <w:tr>
        <w:trPr>
          <w:trHeight w:val="203"/>
        </w:trPr>
        <w:tc>
          <w:tcPr>
            <w:tcW w:w="158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Fax: (613) 592-5302</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Escrow Agent:</w:t>
            </w:r>
          </w:p>
        </w:tc>
        <w:tc>
          <w:tcPr>
            <w:tcW w:w="60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Union Bank of California, N.A.</w:t>
            </w:r>
          </w:p>
        </w:tc>
      </w:tr>
      <w:tr>
        <w:trPr>
          <w:trHeight w:val="203"/>
        </w:trPr>
        <w:tc>
          <w:tcPr>
            <w:tcW w:w="158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120 S.  San Pedro Street, 4th Floor</w:t>
            </w:r>
          </w:p>
        </w:tc>
      </w:tr>
      <w:tr>
        <w:trPr>
          <w:trHeight w:val="203"/>
        </w:trPr>
        <w:tc>
          <w:tcPr>
            <w:tcW w:w="1580" w:type="dxa"/>
            <w:vAlign w:val="bottom"/>
          </w:tcPr>
          <w:p>
            <w:pPr>
              <w:spacing w:after="0"/>
              <w:rPr>
                <w:sz w:val="17"/>
                <w:szCs w:val="17"/>
                <w:color w:val="auto"/>
              </w:rPr>
            </w:pPr>
          </w:p>
        </w:tc>
        <w:tc>
          <w:tcPr>
            <w:tcW w:w="17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Los Angeles, CA</w:t>
            </w:r>
          </w:p>
        </w:tc>
        <w:tc>
          <w:tcPr>
            <w:tcW w:w="4220" w:type="dxa"/>
            <w:vAlign w:val="bottom"/>
          </w:tcPr>
          <w:p>
            <w:pPr>
              <w:jc w:val="right"/>
              <w:ind w:right="3392"/>
              <w:spacing w:after="0" w:line="203" w:lineRule="exact"/>
              <w:rPr>
                <w:sz w:val="20"/>
                <w:szCs w:val="20"/>
                <w:color w:val="auto"/>
              </w:rPr>
            </w:pPr>
            <w:r>
              <w:rPr>
                <w:rFonts w:ascii="Courier New" w:cs="Courier New" w:eastAsia="Courier New" w:hAnsi="Courier New"/>
                <w:sz w:val="18"/>
                <w:szCs w:val="18"/>
                <w:color w:val="auto"/>
              </w:rPr>
              <w:t>90012</w:t>
            </w:r>
          </w:p>
        </w:tc>
      </w:tr>
    </w:tbl>
    <w:p>
      <w:pPr>
        <w:ind w:left="2320"/>
        <w:spacing w:after="0" w:line="238" w:lineRule="auto"/>
        <w:rPr>
          <w:sz w:val="20"/>
          <w:szCs w:val="20"/>
          <w:color w:val="auto"/>
        </w:rPr>
      </w:pPr>
      <w:r>
        <w:rPr>
          <w:rFonts w:ascii="Courier New" w:cs="Courier New" w:eastAsia="Courier New" w:hAnsi="Courier New"/>
          <w:sz w:val="18"/>
          <w:szCs w:val="18"/>
          <w:color w:val="auto"/>
        </w:rPr>
        <w:t>Attn: Corporate Trust Department</w:t>
      </w:r>
    </w:p>
    <w:p>
      <w:pPr>
        <w:ind w:left="2320"/>
        <w:spacing w:after="0"/>
        <w:rPr>
          <w:sz w:val="20"/>
          <w:szCs w:val="20"/>
          <w:color w:val="auto"/>
        </w:rPr>
      </w:pPr>
      <w:r>
        <w:rPr>
          <w:rFonts w:ascii="Courier New" w:cs="Courier New" w:eastAsia="Courier New" w:hAnsi="Courier New"/>
          <w:sz w:val="18"/>
          <w:szCs w:val="18"/>
          <w:color w:val="auto"/>
        </w:rPr>
        <w:t>Fax: (213) 972-5694</w:t>
      </w:r>
    </w:p>
    <w:p>
      <w:pPr>
        <w:spacing w:after="0" w:line="206" w:lineRule="exact"/>
        <w:rPr>
          <w:sz w:val="20"/>
          <w:szCs w:val="20"/>
          <w:color w:val="auto"/>
        </w:rPr>
      </w:pPr>
    </w:p>
    <w:p>
      <w:pPr>
        <w:ind w:left="540" w:right="1779" w:hanging="526"/>
        <w:spacing w:after="0" w:line="272" w:lineRule="auto"/>
        <w:tabs>
          <w:tab w:leader="none" w:pos="5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The name, title, and specimen signature of each individual authorized to provide notices hereunder (including requests for disbursement) is attached as Exhibit B hereto and IDEC and Nordion represent and warrant that each individual so listed is authorized to give such notice- IDEC and Nordion may, from time to time, as each respectively deems appropriate, add such persons to Exhibit B, who are authorized to provide notices hereunder.</w:t>
      </w:r>
    </w:p>
    <w:p>
      <w:pPr>
        <w:spacing w:after="0" w:line="186"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3.3</w:t>
        <w:tab/>
        <w:t>This Agreement shall be binding upon, enforceable against and inure to the benefit of, the parties hereto and their respective heirs, administrators, executors, personal representatives, successors and permitted assigns, and nothing herein is intended to confer any right, remedy or benefit upon any other person. This Agreement may not be assigned by any party hereto except with the prior written consent of all the other parties, which consent shall not be unreasonably withheld.</w:t>
      </w:r>
    </w:p>
    <w:p>
      <w:pPr>
        <w:spacing w:after="0" w:line="211"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If any provision of this Agreement is held to be invalid or unenforceable by a court of competent jurisdiction, this Agreement shall be interpreted and enforceable as if such provision were severed or limited, but only to the extent necessary to render such provision and this Agreement enforceable.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CONFIDENTIAL TREATMENT REQUESTED</w:t>
      </w:r>
    </w:p>
    <w:p>
      <w:pPr>
        <w:spacing w:after="0" w:line="224" w:lineRule="exact"/>
        <w:rPr>
          <w:sz w:val="20"/>
          <w:szCs w:val="20"/>
          <w:color w:val="auto"/>
        </w:rPr>
      </w:pPr>
    </w:p>
    <w:p>
      <w:pPr>
        <w:ind w:left="540" w:right="21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3.4</w:t>
        <w:tab/>
        <w:t>This Agreement shall in all respects be governed by and construed in accordance with the laws of the State of California applicable to agreements made and fully to be performed in such state, without giving effect to conflicts of law principles.</w:t>
      </w:r>
    </w:p>
    <w:p>
      <w:pPr>
        <w:spacing w:after="0" w:line="207"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3.5</w:t>
        <w:tab/>
        <w:t>This Agreement may be executed in multiple counterparts, each of which shall be deemed an original, but all of which together shall constitute one and the same instrument.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executed this Escrow Agreement or this Escrow Agreement to be duly executed by their duly authorized representatives, as of the date first written below:</w:t>
      </w:r>
    </w:p>
    <w:p>
      <w:pPr>
        <w:spacing w:after="0" w:line="203"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ESCROW AGENT:</w:t>
      </w:r>
      <w:r>
        <w:rPr>
          <w:sz w:val="20"/>
          <w:szCs w:val="20"/>
          <w:color w:val="auto"/>
        </w:rPr>
        <w:tab/>
      </w:r>
      <w:r>
        <w:rPr>
          <w:rFonts w:ascii="Courier New" w:cs="Courier New" w:eastAsia="Courier New" w:hAnsi="Courier New"/>
          <w:sz w:val="16"/>
          <w:szCs w:val="16"/>
          <w:color w:val="auto"/>
        </w:rPr>
        <w:t>Union Bank of California, N.A.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Executed this date, November _____, 2001</w:t>
      </w:r>
    </w:p>
    <w:p>
      <w:pPr>
        <w:spacing w:after="0" w:line="237" w:lineRule="auto"/>
        <w:rPr>
          <w:sz w:val="20"/>
          <w:szCs w:val="20"/>
          <w:color w:val="auto"/>
        </w:rPr>
      </w:pPr>
      <w:r>
        <w:rPr>
          <w:rFonts w:ascii="Courier New" w:cs="Courier New" w:eastAsia="Courier New" w:hAnsi="Courier New"/>
          <w:sz w:val="18"/>
          <w:szCs w:val="18"/>
          <w:color w:val="auto"/>
        </w:rPr>
        <w:t>IDEC:</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Executed this date, November _____,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NORDION:</w:t>
      </w:r>
    </w:p>
    <w:p>
      <w:pPr>
        <w:sectPr>
          <w:pgSz w:w="11900" w:h="16838" w:orient="portrait"/>
          <w:cols w:equalWidth="0" w:num="1">
            <w:col w:w="10219"/>
          </w:cols>
          <w:pgMar w:left="240" w:top="142" w:right="1440" w:bottom="0" w:gutter="0" w:footer="0" w:header="0"/>
        </w:sectPr>
      </w:pPr>
    </w:p>
    <w:bookmarkStart w:id="65" w:name="page66"/>
    <w:bookmarkEnd w:id="65"/>
    <w:p>
      <w:pPr>
        <w:ind w:left="540"/>
        <w:spacing w:after="0"/>
        <w:rPr>
          <w:sz w:val="20"/>
          <w:szCs w:val="20"/>
          <w:color w:val="auto"/>
        </w:rPr>
      </w:pPr>
      <w:r>
        <w:rPr>
          <w:rFonts w:ascii="Courier New" w:cs="Courier New" w:eastAsia="Courier New" w:hAnsi="Courier New"/>
          <w:sz w:val="18"/>
          <w:szCs w:val="18"/>
          <w:color w:val="auto"/>
        </w:rPr>
        <w:t>By:</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Executed this date, November _____, 2001</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FEE SCHEDULE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UNION BANK OF CALIFORNIA, 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CORPORATE TRUST SERVICES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OF FEES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w:t>
      </w:r>
    </w:p>
    <w:p>
      <w:pPr>
        <w:jc w:val="center"/>
        <w:ind w:right="1679"/>
        <w:spacing w:after="0"/>
        <w:rPr>
          <w:sz w:val="20"/>
          <w:szCs w:val="20"/>
          <w:color w:val="auto"/>
        </w:rPr>
      </w:pPr>
      <w:r>
        <w:rPr>
          <w:rFonts w:ascii="Courier New" w:cs="Courier New" w:eastAsia="Courier New" w:hAnsi="Courier New"/>
          <w:sz w:val="18"/>
          <w:szCs w:val="18"/>
          <w:color w:val="auto"/>
        </w:rPr>
        <w:t>ESCROW AGENT SERVICES</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ESCROW AGREEMENT</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AMONG</w:t>
      </w:r>
    </w:p>
    <w:p>
      <w:pPr>
        <w:jc w:val="center"/>
        <w:ind w:right="1679"/>
        <w:spacing w:after="0"/>
        <w:rPr>
          <w:sz w:val="20"/>
          <w:szCs w:val="20"/>
          <w:color w:val="auto"/>
        </w:rPr>
      </w:pPr>
      <w:r>
        <w:rPr>
          <w:rFonts w:ascii="Courier New" w:cs="Courier New" w:eastAsia="Courier New" w:hAnsi="Courier New"/>
          <w:sz w:val="18"/>
          <w:szCs w:val="18"/>
          <w:color w:val="auto"/>
        </w:rPr>
        <w:t>IDEC PHARMACEUTICALS CORPORATION,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MDS (CANADA) INC., MDS NORDION DIVISION</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w:t>
      </w:r>
    </w:p>
    <w:p>
      <w:pPr>
        <w:jc w:val="center"/>
        <w:ind w:right="1679"/>
        <w:spacing w:after="0"/>
        <w:rPr>
          <w:sz w:val="20"/>
          <w:szCs w:val="20"/>
          <w:color w:val="auto"/>
        </w:rPr>
      </w:pPr>
      <w:r>
        <w:rPr>
          <w:rFonts w:ascii="Courier New" w:cs="Courier New" w:eastAsia="Courier New" w:hAnsi="Courier New"/>
          <w:sz w:val="18"/>
          <w:szCs w:val="18"/>
          <w:color w:val="auto"/>
        </w:rPr>
        <w:t>UNION BANK OF CALIFORNIA, NA.</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ACCEPTANCE AND SET-UP FEE:</w:t>
            </w:r>
          </w:p>
        </w:tc>
        <w:tc>
          <w:tcPr>
            <w:tcW w:w="2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[CONFIDENTIAL TREATMENT</w:t>
            </w:r>
          </w:p>
        </w:tc>
      </w:tr>
      <w:tr>
        <w:trPr>
          <w:trHeight w:val="203"/>
        </w:trPr>
        <w:tc>
          <w:tcPr>
            <w:tcW w:w="7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(DUE AND PAYABLE ON THE CLOSING DATE)</w:t>
            </w:r>
          </w:p>
        </w:tc>
        <w:tc>
          <w:tcPr>
            <w:tcW w:w="2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REQUESTED]</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ANNUAL ESCROW</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ADMINISTRATION</w:t>
            </w:r>
          </w:p>
        </w:tc>
        <w:tc>
          <w:tcPr>
            <w:tcW w:w="2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[CONFIDENTIAL TREATMENT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(FIRST YEAR'S</w:t>
            </w:r>
          </w:p>
        </w:tc>
        <w:tc>
          <w:tcPr>
            <w:tcW w:w="5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FEE IS DUE AND PAYABLE IN ADVANCE ON THE CLOSING DATE)</w:t>
            </w:r>
          </w:p>
        </w:tc>
        <w:tc>
          <w:tcPr>
            <w:tcW w:w="2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REQUESTED]</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LEGAL COUNSEL</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FEE:</w:t>
            </w:r>
          </w:p>
        </w:tc>
        <w:tc>
          <w:tcPr>
            <w:tcW w:w="2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 CHARGE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(USE OF UNION</w:t>
            </w:r>
          </w:p>
        </w:tc>
        <w:tc>
          <w:tcPr>
            <w:tcW w:w="5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BANK IN-HOUSE LEGAL COUNSEL)</w:t>
            </w:r>
          </w:p>
        </w:tc>
        <w:tc>
          <w:tcPr>
            <w:tcW w:w="2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TRANSACTIONAL</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CHARGES:</w:t>
            </w:r>
          </w:p>
        </w:tc>
        <w:tc>
          <w:tcPr>
            <w:tcW w:w="2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[CONFIDENTIAL TREATMENT</w:t>
            </w:r>
          </w:p>
        </w:tc>
      </w:tr>
      <w:tr>
        <w:trPr>
          <w:trHeight w:val="203"/>
        </w:trPr>
        <w:tc>
          <w:tcPr>
            <w:tcW w:w="732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DISBURSEMENTS/WIRES (EACH):</w:t>
            </w:r>
          </w:p>
        </w:tc>
        <w:tc>
          <w:tcPr>
            <w:tcW w:w="27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REQUESTED]</w:t>
            </w:r>
          </w:p>
        </w:tc>
      </w:tr>
      <w:tr>
        <w:trPr>
          <w:trHeight w:val="203"/>
        </w:trPr>
        <w:tc>
          <w:tcPr>
            <w:tcW w:w="732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INVESTMENTS (PER SALE/PURCHASE/TRANSFER):</w:t>
            </w:r>
          </w:p>
        </w:tc>
        <w:tc>
          <w:tcPr>
            <w:tcW w:w="270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OUT-OF-POCKET</w:t>
            </w:r>
          </w:p>
        </w:tc>
        <w:tc>
          <w:tcPr>
            <w:tcW w:w="5880" w:type="dxa"/>
            <w:vAlign w:val="bottom"/>
          </w:tcPr>
          <w:p>
            <w:pPr>
              <w:ind w:left="40"/>
              <w:spacing w:after="0"/>
              <w:rPr>
                <w:sz w:val="20"/>
                <w:szCs w:val="20"/>
                <w:color w:val="auto"/>
              </w:rPr>
            </w:pPr>
            <w:r>
              <w:rPr>
                <w:rFonts w:ascii="Courier New" w:cs="Courier New" w:eastAsia="Courier New" w:hAnsi="Courier New"/>
                <w:sz w:val="18"/>
                <w:szCs w:val="18"/>
                <w:color w:val="auto"/>
              </w:rPr>
              <w:t>EXPENSES:</w:t>
            </w:r>
          </w:p>
        </w:tc>
        <w:tc>
          <w:tcPr>
            <w:tcW w:w="2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AS INVOICED</w:t>
            </w:r>
          </w:p>
        </w:tc>
      </w:tr>
      <w:tr>
        <w:trPr>
          <w:trHeight w:val="405"/>
        </w:trPr>
        <w:tc>
          <w:tcPr>
            <w:tcW w:w="7320" w:type="dxa"/>
            <w:vAlign w:val="bottom"/>
            <w:gridSpan w:val="2"/>
          </w:tcPr>
          <w:p>
            <w:pPr>
              <w:spacing w:after="0"/>
              <w:rPr>
                <w:sz w:val="20"/>
                <w:szCs w:val="20"/>
                <w:color w:val="auto"/>
              </w:rPr>
            </w:pPr>
            <w:r>
              <w:rPr>
                <w:rFonts w:ascii="Courier New" w:cs="Courier New" w:eastAsia="Courier New" w:hAnsi="Courier New"/>
                <w:sz w:val="18"/>
                <w:szCs w:val="18"/>
                <w:color w:val="auto"/>
              </w:rPr>
              <w:t>ACCEPTED BY:________________________________</w:t>
            </w:r>
          </w:p>
        </w:tc>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rPr>
              <w:t>DATE:___________________</w:t>
            </w:r>
          </w:p>
        </w:tc>
      </w:tr>
      <w:tr>
        <w:trPr>
          <w:trHeight w:val="405"/>
        </w:trPr>
        <w:tc>
          <w:tcPr>
            <w:tcW w:w="10020" w:type="dxa"/>
            <w:vAlign w:val="bottom"/>
            <w:gridSpan w:val="3"/>
          </w:tcPr>
          <w:p>
            <w:pPr>
              <w:spacing w:after="0"/>
              <w:rPr>
                <w:sz w:val="20"/>
                <w:szCs w:val="20"/>
                <w:color w:val="auto"/>
              </w:rPr>
            </w:pPr>
            <w:r>
              <w:rPr>
                <w:rFonts w:ascii="Courier New" w:cs="Courier New" w:eastAsia="Courier New" w:hAnsi="Courier New"/>
                <w:sz w:val="18"/>
                <w:szCs w:val="18"/>
                <w:color w:val="auto"/>
              </w:rPr>
              <w:t>FEES SUBJECT TO ACCEPTANCE AND REVIEW BY UNION BANK OF CALIFORNIA, N.A.  OF ALL DOCUMENTS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PERTAINING TO</w:t>
            </w:r>
          </w:p>
        </w:tc>
        <w:tc>
          <w:tcPr>
            <w:tcW w:w="5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ISSUE.</w:t>
            </w:r>
          </w:p>
        </w:tc>
        <w:tc>
          <w:tcPr>
            <w:tcW w:w="2700" w:type="dxa"/>
            <w:vAlign w:val="bottom"/>
          </w:tcPr>
          <w:p>
            <w:pPr>
              <w:spacing w:after="0"/>
              <w:rPr>
                <w:sz w:val="17"/>
                <w:szCs w:val="17"/>
                <w:color w:val="auto"/>
              </w:rPr>
            </w:pPr>
          </w:p>
        </w:tc>
      </w:tr>
      <w:tr>
        <w:trPr>
          <w:trHeight w:val="608"/>
        </w:trPr>
        <w:tc>
          <w:tcPr>
            <w:tcW w:w="1440" w:type="dxa"/>
            <w:vAlign w:val="bottom"/>
          </w:tcPr>
          <w:p>
            <w:pPr>
              <w:spacing w:after="0"/>
              <w:rPr>
                <w:sz w:val="24"/>
                <w:szCs w:val="24"/>
                <w:color w:val="auto"/>
              </w:rPr>
            </w:pPr>
          </w:p>
        </w:tc>
        <w:tc>
          <w:tcPr>
            <w:tcW w:w="5880" w:type="dxa"/>
            <w:vAlign w:val="bottom"/>
          </w:tcPr>
          <w:p>
            <w:pPr>
              <w:ind w:left="2680"/>
              <w:spacing w:after="0"/>
              <w:rPr>
                <w:sz w:val="20"/>
                <w:szCs w:val="20"/>
                <w:color w:val="auto"/>
              </w:rPr>
            </w:pPr>
            <w:r>
              <w:rPr>
                <w:rFonts w:ascii="Courier New" w:cs="Courier New" w:eastAsia="Courier New" w:hAnsi="Courier New"/>
                <w:sz w:val="18"/>
                <w:szCs w:val="18"/>
                <w:color w:val="auto"/>
              </w:rPr>
              <w:t>26</w:t>
            </w:r>
          </w:p>
        </w:tc>
        <w:tc>
          <w:tcPr>
            <w:tcW w:w="2700" w:type="dxa"/>
            <w:vAlign w:val="bottom"/>
          </w:tcPr>
          <w:p>
            <w:pPr>
              <w:spacing w:after="0"/>
              <w:rPr>
                <w:sz w:val="24"/>
                <w:szCs w:val="24"/>
                <w:color w:val="auto"/>
              </w:rPr>
            </w:pPr>
          </w:p>
        </w:tc>
      </w:tr>
      <w:tr>
        <w:trPr>
          <w:trHeight w:val="608"/>
        </w:trPr>
        <w:tc>
          <w:tcPr>
            <w:tcW w:w="1440" w:type="dxa"/>
            <w:vAlign w:val="bottom"/>
          </w:tcPr>
          <w:p>
            <w:pPr>
              <w:spacing w:after="0"/>
              <w:rPr>
                <w:sz w:val="24"/>
                <w:szCs w:val="24"/>
                <w:color w:val="auto"/>
              </w:rPr>
            </w:pPr>
          </w:p>
        </w:tc>
        <w:tc>
          <w:tcPr>
            <w:tcW w:w="8580" w:type="dxa"/>
            <w:vAlign w:val="bottom"/>
            <w:gridSpan w:val="2"/>
          </w:tcPr>
          <w:p>
            <w:pPr>
              <w:ind w:left="3620"/>
              <w:spacing w:after="0"/>
              <w:rPr>
                <w:sz w:val="20"/>
                <w:szCs w:val="20"/>
                <w:color w:val="auto"/>
              </w:rPr>
            </w:pPr>
            <w:r>
              <w:rPr>
                <w:rFonts w:ascii="Courier New" w:cs="Courier New" w:eastAsia="Courier New" w:hAnsi="Courier New"/>
                <w:sz w:val="18"/>
                <w:szCs w:val="18"/>
                <w:color w:val="auto"/>
              </w:rPr>
              <w:t>CONFIDENTIAL TREATMENT REQUESTED</w:t>
            </w:r>
          </w:p>
        </w:tc>
      </w:tr>
      <w:tr>
        <w:trPr>
          <w:trHeight w:val="405"/>
        </w:trPr>
        <w:tc>
          <w:tcPr>
            <w:tcW w:w="1440" w:type="dxa"/>
            <w:vAlign w:val="bottom"/>
          </w:tcPr>
          <w:p>
            <w:pPr>
              <w:spacing w:after="0"/>
              <w:rPr>
                <w:sz w:val="24"/>
                <w:szCs w:val="24"/>
                <w:color w:val="auto"/>
              </w:rPr>
            </w:pPr>
          </w:p>
        </w:tc>
        <w:tc>
          <w:tcPr>
            <w:tcW w:w="5880" w:type="dxa"/>
            <w:vAlign w:val="bottom"/>
          </w:tcPr>
          <w:p>
            <w:pPr>
              <w:ind w:left="2360"/>
              <w:spacing w:after="0"/>
              <w:rPr>
                <w:sz w:val="20"/>
                <w:szCs w:val="20"/>
                <w:color w:val="auto"/>
              </w:rPr>
            </w:pPr>
            <w:r>
              <w:rPr>
                <w:rFonts w:ascii="Courier New" w:cs="Courier New" w:eastAsia="Courier New" w:hAnsi="Courier New"/>
                <w:sz w:val="18"/>
                <w:szCs w:val="18"/>
                <w:color w:val="auto"/>
              </w:rPr>
              <w:t>EXHIBIT B</w:t>
            </w:r>
          </w:p>
        </w:tc>
        <w:tc>
          <w:tcPr>
            <w:tcW w:w="270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IDEC:</w:t>
            </w:r>
          </w:p>
        </w:tc>
        <w:tc>
          <w:tcPr>
            <w:tcW w:w="588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880" w:type="dxa"/>
            <w:vAlign w:val="bottom"/>
          </w:tcPr>
          <w:p>
            <w:pPr>
              <w:ind w:left="2360"/>
              <w:spacing w:after="0"/>
              <w:rPr>
                <w:sz w:val="20"/>
                <w:szCs w:val="20"/>
                <w:color w:val="auto"/>
              </w:rPr>
            </w:pPr>
            <w:r>
              <w:rPr>
                <w:rFonts w:ascii="Courier New" w:cs="Courier New" w:eastAsia="Courier New" w:hAnsi="Courier New"/>
                <w:sz w:val="18"/>
                <w:szCs w:val="18"/>
                <w:color w:val="auto"/>
              </w:rPr>
              <w:t>Signature</w:t>
            </w:r>
          </w:p>
        </w:tc>
        <w:tc>
          <w:tcPr>
            <w:tcW w:w="2700" w:type="dxa"/>
            <w:vAlign w:val="bottom"/>
          </w:tcPr>
          <w:p>
            <w:pPr>
              <w:spacing w:after="0"/>
              <w:rPr>
                <w:sz w:val="24"/>
                <w:szCs w:val="24"/>
                <w:color w:val="auto"/>
              </w:rPr>
            </w:pPr>
          </w:p>
        </w:tc>
      </w:tr>
      <w:tr>
        <w:trPr>
          <w:trHeight w:val="405"/>
        </w:trPr>
        <w:tc>
          <w:tcPr>
            <w:tcW w:w="10020" w:type="dxa"/>
            <w:vAlign w:val="bottom"/>
            <w:gridSpan w:val="3"/>
          </w:tcPr>
          <w:p>
            <w:pPr>
              <w:spacing w:after="0"/>
              <w:rPr>
                <w:sz w:val="20"/>
                <w:szCs w:val="20"/>
                <w:color w:val="auto"/>
              </w:rPr>
            </w:pPr>
            <w:r>
              <w:rPr>
                <w:rFonts w:ascii="Courier New" w:cs="Courier New" w:eastAsia="Courier New" w:hAnsi="Courier New"/>
                <w:sz w:val="18"/>
                <w:szCs w:val="18"/>
                <w:color w:val="auto"/>
              </w:rPr>
              <w:t>- ----------------------------------------------------------------------</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5880" w:type="dxa"/>
            <w:vAlign w:val="bottom"/>
          </w:tcPr>
          <w:p>
            <w:pPr>
              <w:ind w:left="2360"/>
              <w:spacing w:after="0"/>
              <w:rPr>
                <w:sz w:val="20"/>
                <w:szCs w:val="20"/>
                <w:color w:val="auto"/>
              </w:rPr>
            </w:pPr>
            <w:r>
              <w:rPr>
                <w:rFonts w:ascii="Courier New" w:cs="Courier New" w:eastAsia="Courier New" w:hAnsi="Courier New"/>
                <w:sz w:val="18"/>
                <w:szCs w:val="18"/>
                <w:color w:val="auto"/>
              </w:rPr>
              <w:t>Signature</w:t>
            </w:r>
          </w:p>
        </w:tc>
        <w:tc>
          <w:tcPr>
            <w:tcW w:w="2700" w:type="dxa"/>
            <w:vAlign w:val="bottom"/>
          </w:tcPr>
          <w:p>
            <w:pPr>
              <w:spacing w:after="0"/>
              <w:rPr>
                <w:sz w:val="24"/>
                <w:szCs w:val="24"/>
                <w:color w:val="auto"/>
              </w:rPr>
            </w:pPr>
          </w:p>
        </w:tc>
      </w:tr>
    </w:tbl>
    <w:p>
      <w:pPr>
        <w:spacing w:after="0" w:line="201"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NORDION:</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39" w:right="1440" w:bottom="0" w:gutter="0" w:footer="0" w:header="0"/>
        </w:sectPr>
      </w:pPr>
    </w:p>
    <w:bookmarkStart w:id="66" w:name="page67"/>
    <w:bookmarkEnd w:id="66"/>
    <w:p>
      <w:pPr>
        <w:ind w:left="5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IDEC PHARMACEUTICALS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SHORT-TERM INVESTMENT POLICY</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INVESTMENT OBJECTIVES</w:t>
      </w:r>
    </w:p>
    <w:p>
      <w:pPr>
        <w:spacing w:after="0" w:line="201" w:lineRule="exact"/>
        <w:rPr>
          <w:sz w:val="20"/>
          <w:szCs w:val="20"/>
          <w:color w:val="auto"/>
        </w:rPr>
      </w:pPr>
    </w:p>
    <w:p>
      <w:pPr>
        <w:ind w:left="1060" w:hanging="525"/>
        <w:spacing w:after="0"/>
        <w:tabs>
          <w:tab w:leader="none" w:pos="106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 SHALL CONSIST OF THE FOLLOWING TYPES OF SECURITIES: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ATTACHMENT 3: IDEC PHARMACEUTICALS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SHORT-TERM INVESTMENT POLICY</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INVESTMENT OBJECTIVES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ATTACHMENT 4: [CONFIDENTIAL TREATMENT REQUESTED]</w:t>
      </w:r>
    </w:p>
    <w:p>
      <w:pPr>
        <w:spacing w:after="0" w:line="207"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4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[CONFIDENTIAL TREATMENT REQUESTED]</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ATTACHMENT 5:</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[CONFIDENTIAL TREATMENT REQUESTED]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39" w:right="1440" w:bottom="1440" w:gutter="0" w:footer="0" w:header="0"/>
        </w:sectPr>
      </w:pPr>
    </w:p>
    <w:bookmarkStart w:id="67" w:name="page68"/>
    <w:bookmarkEnd w:id="67"/>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0" w:lineRule="exact"/>
        <w:rPr>
          <w:sz w:val="20"/>
          <w:szCs w:val="20"/>
          <w:color w:val="auto"/>
        </w:rPr>
      </w:pPr>
    </w:p>
    <w:p>
      <w:pPr>
        <w:spacing w:after="0" w:line="209" w:lineRule="exact"/>
        <w:rPr>
          <w:sz w:val="20"/>
          <w:szCs w:val="20"/>
          <w:color w:val="auto"/>
        </w:rPr>
      </w:pPr>
    </w:p>
    <w:p>
      <w:pPr>
        <w:jc w:val="center"/>
        <w:ind w:left="340" w:right="1380"/>
        <w:spacing w:after="0" w:line="236" w:lineRule="auto"/>
        <w:rPr>
          <w:sz w:val="20"/>
          <w:szCs w:val="20"/>
          <w:color w:val="auto"/>
        </w:rPr>
      </w:pPr>
      <w:r>
        <w:rPr>
          <w:rFonts w:ascii="Courier New" w:cs="Courier New" w:eastAsia="Courier New" w:hAnsi="Courier New"/>
          <w:sz w:val="18"/>
          <w:szCs w:val="18"/>
          <w:color w:val="auto"/>
        </w:rPr>
        <w:t>IDEC PHARMACEUTICALS CORPORATION AND SUBSIDIARY COMPUTATION OF RATIO OF EARNINGS TO FIXED CHARGES (1) (in thousands, except ratios)</w:t>
      </w:r>
    </w:p>
    <w:p>
      <w:pPr>
        <w:spacing w:after="0" w:line="203"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Years Ended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December</w:t>
      </w:r>
    </w:p>
    <w:p>
      <w:pPr>
        <w:ind w:left="60"/>
        <w:spacing w:after="0"/>
        <w:rPr>
          <w:sz w:val="20"/>
          <w:szCs w:val="20"/>
          <w:color w:val="auto"/>
        </w:rPr>
      </w:pPr>
      <w:r>
        <w:rPr>
          <w:rFonts w:ascii="Courier New" w:cs="Courier New" w:eastAsia="Courier New" w:hAnsi="Courier New"/>
          <w:sz w:val="18"/>
          <w:szCs w:val="18"/>
          <w:color w:val="auto"/>
        </w:rPr>
        <w:t>31,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80" w:hanging="313"/>
        <w:spacing w:after="0" w:line="237" w:lineRule="auto"/>
        <w:tabs>
          <w:tab w:leader="none" w:pos="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1999 -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320" w:right="9159" w:hanging="105"/>
        <w:spacing w:after="0" w:line="268" w:lineRule="auto"/>
        <w:tabs>
          <w:tab w:leader="none" w:pos="42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w:t>
      </w:r>
    </w:p>
    <w:p>
      <w:pPr>
        <w:jc w:val="center"/>
        <w:ind w:right="8959"/>
        <w:spacing w:after="0" w:line="233" w:lineRule="auto"/>
        <w:rPr>
          <w:sz w:val="20"/>
          <w:szCs w:val="20"/>
          <w:color w:val="auto"/>
        </w:rPr>
      </w:pPr>
      <w:r>
        <w:rPr>
          <w:rFonts w:ascii="Courier New" w:cs="Courier New" w:eastAsia="Courier New" w:hAnsi="Courier New"/>
          <w:sz w:val="18"/>
          <w:szCs w:val="18"/>
          <w:color w:val="auto"/>
        </w:rPr>
        <w:t>income tax</w:t>
      </w:r>
    </w:p>
    <w:p>
      <w:pPr>
        <w:jc w:val="center"/>
        <w:ind w:right="8959"/>
        <w:spacing w:after="0"/>
        <w:rPr>
          <w:sz w:val="20"/>
          <w:szCs w:val="20"/>
          <w:color w:val="auto"/>
        </w:rPr>
      </w:pPr>
      <w:r>
        <w:rPr>
          <w:rFonts w:ascii="Courier New" w:cs="Courier New" w:eastAsia="Courier New" w:hAnsi="Courier New"/>
          <w:sz w:val="18"/>
          <w:szCs w:val="18"/>
          <w:color w:val="auto"/>
        </w:rPr>
        <w:t>provision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161,604</w:t>
      </w:r>
    </w:p>
    <w:p>
      <w:pPr>
        <w:jc w:val="center"/>
        <w:ind w:right="8959"/>
        <w:spacing w:after="0"/>
        <w:rPr>
          <w:sz w:val="20"/>
          <w:szCs w:val="20"/>
          <w:color w:val="auto"/>
        </w:rPr>
      </w:pPr>
      <w:r>
        <w:rPr>
          <w:rFonts w:ascii="Courier New" w:cs="Courier New" w:eastAsia="Courier New" w:hAnsi="Courier New"/>
          <w:sz w:val="18"/>
          <w:szCs w:val="18"/>
          <w:color w:val="auto"/>
        </w:rPr>
        <w:t>69,347</w:t>
      </w:r>
    </w:p>
    <w:p>
      <w:pPr>
        <w:jc w:val="center"/>
        <w:ind w:right="8959"/>
        <w:spacing w:after="0" w:line="237" w:lineRule="auto"/>
        <w:rPr>
          <w:sz w:val="20"/>
          <w:szCs w:val="20"/>
          <w:color w:val="auto"/>
        </w:rPr>
      </w:pPr>
      <w:r>
        <w:rPr>
          <w:rFonts w:ascii="Courier New" w:cs="Courier New" w:eastAsia="Courier New" w:hAnsi="Courier New"/>
          <w:sz w:val="18"/>
          <w:szCs w:val="18"/>
          <w:color w:val="auto"/>
        </w:rPr>
        <w:t>45,606</w:t>
      </w:r>
    </w:p>
    <w:p>
      <w:pPr>
        <w:jc w:val="center"/>
        <w:ind w:right="8959"/>
        <w:spacing w:after="0"/>
        <w:rPr>
          <w:sz w:val="20"/>
          <w:szCs w:val="20"/>
          <w:color w:val="auto"/>
        </w:rPr>
      </w:pPr>
      <w:r>
        <w:rPr>
          <w:rFonts w:ascii="Courier New" w:cs="Courier New" w:eastAsia="Courier New" w:hAnsi="Courier New"/>
          <w:sz w:val="18"/>
          <w:szCs w:val="18"/>
          <w:color w:val="auto"/>
        </w:rPr>
        <w:t>Fixed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959"/>
        <w:spacing w:after="0"/>
        <w:rPr>
          <w:sz w:val="20"/>
          <w:szCs w:val="20"/>
          <w:color w:val="auto"/>
        </w:rPr>
      </w:pPr>
      <w:r>
        <w:rPr>
          <w:rFonts w:ascii="Courier New" w:cs="Courier New" w:eastAsia="Courier New" w:hAnsi="Courier New"/>
          <w:sz w:val="18"/>
          <w:szCs w:val="18"/>
          <w:color w:val="auto"/>
        </w:rPr>
        <w:t>expense and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original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issue</w:t>
      </w:r>
    </w:p>
    <w:p>
      <w:pPr>
        <w:jc w:val="center"/>
        <w:ind w:right="8959"/>
        <w:spacing w:after="0"/>
        <w:rPr>
          <w:sz w:val="20"/>
          <w:szCs w:val="20"/>
          <w:color w:val="auto"/>
        </w:rPr>
      </w:pPr>
      <w:r>
        <w:rPr>
          <w:rFonts w:ascii="Courier New" w:cs="Courier New" w:eastAsia="Courier New" w:hAnsi="Courier New"/>
          <w:sz w:val="18"/>
          <w:szCs w:val="18"/>
          <w:color w:val="auto"/>
        </w:rPr>
        <w:t>discount 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all</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indebtedness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7,304 7,053</w:t>
      </w:r>
    </w:p>
    <w:p>
      <w:pPr>
        <w:jc w:val="center"/>
        <w:ind w:right="8959"/>
        <w:spacing w:after="0" w:line="238" w:lineRule="auto"/>
        <w:rPr>
          <w:sz w:val="20"/>
          <w:szCs w:val="20"/>
          <w:color w:val="auto"/>
        </w:rPr>
      </w:pPr>
      <w:r>
        <w:rPr>
          <w:rFonts w:ascii="Courier New" w:cs="Courier New" w:eastAsia="Courier New" w:hAnsi="Courier New"/>
          <w:sz w:val="18"/>
          <w:szCs w:val="18"/>
          <w:color w:val="auto"/>
        </w:rPr>
        <w:t>6,058</w:t>
      </w:r>
    </w:p>
    <w:p>
      <w:pPr>
        <w:jc w:val="center"/>
        <w:ind w:right="8959"/>
        <w:spacing w:after="0"/>
        <w:rPr>
          <w:sz w:val="20"/>
          <w:szCs w:val="20"/>
          <w:color w:val="auto"/>
        </w:rPr>
      </w:pPr>
      <w:r>
        <w:rPr>
          <w:rFonts w:ascii="Courier New" w:cs="Courier New" w:eastAsia="Courier New" w:hAnsi="Courier New"/>
          <w:sz w:val="18"/>
          <w:szCs w:val="18"/>
          <w:color w:val="auto"/>
        </w:rPr>
        <w:t>Interest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included 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rent</w:t>
      </w:r>
    </w:p>
    <w:p>
      <w:pPr>
        <w:jc w:val="center"/>
        <w:ind w:right="8959"/>
        <w:spacing w:after="0"/>
        <w:rPr>
          <w:sz w:val="20"/>
          <w:szCs w:val="20"/>
          <w:color w:val="auto"/>
        </w:rPr>
      </w:pPr>
      <w:r>
        <w:rPr>
          <w:rFonts w:ascii="Courier New" w:cs="Courier New" w:eastAsia="Courier New" w:hAnsi="Courier New"/>
          <w:sz w:val="18"/>
          <w:szCs w:val="18"/>
          <w:color w:val="auto"/>
        </w:rPr>
        <w:t>expense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1,120 889</w:t>
      </w:r>
    </w:p>
    <w:p>
      <w:pPr>
        <w:ind w:left="480" w:hanging="423"/>
        <w:spacing w:after="0"/>
        <w:tabs>
          <w:tab w:leader="none" w:pos="4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8,424 7,942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6,690 -----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00" w:right="905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before income tax provision and fixed charges 170,028 77,289 52,296</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to</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20.18 9.73</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7.82</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earnings to fixed charges was computed by dividing earnings (income before income tax provision, adjusted for fixed charges) by fixed charges for the periods indicated. Fixed charges include (i) interest expense and amortization of original issue discount on all indebtedness and (ii) a reasonable approximation of the interest factor deemed to be included in rental expense.</w:t>
      </w:r>
    </w:p>
    <w:p>
      <w:pPr>
        <w:sectPr>
          <w:pgSz w:w="11900" w:h="16838" w:orient="portrait"/>
          <w:cols w:equalWidth="0" w:num="1">
            <w:col w:w="10219"/>
          </w:cols>
          <w:pgMar w:left="240" w:top="744" w:right="1440" w:bottom="135" w:gutter="0" w:footer="0" w:header="0"/>
        </w:sectPr>
      </w:pPr>
    </w:p>
    <w:bookmarkStart w:id="68" w:name="page69"/>
    <w:bookmarkEnd w:id="68"/>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INDEPENDENT AUDITORS' REPORT ON SCHEDULE AND CONSENT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IDEC Pharmaceuticals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audits referred to in our report dated January 28, 2002, included the related consolidated financial statement schedule as of December 31, 2001, and for each of the years in the three-year period ended December 31, 2001, included in the 2001 Annual Report on Form 10-K. This consolidated financial statement schedule is the responsibility of the Company's management. Our responsibility is to express an opinion on this consolidated financial statement schedule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consent to incorporation by reference in registration statements (Nos. 333-65494, 333-47904 and 333-81625) on Forms S-8 and in the registration statements (No. 333-85339) on Form S-3 of IDEC Pharmaceuticals Corporation of our report dated January 28, 2002, relating to the consolidated balance sheets of IDEC Pharmaceuticals Corporation and subsidiary as of December 31, 2001 and 2000, and the related consolidated statements of operations, stockholders' equity and cash flows for each of the years in the three-year period ended December 31, 2001, and our report on the related financial statement schedule, which reports appears in the 2001 Annual Report on Form 10-K of IDEC Pharmaceuticals Corporation.</w:t>
      </w:r>
    </w:p>
    <w:p>
      <w:pPr>
        <w:spacing w:after="0" w:line="20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March 28, 2002</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upperLetter"/>
      <w:start w:val="6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1)"/>
      <w:numFmt w:val="lowerLetter"/>
      <w:start w:val="3"/>
    </w:lvl>
  </w:abstractNum>
  <w:abstractNum w:abstractNumId="23">
    <w:nsid w:val="2CD89A32"/>
    <w:multiLevelType w:val="hybridMultilevel"/>
    <w:lvl w:ilvl="0">
      <w:lvlJc w:val="left"/>
      <w:lvlText w:val="(%1)"/>
      <w:numFmt w:val="lowerLetter"/>
      <w:start w:val="4"/>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2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1)"/>
      <w:numFmt w:val="decimal"/>
      <w:start w:val="28"/>
    </w:lvl>
  </w:abstractNum>
  <w:abstractNum w:abstractNumId="41">
    <w:nsid w:val="520EEDD1"/>
    <w:multiLevelType w:val="hybridMultilevel"/>
    <w:lvl w:ilvl="0">
      <w:lvlJc w:val="left"/>
      <w:lvlText w:val="%1."/>
      <w:numFmt w:val="lowerLetter"/>
      <w:start w:val="2"/>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lowerRoman"/>
      <w:start w:val="1"/>
    </w:lvl>
  </w:abstractNum>
  <w:abstractNum w:abstractNumId="44">
    <w:nsid w:val="23F9C13C"/>
    <w:multiLevelType w:val="hybridMultilevel"/>
    <w:lvl w:ilvl="0">
      <w:lvlJc w:val="left"/>
      <w:lvlText w:val="(%1)"/>
      <w:numFmt w:val="lowerRoman"/>
      <w:start w:val="2"/>
    </w:lvl>
  </w:abstractNum>
  <w:abstractNum w:abstractNumId="45">
    <w:nsid w:val="649BB77C"/>
    <w:multiLevelType w:val="hybridMultilevel"/>
    <w:lvl w:ilvl="0">
      <w:lvlJc w:val="left"/>
      <w:lvlText w:val="%1."/>
      <w:numFmt w:val="decimal"/>
      <w:start w:val="2"/>
    </w:lvl>
    <w:lvl w:ilvl="1">
      <w:lvlJc w:val="left"/>
      <w:lvlText w:val="(%2)"/>
      <w:numFmt w:val="lowerRoman"/>
      <w:start w:val="2"/>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decimal"/>
      <w:start w:val="3"/>
    </w:lvl>
  </w:abstractNum>
  <w:abstractNum w:abstractNumId="48">
    <w:nsid w:val="1CF10FD8"/>
    <w:multiLevelType w:val="hybridMultilevel"/>
    <w:lvl w:ilvl="0">
      <w:lvlJc w:val="left"/>
      <w:lvlText w:val="%1."/>
      <w:numFmt w:val="decimal"/>
      <w:start w:val="4"/>
    </w:lvl>
  </w:abstractNum>
  <w:abstractNum w:abstractNumId="49">
    <w:nsid w:val="180115BE"/>
    <w:multiLevelType w:val="hybridMultilevel"/>
    <w:lvl w:ilvl="0">
      <w:lvlJc w:val="left"/>
      <w:lvlText w:val="%1."/>
      <w:numFmt w:val="decimal"/>
      <w:start w:val="5"/>
    </w:lvl>
  </w:abstractNum>
  <w:abstractNum w:abstractNumId="50">
    <w:nsid w:val="235BA861"/>
    <w:multiLevelType w:val="hybridMultilevel"/>
    <w:lvl w:ilvl="0">
      <w:lvlJc w:val="left"/>
      <w:lvlText w:val="(%1)"/>
      <w:numFmt w:val="lowerLetter"/>
      <w:start w:val="9"/>
    </w:lvl>
    <w:lvl w:ilvl="1">
      <w:lvlJc w:val="left"/>
      <w:lvlText w:val="(%2)"/>
      <w:numFmt w:val="lowerLetter"/>
      <w:start w:val="1"/>
    </w:lvl>
  </w:abstractNum>
  <w:abstractNum w:abstractNumId="51">
    <w:nsid w:val="47398C89"/>
    <w:multiLevelType w:val="hybridMultilevel"/>
    <w:lvl w:ilvl="0">
      <w:lvlJc w:val="left"/>
      <w:lvlText w:val="(%1)"/>
      <w:numFmt w:val="lowerRoman"/>
      <w:start w:val="2"/>
    </w:lvl>
  </w:abstractNum>
  <w:abstractNum w:abstractNumId="52">
    <w:nsid w:val="354FE9F9"/>
    <w:multiLevelType w:val="hybridMultilevel"/>
    <w:lvl w:ilvl="0">
      <w:lvlJc w:val="left"/>
      <w:lvlText w:val="(%1)"/>
      <w:numFmt w:val="lowerLetter"/>
      <w:start w:val="3"/>
    </w:lvl>
  </w:abstractNum>
  <w:abstractNum w:abstractNumId="53">
    <w:nsid w:val="15B5AF5C"/>
    <w:multiLevelType w:val="hybridMultilevel"/>
    <w:lvl w:ilvl="0">
      <w:lvlJc w:val="left"/>
      <w:lvlText w:val="%1."/>
      <w:numFmt w:val="decimal"/>
      <w:start w:val="6"/>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7"/>
    </w:lvl>
  </w:abstractNum>
  <w:abstractNum w:abstractNumId="56">
    <w:nsid w:val="10233C99"/>
    <w:multiLevelType w:val="hybridMultilevel"/>
    <w:lvl w:ilvl="0">
      <w:lvlJc w:val="left"/>
      <w:lvlText w:val="(%1)"/>
      <w:numFmt w:val="lowerRoman"/>
      <w:start w:val="1"/>
    </w:lvl>
  </w:abstractNum>
  <w:abstractNum w:abstractNumId="57">
    <w:nsid w:val="3F6AB60F"/>
    <w:multiLevelType w:val="hybridMultilevel"/>
    <w:lvl w:ilvl="0">
      <w:lvlJc w:val="left"/>
      <w:lvlText w:val="%1."/>
      <w:numFmt w:val="decimal"/>
      <w:start w:val="8"/>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upperLetter"/>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lvl w:ilvl="1">
      <w:lvlJc w:val="left"/>
      <w:lvlText w:val="--"/>
      <w:numFmt w:val="bullet"/>
      <w:start w:val="1"/>
    </w:lvl>
  </w:abstractNum>
  <w:abstractNum w:abstractNumId="63">
    <w:nsid w:val="5FF87E05"/>
    <w:multiLevelType w:val="hybridMultilevel"/>
    <w:lvl w:ilvl="0">
      <w:lvlJc w:val="left"/>
      <w:lvlText w:val="%1"/>
      <w:numFmt w:val="decimal"/>
      <w:start w:val="1"/>
    </w:lvl>
    <w:lvl w:ilvl="1">
      <w:lvlJc w:val="left"/>
      <w:lvlText w:val="%2"/>
      <w:numFmt w:val="decimal"/>
      <w:start w:val="632"/>
    </w:lvl>
  </w:abstractNum>
  <w:abstractNum w:abstractNumId="64">
    <w:nsid w:val="2F305DEF"/>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2019-12-20T00:39:16Z</dcterms:created>
  <dcterms:modified xsi:type="dcterms:W3CDTF">2019-12-20T00:39:16Z</dcterms:modified>
</cp:coreProperties>
</file>