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 xml:space="preserve">Date of Report (Date of earliest event reported): </w:t>
      </w:r>
      <w:r>
        <w:rPr>
          <w:rFonts w:ascii="Arial" w:cs="Arial" w:eastAsia="Arial" w:hAnsi="Arial"/>
          <w:sz w:val="21"/>
          <w:szCs w:val="21"/>
          <w:b w:val="1"/>
          <w:bCs w:val="1"/>
          <w:color w:val="auto"/>
        </w:rPr>
        <w:t>October 28, 2026</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BIOGEN INC.</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40"/>
          </w:cols>
          <w:pgMar w:left="320" w:top="958" w:right="339" w:bottom="1440" w:gutter="0" w:footer="0" w:header="0"/>
        </w:sectPr>
      </w:pPr>
    </w:p>
    <w:p>
      <w:pPr>
        <w:spacing w:after="0" w:line="112" w:lineRule="exact"/>
        <w:rPr>
          <w:sz w:val="24"/>
          <w:szCs w:val="24"/>
          <w:color w:val="auto"/>
        </w:rPr>
      </w:pPr>
    </w:p>
    <w:p>
      <w:pPr>
        <w:ind w:left="19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0-19311</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33-0112644</w:t>
      </w:r>
    </w:p>
    <w:p>
      <w:pPr>
        <w:spacing w:after="0" w:line="54" w:lineRule="exact"/>
        <w:rPr>
          <w:sz w:val="24"/>
          <w:szCs w:val="24"/>
          <w:color w:val="auto"/>
        </w:rPr>
      </w:pPr>
    </w:p>
    <w:p>
      <w:pPr>
        <w:sectPr>
          <w:pgSz w:w="11900" w:h="16838" w:orient="portrait"/>
          <w:cols w:equalWidth="0" w:num="3">
            <w:col w:w="4980" w:space="720"/>
            <w:col w:w="2420" w:space="720"/>
            <w:col w:w="2400"/>
          </w:cols>
          <w:pgMar w:left="320" w:top="958" w:right="339" w:bottom="1440" w:gutter="0" w:footer="0" w:header="0"/>
          <w:type w:val="continuous"/>
        </w:sectPr>
      </w:pPr>
    </w:p>
    <w:p>
      <w:pPr>
        <w:ind w:left="1040"/>
        <w:spacing w:after="0"/>
        <w:rPr>
          <w:sz w:val="20"/>
          <w:szCs w:val="20"/>
          <w:color w:val="auto"/>
        </w:rPr>
      </w:pPr>
      <w:r>
        <w:rPr>
          <w:rFonts w:ascii="Arial" w:cs="Arial" w:eastAsia="Arial" w:hAnsi="Arial"/>
          <w:sz w:val="13"/>
          <w:szCs w:val="13"/>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740"/>
        <w:spacing w:after="0"/>
        <w:rPr>
          <w:sz w:val="20"/>
          <w:szCs w:val="20"/>
          <w:color w:val="auto"/>
        </w:rPr>
      </w:pPr>
      <w:r>
        <w:rPr>
          <w:rFonts w:ascii="Arial" w:cs="Arial" w:eastAsia="Arial" w:hAnsi="Arial"/>
          <w:sz w:val="13"/>
          <w:szCs w:val="13"/>
          <w:i w:val="1"/>
          <w:i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No.)</w:t>
      </w:r>
    </w:p>
    <w:p>
      <w:pPr>
        <w:spacing w:after="0" w:line="200" w:lineRule="exact"/>
        <w:rPr>
          <w:sz w:val="24"/>
          <w:szCs w:val="24"/>
          <w:color w:val="auto"/>
        </w:rPr>
      </w:pPr>
    </w:p>
    <w:p>
      <w:pPr>
        <w:sectPr>
          <w:pgSz w:w="11900" w:h="16838" w:orient="portrait"/>
          <w:cols w:equalWidth="0" w:num="3">
            <w:col w:w="4460" w:space="720"/>
            <w:col w:w="2380" w:space="720"/>
            <w:col w:w="2960"/>
          </w:cols>
          <w:pgMar w:left="320" w:top="958" w:right="339" w:bottom="1440" w:gutter="0" w:footer="0" w:header="0"/>
          <w:type w:val="continuous"/>
        </w:sectPr>
      </w:pP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225 Binney Street, Cambridge, Massachusetts 02142</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(617) 679-2000</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5" w:lineRule="exact"/>
        <w:rPr>
          <w:sz w:val="24"/>
          <w:szCs w:val="24"/>
          <w:color w:val="auto"/>
        </w:rPr>
      </w:pPr>
    </w:p>
    <w:p>
      <w:pPr>
        <w:ind w:right="320"/>
        <w:spacing w:after="0" w:line="291"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212" w:lineRule="exact"/>
        <w:rPr>
          <w:sz w:val="24"/>
          <w:szCs w:val="24"/>
          <w:color w:val="auto"/>
        </w:rPr>
      </w:pPr>
    </w:p>
    <w:p>
      <w:pPr>
        <w:ind w:left="360" w:hanging="357"/>
        <w:spacing w:after="0"/>
        <w:tabs>
          <w:tab w:leader="none" w:pos="36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Written communications pursuant to Rule 425 under the Securities Act (17 CFR 230.425)</w:t>
      </w:r>
    </w:p>
    <w:p>
      <w:pPr>
        <w:spacing w:after="0" w:line="45" w:lineRule="exact"/>
        <w:rPr>
          <w:rFonts w:ascii="MS PGothic" w:cs="MS PGothic" w:eastAsia="MS PGothic" w:hAnsi="MS PGothic"/>
          <w:sz w:val="21"/>
          <w:szCs w:val="21"/>
          <w:color w:val="auto"/>
        </w:rPr>
      </w:pPr>
    </w:p>
    <w:p>
      <w:pPr>
        <w:ind w:left="360" w:hanging="357"/>
        <w:spacing w:after="0" w:line="232" w:lineRule="auto"/>
        <w:tabs>
          <w:tab w:leader="none" w:pos="36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Soliciting material pursuant to Rule 14a-12 under the Exchange Act (17 CFR 240.14a-12)</w:t>
      </w:r>
    </w:p>
    <w:p>
      <w:pPr>
        <w:spacing w:after="0" w:line="36" w:lineRule="exact"/>
        <w:rPr>
          <w:rFonts w:ascii="MS PGothic" w:cs="MS PGothic" w:eastAsia="MS PGothic" w:hAnsi="MS PGothic"/>
          <w:sz w:val="21"/>
          <w:szCs w:val="21"/>
          <w:color w:val="auto"/>
        </w:rPr>
      </w:pPr>
    </w:p>
    <w:p>
      <w:pPr>
        <w:ind w:left="360" w:hanging="357"/>
        <w:spacing w:after="0" w:line="232" w:lineRule="auto"/>
        <w:tabs>
          <w:tab w:leader="none" w:pos="36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Pre-commencement communications pursuant to Rule 14d-2(b) under the Exchange Act (17 CFR 240.14d-2(b))</w:t>
      </w:r>
    </w:p>
    <w:p>
      <w:pPr>
        <w:spacing w:after="0" w:line="40" w:lineRule="exact"/>
        <w:rPr>
          <w:rFonts w:ascii="MS PGothic" w:cs="MS PGothic" w:eastAsia="MS PGothic" w:hAnsi="MS PGothic"/>
          <w:sz w:val="21"/>
          <w:szCs w:val="21"/>
          <w:color w:val="auto"/>
        </w:rPr>
      </w:pPr>
    </w:p>
    <w:p>
      <w:pPr>
        <w:ind w:left="360" w:hanging="357"/>
        <w:spacing w:after="0"/>
        <w:tabs>
          <w:tab w:leader="none" w:pos="36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Pre-commencement communications pursuant to Rule 13e-4(c) under the Exchange Act (17 CFR 240.13e-4(c))</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37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Title of each class</w:t>
            </w:r>
          </w:p>
        </w:tc>
        <w:tc>
          <w:tcPr>
            <w:tcW w:w="37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Trading Symbol(s)</w:t>
            </w:r>
          </w:p>
        </w:tc>
        <w:tc>
          <w:tcPr>
            <w:tcW w:w="3680" w:type="dxa"/>
            <w:vAlign w:val="bottom"/>
          </w:tcPr>
          <w:p>
            <w:pPr>
              <w:ind w:left="460"/>
              <w:spacing w:after="0"/>
              <w:rPr>
                <w:sz w:val="20"/>
                <w:szCs w:val="20"/>
                <w:color w:val="auto"/>
              </w:rPr>
            </w:pPr>
            <w:r>
              <w:rPr>
                <w:rFonts w:ascii="Arial" w:cs="Arial" w:eastAsia="Arial" w:hAnsi="Arial"/>
                <w:sz w:val="14"/>
                <w:szCs w:val="14"/>
                <w:color w:val="auto"/>
              </w:rPr>
              <w:t>Name of each exchange on which registered</w:t>
            </w:r>
          </w:p>
        </w:tc>
      </w:tr>
      <w:tr>
        <w:trPr>
          <w:trHeight w:val="235"/>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Common Stock, $0.0005 par value</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BIIB</w:t>
            </w:r>
          </w:p>
        </w:tc>
        <w:tc>
          <w:tcPr>
            <w:tcW w:w="100" w:type="dxa"/>
            <w:vAlign w:val="bottom"/>
          </w:tcPr>
          <w:p>
            <w:pPr>
              <w:spacing w:after="0"/>
              <w:rPr>
                <w:sz w:val="20"/>
                <w:szCs w:val="20"/>
                <w:color w:val="auto"/>
              </w:rPr>
            </w:pPr>
          </w:p>
        </w:tc>
        <w:tc>
          <w:tcPr>
            <w:tcW w:w="3680" w:type="dxa"/>
            <w:vAlign w:val="bottom"/>
            <w:tcBorders>
              <w:top w:val="single" w:sz="8" w:color="auto"/>
            </w:tcBorders>
          </w:tcPr>
          <w:p>
            <w:pPr>
              <w:ind w:left="460"/>
              <w:spacing w:after="0"/>
              <w:rPr>
                <w:sz w:val="20"/>
                <w:szCs w:val="20"/>
                <w:color w:val="auto"/>
              </w:rPr>
            </w:pPr>
            <w:r>
              <w:rPr>
                <w:rFonts w:ascii="Arial" w:cs="Arial" w:eastAsia="Arial" w:hAnsi="Arial"/>
                <w:sz w:val="17"/>
                <w:szCs w:val="17"/>
                <w:b w:val="1"/>
                <w:bCs w:val="1"/>
                <w:color w:val="auto"/>
              </w:rPr>
              <w:t>The Nasdaq Global Select Market</w:t>
            </w:r>
          </w:p>
        </w:tc>
      </w:tr>
    </w:tbl>
    <w:p>
      <w:pPr>
        <w:spacing w:after="0" w:line="288" w:lineRule="exact"/>
        <w:rPr>
          <w:sz w:val="24"/>
          <w:szCs w:val="24"/>
          <w:color w:val="auto"/>
        </w:rPr>
      </w:pPr>
    </w:p>
    <w:p>
      <w:pPr>
        <w:ind w:right="280"/>
        <w:spacing w:after="0" w:line="291"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2" w:lineRule="exact"/>
        <w:rPr>
          <w:sz w:val="24"/>
          <w:szCs w:val="24"/>
          <w:color w:val="auto"/>
        </w:rPr>
      </w:pPr>
    </w:p>
    <w:p>
      <w:pPr>
        <w:ind w:left="360" w:hanging="357"/>
        <w:spacing w:after="0"/>
        <w:tabs>
          <w:tab w:leader="none" w:pos="360" w:val="left"/>
        </w:tabs>
        <w:numPr>
          <w:ilvl w:val="0"/>
          <w:numId w:val="2"/>
        </w:numPr>
        <w:rPr>
          <w:rFonts w:ascii="MS PGothic" w:cs="MS PGothic" w:eastAsia="MS PGothic" w:hAnsi="MS PGothic"/>
          <w:sz w:val="21"/>
          <w:szCs w:val="21"/>
          <w:color w:val="auto"/>
        </w:rPr>
      </w:pPr>
      <w:r>
        <w:rPr>
          <w:rFonts w:ascii="Arial" w:cs="Arial" w:eastAsia="Arial" w:hAnsi="Arial"/>
          <w:sz w:val="17"/>
          <w:szCs w:val="17"/>
          <w:color w:val="auto"/>
        </w:rPr>
        <w:t>Emerging growth company</w:t>
      </w:r>
    </w:p>
    <w:p>
      <w:pPr>
        <w:spacing w:after="0" w:line="223" w:lineRule="exact"/>
        <w:rPr>
          <w:sz w:val="24"/>
          <w:szCs w:val="24"/>
          <w:color w:val="auto"/>
        </w:rPr>
      </w:pPr>
    </w:p>
    <w:p>
      <w:pPr>
        <w:ind w:right="320"/>
        <w:spacing w:after="0" w:line="25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643255</wp:posOffset>
            </wp:positionV>
            <wp:extent cx="716343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type w:val="continuous"/>
        </w:sectPr>
      </w:pPr>
    </w:p>
    <w:bookmarkStart w:id="1" w:name="page2"/>
    <w:bookmarkEnd w:id="1"/>
    <w:p>
      <w:pPr>
        <w:spacing w:after="0"/>
        <w:tabs>
          <w:tab w:leader="none" w:pos="1100" w:val="left"/>
        </w:tabs>
        <w:rPr>
          <w:sz w:val="20"/>
          <w:szCs w:val="20"/>
          <w:color w:val="auto"/>
        </w:rPr>
      </w:pPr>
      <w:r>
        <w:rPr>
          <w:rFonts w:ascii="Arial" w:cs="Arial" w:eastAsia="Arial" w:hAnsi="Arial"/>
          <w:sz w:val="21"/>
          <w:szCs w:val="21"/>
          <w:b w:val="1"/>
          <w:bCs w:val="1"/>
          <w:color w:val="1C5A7D"/>
        </w:rPr>
        <w:t>Item 2.02</w:t>
      </w:r>
      <w:r>
        <w:rPr>
          <w:sz w:val="20"/>
          <w:szCs w:val="20"/>
          <w:color w:val="auto"/>
        </w:rPr>
        <w:tab/>
      </w:r>
      <w:r>
        <w:rPr>
          <w:rFonts w:ascii="Arial" w:cs="Arial" w:eastAsia="Arial" w:hAnsi="Arial"/>
          <w:sz w:val="20"/>
          <w:szCs w:val="20"/>
          <w:b w:val="1"/>
          <w:bCs w:val="1"/>
          <w:color w:val="1C5A7D"/>
        </w:rPr>
        <w:t>Results of Operations and Financial Condition.</w:t>
      </w:r>
    </w:p>
    <w:p>
      <w:pPr>
        <w:spacing w:after="0" w:line="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28, 2026, Biogen Inc. issued a press release announcing its results of operations and financial condition for the third quarter ended September 30, 2026. A copy of the press release is furnished as Exhibit 99.1 and is incorporated herein by reference.</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press release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w:t>
      </w:r>
    </w:p>
    <w:p>
      <w:pPr>
        <w:spacing w:after="0" w:line="206"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b w:val="1"/>
          <w:bCs w:val="1"/>
          <w:color w:val="1C5A7D"/>
        </w:rPr>
        <w:t>Item 9.01</w:t>
      </w:r>
      <w:r>
        <w:rPr>
          <w:sz w:val="20"/>
          <w:szCs w:val="20"/>
          <w:color w:val="auto"/>
        </w:rPr>
        <w:tab/>
      </w:r>
      <w:r>
        <w:rPr>
          <w:rFonts w:ascii="Arial" w:cs="Arial" w:eastAsia="Arial" w:hAnsi="Arial"/>
          <w:sz w:val="20"/>
          <w:szCs w:val="20"/>
          <w:b w:val="1"/>
          <w:bCs w:val="1"/>
          <w:color w:val="1C5A7D"/>
        </w:rPr>
        <w:t>Financial Statements and Exhibits.</w:t>
      </w:r>
    </w:p>
    <w:p>
      <w:pPr>
        <w:spacing w:after="0" w:line="232" w:lineRule="exact"/>
        <w:rPr>
          <w:sz w:val="20"/>
          <w:szCs w:val="20"/>
          <w:color w:val="auto"/>
        </w:rPr>
      </w:pPr>
    </w:p>
    <w:p>
      <w:pPr>
        <w:ind w:left="420" w:hanging="417"/>
        <w:spacing w:after="0"/>
        <w:tabs>
          <w:tab w:leader="none" w:pos="4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Exhibits</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exhibits listed below are furnished as part of this Current Report on Form 8-K.</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Pr>
          <w:p>
            <w:pPr>
              <w:spacing w:after="0"/>
              <w:rPr>
                <w:sz w:val="16"/>
                <w:szCs w:val="16"/>
                <w:color w:val="auto"/>
              </w:rPr>
            </w:pPr>
          </w:p>
        </w:tc>
        <w:tc>
          <w:tcPr>
            <w:tcW w:w="840" w:type="dxa"/>
            <w:vAlign w:val="bottom"/>
          </w:tcPr>
          <w:p>
            <w:pPr>
              <w:spacing w:after="0"/>
              <w:rPr>
                <w:sz w:val="20"/>
                <w:szCs w:val="20"/>
                <w:color w:val="auto"/>
              </w:rPr>
            </w:pPr>
            <w:r>
              <w:rPr>
                <w:rFonts w:ascii="Arial" w:cs="Arial" w:eastAsia="Arial" w:hAnsi="Arial"/>
                <w:sz w:val="17"/>
                <w:szCs w:val="17"/>
                <w:color w:val="auto"/>
                <w:w w:val="99"/>
              </w:rPr>
              <w:t>Exhibit No.</w:t>
            </w:r>
          </w:p>
        </w:tc>
        <w:tc>
          <w:tcPr>
            <w:tcW w:w="1340" w:type="dxa"/>
            <w:vAlign w:val="bottom"/>
          </w:tcPr>
          <w:p>
            <w:pPr>
              <w:spacing w:after="0"/>
              <w:rPr>
                <w:sz w:val="16"/>
                <w:szCs w:val="16"/>
                <w:color w:val="auto"/>
              </w:rPr>
            </w:pPr>
          </w:p>
        </w:tc>
        <w:tc>
          <w:tcPr>
            <w:tcW w:w="8420" w:type="dxa"/>
            <w:vAlign w:val="bottom"/>
            <w:gridSpan w:val="3"/>
          </w:tcPr>
          <w:p>
            <w:pPr>
              <w:spacing w:after="0"/>
              <w:rPr>
                <w:sz w:val="20"/>
                <w:szCs w:val="20"/>
                <w:color w:val="auto"/>
              </w:rPr>
            </w:pPr>
            <w:r>
              <w:rPr>
                <w:rFonts w:ascii="Arial" w:cs="Arial" w:eastAsia="Arial" w:hAnsi="Arial"/>
                <w:sz w:val="17"/>
                <w:szCs w:val="17"/>
                <w:color w:val="auto"/>
              </w:rPr>
              <w:t>Description</w:t>
            </w:r>
          </w:p>
        </w:tc>
      </w:tr>
      <w:tr>
        <w:trPr>
          <w:trHeight w:val="20"/>
        </w:trPr>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200"/>
        </w:trPr>
        <w:tc>
          <w:tcPr>
            <w:tcW w:w="64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99.1</w:t>
            </w:r>
          </w:p>
        </w:tc>
        <w:tc>
          <w:tcPr>
            <w:tcW w:w="1340" w:type="dxa"/>
            <w:vAlign w:val="bottom"/>
          </w:tcPr>
          <w:p>
            <w:pPr>
              <w:spacing w:after="0"/>
              <w:rPr>
                <w:sz w:val="17"/>
                <w:szCs w:val="17"/>
                <w:color w:val="auto"/>
              </w:rPr>
            </w:pPr>
          </w:p>
        </w:tc>
        <w:tc>
          <w:tcPr>
            <w:tcW w:w="8420" w:type="dxa"/>
            <w:vAlign w:val="bottom"/>
            <w:gridSpan w:val="3"/>
          </w:tcPr>
          <w:p>
            <w:pPr>
              <w:spacing w:after="0"/>
              <w:rPr>
                <w:sz w:val="20"/>
                <w:szCs w:val="20"/>
                <w:color w:val="auto"/>
              </w:rPr>
            </w:pPr>
            <w:r>
              <w:rPr>
                <w:rFonts w:ascii="Arial" w:cs="Arial" w:eastAsia="Arial" w:hAnsi="Arial"/>
                <w:sz w:val="17"/>
                <w:szCs w:val="17"/>
                <w:color w:val="0000FF"/>
              </w:rPr>
              <w:t>Biogen's press release dated October 28, 2026</w:t>
            </w:r>
          </w:p>
        </w:tc>
      </w:tr>
      <w:tr>
        <w:trPr>
          <w:trHeight w:val="20"/>
        </w:trPr>
        <w:tc>
          <w:tcPr>
            <w:tcW w:w="14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241"/>
        </w:trPr>
        <w:tc>
          <w:tcPr>
            <w:tcW w:w="1480" w:type="dxa"/>
            <w:vAlign w:val="bottom"/>
            <w:gridSpan w:val="2"/>
          </w:tcPr>
          <w:p>
            <w:pPr>
              <w:ind w:left="640"/>
              <w:spacing w:after="0"/>
              <w:rPr>
                <w:sz w:val="20"/>
                <w:szCs w:val="20"/>
                <w:color w:val="auto"/>
              </w:rPr>
            </w:pPr>
            <w:r>
              <w:rPr>
                <w:rFonts w:ascii="Arial" w:cs="Arial" w:eastAsia="Arial" w:hAnsi="Arial"/>
                <w:sz w:val="17"/>
                <w:szCs w:val="17"/>
                <w:color w:val="auto"/>
              </w:rPr>
              <w:t>104</w:t>
            </w:r>
          </w:p>
        </w:tc>
        <w:tc>
          <w:tcPr>
            <w:tcW w:w="134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r>
      <w:tr>
        <w:trPr>
          <w:trHeight w:val="1155"/>
        </w:trPr>
        <w:tc>
          <w:tcPr>
            <w:tcW w:w="6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1C5A7D"/>
        </w:rPr>
        <w:t>SIGNATURES</w:t>
      </w:r>
    </w:p>
    <w:p>
      <w:pPr>
        <w:spacing w:after="0" w:line="234"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BIOGEN INC.</w:t>
      </w:r>
    </w:p>
    <w:p>
      <w:pPr>
        <w:spacing w:after="0" w:line="200" w:lineRule="exact"/>
        <w:rPr>
          <w:sz w:val="20"/>
          <w:szCs w:val="20"/>
          <w:color w:val="auto"/>
        </w:rPr>
      </w:pPr>
    </w:p>
    <w:p>
      <w:pPr>
        <w:spacing w:after="0" w:line="344" w:lineRule="exact"/>
        <w:rPr>
          <w:sz w:val="20"/>
          <w:szCs w:val="20"/>
          <w:color w:val="auto"/>
        </w:rPr>
      </w:pPr>
    </w:p>
    <w:tbl>
      <w:tblPr>
        <w:tblLayout w:type="fixed"/>
        <w:tblInd w:w="5900" w:type="dxa"/>
        <w:tblCellMar>
          <w:top w:w="0" w:type="dxa"/>
          <w:left w:w="0" w:type="dxa"/>
          <w:bottom w:w="0" w:type="dxa"/>
          <w:right w:w="0" w:type="dxa"/>
        </w:tblCellMar>
      </w:tblPr>
      <w:tr>
        <w:trPr>
          <w:trHeight w:val="224"/>
        </w:trPr>
        <w:tc>
          <w:tcPr>
            <w:tcW w:w="420" w:type="dxa"/>
            <w:vAlign w:val="bottom"/>
          </w:tcPr>
          <w:p>
            <w:pPr>
              <w:spacing w:after="0"/>
              <w:rPr>
                <w:sz w:val="20"/>
                <w:szCs w:val="20"/>
                <w:color w:val="auto"/>
              </w:rPr>
            </w:pPr>
            <w:r>
              <w:rPr>
                <w:rFonts w:ascii="Arial" w:cs="Arial" w:eastAsia="Arial" w:hAnsi="Arial"/>
                <w:sz w:val="17"/>
                <w:szCs w:val="17"/>
                <w:color w:val="auto"/>
              </w:rPr>
              <w:t>By:</w:t>
            </w:r>
          </w:p>
        </w:tc>
        <w:tc>
          <w:tcPr>
            <w:tcW w:w="49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/s/ Wendell Taylor</w:t>
            </w:r>
          </w:p>
        </w:tc>
      </w:tr>
      <w:tr>
        <w:trPr>
          <w:trHeight w:val="209"/>
        </w:trPr>
        <w:tc>
          <w:tcPr>
            <w:tcW w:w="42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7"/>
                <w:szCs w:val="17"/>
                <w:color w:val="auto"/>
              </w:rPr>
              <w:t>Wendell Taylor</w:t>
            </w:r>
          </w:p>
        </w:tc>
      </w:tr>
      <w:tr>
        <w:trPr>
          <w:trHeight w:val="226"/>
        </w:trPr>
        <w:tc>
          <w:tcPr>
            <w:tcW w:w="42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7"/>
                <w:szCs w:val="17"/>
                <w:color w:val="auto"/>
              </w:rPr>
              <w:t>Secretary</w:t>
            </w:r>
          </w:p>
        </w:tc>
      </w:tr>
    </w:tbl>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Date: October 28, 2026</w:t>
      </w:r>
    </w:p>
    <w:p>
      <w:pPr>
        <w:sectPr>
          <w:pgSz w:w="11900" w:h="16838" w:orient="portrait"/>
          <w:cols w:equalWidth="0" w:num="1">
            <w:col w:w="11240"/>
          </w:cols>
          <w:pgMar w:left="320" w:top="86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4213860</wp:posOffset>
            </wp:positionH>
            <wp:positionV relativeFrom="page">
              <wp:posOffset>556895</wp:posOffset>
            </wp:positionV>
            <wp:extent cx="1191260" cy="38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191260" cy="386080"/>
                    </a:xfrm>
                    <a:prstGeom prst="rect">
                      <a:avLst/>
                    </a:prstGeom>
                    <a:noFill/>
                  </pic:spPr>
                </pic:pic>
              </a:graphicData>
            </a:graphic>
          </wp:anchor>
        </w:drawing>
        <w:t>Press Release</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Cambridge, Mass. – October 28, 2026</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Biogen Reports Third Quarter 2026 Results</w:t>
      </w:r>
    </w:p>
    <w:p>
      <w:pPr>
        <w:spacing w:after="0" w:line="229" w:lineRule="exact"/>
        <w:rPr>
          <w:sz w:val="20"/>
          <w:szCs w:val="20"/>
          <w:color w:val="auto"/>
        </w:rPr>
      </w:pPr>
    </w:p>
    <w:p>
      <w:pPr>
        <w:ind w:left="320" w:right="220" w:hanging="317"/>
        <w:spacing w:after="0" w:line="217" w:lineRule="auto"/>
        <w:tabs>
          <w:tab w:leader="none" w:pos="27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Third quarter 2026 total revenue of $2.8 billion increased 11% year-over-year; Growth Portfolio</w:t>
      </w:r>
      <w:r>
        <w:rPr>
          <w:rFonts w:ascii="Arial" w:cs="Arial" w:eastAsia="Arial" w:hAnsi="Arial"/>
          <w:sz w:val="24"/>
          <w:szCs w:val="24"/>
          <w:b w:val="1"/>
          <w:bCs w:val="1"/>
          <w:color w:val="auto"/>
          <w:vertAlign w:val="superscript"/>
        </w:rPr>
        <w:t>1</w:t>
      </w:r>
      <w:r>
        <w:rPr>
          <w:rFonts w:ascii="Arial" w:cs="Arial" w:eastAsia="Arial" w:hAnsi="Arial"/>
          <w:sz w:val="19"/>
          <w:szCs w:val="19"/>
          <w:b w:val="1"/>
          <w:bCs w:val="1"/>
          <w:color w:val="auto"/>
        </w:rPr>
        <w:t xml:space="preserve"> revenue of $1.26 billion, increased 49% year-over-year, representing 63% of Core Pharmaceutical</w:t>
      </w:r>
      <w:r>
        <w:rPr>
          <w:rFonts w:ascii="Arial" w:cs="Arial" w:eastAsia="Arial" w:hAnsi="Arial"/>
          <w:sz w:val="24"/>
          <w:szCs w:val="24"/>
          <w:b w:val="1"/>
          <w:bCs w:val="1"/>
          <w:color w:val="auto"/>
          <w:vertAlign w:val="superscript"/>
        </w:rPr>
        <w:t>2</w:t>
      </w:r>
      <w:r>
        <w:rPr>
          <w:rFonts w:ascii="Arial" w:cs="Arial" w:eastAsia="Arial" w:hAnsi="Arial"/>
          <w:sz w:val="19"/>
          <w:szCs w:val="19"/>
          <w:b w:val="1"/>
          <w:bCs w:val="1"/>
          <w:color w:val="auto"/>
        </w:rPr>
        <w:t xml:space="preserve"> revenue, including a strong first full quarter contribution from the acquired Apellis products</w:t>
      </w:r>
    </w:p>
    <w:p>
      <w:pPr>
        <w:spacing w:after="0" w:line="195" w:lineRule="exact"/>
        <w:rPr>
          <w:rFonts w:ascii="Arial" w:cs="Arial" w:eastAsia="Arial" w:hAnsi="Arial"/>
          <w:sz w:val="19"/>
          <w:szCs w:val="19"/>
          <w:b w:val="1"/>
          <w:bCs w:val="1"/>
          <w:color w:val="auto"/>
        </w:rPr>
      </w:pPr>
    </w:p>
    <w:p>
      <w:pPr>
        <w:ind w:left="320" w:right="240" w:hanging="317"/>
        <w:spacing w:after="0" w:line="286" w:lineRule="auto"/>
        <w:tabs>
          <w:tab w:leader="none" w:pos="27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GAAP diluted EPS of $(0.14) driven primarily by transaction-related charges; Non-GAAP diluted EPS of $2.62, reflecting $284 million of acquired IPR&amp;D, upfront and milestone expense</w:t>
      </w:r>
    </w:p>
    <w:p>
      <w:pPr>
        <w:spacing w:after="0" w:line="138" w:lineRule="exact"/>
        <w:rPr>
          <w:rFonts w:ascii="Arial" w:cs="Arial" w:eastAsia="Arial" w:hAnsi="Arial"/>
          <w:sz w:val="19"/>
          <w:szCs w:val="19"/>
          <w:b w:val="1"/>
          <w:bCs w:val="1"/>
          <w:color w:val="auto"/>
        </w:rPr>
      </w:pPr>
    </w:p>
    <w:p>
      <w:pPr>
        <w:ind w:left="320" w:right="760" w:hanging="317"/>
        <w:spacing w:after="0" w:line="286" w:lineRule="auto"/>
        <w:tabs>
          <w:tab w:leader="none" w:pos="27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Third quarter results include strong operating performance from the legacy Apellis portfolio reflecting successful ongoing integration execution</w:t>
      </w:r>
    </w:p>
    <w:p>
      <w:pPr>
        <w:spacing w:after="0" w:line="138" w:lineRule="exact"/>
        <w:rPr>
          <w:rFonts w:ascii="Arial" w:cs="Arial" w:eastAsia="Arial" w:hAnsi="Arial"/>
          <w:sz w:val="19"/>
          <w:szCs w:val="19"/>
          <w:b w:val="1"/>
          <w:bCs w:val="1"/>
          <w:color w:val="auto"/>
        </w:rPr>
      </w:pPr>
    </w:p>
    <w:p>
      <w:pPr>
        <w:ind w:left="320" w:right="380" w:hanging="317"/>
        <w:spacing w:after="0" w:line="286" w:lineRule="auto"/>
        <w:tabs>
          <w:tab w:leader="none" w:pos="27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Full year 2026 Non-GAAP diluted EPS guidance: Biogen raises the lower end of the reported range to $12.20 to $13.00 from $12.00 to $13.00 reflecting ongoing business strength and Apellis dilution favorability</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Biogen Inc. (Nasdaq: BIIB) today reported third quarter 2026 financial results.</w:t>
      </w:r>
    </w:p>
    <w:p>
      <w:pPr>
        <w:spacing w:after="0" w:line="221" w:lineRule="exact"/>
        <w:rPr>
          <w:sz w:val="20"/>
          <w:szCs w:val="20"/>
          <w:color w:val="auto"/>
        </w:rPr>
      </w:pPr>
    </w:p>
    <w:p>
      <w:pPr>
        <w:ind w:right="40"/>
        <w:spacing w:after="0" w:line="243" w:lineRule="auto"/>
        <w:rPr>
          <w:sz w:val="20"/>
          <w:szCs w:val="20"/>
          <w:color w:val="auto"/>
        </w:rPr>
      </w:pPr>
      <w:r>
        <w:rPr>
          <w:rFonts w:ascii="Arial" w:cs="Arial" w:eastAsia="Arial" w:hAnsi="Arial"/>
          <w:sz w:val="19"/>
          <w:szCs w:val="19"/>
          <w:color w:val="auto"/>
        </w:rPr>
        <w:t>“Our third quarter results demonstrate that Biogen has returned to growth. We’re seeing the strength of our Growth Portfolio – including the first full quarter of results from Apellis products – which helped drive double-digit revenue growth and an approximately 50% year-over-year increase from our growth products,” said President and Chief Executive Officer Christopher A. Viehbacher. “With multiple Phase 3 readouts expected over the next 12 months, we are positioned to further strengthen our long-term growth profile and create sustainable value for patients and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Third Quarter 2026 Growth Portfolio In-Market Revenue Summary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540" w:type="dxa"/>
            <w:vAlign w:val="bottom"/>
            <w:gridSpan w:val="2"/>
          </w:tcPr>
          <w:p>
            <w:pPr>
              <w:ind w:left="20"/>
              <w:spacing w:after="0"/>
              <w:rPr>
                <w:sz w:val="20"/>
                <w:szCs w:val="20"/>
                <w:color w:val="auto"/>
              </w:rPr>
            </w:pPr>
            <w:r>
              <w:rPr>
                <w:rFonts w:ascii="Arial" w:cs="Arial" w:eastAsia="Arial" w:hAnsi="Arial"/>
                <w:sz w:val="17"/>
                <w:szCs w:val="17"/>
                <w:b w:val="1"/>
                <w:bCs w:val="1"/>
                <w:color w:val="auto"/>
              </w:rPr>
              <w:t>($ in millions)</w:t>
            </w:r>
          </w:p>
        </w:tc>
        <w:tc>
          <w:tcPr>
            <w:tcW w:w="11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9"/>
              </w:rPr>
              <w:t>Q3 '26</w:t>
            </w:r>
          </w:p>
        </w:tc>
        <w:tc>
          <w:tcPr>
            <w:tcW w:w="11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9"/>
              </w:rPr>
              <w:t>Q3 '25</w:t>
            </w:r>
          </w:p>
        </w:tc>
        <w:tc>
          <w:tcPr>
            <w:tcW w:w="980" w:type="dxa"/>
            <w:vAlign w:val="bottom"/>
            <w:gridSpan w:val="2"/>
          </w:tcPr>
          <w:p>
            <w:pPr>
              <w:jc w:val="center"/>
              <w:ind w:right="100"/>
              <w:spacing w:after="0" w:line="171" w:lineRule="exact"/>
              <w:rPr>
                <w:sz w:val="20"/>
                <w:szCs w:val="20"/>
                <w:color w:val="auto"/>
              </w:rPr>
            </w:pPr>
            <w:r>
              <w:rPr>
                <w:rFonts w:ascii="MS PGothic" w:cs="MS PGothic" w:eastAsia="MS PGothic" w:hAnsi="MS PGothic"/>
                <w:sz w:val="17"/>
                <w:szCs w:val="17"/>
                <w:color w:val="auto"/>
                <w:w w:val="70"/>
              </w:rPr>
              <w:t>△</w:t>
            </w:r>
          </w:p>
        </w:tc>
        <w:tc>
          <w:tcPr>
            <w:tcW w:w="6460" w:type="dxa"/>
            <w:vAlign w:val="bottom"/>
          </w:tcPr>
          <w:p>
            <w:pPr>
              <w:ind w:left="2700"/>
              <w:spacing w:after="0"/>
              <w:rPr>
                <w:sz w:val="20"/>
                <w:szCs w:val="20"/>
                <w:color w:val="auto"/>
              </w:rPr>
            </w:pPr>
            <w:r>
              <w:rPr>
                <w:rFonts w:ascii="Arial" w:cs="Arial" w:eastAsia="Arial" w:hAnsi="Arial"/>
                <w:sz w:val="17"/>
                <w:szCs w:val="17"/>
                <w:b w:val="1"/>
                <w:bCs w:val="1"/>
                <w:color w:val="auto"/>
              </w:rPr>
              <w:t>Commentary</w:t>
            </w:r>
          </w:p>
        </w:tc>
      </w:tr>
      <w:tr>
        <w:trPr>
          <w:trHeight w:val="170"/>
        </w:trPr>
        <w:tc>
          <w:tcPr>
            <w:tcW w:w="1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6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7"/>
                <w:szCs w:val="17"/>
                <w:color w:val="auto"/>
              </w:rPr>
              <w:t>Accelerated conversion to high-dose regimen continues to exceed Company</w:t>
            </w:r>
          </w:p>
        </w:tc>
      </w:tr>
      <w:tr>
        <w:trPr>
          <w:trHeight w:val="224"/>
        </w:trPr>
        <w:tc>
          <w:tcPr>
            <w:tcW w:w="1540" w:type="dxa"/>
            <w:vAlign w:val="bottom"/>
            <w:gridSpan w:val="2"/>
          </w:tcPr>
          <w:p>
            <w:pPr>
              <w:ind w:left="20"/>
              <w:spacing w:after="0"/>
              <w:rPr>
                <w:sz w:val="20"/>
                <w:szCs w:val="20"/>
                <w:color w:val="auto"/>
              </w:rPr>
            </w:pPr>
            <w:r>
              <w:rPr>
                <w:rFonts w:ascii="Arial" w:cs="Arial" w:eastAsia="Arial" w:hAnsi="Arial"/>
                <w:sz w:val="17"/>
                <w:szCs w:val="17"/>
                <w:color w:val="auto"/>
              </w:rPr>
              <w:t>SPINRAZA</w:t>
            </w:r>
          </w:p>
        </w:tc>
        <w:tc>
          <w:tcPr>
            <w:tcW w:w="1020" w:type="dxa"/>
            <w:vAlign w:val="bottom"/>
          </w:tcPr>
          <w:p>
            <w:pPr>
              <w:jc w:val="center"/>
              <w:spacing w:after="0"/>
              <w:rPr>
                <w:sz w:val="20"/>
                <w:szCs w:val="20"/>
                <w:color w:val="auto"/>
              </w:rPr>
            </w:pPr>
            <w:r>
              <w:rPr>
                <w:rFonts w:ascii="Arial" w:cs="Arial" w:eastAsia="Arial" w:hAnsi="Arial"/>
                <w:sz w:val="17"/>
                <w:szCs w:val="17"/>
                <w:color w:val="auto"/>
              </w:rPr>
              <w:t>$461</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rPr>
              <w:t>$374</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6460" w:type="dxa"/>
            <w:vAlign w:val="bottom"/>
          </w:tcPr>
          <w:p>
            <w:pPr>
              <w:ind w:left="20"/>
              <w:spacing w:after="0"/>
              <w:rPr>
                <w:sz w:val="20"/>
                <w:szCs w:val="20"/>
                <w:color w:val="auto"/>
              </w:rPr>
            </w:pPr>
            <w:r>
              <w:rPr>
                <w:rFonts w:ascii="Arial" w:cs="Arial" w:eastAsia="Arial" w:hAnsi="Arial"/>
                <w:sz w:val="17"/>
                <w:szCs w:val="17"/>
                <w:color w:val="auto"/>
              </w:rPr>
              <w:t>expectations across all launched markets</w:t>
            </w:r>
          </w:p>
        </w:tc>
      </w:tr>
      <w:tr>
        <w:trPr>
          <w:trHeight w:val="220"/>
        </w:trPr>
        <w:tc>
          <w:tcPr>
            <w:tcW w:w="1540" w:type="dxa"/>
            <w:vAlign w:val="bottom"/>
            <w:gridSpan w:val="2"/>
            <w:shd w:val="clear" w:color="auto" w:fill="DBDBDB"/>
          </w:tcPr>
          <w:p>
            <w:pPr>
              <w:ind w:left="20"/>
              <w:spacing w:after="0" w:line="220" w:lineRule="exact"/>
              <w:rPr>
                <w:sz w:val="20"/>
                <w:szCs w:val="20"/>
                <w:color w:val="auto"/>
              </w:rPr>
            </w:pPr>
            <w:r>
              <w:rPr>
                <w:rFonts w:ascii="Arial" w:cs="Arial" w:eastAsia="Arial" w:hAnsi="Arial"/>
                <w:sz w:val="17"/>
                <w:szCs w:val="17"/>
                <w:color w:val="auto"/>
              </w:rPr>
              <w:t>LEQEMBI</w:t>
            </w:r>
            <w:r>
              <w:rPr>
                <w:rFonts w:ascii="Arial" w:cs="Arial" w:eastAsia="Arial" w:hAnsi="Arial"/>
                <w:sz w:val="22"/>
                <w:szCs w:val="22"/>
                <w:color w:val="auto"/>
                <w:vertAlign w:val="superscript"/>
              </w:rPr>
              <w:t>3</w:t>
            </w:r>
          </w:p>
        </w:tc>
        <w:tc>
          <w:tcPr>
            <w:tcW w:w="102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$202</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DBDBDB"/>
          </w:tcPr>
          <w:p>
            <w:pPr>
              <w:spacing w:after="0"/>
              <w:rPr>
                <w:sz w:val="19"/>
                <w:szCs w:val="19"/>
                <w:color w:val="auto"/>
              </w:rPr>
            </w:pPr>
          </w:p>
        </w:tc>
        <w:tc>
          <w:tcPr>
            <w:tcW w:w="88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67%</w:t>
            </w:r>
          </w:p>
        </w:tc>
        <w:tc>
          <w:tcPr>
            <w:tcW w:w="100" w:type="dxa"/>
            <w:vAlign w:val="bottom"/>
            <w:shd w:val="clear" w:color="auto" w:fill="DBDBDB"/>
          </w:tcPr>
          <w:p>
            <w:pPr>
              <w:spacing w:after="0"/>
              <w:rPr>
                <w:sz w:val="19"/>
                <w:szCs w:val="19"/>
                <w:color w:val="auto"/>
              </w:rPr>
            </w:pPr>
          </w:p>
        </w:tc>
        <w:tc>
          <w:tcPr>
            <w:tcW w:w="6460" w:type="dxa"/>
            <w:vAlign w:val="bottom"/>
            <w:shd w:val="clear" w:color="auto" w:fill="DBDBDB"/>
          </w:tcPr>
          <w:p>
            <w:pPr>
              <w:ind w:left="20"/>
              <w:spacing w:after="0"/>
              <w:rPr>
                <w:sz w:val="20"/>
                <w:szCs w:val="20"/>
                <w:color w:val="auto"/>
              </w:rPr>
            </w:pPr>
            <w:r>
              <w:rPr>
                <w:rFonts w:ascii="Arial" w:cs="Arial" w:eastAsia="Arial" w:hAnsi="Arial"/>
                <w:sz w:val="17"/>
                <w:szCs w:val="17"/>
                <w:color w:val="auto"/>
              </w:rPr>
              <w:t>Continued sequential growth; U.S. in-market sales of $107M</w:t>
            </w:r>
          </w:p>
        </w:tc>
      </w:tr>
      <w:tr>
        <w:trPr>
          <w:trHeight w:val="220"/>
        </w:trPr>
        <w:tc>
          <w:tcPr>
            <w:tcW w:w="1540" w:type="dxa"/>
            <w:vAlign w:val="bottom"/>
            <w:gridSpan w:val="2"/>
          </w:tcPr>
          <w:p>
            <w:pPr>
              <w:ind w:left="20"/>
              <w:spacing w:after="0"/>
              <w:rPr>
                <w:sz w:val="20"/>
                <w:szCs w:val="20"/>
                <w:color w:val="auto"/>
              </w:rPr>
            </w:pPr>
            <w:r>
              <w:rPr>
                <w:rFonts w:ascii="Arial" w:cs="Arial" w:eastAsia="Arial" w:hAnsi="Arial"/>
                <w:sz w:val="17"/>
                <w:szCs w:val="17"/>
                <w:color w:val="auto"/>
              </w:rPr>
              <w:t>VUMERITY</w:t>
            </w:r>
          </w:p>
        </w:tc>
        <w:tc>
          <w:tcPr>
            <w:tcW w:w="1020" w:type="dxa"/>
            <w:vAlign w:val="bottom"/>
          </w:tcPr>
          <w:p>
            <w:pPr>
              <w:jc w:val="center"/>
              <w:spacing w:after="0"/>
              <w:rPr>
                <w:sz w:val="20"/>
                <w:szCs w:val="20"/>
                <w:color w:val="auto"/>
              </w:rPr>
            </w:pPr>
            <w:r>
              <w:rPr>
                <w:rFonts w:ascii="Arial" w:cs="Arial" w:eastAsia="Arial" w:hAnsi="Arial"/>
                <w:sz w:val="17"/>
                <w:szCs w:val="17"/>
                <w:color w:val="auto"/>
              </w:rPr>
              <w:t>$192</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6"/>
              </w:rPr>
              <w:t>(11)%</w:t>
            </w:r>
          </w:p>
        </w:tc>
        <w:tc>
          <w:tcPr>
            <w:tcW w:w="100" w:type="dxa"/>
            <w:vAlign w:val="bottom"/>
          </w:tcPr>
          <w:p>
            <w:pPr>
              <w:spacing w:after="0"/>
              <w:rPr>
                <w:sz w:val="19"/>
                <w:szCs w:val="19"/>
                <w:color w:val="auto"/>
              </w:rPr>
            </w:pPr>
          </w:p>
        </w:tc>
        <w:tc>
          <w:tcPr>
            <w:tcW w:w="6460" w:type="dxa"/>
            <w:vAlign w:val="bottom"/>
          </w:tcPr>
          <w:p>
            <w:pPr>
              <w:ind w:left="20"/>
              <w:spacing w:after="0"/>
              <w:rPr>
                <w:sz w:val="20"/>
                <w:szCs w:val="20"/>
                <w:color w:val="auto"/>
              </w:rPr>
            </w:pPr>
            <w:r>
              <w:rPr>
                <w:rFonts w:ascii="Arial" w:cs="Arial" w:eastAsia="Arial" w:hAnsi="Arial"/>
                <w:sz w:val="17"/>
                <w:szCs w:val="17"/>
                <w:color w:val="auto"/>
              </w:rPr>
              <w:t>Impacted primarily by U.S. formulary dynamics</w:t>
            </w:r>
          </w:p>
        </w:tc>
      </w:tr>
      <w:tr>
        <w:trPr>
          <w:trHeight w:val="177"/>
        </w:trPr>
        <w:tc>
          <w:tcPr>
            <w:tcW w:w="14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6460" w:type="dxa"/>
            <w:vAlign w:val="bottom"/>
            <w:shd w:val="clear" w:color="auto" w:fill="DBDBDB"/>
          </w:tcPr>
          <w:p>
            <w:pPr>
              <w:ind w:left="20"/>
              <w:spacing w:after="0" w:line="177" w:lineRule="exact"/>
              <w:rPr>
                <w:sz w:val="20"/>
                <w:szCs w:val="20"/>
                <w:color w:val="auto"/>
              </w:rPr>
            </w:pPr>
            <w:r>
              <w:rPr>
                <w:rFonts w:ascii="Arial" w:cs="Arial" w:eastAsia="Arial" w:hAnsi="Arial"/>
                <w:sz w:val="17"/>
                <w:szCs w:val="17"/>
                <w:color w:val="auto"/>
              </w:rPr>
              <w:t>Continued volume growth, up 18% year-over-year, with commercial injections</w:t>
            </w:r>
          </w:p>
        </w:tc>
      </w:tr>
      <w:tr>
        <w:trPr>
          <w:trHeight w:val="224"/>
        </w:trPr>
        <w:tc>
          <w:tcPr>
            <w:tcW w:w="1540" w:type="dxa"/>
            <w:vAlign w:val="bottom"/>
            <w:gridSpan w:val="2"/>
            <w:shd w:val="clear" w:color="auto" w:fill="DBDBDB"/>
          </w:tcPr>
          <w:p>
            <w:pPr>
              <w:ind w:left="20"/>
              <w:spacing w:after="0" w:line="224" w:lineRule="exact"/>
              <w:rPr>
                <w:sz w:val="20"/>
                <w:szCs w:val="20"/>
                <w:color w:val="auto"/>
              </w:rPr>
            </w:pPr>
            <w:r>
              <w:rPr>
                <w:rFonts w:ascii="Arial" w:cs="Arial" w:eastAsia="Arial" w:hAnsi="Arial"/>
                <w:sz w:val="17"/>
                <w:szCs w:val="17"/>
                <w:color w:val="auto"/>
              </w:rPr>
              <w:t>SYFOVRE</w:t>
            </w:r>
            <w:r>
              <w:rPr>
                <w:rFonts w:ascii="Arial" w:cs="Arial" w:eastAsia="Arial" w:hAnsi="Arial"/>
                <w:sz w:val="22"/>
                <w:szCs w:val="22"/>
                <w:color w:val="auto"/>
                <w:vertAlign w:val="superscript"/>
              </w:rPr>
              <w:t>4</w:t>
            </w:r>
          </w:p>
        </w:tc>
        <w:tc>
          <w:tcPr>
            <w:tcW w:w="102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$151</w:t>
            </w:r>
          </w:p>
        </w:tc>
        <w:tc>
          <w:tcPr>
            <w:tcW w:w="100" w:type="dxa"/>
            <w:vAlign w:val="bottom"/>
            <w:shd w:val="clear" w:color="auto" w:fill="DBDBDB"/>
          </w:tcPr>
          <w:p>
            <w:pPr>
              <w:spacing w:after="0"/>
              <w:rPr>
                <w:sz w:val="19"/>
                <w:szCs w:val="19"/>
                <w:color w:val="auto"/>
              </w:rPr>
            </w:pPr>
          </w:p>
        </w:tc>
        <w:tc>
          <w:tcPr>
            <w:tcW w:w="88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27%</w:t>
            </w:r>
          </w:p>
        </w:tc>
        <w:tc>
          <w:tcPr>
            <w:tcW w:w="100" w:type="dxa"/>
            <w:vAlign w:val="bottom"/>
            <w:shd w:val="clear" w:color="auto" w:fill="DBDBDB"/>
          </w:tcPr>
          <w:p>
            <w:pPr>
              <w:spacing w:after="0"/>
              <w:rPr>
                <w:sz w:val="19"/>
                <w:szCs w:val="19"/>
                <w:color w:val="auto"/>
              </w:rPr>
            </w:pPr>
          </w:p>
        </w:tc>
        <w:tc>
          <w:tcPr>
            <w:tcW w:w="6460" w:type="dxa"/>
            <w:vAlign w:val="bottom"/>
            <w:shd w:val="clear" w:color="auto" w:fill="DBDBDB"/>
          </w:tcPr>
          <w:p>
            <w:pPr>
              <w:ind w:left="20"/>
              <w:spacing w:after="0"/>
              <w:rPr>
                <w:sz w:val="20"/>
                <w:szCs w:val="20"/>
                <w:color w:val="auto"/>
              </w:rPr>
            </w:pPr>
            <w:r>
              <w:rPr>
                <w:rFonts w:ascii="Arial" w:cs="Arial" w:eastAsia="Arial" w:hAnsi="Arial"/>
                <w:sz w:val="17"/>
                <w:szCs w:val="17"/>
                <w:color w:val="auto"/>
              </w:rPr>
              <w:t>reaching their highest quarterly level since launch</w:t>
            </w:r>
          </w:p>
        </w:tc>
      </w:tr>
      <w:tr>
        <w:trPr>
          <w:trHeight w:val="220"/>
        </w:trPr>
        <w:tc>
          <w:tcPr>
            <w:tcW w:w="1540" w:type="dxa"/>
            <w:vAlign w:val="bottom"/>
            <w:gridSpan w:val="2"/>
          </w:tcPr>
          <w:p>
            <w:pPr>
              <w:ind w:left="20"/>
              <w:spacing w:after="0"/>
              <w:rPr>
                <w:sz w:val="20"/>
                <w:szCs w:val="20"/>
                <w:color w:val="auto"/>
              </w:rPr>
            </w:pPr>
            <w:r>
              <w:rPr>
                <w:rFonts w:ascii="Arial" w:cs="Arial" w:eastAsia="Arial" w:hAnsi="Arial"/>
                <w:sz w:val="17"/>
                <w:szCs w:val="17"/>
                <w:color w:val="auto"/>
              </w:rPr>
              <w:t>SKYCLARYS</w:t>
            </w:r>
          </w:p>
        </w:tc>
        <w:tc>
          <w:tcPr>
            <w:tcW w:w="1020" w:type="dxa"/>
            <w:vAlign w:val="bottom"/>
          </w:tcPr>
          <w:p>
            <w:pPr>
              <w:jc w:val="center"/>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6460" w:type="dxa"/>
            <w:vAlign w:val="bottom"/>
          </w:tcPr>
          <w:p>
            <w:pPr>
              <w:ind w:left="20"/>
              <w:spacing w:after="0"/>
              <w:rPr>
                <w:sz w:val="20"/>
                <w:szCs w:val="20"/>
                <w:color w:val="auto"/>
              </w:rPr>
            </w:pPr>
            <w:r>
              <w:rPr>
                <w:rFonts w:ascii="Arial" w:cs="Arial" w:eastAsia="Arial" w:hAnsi="Arial"/>
                <w:sz w:val="17"/>
                <w:szCs w:val="17"/>
                <w:color w:val="auto"/>
              </w:rPr>
              <w:t>Increased U.S. and international demand and favorable U.S. inventory dynamics</w:t>
            </w:r>
          </w:p>
        </w:tc>
      </w:tr>
      <w:tr>
        <w:trPr>
          <w:trHeight w:val="220"/>
        </w:trPr>
        <w:tc>
          <w:tcPr>
            <w:tcW w:w="1540" w:type="dxa"/>
            <w:vAlign w:val="bottom"/>
            <w:gridSpan w:val="2"/>
            <w:shd w:val="clear" w:color="auto" w:fill="DBDBDB"/>
          </w:tcPr>
          <w:p>
            <w:pPr>
              <w:ind w:left="20"/>
              <w:spacing w:after="0"/>
              <w:rPr>
                <w:sz w:val="20"/>
                <w:szCs w:val="20"/>
                <w:color w:val="auto"/>
              </w:rPr>
            </w:pPr>
            <w:r>
              <w:rPr>
                <w:rFonts w:ascii="Arial" w:cs="Arial" w:eastAsia="Arial" w:hAnsi="Arial"/>
                <w:sz w:val="17"/>
                <w:szCs w:val="17"/>
                <w:color w:val="auto"/>
              </w:rPr>
              <w:t>ZURZUVAE</w:t>
            </w:r>
          </w:p>
        </w:tc>
        <w:tc>
          <w:tcPr>
            <w:tcW w:w="102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$84</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8"/>
              </w:rPr>
              <w:t>$55</w:t>
            </w:r>
          </w:p>
        </w:tc>
        <w:tc>
          <w:tcPr>
            <w:tcW w:w="100" w:type="dxa"/>
            <w:vAlign w:val="bottom"/>
            <w:shd w:val="clear" w:color="auto" w:fill="DBDBDB"/>
          </w:tcPr>
          <w:p>
            <w:pPr>
              <w:spacing w:after="0"/>
              <w:rPr>
                <w:sz w:val="19"/>
                <w:szCs w:val="19"/>
                <w:color w:val="auto"/>
              </w:rPr>
            </w:pPr>
          </w:p>
        </w:tc>
        <w:tc>
          <w:tcPr>
            <w:tcW w:w="88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53%</w:t>
            </w:r>
          </w:p>
        </w:tc>
        <w:tc>
          <w:tcPr>
            <w:tcW w:w="100" w:type="dxa"/>
            <w:vAlign w:val="bottom"/>
            <w:shd w:val="clear" w:color="auto" w:fill="DBDBDB"/>
          </w:tcPr>
          <w:p>
            <w:pPr>
              <w:spacing w:after="0"/>
              <w:rPr>
                <w:sz w:val="19"/>
                <w:szCs w:val="19"/>
                <w:color w:val="auto"/>
              </w:rPr>
            </w:pPr>
          </w:p>
        </w:tc>
        <w:tc>
          <w:tcPr>
            <w:tcW w:w="6460" w:type="dxa"/>
            <w:vAlign w:val="bottom"/>
            <w:shd w:val="clear" w:color="auto" w:fill="DBDBDB"/>
          </w:tcPr>
          <w:p>
            <w:pPr>
              <w:ind w:left="20"/>
              <w:spacing w:after="0"/>
              <w:rPr>
                <w:sz w:val="20"/>
                <w:szCs w:val="20"/>
                <w:color w:val="auto"/>
              </w:rPr>
            </w:pPr>
            <w:r>
              <w:rPr>
                <w:rFonts w:ascii="Arial" w:cs="Arial" w:eastAsia="Arial" w:hAnsi="Arial"/>
                <w:sz w:val="17"/>
                <w:szCs w:val="17"/>
                <w:color w:val="auto"/>
              </w:rPr>
              <w:t>Strong continued demand growth</w:t>
            </w:r>
          </w:p>
        </w:tc>
      </w:tr>
      <w:tr>
        <w:trPr>
          <w:trHeight w:val="220"/>
        </w:trPr>
        <w:tc>
          <w:tcPr>
            <w:tcW w:w="154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EMPAVELI</w:t>
            </w:r>
            <w:r>
              <w:rPr>
                <w:rFonts w:ascii="Arial" w:cs="Arial" w:eastAsia="Arial" w:hAnsi="Arial"/>
                <w:sz w:val="22"/>
                <w:szCs w:val="22"/>
                <w:color w:val="auto"/>
                <w:vertAlign w:val="superscript"/>
              </w:rPr>
              <w:t>4</w:t>
            </w:r>
          </w:p>
        </w:tc>
        <w:tc>
          <w:tcPr>
            <w:tcW w:w="1020" w:type="dxa"/>
            <w:vAlign w:val="bottom"/>
          </w:tcPr>
          <w:p>
            <w:pPr>
              <w:jc w:val="center"/>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8"/>
              </w:rPr>
              <w:t>$27</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9"/>
                <w:szCs w:val="19"/>
                <w:color w:val="auto"/>
              </w:rPr>
            </w:pPr>
          </w:p>
        </w:tc>
        <w:tc>
          <w:tcPr>
            <w:tcW w:w="6460" w:type="dxa"/>
            <w:vAlign w:val="bottom"/>
          </w:tcPr>
          <w:p>
            <w:pPr>
              <w:ind w:left="20"/>
              <w:spacing w:after="0"/>
              <w:rPr>
                <w:sz w:val="20"/>
                <w:szCs w:val="20"/>
                <w:color w:val="auto"/>
              </w:rPr>
            </w:pPr>
            <w:r>
              <w:rPr>
                <w:rFonts w:ascii="Arial" w:cs="Arial" w:eastAsia="Arial" w:hAnsi="Arial"/>
                <w:sz w:val="17"/>
                <w:szCs w:val="17"/>
                <w:color w:val="auto"/>
              </w:rPr>
              <w:t>Strong demand growth in nephrology indications</w:t>
            </w:r>
          </w:p>
        </w:tc>
      </w:tr>
      <w:tr>
        <w:trPr>
          <w:trHeight w:val="220"/>
        </w:trPr>
        <w:tc>
          <w:tcPr>
            <w:tcW w:w="1540" w:type="dxa"/>
            <w:vAlign w:val="bottom"/>
            <w:gridSpan w:val="2"/>
            <w:shd w:val="clear" w:color="auto" w:fill="DBDBDB"/>
          </w:tcPr>
          <w:p>
            <w:pPr>
              <w:ind w:left="20"/>
              <w:spacing w:after="0"/>
              <w:rPr>
                <w:sz w:val="20"/>
                <w:szCs w:val="20"/>
                <w:color w:val="auto"/>
              </w:rPr>
            </w:pPr>
            <w:r>
              <w:rPr>
                <w:rFonts w:ascii="Arial" w:cs="Arial" w:eastAsia="Arial" w:hAnsi="Arial"/>
                <w:sz w:val="17"/>
                <w:szCs w:val="17"/>
                <w:color w:val="auto"/>
              </w:rPr>
              <w:t>QALSODY</w:t>
            </w:r>
          </w:p>
        </w:tc>
        <w:tc>
          <w:tcPr>
            <w:tcW w:w="102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$38</w:t>
            </w:r>
          </w:p>
        </w:tc>
        <w:tc>
          <w:tcPr>
            <w:tcW w:w="100" w:type="dxa"/>
            <w:vAlign w:val="bottom"/>
            <w:shd w:val="clear" w:color="auto" w:fill="DBDBDB"/>
          </w:tcPr>
          <w:p>
            <w:pPr>
              <w:spacing w:after="0"/>
              <w:rPr>
                <w:sz w:val="19"/>
                <w:szCs w:val="19"/>
                <w:color w:val="auto"/>
              </w:rPr>
            </w:pPr>
          </w:p>
        </w:tc>
        <w:tc>
          <w:tcPr>
            <w:tcW w:w="104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8"/>
              </w:rPr>
              <w:t>$26</w:t>
            </w:r>
          </w:p>
        </w:tc>
        <w:tc>
          <w:tcPr>
            <w:tcW w:w="100" w:type="dxa"/>
            <w:vAlign w:val="bottom"/>
            <w:shd w:val="clear" w:color="auto" w:fill="DBDBDB"/>
          </w:tcPr>
          <w:p>
            <w:pPr>
              <w:spacing w:after="0"/>
              <w:rPr>
                <w:sz w:val="19"/>
                <w:szCs w:val="19"/>
                <w:color w:val="auto"/>
              </w:rPr>
            </w:pPr>
          </w:p>
        </w:tc>
        <w:tc>
          <w:tcPr>
            <w:tcW w:w="88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42%</w:t>
            </w:r>
          </w:p>
        </w:tc>
        <w:tc>
          <w:tcPr>
            <w:tcW w:w="100" w:type="dxa"/>
            <w:vAlign w:val="bottom"/>
            <w:shd w:val="clear" w:color="auto" w:fill="DBDBDB"/>
          </w:tcPr>
          <w:p>
            <w:pPr>
              <w:spacing w:after="0"/>
              <w:rPr>
                <w:sz w:val="19"/>
                <w:szCs w:val="19"/>
                <w:color w:val="auto"/>
              </w:rPr>
            </w:pPr>
          </w:p>
        </w:tc>
        <w:tc>
          <w:tcPr>
            <w:tcW w:w="6460" w:type="dxa"/>
            <w:vAlign w:val="bottom"/>
            <w:shd w:val="clear" w:color="auto" w:fill="DBDBDB"/>
          </w:tcPr>
          <w:p>
            <w:pPr>
              <w:ind w:left="20"/>
              <w:spacing w:after="0"/>
              <w:rPr>
                <w:sz w:val="20"/>
                <w:szCs w:val="20"/>
                <w:color w:val="auto"/>
              </w:rPr>
            </w:pPr>
            <w:r>
              <w:rPr>
                <w:rFonts w:ascii="Arial" w:cs="Arial" w:eastAsia="Arial" w:hAnsi="Arial"/>
                <w:sz w:val="17"/>
                <w:szCs w:val="17"/>
                <w:color w:val="auto"/>
              </w:rPr>
              <w:t>Strong U.S. and international demand growth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172720</wp:posOffset>
            </wp:positionV>
            <wp:extent cx="16427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2745" cy="8255"/>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-1478280</wp:posOffset>
            </wp:positionV>
            <wp:extent cx="116205" cy="116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205" cy="116840"/>
                    </a:xfrm>
                    <a:prstGeom prst="rect">
                      <a:avLst/>
                    </a:prstGeom>
                    <a:noFill/>
                  </pic:spPr>
                </pic:pic>
              </a:graphicData>
            </a:graphic>
          </wp:anchor>
        </w:drawing>
      </w:r>
    </w:p>
    <w:p>
      <w:pPr>
        <w:spacing w:after="0" w:line="330" w:lineRule="exact"/>
        <w:rPr>
          <w:sz w:val="20"/>
          <w:szCs w:val="20"/>
          <w:color w:val="auto"/>
        </w:rPr>
      </w:pPr>
    </w:p>
    <w:p>
      <w:pPr>
        <w:ind w:right="180" w:firstLine="3"/>
        <w:spacing w:after="0" w:line="211" w:lineRule="auto"/>
        <w:tabs>
          <w:tab w:leader="none" w:pos="99" w:val="left"/>
        </w:tabs>
        <w:numPr>
          <w:ilvl w:val="0"/>
          <w:numId w:val="5"/>
        </w:numPr>
        <w:rPr>
          <w:rFonts w:ascii="Times New Roman" w:cs="Times New Roman" w:eastAsia="Times New Roman" w:hAnsi="Times New Roman"/>
          <w:sz w:val="22"/>
          <w:szCs w:val="22"/>
          <w:color w:val="auto"/>
          <w:vertAlign w:val="superscript"/>
        </w:rPr>
      </w:pPr>
      <w:r>
        <w:rPr>
          <w:rFonts w:ascii="Arial" w:cs="Arial" w:eastAsia="Arial" w:hAnsi="Arial"/>
          <w:sz w:val="16"/>
          <w:szCs w:val="16"/>
          <w:color w:val="auto"/>
        </w:rPr>
        <w:t>Growth Portfolio includes EMPAVELI, QALSODY, SKYCLARYS, SPINRAZA, SYFOVRE, VUMERITY, ZURZUVAE, plus Biogen's 50% share of net revenue and cost of sales, including royalties, from the LEQEMBI Collaboration</w:t>
      </w:r>
    </w:p>
    <w:p>
      <w:pPr>
        <w:spacing w:after="0" w:line="1" w:lineRule="exact"/>
        <w:rPr>
          <w:rFonts w:ascii="Times New Roman" w:cs="Times New Roman" w:eastAsia="Times New Roman" w:hAnsi="Times New Roman"/>
          <w:sz w:val="22"/>
          <w:szCs w:val="22"/>
          <w:color w:val="auto"/>
          <w:vertAlign w:val="superscript"/>
        </w:rPr>
      </w:pPr>
    </w:p>
    <w:p>
      <w:pPr>
        <w:ind w:right="540"/>
        <w:spacing w:after="0" w:line="193"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vertAlign w:val="superscript"/>
        </w:rPr>
        <w:t>2</w:t>
      </w:r>
      <w:r>
        <w:rPr>
          <w:rFonts w:ascii="Arial" w:cs="Arial" w:eastAsia="Arial" w:hAnsi="Arial"/>
          <w:sz w:val="16"/>
          <w:szCs w:val="16"/>
          <w:color w:val="auto"/>
        </w:rPr>
        <w:t xml:space="preserve"> Core Pharmaceutical revenue includes product revenue excluding biosimilars revenue plus Biogen’s 50% share of net revenue and cost of sales, including royalties, from the LEQEMBI Collaboration</w:t>
      </w:r>
    </w:p>
    <w:p>
      <w:pPr>
        <w:spacing w:after="0" w:line="184" w:lineRule="auto"/>
        <w:rPr>
          <w:rFonts w:ascii="Times New Roman" w:cs="Times New Roman" w:eastAsia="Times New Roman" w:hAnsi="Times New Roman"/>
          <w:sz w:val="22"/>
          <w:szCs w:val="22"/>
          <w:color w:val="auto"/>
          <w:vertAlign w:val="superscript"/>
        </w:rPr>
      </w:pPr>
      <w:r>
        <w:rPr>
          <w:rFonts w:ascii="Arial" w:cs="Arial" w:eastAsia="Arial" w:hAnsi="Arial"/>
          <w:sz w:val="19"/>
          <w:szCs w:val="19"/>
          <w:color w:val="auto"/>
          <w:vertAlign w:val="superscript"/>
        </w:rPr>
        <w:t>3</w:t>
      </w:r>
      <w:r>
        <w:rPr>
          <w:rFonts w:ascii="Arial" w:cs="Arial" w:eastAsia="Arial" w:hAnsi="Arial"/>
          <w:sz w:val="15"/>
          <w:szCs w:val="15"/>
          <w:color w:val="auto"/>
        </w:rPr>
        <w:t xml:space="preserve"> Global in-market sales recorded by Eisai</w:t>
      </w:r>
    </w:p>
    <w:p>
      <w:pPr>
        <w:ind w:right="420"/>
        <w:spacing w:after="0" w:line="215" w:lineRule="auto"/>
        <w:rPr>
          <w:rFonts w:ascii="Times New Roman" w:cs="Times New Roman" w:eastAsia="Times New Roman" w:hAnsi="Times New Roman"/>
          <w:sz w:val="22"/>
          <w:szCs w:val="22"/>
          <w:color w:val="auto"/>
          <w:vertAlign w:val="superscript"/>
        </w:rPr>
      </w:pPr>
      <w:r>
        <w:rPr>
          <w:rFonts w:ascii="Arial" w:cs="Arial" w:eastAsia="Arial" w:hAnsi="Arial"/>
          <w:sz w:val="20"/>
          <w:szCs w:val="20"/>
          <w:color w:val="auto"/>
          <w:vertAlign w:val="superscript"/>
        </w:rPr>
        <w:t>4</w:t>
      </w:r>
      <w:r>
        <w:rPr>
          <w:rFonts w:ascii="Arial" w:cs="Arial" w:eastAsia="Arial" w:hAnsi="Arial"/>
          <w:sz w:val="16"/>
          <w:szCs w:val="16"/>
          <w:color w:val="auto"/>
        </w:rPr>
        <w:t xml:space="preserve"> SYFOVRE and EMPAVELI were acquired as part of Biogen’s acquisition of Apellis, which closed in May 2026. Prior period revenue as reported in the Apellis Pharmaceuticals, Inc. Q3 2025 10-Q</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447260"/>
        </w:rPr>
        <w:t>1</w:t>
      </w:r>
    </w:p>
    <w:p>
      <w:pPr>
        <w:sectPr>
          <w:pgSz w:w="11900" w:h="16838" w:orient="portrait"/>
          <w:cols w:equalWidth="0" w:num="1">
            <w:col w:w="11240"/>
          </w:cols>
          <w:pgMar w:left="320" w:top="1347" w:right="339"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color w:val="auto"/>
        </w:rPr>
        <w:t>Financial Highlights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Q3 '26</w:t>
            </w:r>
          </w:p>
        </w:tc>
        <w:tc>
          <w:tcPr>
            <w:tcW w:w="15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9"/>
              </w:rPr>
              <w:t>Q3 '25</w:t>
            </w:r>
          </w:p>
        </w:tc>
        <w:tc>
          <w:tcPr>
            <w:tcW w:w="1520" w:type="dxa"/>
            <w:vAlign w:val="bottom"/>
            <w:gridSpan w:val="2"/>
          </w:tcPr>
          <w:p>
            <w:pPr>
              <w:jc w:val="center"/>
              <w:ind w:right="100"/>
              <w:spacing w:after="0" w:line="171" w:lineRule="exact"/>
              <w:rPr>
                <w:sz w:val="20"/>
                <w:szCs w:val="20"/>
                <w:color w:val="auto"/>
              </w:rPr>
            </w:pPr>
            <w:r>
              <w:rPr>
                <w:rFonts w:ascii="MS PGothic" w:cs="MS PGothic" w:eastAsia="MS PGothic" w:hAnsi="MS PGothic"/>
                <w:sz w:val="17"/>
                <w:szCs w:val="17"/>
                <w:color w:val="auto"/>
                <w:w w:val="82"/>
              </w:rPr>
              <w:t>△</w:t>
            </w:r>
          </w:p>
        </w:tc>
        <w:tc>
          <w:tcPr>
            <w:tcW w:w="1440" w:type="dxa"/>
            <w:vAlign w:val="bottom"/>
          </w:tcPr>
          <w:p>
            <w:pPr>
              <w:jc w:val="center"/>
              <w:spacing w:after="0"/>
              <w:rPr>
                <w:sz w:val="20"/>
                <w:szCs w:val="20"/>
                <w:color w:val="auto"/>
              </w:rPr>
            </w:pPr>
            <w:r>
              <w:rPr>
                <w:rFonts w:ascii="Arial" w:cs="Arial" w:eastAsia="Arial" w:hAnsi="Arial"/>
                <w:sz w:val="17"/>
                <w:szCs w:val="17"/>
                <w:b w:val="1"/>
                <w:bCs w:val="1"/>
                <w:color w:val="auto"/>
                <w:w w:val="98"/>
              </w:rPr>
              <w:t>r (CC</w:t>
            </w:r>
            <w:r>
              <w:rPr>
                <w:rFonts w:ascii="Arial" w:cs="Arial" w:eastAsia="Arial" w:hAnsi="Arial"/>
                <w:sz w:val="22"/>
                <w:szCs w:val="22"/>
                <w:b w:val="1"/>
                <w:bCs w:val="1"/>
                <w:color w:val="auto"/>
                <w:w w:val="98"/>
                <w:vertAlign w:val="superscript"/>
              </w:rPr>
              <w:t>*</w:t>
            </w:r>
            <w:r>
              <w:rPr>
                <w:rFonts w:ascii="Arial" w:cs="Arial" w:eastAsia="Arial" w:hAnsi="Arial"/>
                <w:sz w:val="17"/>
                <w:szCs w:val="17"/>
                <w:b w:val="1"/>
                <w:bCs w:val="1"/>
                <w:color w:val="auto"/>
                <w:w w:val="98"/>
              </w:rPr>
              <w:t>)</w:t>
            </w:r>
          </w:p>
        </w:tc>
      </w:tr>
      <w:tr>
        <w:trPr>
          <w:trHeight w:val="213"/>
        </w:trPr>
        <w:tc>
          <w:tcPr>
            <w:tcW w:w="51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Total Revenue ($ in millions)</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$2,804</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$2,535</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11%</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10%</w:t>
            </w:r>
          </w:p>
        </w:tc>
      </w:tr>
      <w:tr>
        <w:trPr>
          <w:trHeight w:val="220"/>
        </w:trPr>
        <w:tc>
          <w:tcPr>
            <w:tcW w:w="5220" w:type="dxa"/>
            <w:vAlign w:val="bottom"/>
            <w:gridSpan w:val="2"/>
            <w:shd w:val="clear" w:color="auto" w:fill="DBDBDB"/>
          </w:tcPr>
          <w:p>
            <w:pPr>
              <w:ind w:left="20"/>
              <w:spacing w:after="0"/>
              <w:rPr>
                <w:sz w:val="20"/>
                <w:szCs w:val="20"/>
                <w:color w:val="auto"/>
              </w:rPr>
            </w:pPr>
            <w:r>
              <w:rPr>
                <w:rFonts w:ascii="Arial" w:cs="Arial" w:eastAsia="Arial" w:hAnsi="Arial"/>
                <w:sz w:val="17"/>
                <w:szCs w:val="17"/>
                <w:color w:val="auto"/>
              </w:rPr>
              <w:t>GAAP diluted EPS</w:t>
            </w:r>
          </w:p>
        </w:tc>
        <w:tc>
          <w:tcPr>
            <w:tcW w:w="144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$(0.14)</w:t>
            </w:r>
          </w:p>
        </w:tc>
        <w:tc>
          <w:tcPr>
            <w:tcW w:w="100" w:type="dxa"/>
            <w:vAlign w:val="bottom"/>
            <w:shd w:val="clear" w:color="auto" w:fill="DBDBDB"/>
          </w:tcPr>
          <w:p>
            <w:pPr>
              <w:spacing w:after="0"/>
              <w:rPr>
                <w:sz w:val="19"/>
                <w:szCs w:val="19"/>
                <w:color w:val="auto"/>
              </w:rPr>
            </w:pPr>
          </w:p>
        </w:tc>
        <w:tc>
          <w:tcPr>
            <w:tcW w:w="142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8"/>
              </w:rPr>
              <w:t>$3.17</w:t>
            </w:r>
          </w:p>
        </w:tc>
        <w:tc>
          <w:tcPr>
            <w:tcW w:w="100" w:type="dxa"/>
            <w:vAlign w:val="bottom"/>
            <w:shd w:val="clear" w:color="auto" w:fill="DBDBDB"/>
          </w:tcPr>
          <w:p>
            <w:pPr>
              <w:spacing w:after="0"/>
              <w:rPr>
                <w:sz w:val="19"/>
                <w:szCs w:val="19"/>
                <w:color w:val="auto"/>
              </w:rPr>
            </w:pPr>
          </w:p>
        </w:tc>
        <w:tc>
          <w:tcPr>
            <w:tcW w:w="142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DBDBDB"/>
          </w:tcPr>
          <w:p>
            <w:pPr>
              <w:spacing w:after="0"/>
              <w:rPr>
                <w:sz w:val="19"/>
                <w:szCs w:val="19"/>
                <w:color w:val="auto"/>
              </w:rPr>
            </w:pPr>
          </w:p>
        </w:tc>
        <w:tc>
          <w:tcPr>
            <w:tcW w:w="144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N/A</w:t>
            </w:r>
          </w:p>
        </w:tc>
      </w:tr>
      <w:tr>
        <w:trPr>
          <w:trHeight w:val="226"/>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Non-GAAP diluted EPS</w:t>
            </w:r>
          </w:p>
        </w:tc>
        <w:tc>
          <w:tcPr>
            <w:tcW w:w="1440" w:type="dxa"/>
            <w:vAlign w:val="bottom"/>
          </w:tcPr>
          <w:p>
            <w:pPr>
              <w:jc w:val="center"/>
              <w:spacing w:after="0"/>
              <w:rPr>
                <w:sz w:val="20"/>
                <w:szCs w:val="20"/>
                <w:color w:val="auto"/>
              </w:rPr>
            </w:pPr>
            <w:r>
              <w:rPr>
                <w:rFonts w:ascii="Arial" w:cs="Arial" w:eastAsia="Arial" w:hAnsi="Arial"/>
                <w:sz w:val="17"/>
                <w:szCs w:val="17"/>
                <w:color w:val="auto"/>
              </w:rPr>
              <w:t>$2.62</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8"/>
              </w:rPr>
              <w:t>$4.81</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-553720</wp:posOffset>
            </wp:positionV>
            <wp:extent cx="116205" cy="1168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205" cy="116840"/>
                    </a:xfrm>
                    <a:prstGeom prst="rect">
                      <a:avLst/>
                    </a:prstGeom>
                    <a:noFill/>
                  </pic:spPr>
                </pic:pic>
              </a:graphicData>
            </a:graphic>
          </wp:anchor>
        </w:drawing>
      </w:r>
    </w:p>
    <w:p>
      <w:pPr>
        <w:spacing w:after="0" w:line="276" w:lineRule="exact"/>
        <w:rPr>
          <w:sz w:val="20"/>
          <w:szCs w:val="20"/>
          <w:color w:val="auto"/>
        </w:rPr>
      </w:pPr>
    </w:p>
    <w:p>
      <w:pPr>
        <w:ind w:right="600"/>
        <w:spacing w:after="0" w:line="261" w:lineRule="auto"/>
        <w:rPr>
          <w:sz w:val="20"/>
          <w:szCs w:val="20"/>
          <w:color w:val="auto"/>
        </w:rPr>
      </w:pPr>
      <w:r>
        <w:rPr>
          <w:rFonts w:ascii="Arial" w:cs="Arial" w:eastAsia="Arial" w:hAnsi="Arial"/>
          <w:sz w:val="19"/>
          <w:szCs w:val="19"/>
          <w:color w:val="auto"/>
        </w:rPr>
        <w:t>Third quarter 2026 GAAP and Non-GAAP diluted EPS include $284 million of acquired IPR&amp;D, upfront and milestone expense, primarily related to the acquisition of RayThera Inc. as compared to $2 million in the third quarter of 2025.</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Note: Percent changes represented as favorable/(unfavorable) versus the prior year period. N/A = not applicable.</w:t>
      </w:r>
    </w:p>
    <w:p>
      <w:pPr>
        <w:ind w:right="60" w:firstLine="3"/>
        <w:spacing w:after="0" w:line="221" w:lineRule="auto"/>
        <w:tabs>
          <w:tab w:leader="none" w:pos="82"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Percentage changes in revenue growth at constant currency (CC) are presented excluding the impact of changes in foreign currency exchange rates and hedging gains or losses. Foreign currency revenue values are converted into U.S. Dollars using the exchange rates from the end of the previous calendar year.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GAAP to Non-GAAP financial measures can be found in Table 4 at the end of this news release.</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Revenue Summary</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20" w:type="dxa"/>
            <w:vAlign w:val="bottom"/>
            <w:gridSpan w:val="2"/>
          </w:tcPr>
          <w:p>
            <w:pPr>
              <w:ind w:left="20"/>
              <w:spacing w:after="0"/>
              <w:rPr>
                <w:sz w:val="20"/>
                <w:szCs w:val="20"/>
                <w:color w:val="auto"/>
              </w:rPr>
            </w:pPr>
            <w:r>
              <w:rPr>
                <w:rFonts w:ascii="Arial" w:cs="Arial" w:eastAsia="Arial" w:hAnsi="Arial"/>
                <w:sz w:val="17"/>
                <w:szCs w:val="17"/>
                <w:b w:val="1"/>
                <w:bCs w:val="1"/>
                <w:color w:val="auto"/>
              </w:rPr>
              <w:t>($ in millions)</w:t>
            </w:r>
          </w:p>
        </w:tc>
        <w:tc>
          <w:tcPr>
            <w:tcW w:w="15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Q3 '26</w:t>
            </w:r>
          </w:p>
        </w:tc>
        <w:tc>
          <w:tcPr>
            <w:tcW w:w="15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9"/>
              </w:rPr>
              <w:t>Q3 '25</w:t>
            </w:r>
          </w:p>
        </w:tc>
        <w:tc>
          <w:tcPr>
            <w:tcW w:w="1520" w:type="dxa"/>
            <w:vAlign w:val="bottom"/>
            <w:gridSpan w:val="2"/>
          </w:tcPr>
          <w:p>
            <w:pPr>
              <w:jc w:val="center"/>
              <w:ind w:right="100"/>
              <w:spacing w:after="0" w:line="171" w:lineRule="exact"/>
              <w:rPr>
                <w:sz w:val="20"/>
                <w:szCs w:val="20"/>
                <w:color w:val="auto"/>
              </w:rPr>
            </w:pPr>
            <w:r>
              <w:rPr>
                <w:rFonts w:ascii="MS PGothic" w:cs="MS PGothic" w:eastAsia="MS PGothic" w:hAnsi="MS PGothic"/>
                <w:sz w:val="17"/>
                <w:szCs w:val="17"/>
                <w:color w:val="auto"/>
                <w:w w:val="82"/>
              </w:rPr>
              <w:t>△</w:t>
            </w:r>
          </w:p>
        </w:tc>
        <w:tc>
          <w:tcPr>
            <w:tcW w:w="1440" w:type="dxa"/>
            <w:vAlign w:val="bottom"/>
          </w:tcPr>
          <w:p>
            <w:pPr>
              <w:ind w:left="460"/>
              <w:spacing w:after="0"/>
              <w:rPr>
                <w:sz w:val="20"/>
                <w:szCs w:val="20"/>
                <w:color w:val="auto"/>
              </w:rPr>
            </w:pPr>
            <w:r>
              <w:rPr>
                <w:rFonts w:ascii="Arial" w:cs="Arial" w:eastAsia="Arial" w:hAnsi="Arial"/>
                <w:sz w:val="17"/>
                <w:szCs w:val="17"/>
                <w:b w:val="1"/>
                <w:bCs w:val="1"/>
                <w:color w:val="auto"/>
              </w:rPr>
              <w:t>r (CC</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w:t>
            </w:r>
          </w:p>
        </w:tc>
      </w:tr>
      <w:tr>
        <w:trPr>
          <w:trHeight w:val="213"/>
        </w:trPr>
        <w:tc>
          <w:tcPr>
            <w:tcW w:w="5120" w:type="dxa"/>
            <w:vAlign w:val="bottom"/>
            <w:tcBorders>
              <w:top w:val="single" w:sz="8" w:color="auto"/>
            </w:tcBorders>
          </w:tcPr>
          <w:p>
            <w:pPr>
              <w:ind w:left="20"/>
              <w:spacing w:after="0" w:line="212" w:lineRule="exact"/>
              <w:rPr>
                <w:sz w:val="20"/>
                <w:szCs w:val="20"/>
                <w:color w:val="auto"/>
              </w:rPr>
            </w:pPr>
            <w:r>
              <w:rPr>
                <w:rFonts w:ascii="Arial" w:cs="Arial" w:eastAsia="Arial" w:hAnsi="Arial"/>
                <w:sz w:val="17"/>
                <w:szCs w:val="17"/>
                <w:color w:val="auto"/>
              </w:rPr>
              <w:t>Multiple sclerosis (MS) product revenue</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$919</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$1,062</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(13)%</w:t>
            </w:r>
          </w:p>
        </w:tc>
      </w:tr>
      <w:tr>
        <w:trPr>
          <w:trHeight w:val="220"/>
        </w:trPr>
        <w:tc>
          <w:tcPr>
            <w:tcW w:w="5220" w:type="dxa"/>
            <w:vAlign w:val="bottom"/>
            <w:gridSpan w:val="2"/>
            <w:shd w:val="clear" w:color="auto" w:fill="DBDBDB"/>
          </w:tcPr>
          <w:p>
            <w:pPr>
              <w:ind w:left="20"/>
              <w:spacing w:after="0" w:line="220" w:lineRule="exact"/>
              <w:rPr>
                <w:sz w:val="20"/>
                <w:szCs w:val="20"/>
                <w:color w:val="auto"/>
              </w:rPr>
            </w:pPr>
            <w:r>
              <w:rPr>
                <w:rFonts w:ascii="Arial" w:cs="Arial" w:eastAsia="Arial" w:hAnsi="Arial"/>
                <w:sz w:val="17"/>
                <w:szCs w:val="17"/>
                <w:color w:val="auto"/>
              </w:rPr>
              <w:t>Rare disease revenue</w:t>
            </w:r>
            <w:r>
              <w:rPr>
                <w:rFonts w:ascii="Arial" w:cs="Arial" w:eastAsia="Arial" w:hAnsi="Arial"/>
                <w:sz w:val="22"/>
                <w:szCs w:val="22"/>
                <w:color w:val="auto"/>
                <w:vertAlign w:val="superscript"/>
              </w:rPr>
              <w:t>(2)</w:t>
            </w:r>
          </w:p>
        </w:tc>
        <w:tc>
          <w:tcPr>
            <w:tcW w:w="144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$676</w:t>
            </w:r>
          </w:p>
        </w:tc>
        <w:tc>
          <w:tcPr>
            <w:tcW w:w="100" w:type="dxa"/>
            <w:vAlign w:val="bottom"/>
            <w:shd w:val="clear" w:color="auto" w:fill="DBDBDB"/>
          </w:tcPr>
          <w:p>
            <w:pPr>
              <w:spacing w:after="0"/>
              <w:rPr>
                <w:sz w:val="19"/>
                <w:szCs w:val="19"/>
                <w:color w:val="auto"/>
              </w:rPr>
            </w:pPr>
          </w:p>
        </w:tc>
        <w:tc>
          <w:tcPr>
            <w:tcW w:w="142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$533</w:t>
            </w:r>
          </w:p>
        </w:tc>
        <w:tc>
          <w:tcPr>
            <w:tcW w:w="100" w:type="dxa"/>
            <w:vAlign w:val="bottom"/>
            <w:shd w:val="clear" w:color="auto" w:fill="DBDBDB"/>
          </w:tcPr>
          <w:p>
            <w:pPr>
              <w:spacing w:after="0"/>
              <w:rPr>
                <w:sz w:val="19"/>
                <w:szCs w:val="19"/>
                <w:color w:val="auto"/>
              </w:rPr>
            </w:pPr>
          </w:p>
        </w:tc>
        <w:tc>
          <w:tcPr>
            <w:tcW w:w="142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9"/>
              </w:rPr>
              <w:t>27%</w:t>
            </w:r>
          </w:p>
        </w:tc>
        <w:tc>
          <w:tcPr>
            <w:tcW w:w="100" w:type="dxa"/>
            <w:vAlign w:val="bottom"/>
            <w:shd w:val="clear" w:color="auto" w:fill="DBDBDB"/>
          </w:tcPr>
          <w:p>
            <w:pPr>
              <w:spacing w:after="0"/>
              <w:rPr>
                <w:sz w:val="19"/>
                <w:szCs w:val="19"/>
                <w:color w:val="auto"/>
              </w:rPr>
            </w:pPr>
          </w:p>
        </w:tc>
        <w:tc>
          <w:tcPr>
            <w:tcW w:w="144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9"/>
              </w:rPr>
              <w:t>27%</w:t>
            </w:r>
          </w:p>
        </w:tc>
      </w:tr>
      <w:tr>
        <w:trPr>
          <w:trHeight w:val="220"/>
        </w:trPr>
        <w:tc>
          <w:tcPr>
            <w:tcW w:w="522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Specialized immunology revenue</w:t>
            </w:r>
            <w:r>
              <w:rPr>
                <w:rFonts w:ascii="Arial" w:cs="Arial" w:eastAsia="Arial" w:hAnsi="Arial"/>
                <w:sz w:val="22"/>
                <w:szCs w:val="22"/>
                <w:color w:val="auto"/>
                <w:vertAlign w:val="superscript"/>
              </w:rPr>
              <w:t>(3)</w:t>
            </w:r>
          </w:p>
        </w:tc>
        <w:tc>
          <w:tcPr>
            <w:tcW w:w="1440" w:type="dxa"/>
            <w:vAlign w:val="bottom"/>
          </w:tcPr>
          <w:p>
            <w:pPr>
              <w:jc w:val="center"/>
              <w:spacing w:after="0"/>
              <w:rPr>
                <w:sz w:val="20"/>
                <w:szCs w:val="20"/>
                <w:color w:val="auto"/>
              </w:rPr>
            </w:pPr>
            <w:r>
              <w:rPr>
                <w:rFonts w:ascii="Arial" w:cs="Arial" w:eastAsia="Arial" w:hAnsi="Arial"/>
                <w:sz w:val="17"/>
                <w:szCs w:val="17"/>
                <w:color w:val="auto"/>
              </w:rPr>
              <w:t>$243</w:t>
            </w:r>
          </w:p>
        </w:tc>
        <w:tc>
          <w:tcPr>
            <w:tcW w:w="10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w:t>
            </w:r>
          </w:p>
        </w:tc>
        <w:tc>
          <w:tcPr>
            <w:tcW w:w="1520" w:type="dxa"/>
            <w:vAlign w:val="bottom"/>
            <w:gridSpan w:val="2"/>
          </w:tcPr>
          <w:p>
            <w:pPr>
              <w:jc w:val="center"/>
              <w:ind w:right="80"/>
              <w:spacing w:after="0"/>
              <w:rPr>
                <w:sz w:val="20"/>
                <w:szCs w:val="20"/>
                <w:color w:val="auto"/>
              </w:rPr>
            </w:pPr>
            <w:r>
              <w:rPr>
                <w:rFonts w:ascii="Arial" w:cs="Arial" w:eastAsia="Arial" w:hAnsi="Arial"/>
                <w:sz w:val="17"/>
                <w:szCs w:val="17"/>
                <w:color w:val="auto"/>
                <w:w w:val="99"/>
              </w:rPr>
              <w:t>—%</w:t>
            </w:r>
          </w:p>
        </w:tc>
        <w:tc>
          <w:tcPr>
            <w:tcW w:w="1440" w:type="dxa"/>
            <w:vAlign w:val="bottom"/>
          </w:tcPr>
          <w:p>
            <w:pPr>
              <w:jc w:val="center"/>
              <w:spacing w:after="0"/>
              <w:rPr>
                <w:sz w:val="20"/>
                <w:szCs w:val="20"/>
                <w:color w:val="auto"/>
              </w:rPr>
            </w:pPr>
            <w:r>
              <w:rPr>
                <w:rFonts w:ascii="Arial" w:cs="Arial" w:eastAsia="Arial" w:hAnsi="Arial"/>
                <w:sz w:val="17"/>
                <w:szCs w:val="17"/>
                <w:color w:val="auto"/>
                <w:w w:val="99"/>
              </w:rPr>
              <w:t>—%</w:t>
            </w:r>
          </w:p>
        </w:tc>
      </w:tr>
      <w:tr>
        <w:trPr>
          <w:trHeight w:val="220"/>
        </w:trPr>
        <w:tc>
          <w:tcPr>
            <w:tcW w:w="5220" w:type="dxa"/>
            <w:vAlign w:val="bottom"/>
            <w:gridSpan w:val="2"/>
            <w:shd w:val="clear" w:color="auto" w:fill="DBDBDB"/>
          </w:tcPr>
          <w:p>
            <w:pPr>
              <w:ind w:left="20"/>
              <w:spacing w:after="0"/>
              <w:rPr>
                <w:sz w:val="20"/>
                <w:szCs w:val="20"/>
                <w:color w:val="auto"/>
              </w:rPr>
            </w:pPr>
            <w:r>
              <w:rPr>
                <w:rFonts w:ascii="Arial" w:cs="Arial" w:eastAsia="Arial" w:hAnsi="Arial"/>
                <w:sz w:val="17"/>
                <w:szCs w:val="17"/>
                <w:color w:val="auto"/>
              </w:rPr>
              <w:t>Biosimilars revenue</w:t>
            </w:r>
          </w:p>
        </w:tc>
        <w:tc>
          <w:tcPr>
            <w:tcW w:w="144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$166</w:t>
            </w:r>
          </w:p>
        </w:tc>
        <w:tc>
          <w:tcPr>
            <w:tcW w:w="100" w:type="dxa"/>
            <w:vAlign w:val="bottom"/>
            <w:shd w:val="clear" w:color="auto" w:fill="DBDBDB"/>
          </w:tcPr>
          <w:p>
            <w:pPr>
              <w:spacing w:after="0"/>
              <w:rPr>
                <w:sz w:val="19"/>
                <w:szCs w:val="19"/>
                <w:color w:val="auto"/>
              </w:rPr>
            </w:pPr>
          </w:p>
        </w:tc>
        <w:tc>
          <w:tcPr>
            <w:tcW w:w="142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$197</w:t>
            </w:r>
          </w:p>
        </w:tc>
        <w:tc>
          <w:tcPr>
            <w:tcW w:w="100" w:type="dxa"/>
            <w:vAlign w:val="bottom"/>
            <w:shd w:val="clear" w:color="auto" w:fill="DBDBDB"/>
          </w:tcPr>
          <w:p>
            <w:pPr>
              <w:spacing w:after="0"/>
              <w:rPr>
                <w:sz w:val="19"/>
                <w:szCs w:val="19"/>
                <w:color w:val="auto"/>
              </w:rPr>
            </w:pPr>
          </w:p>
        </w:tc>
        <w:tc>
          <w:tcPr>
            <w:tcW w:w="142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(16)%</w:t>
            </w:r>
          </w:p>
        </w:tc>
        <w:tc>
          <w:tcPr>
            <w:tcW w:w="100" w:type="dxa"/>
            <w:vAlign w:val="bottom"/>
            <w:shd w:val="clear" w:color="auto" w:fill="DBDBDB"/>
          </w:tcPr>
          <w:p>
            <w:pPr>
              <w:spacing w:after="0"/>
              <w:rPr>
                <w:sz w:val="19"/>
                <w:szCs w:val="19"/>
                <w:color w:val="auto"/>
              </w:rPr>
            </w:pPr>
          </w:p>
        </w:tc>
        <w:tc>
          <w:tcPr>
            <w:tcW w:w="144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(19)%</w:t>
            </w:r>
          </w:p>
        </w:tc>
      </w:tr>
      <w:tr>
        <w:trPr>
          <w:trHeight w:val="220"/>
        </w:trPr>
        <w:tc>
          <w:tcPr>
            <w:tcW w:w="5220" w:type="dxa"/>
            <w:vAlign w:val="bottom"/>
            <w:tcBorders>
              <w:bottom w:val="single" w:sz="8" w:color="DBDBDB"/>
            </w:tcBorders>
            <w:gridSpan w:val="2"/>
          </w:tcPr>
          <w:p>
            <w:pPr>
              <w:ind w:left="20"/>
              <w:spacing w:after="0" w:line="220" w:lineRule="exact"/>
              <w:rPr>
                <w:sz w:val="20"/>
                <w:szCs w:val="20"/>
                <w:color w:val="auto"/>
              </w:rPr>
            </w:pPr>
            <w:r>
              <w:rPr>
                <w:rFonts w:ascii="Arial" w:cs="Arial" w:eastAsia="Arial" w:hAnsi="Arial"/>
                <w:sz w:val="17"/>
                <w:szCs w:val="17"/>
                <w:color w:val="auto"/>
              </w:rPr>
              <w:t>Other product revenue</w:t>
            </w:r>
            <w:r>
              <w:rPr>
                <w:rFonts w:ascii="Arial" w:cs="Arial" w:eastAsia="Arial" w:hAnsi="Arial"/>
                <w:sz w:val="22"/>
                <w:szCs w:val="22"/>
                <w:color w:val="auto"/>
                <w:vertAlign w:val="superscript"/>
              </w:rPr>
              <w:t>(4)</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$84</w:t>
            </w:r>
          </w:p>
        </w:tc>
        <w:tc>
          <w:tcPr>
            <w:tcW w:w="100" w:type="dxa"/>
            <w:vAlign w:val="bottom"/>
            <w:tcBorders>
              <w:bottom w:val="single" w:sz="8" w:color="DBDBDB"/>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DBDBDB"/>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53%</w:t>
            </w:r>
          </w:p>
        </w:tc>
        <w:tc>
          <w:tcPr>
            <w:tcW w:w="100" w:type="dxa"/>
            <w:vAlign w:val="bottom"/>
            <w:tcBorders>
              <w:bottom w:val="single" w:sz="8" w:color="DBDBDB"/>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53%</w:t>
            </w:r>
          </w:p>
        </w:tc>
      </w:tr>
      <w:tr>
        <w:trPr>
          <w:trHeight w:val="213"/>
        </w:trPr>
        <w:tc>
          <w:tcPr>
            <w:tcW w:w="5220" w:type="dxa"/>
            <w:vAlign w:val="bottom"/>
            <w:gridSpan w:val="2"/>
            <w:shd w:val="clear" w:color="auto" w:fill="DBDBDB"/>
          </w:tcPr>
          <w:p>
            <w:pPr>
              <w:ind w:left="20"/>
              <w:spacing w:after="0"/>
              <w:rPr>
                <w:sz w:val="20"/>
                <w:szCs w:val="20"/>
                <w:color w:val="auto"/>
              </w:rPr>
            </w:pPr>
            <w:r>
              <w:rPr>
                <w:rFonts w:ascii="Arial" w:cs="Arial" w:eastAsia="Arial" w:hAnsi="Arial"/>
                <w:sz w:val="17"/>
                <w:szCs w:val="17"/>
                <w:color w:val="auto"/>
              </w:rPr>
              <w:t>Total product revenue</w:t>
            </w:r>
          </w:p>
        </w:tc>
        <w:tc>
          <w:tcPr>
            <w:tcW w:w="144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9"/>
              </w:rPr>
              <w:t>$2,089</w:t>
            </w:r>
          </w:p>
        </w:tc>
        <w:tc>
          <w:tcPr>
            <w:tcW w:w="100" w:type="dxa"/>
            <w:vAlign w:val="bottom"/>
            <w:shd w:val="clear" w:color="auto" w:fill="DBDBDB"/>
          </w:tcPr>
          <w:p>
            <w:pPr>
              <w:spacing w:after="0"/>
              <w:rPr>
                <w:sz w:val="18"/>
                <w:szCs w:val="18"/>
                <w:color w:val="auto"/>
              </w:rPr>
            </w:pPr>
          </w:p>
        </w:tc>
        <w:tc>
          <w:tcPr>
            <w:tcW w:w="142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$1,847</w:t>
            </w:r>
          </w:p>
        </w:tc>
        <w:tc>
          <w:tcPr>
            <w:tcW w:w="100" w:type="dxa"/>
            <w:vAlign w:val="bottom"/>
            <w:shd w:val="clear" w:color="auto" w:fill="DBDBDB"/>
          </w:tcPr>
          <w:p>
            <w:pPr>
              <w:spacing w:after="0"/>
              <w:rPr>
                <w:sz w:val="18"/>
                <w:szCs w:val="18"/>
                <w:color w:val="auto"/>
              </w:rPr>
            </w:pPr>
          </w:p>
        </w:tc>
        <w:tc>
          <w:tcPr>
            <w:tcW w:w="142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9"/>
              </w:rPr>
              <w:t>13%</w:t>
            </w:r>
          </w:p>
        </w:tc>
        <w:tc>
          <w:tcPr>
            <w:tcW w:w="100" w:type="dxa"/>
            <w:vAlign w:val="bottom"/>
            <w:shd w:val="clear" w:color="auto" w:fill="DBDBDB"/>
          </w:tcPr>
          <w:p>
            <w:pPr>
              <w:spacing w:after="0"/>
              <w:rPr>
                <w:sz w:val="18"/>
                <w:szCs w:val="18"/>
                <w:color w:val="auto"/>
              </w:rPr>
            </w:pPr>
          </w:p>
        </w:tc>
        <w:tc>
          <w:tcPr>
            <w:tcW w:w="144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9"/>
              </w:rPr>
              <w:t>13%</w:t>
            </w:r>
          </w:p>
        </w:tc>
      </w:tr>
      <w:tr>
        <w:trPr>
          <w:trHeight w:val="220"/>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Revenue from anti-CD20 therapeutic programs</w:t>
            </w:r>
          </w:p>
        </w:tc>
        <w:tc>
          <w:tcPr>
            <w:tcW w:w="1440" w:type="dxa"/>
            <w:vAlign w:val="bottom"/>
          </w:tcPr>
          <w:p>
            <w:pPr>
              <w:jc w:val="center"/>
              <w:spacing w:after="0"/>
              <w:rPr>
                <w:sz w:val="20"/>
                <w:szCs w:val="20"/>
                <w:color w:val="auto"/>
              </w:rPr>
            </w:pPr>
            <w:r>
              <w:rPr>
                <w:rFonts w:ascii="Arial" w:cs="Arial" w:eastAsia="Arial" w:hAnsi="Arial"/>
                <w:sz w:val="17"/>
                <w:szCs w:val="17"/>
                <w:color w:val="auto"/>
              </w:rPr>
              <w:t>$497</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$494</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rPr>
              <w:t>1%</w:t>
            </w:r>
          </w:p>
        </w:tc>
      </w:tr>
      <w:tr>
        <w:trPr>
          <w:trHeight w:val="220"/>
        </w:trPr>
        <w:tc>
          <w:tcPr>
            <w:tcW w:w="5220" w:type="dxa"/>
            <w:vAlign w:val="bottom"/>
            <w:gridSpan w:val="2"/>
            <w:shd w:val="clear" w:color="auto" w:fill="DBDBDB"/>
          </w:tcPr>
          <w:p>
            <w:pPr>
              <w:ind w:left="20"/>
              <w:spacing w:after="0" w:line="220" w:lineRule="exact"/>
              <w:rPr>
                <w:sz w:val="20"/>
                <w:szCs w:val="20"/>
                <w:color w:val="auto"/>
              </w:rPr>
            </w:pPr>
            <w:r>
              <w:rPr>
                <w:rFonts w:ascii="Arial" w:cs="Arial" w:eastAsia="Arial" w:hAnsi="Arial"/>
                <w:sz w:val="17"/>
                <w:szCs w:val="17"/>
                <w:color w:val="auto"/>
              </w:rPr>
              <w:t>Alzheimer's collaboration revenue</w:t>
            </w:r>
            <w:r>
              <w:rPr>
                <w:rFonts w:ascii="Arial" w:cs="Arial" w:eastAsia="Arial" w:hAnsi="Arial"/>
                <w:sz w:val="22"/>
                <w:szCs w:val="22"/>
                <w:color w:val="auto"/>
                <w:vertAlign w:val="superscript"/>
              </w:rPr>
              <w:t>(5)</w:t>
            </w:r>
          </w:p>
        </w:tc>
        <w:tc>
          <w:tcPr>
            <w:tcW w:w="144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8"/>
              </w:rPr>
              <w:t>$68</w:t>
            </w:r>
          </w:p>
        </w:tc>
        <w:tc>
          <w:tcPr>
            <w:tcW w:w="100" w:type="dxa"/>
            <w:vAlign w:val="bottom"/>
            <w:shd w:val="clear" w:color="auto" w:fill="DBDBDB"/>
          </w:tcPr>
          <w:p>
            <w:pPr>
              <w:spacing w:after="0"/>
              <w:rPr>
                <w:sz w:val="19"/>
                <w:szCs w:val="19"/>
                <w:color w:val="auto"/>
              </w:rPr>
            </w:pPr>
          </w:p>
        </w:tc>
        <w:tc>
          <w:tcPr>
            <w:tcW w:w="142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$43</w:t>
            </w:r>
          </w:p>
        </w:tc>
        <w:tc>
          <w:tcPr>
            <w:tcW w:w="100" w:type="dxa"/>
            <w:vAlign w:val="bottom"/>
            <w:shd w:val="clear" w:color="auto" w:fill="DBDBDB"/>
          </w:tcPr>
          <w:p>
            <w:pPr>
              <w:spacing w:after="0"/>
              <w:rPr>
                <w:sz w:val="19"/>
                <w:szCs w:val="19"/>
                <w:color w:val="auto"/>
              </w:rPr>
            </w:pPr>
          </w:p>
        </w:tc>
        <w:tc>
          <w:tcPr>
            <w:tcW w:w="142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9"/>
              </w:rPr>
              <w:t>60%</w:t>
            </w:r>
          </w:p>
        </w:tc>
        <w:tc>
          <w:tcPr>
            <w:tcW w:w="100" w:type="dxa"/>
            <w:vAlign w:val="bottom"/>
            <w:shd w:val="clear" w:color="auto" w:fill="DBDBDB"/>
          </w:tcPr>
          <w:p>
            <w:pPr>
              <w:spacing w:after="0"/>
              <w:rPr>
                <w:sz w:val="19"/>
                <w:szCs w:val="19"/>
                <w:color w:val="auto"/>
              </w:rPr>
            </w:pPr>
          </w:p>
        </w:tc>
        <w:tc>
          <w:tcPr>
            <w:tcW w:w="1440" w:type="dxa"/>
            <w:vAlign w:val="bottom"/>
            <w:shd w:val="clear" w:color="auto" w:fill="DBDBDB"/>
          </w:tcPr>
          <w:p>
            <w:pPr>
              <w:jc w:val="center"/>
              <w:spacing w:after="0"/>
              <w:rPr>
                <w:sz w:val="20"/>
                <w:szCs w:val="20"/>
                <w:color w:val="auto"/>
              </w:rPr>
            </w:pPr>
            <w:r>
              <w:rPr>
                <w:rFonts w:ascii="Arial" w:cs="Arial" w:eastAsia="Arial" w:hAnsi="Arial"/>
                <w:sz w:val="17"/>
                <w:szCs w:val="17"/>
                <w:color w:val="auto"/>
                <w:w w:val="99"/>
              </w:rPr>
              <w:t>60%</w:t>
            </w:r>
          </w:p>
        </w:tc>
      </w:tr>
      <w:tr>
        <w:trPr>
          <w:trHeight w:val="220"/>
        </w:trPr>
        <w:tc>
          <w:tcPr>
            <w:tcW w:w="5220" w:type="dxa"/>
            <w:vAlign w:val="bottom"/>
            <w:tcBorders>
              <w:bottom w:val="single" w:sz="8" w:color="DBDBDB"/>
            </w:tcBorders>
            <w:gridSpan w:val="2"/>
          </w:tcPr>
          <w:p>
            <w:pPr>
              <w:ind w:left="20"/>
              <w:spacing w:after="0"/>
              <w:rPr>
                <w:sz w:val="20"/>
                <w:szCs w:val="20"/>
                <w:color w:val="auto"/>
              </w:rPr>
            </w:pPr>
            <w:r>
              <w:rPr>
                <w:rFonts w:ascii="Arial" w:cs="Arial" w:eastAsia="Arial" w:hAnsi="Arial"/>
                <w:sz w:val="17"/>
                <w:szCs w:val="17"/>
                <w:color w:val="auto"/>
              </w:rPr>
              <w:t>Contract manufacturing, royalty and other revenue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DBDBDB"/>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$151</w:t>
            </w:r>
          </w:p>
        </w:tc>
        <w:tc>
          <w:tcPr>
            <w:tcW w:w="100" w:type="dxa"/>
            <w:vAlign w:val="bottom"/>
            <w:tcBorders>
              <w:bottom w:val="single" w:sz="8" w:color="DBDBDB"/>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DBDBDB"/>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(1)%</w:t>
            </w:r>
          </w:p>
        </w:tc>
      </w:tr>
      <w:tr>
        <w:trPr>
          <w:trHeight w:val="213"/>
        </w:trPr>
        <w:tc>
          <w:tcPr>
            <w:tcW w:w="5220" w:type="dxa"/>
            <w:vAlign w:val="bottom"/>
            <w:gridSpan w:val="2"/>
            <w:shd w:val="clear" w:color="auto" w:fill="DBDBDB"/>
          </w:tcPr>
          <w:p>
            <w:pPr>
              <w:ind w:left="20"/>
              <w:spacing w:after="0"/>
              <w:rPr>
                <w:sz w:val="20"/>
                <w:szCs w:val="20"/>
                <w:color w:val="auto"/>
              </w:rPr>
            </w:pPr>
            <w:r>
              <w:rPr>
                <w:rFonts w:ascii="Arial" w:cs="Arial" w:eastAsia="Arial" w:hAnsi="Arial"/>
                <w:sz w:val="17"/>
                <w:szCs w:val="17"/>
                <w:b w:val="1"/>
                <w:bCs w:val="1"/>
                <w:color w:val="auto"/>
              </w:rPr>
              <w:t>Total revenue</w:t>
            </w:r>
          </w:p>
        </w:tc>
        <w:tc>
          <w:tcPr>
            <w:tcW w:w="1440" w:type="dxa"/>
            <w:vAlign w:val="bottom"/>
            <w:shd w:val="clear" w:color="auto" w:fill="DBDBDB"/>
          </w:tcPr>
          <w:p>
            <w:pPr>
              <w:jc w:val="center"/>
              <w:spacing w:after="0"/>
              <w:rPr>
                <w:sz w:val="20"/>
                <w:szCs w:val="20"/>
                <w:color w:val="auto"/>
              </w:rPr>
            </w:pPr>
            <w:r>
              <w:rPr>
                <w:rFonts w:ascii="Arial" w:cs="Arial" w:eastAsia="Arial" w:hAnsi="Arial"/>
                <w:sz w:val="17"/>
                <w:szCs w:val="17"/>
                <w:b w:val="1"/>
                <w:bCs w:val="1"/>
                <w:color w:val="auto"/>
                <w:w w:val="99"/>
              </w:rPr>
              <w:t>$2,804</w:t>
            </w:r>
          </w:p>
        </w:tc>
        <w:tc>
          <w:tcPr>
            <w:tcW w:w="100" w:type="dxa"/>
            <w:vAlign w:val="bottom"/>
            <w:shd w:val="clear" w:color="auto" w:fill="DBDBDB"/>
          </w:tcPr>
          <w:p>
            <w:pPr>
              <w:spacing w:after="0"/>
              <w:rPr>
                <w:sz w:val="18"/>
                <w:szCs w:val="18"/>
                <w:color w:val="auto"/>
              </w:rPr>
            </w:pPr>
          </w:p>
        </w:tc>
        <w:tc>
          <w:tcPr>
            <w:tcW w:w="1420" w:type="dxa"/>
            <w:vAlign w:val="bottom"/>
            <w:shd w:val="clear" w:color="auto" w:fill="DBDBDB"/>
          </w:tcPr>
          <w:p>
            <w:pPr>
              <w:jc w:val="center"/>
              <w:spacing w:after="0"/>
              <w:rPr>
                <w:sz w:val="20"/>
                <w:szCs w:val="20"/>
                <w:color w:val="auto"/>
              </w:rPr>
            </w:pPr>
            <w:r>
              <w:rPr>
                <w:rFonts w:ascii="Arial" w:cs="Arial" w:eastAsia="Arial" w:hAnsi="Arial"/>
                <w:sz w:val="17"/>
                <w:szCs w:val="17"/>
                <w:b w:val="1"/>
                <w:bCs w:val="1"/>
                <w:color w:val="auto"/>
              </w:rPr>
              <w:t>$2,535</w:t>
            </w:r>
          </w:p>
        </w:tc>
        <w:tc>
          <w:tcPr>
            <w:tcW w:w="100" w:type="dxa"/>
            <w:vAlign w:val="bottom"/>
            <w:shd w:val="clear" w:color="auto" w:fill="DBDBDB"/>
          </w:tcPr>
          <w:p>
            <w:pPr>
              <w:spacing w:after="0"/>
              <w:rPr>
                <w:sz w:val="18"/>
                <w:szCs w:val="18"/>
                <w:color w:val="auto"/>
              </w:rPr>
            </w:pPr>
          </w:p>
        </w:tc>
        <w:tc>
          <w:tcPr>
            <w:tcW w:w="1420" w:type="dxa"/>
            <w:vAlign w:val="bottom"/>
            <w:shd w:val="clear" w:color="auto" w:fill="DBDBDB"/>
          </w:tcPr>
          <w:p>
            <w:pPr>
              <w:jc w:val="center"/>
              <w:spacing w:after="0"/>
              <w:rPr>
                <w:sz w:val="20"/>
                <w:szCs w:val="20"/>
                <w:color w:val="auto"/>
              </w:rPr>
            </w:pPr>
            <w:r>
              <w:rPr>
                <w:rFonts w:ascii="Arial" w:cs="Arial" w:eastAsia="Arial" w:hAnsi="Arial"/>
                <w:sz w:val="17"/>
                <w:szCs w:val="17"/>
                <w:b w:val="1"/>
                <w:bCs w:val="1"/>
                <w:color w:val="auto"/>
                <w:w w:val="99"/>
              </w:rPr>
              <w:t>11%</w:t>
            </w:r>
          </w:p>
        </w:tc>
        <w:tc>
          <w:tcPr>
            <w:tcW w:w="100" w:type="dxa"/>
            <w:vAlign w:val="bottom"/>
            <w:shd w:val="clear" w:color="auto" w:fill="DBDBDB"/>
          </w:tcPr>
          <w:p>
            <w:pPr>
              <w:spacing w:after="0"/>
              <w:rPr>
                <w:sz w:val="18"/>
                <w:szCs w:val="18"/>
                <w:color w:val="auto"/>
              </w:rPr>
            </w:pPr>
          </w:p>
        </w:tc>
        <w:tc>
          <w:tcPr>
            <w:tcW w:w="1440" w:type="dxa"/>
            <w:vAlign w:val="bottom"/>
            <w:shd w:val="clear" w:color="auto" w:fill="DBDBDB"/>
          </w:tcPr>
          <w:p>
            <w:pPr>
              <w:jc w:val="center"/>
              <w:spacing w:after="0"/>
              <w:rPr>
                <w:sz w:val="20"/>
                <w:szCs w:val="20"/>
                <w:color w:val="auto"/>
              </w:rPr>
            </w:pPr>
            <w:r>
              <w:rPr>
                <w:rFonts w:ascii="Arial" w:cs="Arial" w:eastAsia="Arial" w:hAnsi="Arial"/>
                <w:sz w:val="17"/>
                <w:szCs w:val="17"/>
                <w:b w:val="1"/>
                <w:bCs w:val="1"/>
                <w:color w:val="auto"/>
                <w:w w:val="99"/>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-1543685</wp:posOffset>
            </wp:positionV>
            <wp:extent cx="116205" cy="1168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205" cy="11684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Note: Percent changes represented as favorable/(unfavorable) versus the prior year period. Numbers may not foot or recalculate due to rounding.</w:t>
      </w:r>
    </w:p>
    <w:p>
      <w:pPr>
        <w:ind w:left="160" w:hanging="157"/>
        <w:spacing w:after="0" w:line="187" w:lineRule="auto"/>
        <w:tabs>
          <w:tab w:leader="none" w:pos="16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Multiple sclerosis includes TECFIDERA®, VUMERITY®, AVONEX®, PLEGRIDY® and TYSABRI®</w:t>
      </w:r>
    </w:p>
    <w:p>
      <w:pPr>
        <w:ind w:left="160" w:hanging="157"/>
        <w:spacing w:after="0" w:line="198" w:lineRule="auto"/>
        <w:tabs>
          <w:tab w:leader="none" w:pos="16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Rare disease includes SPINRAZA®, SKYCLARYS® and QALSODY®</w:t>
      </w:r>
    </w:p>
    <w:p>
      <w:pPr>
        <w:ind w:left="160" w:hanging="157"/>
        <w:spacing w:after="0" w:line="184" w:lineRule="auto"/>
        <w:tabs>
          <w:tab w:leader="none" w:pos="16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Specialized immunology includes EMPAVELI® and SYFOVRE®</w:t>
      </w:r>
    </w:p>
    <w:p>
      <w:pPr>
        <w:ind w:left="160" w:hanging="157"/>
        <w:spacing w:after="0" w:line="198" w:lineRule="auto"/>
        <w:tabs>
          <w:tab w:leader="none" w:pos="16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Other includes ZURZUVAE®</w:t>
      </w:r>
    </w:p>
    <w:p>
      <w:pPr>
        <w:ind w:left="160" w:hanging="157"/>
        <w:spacing w:after="0" w:line="209" w:lineRule="auto"/>
        <w:tabs>
          <w:tab w:leader="none" w:pos="16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Includes Biogen’s 50% share of net revenue and cost of sales, including royalties, from the LEQEMBI® Collaboration</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Expense Summary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40" w:type="dxa"/>
            <w:vAlign w:val="bottom"/>
          </w:tcPr>
          <w:p>
            <w:pPr>
              <w:ind w:left="20"/>
              <w:spacing w:after="0"/>
              <w:rPr>
                <w:sz w:val="20"/>
                <w:szCs w:val="20"/>
                <w:color w:val="auto"/>
              </w:rPr>
            </w:pPr>
            <w:r>
              <w:rPr>
                <w:rFonts w:ascii="Arial" w:cs="Arial" w:eastAsia="Arial" w:hAnsi="Arial"/>
                <w:sz w:val="17"/>
                <w:szCs w:val="17"/>
                <w:b w:val="1"/>
                <w:bCs w:val="1"/>
                <w:color w:val="auto"/>
              </w:rPr>
              <w:t>($ in millions)</w:t>
            </w:r>
          </w:p>
        </w:tc>
        <w:tc>
          <w:tcPr>
            <w:tcW w:w="10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9"/>
              </w:rPr>
              <w:t>Q3 '26</w:t>
            </w:r>
          </w:p>
        </w:tc>
        <w:tc>
          <w:tcPr>
            <w:tcW w:w="18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Q3 '25</w:t>
            </w:r>
          </w:p>
        </w:tc>
        <w:tc>
          <w:tcPr>
            <w:tcW w:w="13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4"/>
        </w:trPr>
        <w:tc>
          <w:tcPr>
            <w:tcW w:w="6140" w:type="dxa"/>
            <w:vAlign w:val="bottom"/>
            <w:tcBorders>
              <w:top w:val="single" w:sz="8" w:color="auto"/>
            </w:tcBorders>
          </w:tcPr>
          <w:p>
            <w:pPr>
              <w:ind w:left="20"/>
              <w:spacing w:after="0" w:line="213" w:lineRule="exact"/>
              <w:rPr>
                <w:sz w:val="20"/>
                <w:szCs w:val="20"/>
                <w:color w:val="auto"/>
              </w:rPr>
            </w:pPr>
            <w:r>
              <w:rPr>
                <w:rFonts w:ascii="Arial" w:cs="Arial" w:eastAsia="Arial" w:hAnsi="Arial"/>
                <w:sz w:val="17"/>
                <w:szCs w:val="17"/>
                <w:color w:val="auto"/>
              </w:rPr>
              <w:t>GAAP cost of sales</w:t>
            </w:r>
            <w:r>
              <w:rPr>
                <w:rFonts w:ascii="Arial" w:cs="Arial" w:eastAsia="Arial" w:hAnsi="Arial"/>
                <w:sz w:val="22"/>
                <w:szCs w:val="22"/>
                <w:color w:val="auto"/>
                <w:vertAlign w:val="superscript"/>
              </w:rPr>
              <w:t>*</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$748</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$674</w:t>
            </w:r>
          </w:p>
        </w:tc>
        <w:tc>
          <w:tcPr>
            <w:tcW w:w="80" w:type="dxa"/>
            <w:vAlign w:val="bottom"/>
          </w:tcPr>
          <w:p>
            <w:pPr>
              <w:spacing w:after="0"/>
              <w:rPr>
                <w:sz w:val="18"/>
                <w:szCs w:val="18"/>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6"/>
              </w:rPr>
              <w:t>(11)%</w:t>
            </w:r>
          </w:p>
        </w:tc>
      </w:tr>
      <w:tr>
        <w:trPr>
          <w:trHeight w:val="205"/>
        </w:trPr>
        <w:tc>
          <w:tcPr>
            <w:tcW w:w="6140" w:type="dxa"/>
            <w:vAlign w:val="bottom"/>
          </w:tcPr>
          <w:p>
            <w:pPr>
              <w:ind w:left="220"/>
              <w:spacing w:after="0"/>
              <w:rPr>
                <w:sz w:val="20"/>
                <w:szCs w:val="20"/>
                <w:color w:val="auto"/>
              </w:rPr>
            </w:pPr>
            <w:r>
              <w:rPr>
                <w:rFonts w:ascii="Arial" w:cs="Arial" w:eastAsia="Arial" w:hAnsi="Arial"/>
                <w:sz w:val="16"/>
                <w:szCs w:val="16"/>
                <w:i w:val="1"/>
                <w:iCs w:val="1"/>
                <w:color w:val="auto"/>
              </w:rPr>
              <w:t>% of Total Revenue</w:t>
            </w:r>
          </w:p>
        </w:tc>
        <w:tc>
          <w:tcPr>
            <w:tcW w:w="1840" w:type="dxa"/>
            <w:vAlign w:val="bottom"/>
            <w:gridSpan w:val="2"/>
          </w:tcPr>
          <w:p>
            <w:pPr>
              <w:jc w:val="center"/>
              <w:ind w:left="16"/>
              <w:spacing w:after="0"/>
              <w:rPr>
                <w:sz w:val="20"/>
                <w:szCs w:val="20"/>
                <w:color w:val="auto"/>
              </w:rPr>
            </w:pPr>
            <w:r>
              <w:rPr>
                <w:rFonts w:ascii="Arial" w:cs="Arial" w:eastAsia="Arial" w:hAnsi="Arial"/>
                <w:sz w:val="16"/>
                <w:szCs w:val="16"/>
                <w:i w:val="1"/>
                <w:iCs w:val="1"/>
                <w:color w:val="auto"/>
                <w:w w:val="93"/>
              </w:rPr>
              <w:t>27%</w:t>
            </w: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i w:val="1"/>
                <w:iCs w:val="1"/>
                <w:color w:val="auto"/>
                <w:w w:val="99"/>
              </w:rPr>
              <w:t>27%</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1"/>
        </w:trPr>
        <w:tc>
          <w:tcPr>
            <w:tcW w:w="6140" w:type="dxa"/>
            <w:vAlign w:val="bottom"/>
            <w:shd w:val="clear" w:color="auto" w:fill="DBDBDB"/>
          </w:tcPr>
          <w:p>
            <w:pPr>
              <w:ind w:left="20"/>
              <w:spacing w:after="0" w:line="221" w:lineRule="exact"/>
              <w:rPr>
                <w:sz w:val="20"/>
                <w:szCs w:val="20"/>
                <w:color w:val="auto"/>
              </w:rPr>
            </w:pPr>
            <w:r>
              <w:rPr>
                <w:rFonts w:ascii="Arial" w:cs="Arial" w:eastAsia="Arial" w:hAnsi="Arial"/>
                <w:sz w:val="17"/>
                <w:szCs w:val="17"/>
                <w:color w:val="auto"/>
              </w:rPr>
              <w:t>Non-GAAP cost of sales</w:t>
            </w:r>
            <w:r>
              <w:rPr>
                <w:rFonts w:ascii="Arial" w:cs="Arial" w:eastAsia="Arial" w:hAnsi="Arial"/>
                <w:sz w:val="22"/>
                <w:szCs w:val="22"/>
                <w:color w:val="auto"/>
                <w:vertAlign w:val="superscript"/>
              </w:rPr>
              <w:t>*</w:t>
            </w:r>
          </w:p>
        </w:tc>
        <w:tc>
          <w:tcPr>
            <w:tcW w:w="1840" w:type="dxa"/>
            <w:vAlign w:val="bottom"/>
            <w:gridSpan w:val="2"/>
            <w:shd w:val="clear" w:color="auto" w:fill="DBDBDB"/>
          </w:tcPr>
          <w:p>
            <w:pPr>
              <w:jc w:val="center"/>
              <w:ind w:left="16"/>
              <w:spacing w:after="0"/>
              <w:rPr>
                <w:sz w:val="20"/>
                <w:szCs w:val="20"/>
                <w:color w:val="auto"/>
              </w:rPr>
            </w:pPr>
            <w:r>
              <w:rPr>
                <w:rFonts w:ascii="Arial" w:cs="Arial" w:eastAsia="Arial" w:hAnsi="Arial"/>
                <w:sz w:val="17"/>
                <w:szCs w:val="17"/>
                <w:color w:val="auto"/>
              </w:rPr>
              <w:t>$553</w:t>
            </w:r>
          </w:p>
        </w:tc>
        <w:tc>
          <w:tcPr>
            <w:tcW w:w="100" w:type="dxa"/>
            <w:vAlign w:val="bottom"/>
            <w:shd w:val="clear" w:color="auto" w:fill="DBDBDB"/>
          </w:tcPr>
          <w:p>
            <w:pPr>
              <w:spacing w:after="0"/>
              <w:rPr>
                <w:sz w:val="19"/>
                <w:szCs w:val="19"/>
                <w:color w:val="auto"/>
              </w:rPr>
            </w:pPr>
          </w:p>
        </w:tc>
        <w:tc>
          <w:tcPr>
            <w:tcW w:w="176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$510</w:t>
            </w:r>
          </w:p>
        </w:tc>
        <w:tc>
          <w:tcPr>
            <w:tcW w:w="80" w:type="dxa"/>
            <w:vAlign w:val="bottom"/>
            <w:shd w:val="clear" w:color="auto" w:fill="DBDBDB"/>
          </w:tcPr>
          <w:p>
            <w:pPr>
              <w:spacing w:after="0"/>
              <w:rPr>
                <w:sz w:val="19"/>
                <w:szCs w:val="19"/>
                <w:color w:val="auto"/>
              </w:rPr>
            </w:pPr>
          </w:p>
        </w:tc>
        <w:tc>
          <w:tcPr>
            <w:tcW w:w="132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(8)%</w:t>
            </w:r>
          </w:p>
        </w:tc>
      </w:tr>
      <w:tr>
        <w:trPr>
          <w:trHeight w:val="207"/>
        </w:trPr>
        <w:tc>
          <w:tcPr>
            <w:tcW w:w="6140" w:type="dxa"/>
            <w:vAlign w:val="bottom"/>
            <w:shd w:val="clear" w:color="auto" w:fill="DBDBDB"/>
          </w:tcPr>
          <w:p>
            <w:pPr>
              <w:ind w:left="220"/>
              <w:spacing w:after="0"/>
              <w:rPr>
                <w:sz w:val="20"/>
                <w:szCs w:val="20"/>
                <w:color w:val="auto"/>
              </w:rPr>
            </w:pPr>
            <w:r>
              <w:rPr>
                <w:rFonts w:ascii="Arial" w:cs="Arial" w:eastAsia="Arial" w:hAnsi="Arial"/>
                <w:sz w:val="16"/>
                <w:szCs w:val="16"/>
                <w:i w:val="1"/>
                <w:iCs w:val="1"/>
                <w:color w:val="auto"/>
              </w:rPr>
              <w:t>% of Total Revenue</w:t>
            </w:r>
          </w:p>
        </w:tc>
        <w:tc>
          <w:tcPr>
            <w:tcW w:w="1840" w:type="dxa"/>
            <w:vAlign w:val="bottom"/>
            <w:gridSpan w:val="2"/>
            <w:shd w:val="clear" w:color="auto" w:fill="DBDBDB"/>
          </w:tcPr>
          <w:p>
            <w:pPr>
              <w:jc w:val="center"/>
              <w:ind w:left="16"/>
              <w:spacing w:after="0"/>
              <w:rPr>
                <w:sz w:val="20"/>
                <w:szCs w:val="20"/>
                <w:color w:val="auto"/>
              </w:rPr>
            </w:pPr>
            <w:r>
              <w:rPr>
                <w:rFonts w:ascii="Arial" w:cs="Arial" w:eastAsia="Arial" w:hAnsi="Arial"/>
                <w:sz w:val="16"/>
                <w:szCs w:val="16"/>
                <w:i w:val="1"/>
                <w:iCs w:val="1"/>
                <w:color w:val="auto"/>
                <w:w w:val="93"/>
              </w:rPr>
              <w:t>20%</w:t>
            </w:r>
          </w:p>
        </w:tc>
        <w:tc>
          <w:tcPr>
            <w:tcW w:w="100" w:type="dxa"/>
            <w:vAlign w:val="bottom"/>
            <w:shd w:val="clear" w:color="auto" w:fill="DBDBDB"/>
          </w:tcPr>
          <w:p>
            <w:pPr>
              <w:spacing w:after="0"/>
              <w:rPr>
                <w:sz w:val="17"/>
                <w:szCs w:val="17"/>
                <w:color w:val="auto"/>
              </w:rPr>
            </w:pPr>
          </w:p>
        </w:tc>
        <w:tc>
          <w:tcPr>
            <w:tcW w:w="1760" w:type="dxa"/>
            <w:vAlign w:val="bottom"/>
            <w:shd w:val="clear" w:color="auto" w:fill="DBDBDB"/>
          </w:tcPr>
          <w:p>
            <w:pPr>
              <w:jc w:val="center"/>
              <w:spacing w:after="0"/>
              <w:rPr>
                <w:sz w:val="20"/>
                <w:szCs w:val="20"/>
                <w:color w:val="auto"/>
              </w:rPr>
            </w:pPr>
            <w:r>
              <w:rPr>
                <w:rFonts w:ascii="Arial" w:cs="Arial" w:eastAsia="Arial" w:hAnsi="Arial"/>
                <w:sz w:val="16"/>
                <w:szCs w:val="16"/>
                <w:i w:val="1"/>
                <w:iCs w:val="1"/>
                <w:color w:val="auto"/>
                <w:w w:val="99"/>
              </w:rPr>
              <w:t>20%</w:t>
            </w:r>
          </w:p>
        </w:tc>
        <w:tc>
          <w:tcPr>
            <w:tcW w:w="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r>
      <w:tr>
        <w:trPr>
          <w:trHeight w:val="220"/>
        </w:trPr>
        <w:tc>
          <w:tcPr>
            <w:tcW w:w="6140" w:type="dxa"/>
            <w:vAlign w:val="bottom"/>
          </w:tcPr>
          <w:p>
            <w:pPr>
              <w:ind w:left="20"/>
              <w:spacing w:after="0"/>
              <w:rPr>
                <w:sz w:val="20"/>
                <w:szCs w:val="20"/>
                <w:color w:val="auto"/>
              </w:rPr>
            </w:pPr>
            <w:r>
              <w:rPr>
                <w:rFonts w:ascii="Arial" w:cs="Arial" w:eastAsia="Arial" w:hAnsi="Arial"/>
                <w:sz w:val="17"/>
                <w:szCs w:val="17"/>
                <w:color w:val="auto"/>
              </w:rPr>
              <w:t>GAAP R&amp;D expense</w:t>
            </w:r>
          </w:p>
        </w:tc>
        <w:tc>
          <w:tcPr>
            <w:tcW w:w="1840" w:type="dxa"/>
            <w:vAlign w:val="bottom"/>
            <w:gridSpan w:val="2"/>
          </w:tcPr>
          <w:p>
            <w:pPr>
              <w:jc w:val="center"/>
              <w:ind w:left="16"/>
              <w:spacing w:after="0"/>
              <w:rPr>
                <w:sz w:val="20"/>
                <w:szCs w:val="20"/>
                <w:color w:val="auto"/>
              </w:rPr>
            </w:pPr>
            <w:r>
              <w:rPr>
                <w:rFonts w:ascii="Arial" w:cs="Arial" w:eastAsia="Arial" w:hAnsi="Arial"/>
                <w:sz w:val="17"/>
                <w:szCs w:val="17"/>
                <w:color w:val="auto"/>
              </w:rPr>
              <w:t>$574</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7"/>
                <w:szCs w:val="17"/>
                <w:color w:val="auto"/>
              </w:rPr>
              <w:t>$436</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rPr>
              <w:t>(32)%</w:t>
            </w:r>
          </w:p>
        </w:tc>
      </w:tr>
      <w:tr>
        <w:trPr>
          <w:trHeight w:val="220"/>
        </w:trPr>
        <w:tc>
          <w:tcPr>
            <w:tcW w:w="6140" w:type="dxa"/>
            <w:vAlign w:val="bottom"/>
            <w:shd w:val="clear" w:color="auto" w:fill="DBDBDB"/>
          </w:tcPr>
          <w:p>
            <w:pPr>
              <w:ind w:left="20"/>
              <w:spacing w:after="0"/>
              <w:rPr>
                <w:sz w:val="20"/>
                <w:szCs w:val="20"/>
                <w:color w:val="auto"/>
              </w:rPr>
            </w:pPr>
            <w:r>
              <w:rPr>
                <w:rFonts w:ascii="Arial" w:cs="Arial" w:eastAsia="Arial" w:hAnsi="Arial"/>
                <w:sz w:val="17"/>
                <w:szCs w:val="17"/>
                <w:color w:val="auto"/>
              </w:rPr>
              <w:t>Non-GAAP R&amp;D expense</w:t>
            </w:r>
          </w:p>
        </w:tc>
        <w:tc>
          <w:tcPr>
            <w:tcW w:w="1840" w:type="dxa"/>
            <w:vAlign w:val="bottom"/>
            <w:gridSpan w:val="2"/>
            <w:shd w:val="clear" w:color="auto" w:fill="DBDBDB"/>
          </w:tcPr>
          <w:p>
            <w:pPr>
              <w:jc w:val="center"/>
              <w:ind w:left="16"/>
              <w:spacing w:after="0"/>
              <w:rPr>
                <w:sz w:val="20"/>
                <w:szCs w:val="20"/>
                <w:color w:val="auto"/>
              </w:rPr>
            </w:pPr>
            <w:r>
              <w:rPr>
                <w:rFonts w:ascii="Arial" w:cs="Arial" w:eastAsia="Arial" w:hAnsi="Arial"/>
                <w:sz w:val="17"/>
                <w:szCs w:val="17"/>
                <w:color w:val="auto"/>
              </w:rPr>
              <w:t>$567</w:t>
            </w:r>
          </w:p>
        </w:tc>
        <w:tc>
          <w:tcPr>
            <w:tcW w:w="100" w:type="dxa"/>
            <w:vAlign w:val="bottom"/>
            <w:shd w:val="clear" w:color="auto" w:fill="DBDBDB"/>
          </w:tcPr>
          <w:p>
            <w:pPr>
              <w:spacing w:after="0"/>
              <w:rPr>
                <w:sz w:val="19"/>
                <w:szCs w:val="19"/>
                <w:color w:val="auto"/>
              </w:rPr>
            </w:pPr>
          </w:p>
        </w:tc>
        <w:tc>
          <w:tcPr>
            <w:tcW w:w="176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$432</w:t>
            </w:r>
          </w:p>
        </w:tc>
        <w:tc>
          <w:tcPr>
            <w:tcW w:w="80" w:type="dxa"/>
            <w:vAlign w:val="bottom"/>
            <w:shd w:val="clear" w:color="auto" w:fill="DBDBDB"/>
          </w:tcPr>
          <w:p>
            <w:pPr>
              <w:spacing w:after="0"/>
              <w:rPr>
                <w:sz w:val="19"/>
                <w:szCs w:val="19"/>
                <w:color w:val="auto"/>
              </w:rPr>
            </w:pPr>
          </w:p>
        </w:tc>
        <w:tc>
          <w:tcPr>
            <w:tcW w:w="132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(31)%</w:t>
            </w:r>
          </w:p>
        </w:tc>
      </w:tr>
      <w:tr>
        <w:trPr>
          <w:trHeight w:val="220"/>
        </w:trPr>
        <w:tc>
          <w:tcPr>
            <w:tcW w:w="6140" w:type="dxa"/>
            <w:vAlign w:val="bottom"/>
          </w:tcPr>
          <w:p>
            <w:pPr>
              <w:ind w:left="20"/>
              <w:spacing w:after="0"/>
              <w:rPr>
                <w:sz w:val="20"/>
                <w:szCs w:val="20"/>
                <w:color w:val="auto"/>
              </w:rPr>
            </w:pPr>
            <w:r>
              <w:rPr>
                <w:rFonts w:ascii="Arial" w:cs="Arial" w:eastAsia="Arial" w:hAnsi="Arial"/>
                <w:sz w:val="17"/>
                <w:szCs w:val="17"/>
                <w:color w:val="auto"/>
              </w:rPr>
              <w:t>GAAP SG&amp;A expense</w:t>
            </w:r>
          </w:p>
        </w:tc>
        <w:tc>
          <w:tcPr>
            <w:tcW w:w="1840" w:type="dxa"/>
            <w:vAlign w:val="bottom"/>
            <w:gridSpan w:val="2"/>
          </w:tcPr>
          <w:p>
            <w:pPr>
              <w:jc w:val="center"/>
              <w:ind w:left="16"/>
              <w:spacing w:after="0"/>
              <w:rPr>
                <w:sz w:val="20"/>
                <w:szCs w:val="20"/>
                <w:color w:val="auto"/>
              </w:rPr>
            </w:pPr>
            <w:r>
              <w:rPr>
                <w:rFonts w:ascii="Arial" w:cs="Arial" w:eastAsia="Arial" w:hAnsi="Arial"/>
                <w:sz w:val="17"/>
                <w:szCs w:val="17"/>
                <w:color w:val="auto"/>
              </w:rPr>
              <w:t>$752</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7"/>
                <w:szCs w:val="17"/>
                <w:color w:val="auto"/>
              </w:rPr>
              <w:t>$595</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rPr>
              <w:t>(26)%</w:t>
            </w:r>
          </w:p>
        </w:tc>
      </w:tr>
      <w:tr>
        <w:trPr>
          <w:trHeight w:val="220"/>
        </w:trPr>
        <w:tc>
          <w:tcPr>
            <w:tcW w:w="6140" w:type="dxa"/>
            <w:vAlign w:val="bottom"/>
            <w:shd w:val="clear" w:color="auto" w:fill="DBDBDB"/>
          </w:tcPr>
          <w:p>
            <w:pPr>
              <w:ind w:left="20"/>
              <w:spacing w:after="0"/>
              <w:rPr>
                <w:sz w:val="20"/>
                <w:szCs w:val="20"/>
                <w:color w:val="auto"/>
              </w:rPr>
            </w:pPr>
            <w:r>
              <w:rPr>
                <w:rFonts w:ascii="Arial" w:cs="Arial" w:eastAsia="Arial" w:hAnsi="Arial"/>
                <w:sz w:val="17"/>
                <w:szCs w:val="17"/>
                <w:color w:val="auto"/>
              </w:rPr>
              <w:t>Non-GAAP SG&amp;A expense</w:t>
            </w:r>
          </w:p>
        </w:tc>
        <w:tc>
          <w:tcPr>
            <w:tcW w:w="1840" w:type="dxa"/>
            <w:vAlign w:val="bottom"/>
            <w:gridSpan w:val="2"/>
            <w:shd w:val="clear" w:color="auto" w:fill="DBDBDB"/>
          </w:tcPr>
          <w:p>
            <w:pPr>
              <w:jc w:val="center"/>
              <w:ind w:left="16"/>
              <w:spacing w:after="0"/>
              <w:rPr>
                <w:sz w:val="20"/>
                <w:szCs w:val="20"/>
                <w:color w:val="auto"/>
              </w:rPr>
            </w:pPr>
            <w:r>
              <w:rPr>
                <w:rFonts w:ascii="Arial" w:cs="Arial" w:eastAsia="Arial" w:hAnsi="Arial"/>
                <w:sz w:val="17"/>
                <w:szCs w:val="17"/>
                <w:color w:val="auto"/>
              </w:rPr>
              <w:t>$730</w:t>
            </w:r>
          </w:p>
        </w:tc>
        <w:tc>
          <w:tcPr>
            <w:tcW w:w="100" w:type="dxa"/>
            <w:vAlign w:val="bottom"/>
            <w:shd w:val="clear" w:color="auto" w:fill="DBDBDB"/>
          </w:tcPr>
          <w:p>
            <w:pPr>
              <w:spacing w:after="0"/>
              <w:rPr>
                <w:sz w:val="19"/>
                <w:szCs w:val="19"/>
                <w:color w:val="auto"/>
              </w:rPr>
            </w:pPr>
          </w:p>
        </w:tc>
        <w:tc>
          <w:tcPr>
            <w:tcW w:w="176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$592</w:t>
            </w:r>
          </w:p>
        </w:tc>
        <w:tc>
          <w:tcPr>
            <w:tcW w:w="80" w:type="dxa"/>
            <w:vAlign w:val="bottom"/>
            <w:shd w:val="clear" w:color="auto" w:fill="DBDBDB"/>
          </w:tcPr>
          <w:p>
            <w:pPr>
              <w:spacing w:after="0"/>
              <w:rPr>
                <w:sz w:val="19"/>
                <w:szCs w:val="19"/>
                <w:color w:val="auto"/>
              </w:rPr>
            </w:pPr>
          </w:p>
        </w:tc>
        <w:tc>
          <w:tcPr>
            <w:tcW w:w="1320" w:type="dxa"/>
            <w:vAlign w:val="bottom"/>
            <w:shd w:val="clear" w:color="auto" w:fill="DBDBDB"/>
          </w:tcPr>
          <w:p>
            <w:pPr>
              <w:jc w:val="center"/>
              <w:spacing w:after="0"/>
              <w:rPr>
                <w:sz w:val="20"/>
                <w:szCs w:val="20"/>
                <w:color w:val="auto"/>
              </w:rPr>
            </w:pPr>
            <w:r>
              <w:rPr>
                <w:rFonts w:ascii="Arial" w:cs="Arial" w:eastAsia="Arial" w:hAnsi="Arial"/>
                <w:sz w:val="17"/>
                <w:szCs w:val="17"/>
                <w:color w:val="auto"/>
              </w:rPr>
              <w:t>(23)%</w:t>
            </w:r>
          </w:p>
        </w:tc>
      </w:tr>
      <w:tr>
        <w:trPr>
          <w:trHeight w:val="226"/>
        </w:trPr>
        <w:tc>
          <w:tcPr>
            <w:tcW w:w="6140" w:type="dxa"/>
            <w:vAlign w:val="bottom"/>
          </w:tcPr>
          <w:p>
            <w:pPr>
              <w:ind w:left="20"/>
              <w:spacing w:after="0"/>
              <w:rPr>
                <w:sz w:val="20"/>
                <w:szCs w:val="20"/>
                <w:color w:val="auto"/>
              </w:rPr>
            </w:pPr>
            <w:r>
              <w:rPr>
                <w:rFonts w:ascii="Arial" w:cs="Arial" w:eastAsia="Arial" w:hAnsi="Arial"/>
                <w:sz w:val="17"/>
                <w:szCs w:val="17"/>
                <w:color w:val="auto"/>
              </w:rPr>
              <w:t>GAAP and Non-GAAP acquired IPR&amp;D, upfront and milestone expense</w:t>
            </w:r>
          </w:p>
        </w:tc>
        <w:tc>
          <w:tcPr>
            <w:tcW w:w="1840" w:type="dxa"/>
            <w:vAlign w:val="bottom"/>
            <w:gridSpan w:val="2"/>
          </w:tcPr>
          <w:p>
            <w:pPr>
              <w:jc w:val="center"/>
              <w:ind w:left="16"/>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1320" w:type="dxa"/>
            <w:vAlign w:val="bottom"/>
          </w:tcPr>
          <w:p>
            <w:pPr>
              <w:ind w:left="480"/>
              <w:spacing w:after="0"/>
              <w:rPr>
                <w:sz w:val="20"/>
                <w:szCs w:val="20"/>
                <w:color w:val="auto"/>
              </w:rPr>
            </w:pPr>
            <w:r>
              <w:rPr>
                <w:rFonts w:ascii="Arial" w:cs="Arial" w:eastAsia="Arial" w:hAnsi="Arial"/>
                <w:sz w:val="17"/>
                <w:szCs w:val="17"/>
                <w:color w:val="auto"/>
              </w:rPr>
              <w:t>NMF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-1375410</wp:posOffset>
            </wp:positionV>
            <wp:extent cx="116205" cy="1168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6205" cy="116840"/>
                    </a:xfrm>
                    <a:prstGeom prst="rect">
                      <a:avLst/>
                    </a:prstGeom>
                    <a:noFill/>
                  </pic:spPr>
                </pic:pic>
              </a:graphicData>
            </a:graphic>
          </wp:anchor>
        </w:drawing>
      </w:r>
    </w:p>
    <w:p>
      <w:pPr>
        <w:spacing w:after="0" w:line="91" w:lineRule="exact"/>
        <w:rPr>
          <w:sz w:val="20"/>
          <w:szCs w:val="20"/>
          <w:color w:val="auto"/>
        </w:rPr>
      </w:pPr>
    </w:p>
    <w:p>
      <w:pPr>
        <w:ind w:right="5000"/>
        <w:spacing w:after="0" w:line="226" w:lineRule="auto"/>
        <w:rPr>
          <w:sz w:val="20"/>
          <w:szCs w:val="20"/>
          <w:color w:val="auto"/>
        </w:rPr>
      </w:pPr>
      <w:r>
        <w:rPr>
          <w:rFonts w:ascii="Arial" w:cs="Arial" w:eastAsia="Arial" w:hAnsi="Arial"/>
          <w:sz w:val="16"/>
          <w:szCs w:val="16"/>
          <w:color w:val="auto"/>
        </w:rPr>
        <w:t>Note: Percent changes represented as favorable/(unfavorable) versus the prior year period IPR&amp;D = in-process R&amp;D; NMF = no meaningful figure</w:t>
      </w:r>
    </w:p>
    <w:p>
      <w:pPr>
        <w:ind w:left="80" w:hanging="77"/>
        <w:spacing w:after="0" w:line="216" w:lineRule="auto"/>
        <w:tabs>
          <w:tab w:leader="none" w:pos="80"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Excluding amortization and impairment of acquired intangible assets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447260"/>
        </w:rPr>
        <w:t>2</w:t>
      </w:r>
    </w:p>
    <w:p>
      <w:pPr>
        <w:sectPr>
          <w:pgSz w:w="11900" w:h="16838" w:orient="portrait"/>
          <w:cols w:equalWidth="0" w:num="1">
            <w:col w:w="11240"/>
          </w:cols>
          <w:pgMar w:left="320" w:top="1308" w:right="339" w:bottom="1440" w:gutter="0" w:footer="0" w:header="0"/>
        </w:sectPr>
      </w:pPr>
    </w:p>
    <w:bookmarkStart w:id="5" w:name="page6"/>
    <w:bookmarkEnd w:id="5"/>
    <w:p>
      <w:pPr>
        <w:ind w:left="320" w:right="20" w:hanging="317"/>
        <w:spacing w:after="0" w:line="243" w:lineRule="auto"/>
        <w:tabs>
          <w:tab w:leader="none" w:pos="27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increase in third quarter 2026 GAAP cost of sales as a percentage of total revenue was driven primarily by higher amortization costs associated with the acquired inventory fair value step-up related to the Reata and Apellis acquisitions, as well as product mix, partially offset by a litigation matter in the third quarter of 2025. The increase in third quarter 2026 Non-GAAP cost of sales as a percentage of total revenue was driven primarily by product mix.</w:t>
      </w:r>
    </w:p>
    <w:p>
      <w:pPr>
        <w:spacing w:after="0" w:line="188" w:lineRule="exact"/>
        <w:rPr>
          <w:rFonts w:ascii="Arial" w:cs="Arial" w:eastAsia="Arial" w:hAnsi="Arial"/>
          <w:sz w:val="19"/>
          <w:szCs w:val="19"/>
          <w:color w:val="auto"/>
        </w:rPr>
      </w:pPr>
    </w:p>
    <w:p>
      <w:pPr>
        <w:ind w:left="320" w:hanging="317"/>
        <w:spacing w:after="0" w:line="251" w:lineRule="auto"/>
        <w:tabs>
          <w:tab w:leader="none" w:pos="27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increase in third quarter 2026 GAAP and Non-GAAP R&amp;D expense was driven by higher spend on clinical trials, including felzartamab, salanersen and litifilimab, as well as the inclusion of operating expenses from Apellis, and a reduction in R&amp;D funding received from Royalty Pharma.</w:t>
      </w:r>
    </w:p>
    <w:p>
      <w:pPr>
        <w:spacing w:after="0" w:line="194" w:lineRule="exact"/>
        <w:rPr>
          <w:rFonts w:ascii="Arial" w:cs="Arial" w:eastAsia="Arial" w:hAnsi="Arial"/>
          <w:sz w:val="19"/>
          <w:szCs w:val="19"/>
          <w:color w:val="auto"/>
        </w:rPr>
      </w:pPr>
    </w:p>
    <w:p>
      <w:pPr>
        <w:ind w:left="320" w:hanging="317"/>
        <w:spacing w:after="0" w:line="244" w:lineRule="auto"/>
        <w:tabs>
          <w:tab w:leader="none" w:pos="27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increase in third quarter 2026 GAAP and Non-GAAP SG&amp;A was primarily due to the inclusion of the commercial and management operations of Apellis and an increase in operational spending on sales and marketing activities in support of our U.S. and international product launches.</w:t>
      </w:r>
    </w:p>
    <w:p>
      <w:pPr>
        <w:spacing w:after="0" w:line="200" w:lineRule="exact"/>
        <w:rPr>
          <w:rFonts w:ascii="Arial" w:cs="Arial" w:eastAsia="Arial" w:hAnsi="Arial"/>
          <w:sz w:val="19"/>
          <w:szCs w:val="19"/>
          <w:color w:val="auto"/>
        </w:rPr>
      </w:pPr>
    </w:p>
    <w:p>
      <w:pPr>
        <w:ind w:left="320" w:right="240" w:hanging="317"/>
        <w:spacing w:after="0" w:line="261" w:lineRule="auto"/>
        <w:tabs>
          <w:tab w:leader="none" w:pos="27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Third quarter 2026 GAAP and Non-GAAP acquired IPR&amp;D, upfront and milestone expense was $284 million, primarily related to the acquisition of RayThera Inc.</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Financial Highlights</w:t>
      </w:r>
    </w:p>
    <w:p>
      <w:pPr>
        <w:spacing w:after="0" w:line="221" w:lineRule="exact"/>
        <w:rPr>
          <w:sz w:val="20"/>
          <w:szCs w:val="20"/>
          <w:color w:val="auto"/>
        </w:rPr>
      </w:pPr>
    </w:p>
    <w:p>
      <w:pPr>
        <w:ind w:left="320" w:right="120" w:hanging="317"/>
        <w:spacing w:after="0" w:line="251" w:lineRule="auto"/>
        <w:tabs>
          <w:tab w:leader="none" w:pos="27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Third quarter 2026 GAAP and Non-GAAP collaboration profit sharing was a net expense of approximately $78 million, which includes approximately $49 million related to Biogen’s collaboration with Samsung Bioepis, and approximately $29 million related to Biogen’s collaboration with Supernus Pharmaceuticals, Inc. for the commercialization of ZURZUVAE in the U.S.</w:t>
      </w:r>
    </w:p>
    <w:p>
      <w:pPr>
        <w:spacing w:after="0" w:line="181" w:lineRule="exact"/>
        <w:rPr>
          <w:rFonts w:ascii="Arial" w:cs="Arial" w:eastAsia="Arial" w:hAnsi="Arial"/>
          <w:sz w:val="19"/>
          <w:szCs w:val="19"/>
          <w:color w:val="auto"/>
        </w:rPr>
      </w:pPr>
    </w:p>
    <w:p>
      <w:pPr>
        <w:ind w:left="320" w:right="40" w:hanging="317"/>
        <w:spacing w:after="0" w:line="251" w:lineRule="auto"/>
        <w:tabs>
          <w:tab w:leader="none" w:pos="27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Third quarter 2026 GAAP other expense was approximately $137 million driven by net interest expense, losses on our equity investments, and higher litigation expenses. Third quarter 2026 Non-GAAP other expense was approximately $91 million primarily driven by net interest expense due to the Apellis acquisition.</w:t>
      </w:r>
    </w:p>
    <w:p>
      <w:pPr>
        <w:spacing w:after="0" w:line="194" w:lineRule="exact"/>
        <w:rPr>
          <w:rFonts w:ascii="Arial" w:cs="Arial" w:eastAsia="Arial" w:hAnsi="Arial"/>
          <w:sz w:val="19"/>
          <w:szCs w:val="19"/>
          <w:color w:val="auto"/>
        </w:rPr>
      </w:pPr>
    </w:p>
    <w:p>
      <w:pPr>
        <w:ind w:left="320" w:right="80" w:hanging="317"/>
        <w:spacing w:after="0" w:line="251" w:lineRule="auto"/>
        <w:tabs>
          <w:tab w:leader="none" w:pos="27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Third quarter 2026 GAAP and Non-GAAP effective tax rates were (128.5)% and 20.0%, respectively. Third quarter 2025 GAAP and Non-GAAP effective tax rates were 16.3% and 17.2%, respectively. The change in our GAAP effective tax rates was primarily driven by the non-deductible IPR&amp;D charge related to the RayThera stock acquisition.</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Financial Position and Cash Flows</w:t>
      </w:r>
    </w:p>
    <w:p>
      <w:pPr>
        <w:spacing w:after="0" w:line="221" w:lineRule="exact"/>
        <w:rPr>
          <w:sz w:val="20"/>
          <w:szCs w:val="20"/>
          <w:color w:val="auto"/>
        </w:rPr>
      </w:pPr>
    </w:p>
    <w:p>
      <w:pPr>
        <w:ind w:left="260" w:hanging="257"/>
        <w:spacing w:after="0"/>
        <w:tabs>
          <w:tab w:leader="none" w:pos="2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Third quarter 2026 net cash flow from operations was approximately $641 million. Capital expenditures were approximately</w:t>
      </w:r>
    </w:p>
    <w:p>
      <w:pPr>
        <w:spacing w:after="0" w:line="19" w:lineRule="exact"/>
        <w:rPr>
          <w:sz w:val="20"/>
          <w:szCs w:val="20"/>
          <w:color w:val="auto"/>
        </w:rPr>
      </w:pPr>
    </w:p>
    <w:p>
      <w:pPr>
        <w:ind w:left="320"/>
        <w:spacing w:after="0" w:line="241" w:lineRule="auto"/>
        <w:rPr>
          <w:sz w:val="20"/>
          <w:szCs w:val="20"/>
          <w:color w:val="auto"/>
        </w:rPr>
      </w:pPr>
      <w:r>
        <w:rPr>
          <w:rFonts w:ascii="Arial" w:cs="Arial" w:eastAsia="Arial" w:hAnsi="Arial"/>
          <w:sz w:val="19"/>
          <w:szCs w:val="19"/>
          <w:color w:val="auto"/>
        </w:rPr>
        <w:t>$40 million, and free cash flow, a Non-GAAP financial measure defined as net cash flow from operations less capital expenditures, was approximately $600 million.</w:t>
      </w:r>
    </w:p>
    <w:p>
      <w:pPr>
        <w:spacing w:after="0" w:line="203" w:lineRule="exact"/>
        <w:rPr>
          <w:sz w:val="20"/>
          <w:szCs w:val="20"/>
          <w:color w:val="auto"/>
        </w:rPr>
      </w:pPr>
    </w:p>
    <w:p>
      <w:pPr>
        <w:ind w:left="320" w:hanging="317"/>
        <w:spacing w:after="0" w:line="261" w:lineRule="auto"/>
        <w:tabs>
          <w:tab w:leader="none" w:pos="27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As of September 30, 2026, Biogen had cash and cash equivalents totaling approximately $1.3 billion and approximately $7.7 billion in total debt, resulting in net debt of approximately $6.4 billion.</w:t>
      </w:r>
    </w:p>
    <w:p>
      <w:pPr>
        <w:spacing w:after="0" w:line="171" w:lineRule="exact"/>
        <w:rPr>
          <w:rFonts w:ascii="Arial" w:cs="Arial" w:eastAsia="Arial" w:hAnsi="Arial"/>
          <w:sz w:val="19"/>
          <w:szCs w:val="19"/>
          <w:color w:val="auto"/>
        </w:rPr>
      </w:pPr>
    </w:p>
    <w:p>
      <w:pPr>
        <w:ind w:left="320" w:right="440" w:hanging="317"/>
        <w:spacing w:after="0" w:line="251" w:lineRule="auto"/>
        <w:tabs>
          <w:tab w:leader="none" w:pos="270" w:val="left"/>
        </w:tabs>
        <w:numPr>
          <w:ilvl w:val="0"/>
          <w:numId w:val="12"/>
        </w:numPr>
        <w:rPr>
          <w:rFonts w:ascii="Arial" w:cs="Arial" w:eastAsia="Arial" w:hAnsi="Arial"/>
          <w:sz w:val="19"/>
          <w:szCs w:val="19"/>
          <w:color w:val="auto"/>
        </w:rPr>
      </w:pPr>
      <w:r>
        <w:rPr>
          <w:rFonts w:ascii="Arial" w:cs="Arial" w:eastAsia="Arial" w:hAnsi="Arial"/>
          <w:sz w:val="19"/>
          <w:szCs w:val="19"/>
          <w:color w:val="auto"/>
        </w:rPr>
        <w:t>For the third quarter of 2026, the Company’s weighted average diluted shares were approximately 148 million and 149 million, used to calculate the Company's GAAP and Non-GAAP diluted EPS, respectively. All unvested equity-based awards are antidilutive for GAAP due to reporting a GAAP net loss for the third quarter 2026.</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Company is advancing multiple potential growth drivers with registrational readouts expected over the next 12 months</w:t>
      </w:r>
    </w:p>
    <w:p>
      <w:pPr>
        <w:spacing w:after="0" w:line="221" w:lineRule="exact"/>
        <w:rPr>
          <w:sz w:val="20"/>
          <w:szCs w:val="20"/>
          <w:color w:val="auto"/>
        </w:rPr>
      </w:pPr>
    </w:p>
    <w:p>
      <w:pPr>
        <w:ind w:left="320" w:right="180" w:hanging="317"/>
        <w:spacing w:after="0" w:line="275" w:lineRule="auto"/>
        <w:tabs>
          <w:tab w:leader="none" w:pos="27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Company expects to announce top line data from both TOPAZ-1 and TOPAZ-2 Phase 3 studies, evaluating litifilimab in SLE, in the first half of December 2026.</w:t>
      </w:r>
    </w:p>
    <w:p>
      <w:pPr>
        <w:spacing w:after="0" w:line="159" w:lineRule="exact"/>
        <w:rPr>
          <w:rFonts w:ascii="Arial" w:cs="Arial" w:eastAsia="Arial" w:hAnsi="Arial"/>
          <w:sz w:val="19"/>
          <w:szCs w:val="19"/>
          <w:color w:val="auto"/>
        </w:rPr>
      </w:pPr>
    </w:p>
    <w:p>
      <w:pPr>
        <w:ind w:left="320" w:right="160" w:hanging="317"/>
        <w:spacing w:after="0" w:line="261" w:lineRule="auto"/>
        <w:tabs>
          <w:tab w:leader="none" w:pos="270" w:val="left"/>
        </w:tabs>
        <w:numPr>
          <w:ilvl w:val="0"/>
          <w:numId w:val="13"/>
        </w:numPr>
        <w:rPr>
          <w:rFonts w:ascii="Arial" w:cs="Arial" w:eastAsia="Arial" w:hAnsi="Arial"/>
          <w:sz w:val="19"/>
          <w:szCs w:val="19"/>
          <w:color w:val="auto"/>
        </w:rPr>
      </w:pPr>
      <w:r>
        <w:rPr>
          <w:rFonts w:ascii="Arial" w:cs="Arial" w:eastAsia="Arial" w:hAnsi="Arial"/>
          <w:sz w:val="19"/>
          <w:szCs w:val="19"/>
          <w:color w:val="auto"/>
        </w:rPr>
        <w:t>Additional Phase 3 readouts expected for litifilimab in CLE, felzartamab in antibody mediated rejection in the first half of 2027 and zorevunersen in Dravet syndrome in the third quarter of 2027.</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7260"/>
        </w:rPr>
        <w:t>3</w:t>
      </w:r>
    </w:p>
    <w:p>
      <w:pPr>
        <w:sectPr>
          <w:pgSz w:w="11900" w:h="16838" w:orient="portrait"/>
          <w:cols w:equalWidth="0" w:num="1">
            <w:col w:w="11240"/>
          </w:cols>
          <w:pgMar w:left="320" w:top="1049" w:right="339"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color w:val="auto"/>
        </w:rPr>
        <w:t>Full Year 2026 Financial Guidance</w:t>
      </w:r>
    </w:p>
    <w:p>
      <w:pPr>
        <w:spacing w:after="0" w:line="221" w:lineRule="exact"/>
        <w:rPr>
          <w:sz w:val="20"/>
          <w:szCs w:val="20"/>
          <w:color w:val="auto"/>
        </w:rPr>
      </w:pPr>
    </w:p>
    <w:p>
      <w:pPr>
        <w:ind w:right="480"/>
        <w:spacing w:after="0" w:line="275" w:lineRule="auto"/>
        <w:rPr>
          <w:sz w:val="20"/>
          <w:szCs w:val="20"/>
          <w:color w:val="auto"/>
        </w:rPr>
      </w:pPr>
      <w:r>
        <w:rPr>
          <w:rFonts w:ascii="Arial" w:cs="Arial" w:eastAsia="Arial" w:hAnsi="Arial"/>
          <w:sz w:val="19"/>
          <w:szCs w:val="19"/>
          <w:color w:val="auto"/>
        </w:rPr>
        <w:t>Biogen is raising the lower end of the reported full year 2026 Non-GAAP diluted EPS guidance range to reflect ongoing business strength and Apellis dilution favorability. Full year 2026 Non-GAAP diluted EPS range is expected as follows: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5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FY 2026 Non-GAAP Diluted EPS</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b w:val="1"/>
                <w:bCs w:val="1"/>
                <w:color w:val="auto"/>
                <w:w w:val="99"/>
              </w:rPr>
              <w:t>February 2026</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b w:val="1"/>
                <w:bCs w:val="1"/>
                <w:color w:val="auto"/>
              </w:rPr>
              <w:t>July 2026</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b w:val="1"/>
                <w:bCs w:val="1"/>
                <w:color w:val="auto"/>
                <w:w w:val="99"/>
              </w:rPr>
              <w:t>October 2026</w:t>
            </w:r>
          </w:p>
        </w:tc>
        <w:tc>
          <w:tcPr>
            <w:tcW w:w="0" w:type="dxa"/>
            <w:vAlign w:val="bottom"/>
          </w:tcPr>
          <w:p>
            <w:pPr>
              <w:spacing w:after="0"/>
              <w:rPr>
                <w:sz w:val="1"/>
                <w:szCs w:val="1"/>
                <w:color w:val="auto"/>
              </w:rPr>
            </w:pPr>
          </w:p>
        </w:tc>
      </w:tr>
      <w:tr>
        <w:trPr>
          <w:trHeight w:val="156"/>
        </w:trPr>
        <w:tc>
          <w:tcPr>
            <w:tcW w:w="35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9"/>
                <w:szCs w:val="19"/>
                <w:b w:val="1"/>
                <w:bCs w:val="1"/>
                <w:color w:val="auto"/>
              </w:rPr>
              <w:t>Guidance</w:t>
            </w:r>
          </w:p>
        </w:tc>
        <w:tc>
          <w:tcPr>
            <w:tcW w:w="2520" w:type="dxa"/>
            <w:vAlign w:val="bottom"/>
            <w:tcBorders>
              <w:right w:val="single" w:sz="8" w:color="auto"/>
            </w:tcBorders>
            <w:vMerge w:val="continue"/>
          </w:tcPr>
          <w:p>
            <w:pPr>
              <w:spacing w:after="0"/>
              <w:rPr>
                <w:sz w:val="13"/>
                <w:szCs w:val="13"/>
                <w:color w:val="auto"/>
              </w:rPr>
            </w:pPr>
          </w:p>
        </w:tc>
        <w:tc>
          <w:tcPr>
            <w:tcW w:w="2500" w:type="dxa"/>
            <w:vAlign w:val="bottom"/>
            <w:tcBorders>
              <w:right w:val="single" w:sz="8" w:color="auto"/>
            </w:tcBorders>
            <w:vMerge w:val="continue"/>
          </w:tcPr>
          <w:p>
            <w:pPr>
              <w:spacing w:after="0"/>
              <w:rPr>
                <w:sz w:val="13"/>
                <w:szCs w:val="13"/>
                <w:color w:val="auto"/>
              </w:rPr>
            </w:pPr>
          </w:p>
        </w:tc>
        <w:tc>
          <w:tcPr>
            <w:tcW w:w="2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35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520" w:type="dxa"/>
            <w:vAlign w:val="bottom"/>
            <w:tcBorders>
              <w:bottom w:val="single" w:sz="8" w:color="auto"/>
              <w:right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Underlying guidance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$15.25 to $16.25</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$15.85 to $16.85</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9"/>
              </w:rPr>
              <w:t>$15.95 to $16.75</w:t>
            </w:r>
          </w:p>
        </w:tc>
        <w:tc>
          <w:tcPr>
            <w:tcW w:w="0" w:type="dxa"/>
            <w:vAlign w:val="bottom"/>
          </w:tcPr>
          <w:p>
            <w:pPr>
              <w:spacing w:after="0"/>
              <w:rPr>
                <w:sz w:val="1"/>
                <w:szCs w:val="1"/>
                <w:color w:val="auto"/>
              </w:rPr>
            </w:pPr>
          </w:p>
        </w:tc>
      </w:tr>
      <w:tr>
        <w:trPr>
          <w:trHeight w:val="178"/>
        </w:trPr>
        <w:tc>
          <w:tcPr>
            <w:tcW w:w="3580" w:type="dxa"/>
            <w:vAlign w:val="bottom"/>
            <w:tcBorders>
              <w:left w:val="single" w:sz="8" w:color="auto"/>
              <w:right w:val="single" w:sz="8" w:color="auto"/>
            </w:tcBorders>
          </w:tcPr>
          <w:p>
            <w:pPr>
              <w:ind w:left="40"/>
              <w:spacing w:after="0" w:line="179" w:lineRule="exact"/>
              <w:rPr>
                <w:sz w:val="20"/>
                <w:szCs w:val="20"/>
                <w:color w:val="auto"/>
              </w:rPr>
            </w:pPr>
            <w:r>
              <w:rPr>
                <w:rFonts w:ascii="Arial" w:cs="Arial" w:eastAsia="Arial" w:hAnsi="Arial"/>
                <w:sz w:val="19"/>
                <w:szCs w:val="19"/>
                <w:color w:val="auto"/>
              </w:rPr>
              <w:t>Expected approximate impact from</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4"/>
              </w:rPr>
              <w:t>--</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8"/>
              </w:rPr>
              <w:t>~($3.00)</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b w:val="1"/>
                <w:bCs w:val="1"/>
                <w:color w:val="auto"/>
              </w:rPr>
              <w:t>~($3.20)</w:t>
            </w:r>
          </w:p>
        </w:tc>
        <w:tc>
          <w:tcPr>
            <w:tcW w:w="0" w:type="dxa"/>
            <w:vAlign w:val="bottom"/>
          </w:tcPr>
          <w:p>
            <w:pPr>
              <w:spacing w:after="0"/>
              <w:rPr>
                <w:sz w:val="1"/>
                <w:szCs w:val="1"/>
                <w:color w:val="auto"/>
              </w:rPr>
            </w:pPr>
          </w:p>
        </w:tc>
      </w:tr>
      <w:tr>
        <w:trPr>
          <w:trHeight w:val="190"/>
        </w:trPr>
        <w:tc>
          <w:tcPr>
            <w:tcW w:w="3580" w:type="dxa"/>
            <w:vAlign w:val="bottom"/>
            <w:tcBorders>
              <w:left w:val="single" w:sz="8" w:color="auto"/>
              <w:right w:val="single" w:sz="8" w:color="auto"/>
            </w:tcBorders>
          </w:tcPr>
          <w:p>
            <w:pPr>
              <w:ind w:left="40"/>
              <w:spacing w:after="0" w:line="190" w:lineRule="exact"/>
              <w:rPr>
                <w:sz w:val="20"/>
                <w:szCs w:val="20"/>
                <w:color w:val="auto"/>
              </w:rPr>
            </w:pPr>
            <w:r>
              <w:rPr>
                <w:rFonts w:ascii="Arial" w:cs="Arial" w:eastAsia="Arial" w:hAnsi="Arial"/>
                <w:sz w:val="19"/>
                <w:szCs w:val="19"/>
                <w:color w:val="auto"/>
              </w:rPr>
              <w:t>acquired IPR&amp;D, upfront and milestone</w:t>
            </w:r>
          </w:p>
        </w:tc>
        <w:tc>
          <w:tcPr>
            <w:tcW w:w="2520" w:type="dxa"/>
            <w:vAlign w:val="bottom"/>
            <w:tcBorders>
              <w:right w:val="single" w:sz="8" w:color="auto"/>
            </w:tcBorders>
            <w:vMerge w:val="continue"/>
          </w:tcPr>
          <w:p>
            <w:pPr>
              <w:spacing w:after="0"/>
              <w:rPr>
                <w:sz w:val="16"/>
                <w:szCs w:val="16"/>
                <w:color w:val="auto"/>
              </w:rPr>
            </w:pPr>
          </w:p>
        </w:tc>
        <w:tc>
          <w:tcPr>
            <w:tcW w:w="2500" w:type="dxa"/>
            <w:vAlign w:val="bottom"/>
            <w:tcBorders>
              <w:right w:val="single" w:sz="8" w:color="auto"/>
            </w:tcBorders>
            <w:vMerge w:val="continue"/>
          </w:tcPr>
          <w:p>
            <w:pPr>
              <w:spacing w:after="0"/>
              <w:rPr>
                <w:sz w:val="16"/>
                <w:szCs w:val="16"/>
                <w:color w:val="auto"/>
              </w:rPr>
            </w:pPr>
          </w:p>
        </w:tc>
        <w:tc>
          <w:tcPr>
            <w:tcW w:w="25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5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charges</w:t>
            </w:r>
          </w:p>
        </w:tc>
        <w:tc>
          <w:tcPr>
            <w:tcW w:w="2520" w:type="dxa"/>
            <w:vAlign w:val="bottom"/>
            <w:tcBorders>
              <w:bottom w:val="single" w:sz="8" w:color="auto"/>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3580" w:type="dxa"/>
            <w:vAlign w:val="bottom"/>
            <w:tcBorders>
              <w:left w:val="single" w:sz="8" w:color="auto"/>
              <w:right w:val="single" w:sz="8" w:color="auto"/>
            </w:tcBorders>
          </w:tcPr>
          <w:p>
            <w:pPr>
              <w:ind w:left="40"/>
              <w:spacing w:after="0" w:line="179" w:lineRule="exact"/>
              <w:rPr>
                <w:sz w:val="20"/>
                <w:szCs w:val="20"/>
                <w:color w:val="auto"/>
              </w:rPr>
            </w:pPr>
            <w:r>
              <w:rPr>
                <w:rFonts w:ascii="Arial" w:cs="Arial" w:eastAsia="Arial" w:hAnsi="Arial"/>
                <w:sz w:val="19"/>
                <w:szCs w:val="19"/>
                <w:color w:val="auto"/>
              </w:rPr>
              <w:t>Expected dilution from the Apellis</w:t>
            </w:r>
          </w:p>
        </w:tc>
        <w:tc>
          <w:tcPr>
            <w:tcW w:w="2520" w:type="dxa"/>
            <w:vAlign w:val="bottom"/>
            <w:tcBorders>
              <w:right w:val="single" w:sz="8" w:color="auto"/>
            </w:tcBorders>
          </w:tcPr>
          <w:p>
            <w:pPr>
              <w:spacing w:after="0"/>
              <w:rPr>
                <w:sz w:val="15"/>
                <w:szCs w:val="15"/>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8"/>
              </w:rPr>
              <w:t>~($0.85)</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b w:val="1"/>
                <w:bCs w:val="1"/>
                <w:color w:val="auto"/>
              </w:rPr>
              <w:t>~($0.55)</w:t>
            </w:r>
          </w:p>
        </w:tc>
        <w:tc>
          <w:tcPr>
            <w:tcW w:w="0" w:type="dxa"/>
            <w:vAlign w:val="bottom"/>
          </w:tcPr>
          <w:p>
            <w:pPr>
              <w:spacing w:after="0"/>
              <w:rPr>
                <w:sz w:val="1"/>
                <w:szCs w:val="1"/>
                <w:color w:val="auto"/>
              </w:rPr>
            </w:pPr>
          </w:p>
        </w:tc>
      </w:tr>
      <w:tr>
        <w:trPr>
          <w:trHeight w:val="156"/>
        </w:trPr>
        <w:tc>
          <w:tcPr>
            <w:tcW w:w="35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9"/>
                <w:szCs w:val="19"/>
                <w:color w:val="auto"/>
              </w:rPr>
              <w:t>acquisition</w:t>
            </w:r>
          </w:p>
        </w:tc>
        <w:tc>
          <w:tcPr>
            <w:tcW w:w="2520" w:type="dxa"/>
            <w:vAlign w:val="bottom"/>
            <w:tcBorders>
              <w:right w:val="single" w:sz="8" w:color="auto"/>
            </w:tcBorders>
          </w:tcPr>
          <w:p>
            <w:pPr>
              <w:spacing w:after="0"/>
              <w:rPr>
                <w:sz w:val="13"/>
                <w:szCs w:val="13"/>
                <w:color w:val="auto"/>
              </w:rPr>
            </w:pPr>
          </w:p>
        </w:tc>
        <w:tc>
          <w:tcPr>
            <w:tcW w:w="2500" w:type="dxa"/>
            <w:vAlign w:val="bottom"/>
            <w:tcBorders>
              <w:right w:val="single" w:sz="8" w:color="auto"/>
            </w:tcBorders>
            <w:vMerge w:val="continue"/>
          </w:tcPr>
          <w:p>
            <w:pPr>
              <w:spacing w:after="0"/>
              <w:rPr>
                <w:sz w:val="13"/>
                <w:szCs w:val="13"/>
                <w:color w:val="auto"/>
              </w:rPr>
            </w:pPr>
          </w:p>
        </w:tc>
        <w:tc>
          <w:tcPr>
            <w:tcW w:w="2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35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520" w:type="dxa"/>
            <w:vAlign w:val="bottom"/>
            <w:tcBorders>
              <w:bottom w:val="single" w:sz="8" w:color="auto"/>
              <w:right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580" w:type="dxa"/>
            <w:vAlign w:val="bottom"/>
            <w:tcBorders>
              <w:left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9"/>
                <w:szCs w:val="19"/>
                <w:b w:val="1"/>
                <w:bCs w:val="1"/>
                <w:color w:val="auto"/>
              </w:rPr>
              <w:t>Reported Guidance</w:t>
            </w:r>
          </w:p>
        </w:tc>
        <w:tc>
          <w:tcPr>
            <w:tcW w:w="252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9"/>
                <w:szCs w:val="19"/>
                <w:color w:val="auto"/>
                <w:w w:val="99"/>
              </w:rPr>
              <w:t>$15.25 to $16.25</w:t>
            </w:r>
          </w:p>
        </w:tc>
        <w:tc>
          <w:tcPr>
            <w:tcW w:w="250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9"/>
                <w:szCs w:val="19"/>
                <w:color w:val="auto"/>
                <w:w w:val="99"/>
              </w:rPr>
              <w:t>$12.00 to $13.00</w:t>
            </w:r>
          </w:p>
        </w:tc>
        <w:tc>
          <w:tcPr>
            <w:tcW w:w="250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9"/>
                <w:szCs w:val="19"/>
                <w:b w:val="1"/>
                <w:bCs w:val="1"/>
                <w:color w:val="auto"/>
                <w:w w:val="99"/>
              </w:rPr>
              <w:t>$12.20 to $13.00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360"/>
        <w:spacing w:after="0" w:line="261" w:lineRule="auto"/>
        <w:rPr>
          <w:sz w:val="20"/>
          <w:szCs w:val="20"/>
          <w:color w:val="auto"/>
        </w:rPr>
      </w:pPr>
      <w:r>
        <w:rPr>
          <w:rFonts w:ascii="Arial" w:cs="Arial" w:eastAsia="Arial" w:hAnsi="Arial"/>
          <w:sz w:val="19"/>
          <w:szCs w:val="19"/>
          <w:color w:val="auto"/>
        </w:rPr>
        <w:t>Full year total revenue is expected to increase by a mid-single digit percentage for 2026 as compared to 2025 driven by continued growth from our Growth Portfolio.</w:t>
      </w:r>
    </w:p>
    <w:p>
      <w:pPr>
        <w:spacing w:after="0" w:line="172"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Biogen expects combined Non-GAAP R&amp;D expense and Non-GAAP SG&amp;A expense to be approximately $4.95 billion for the full year 2026.</w:t>
      </w:r>
    </w:p>
    <w:p>
      <w:pPr>
        <w:spacing w:after="0" w:line="159"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This guidance also assumes that foreign exchange rates as of October 23, 2026, will remain in effect for the remainder of the year, net of hedging activities.</w:t>
      </w:r>
    </w:p>
    <w:p>
      <w:pPr>
        <w:spacing w:after="0" w:line="159" w:lineRule="exact"/>
        <w:rPr>
          <w:sz w:val="20"/>
          <w:szCs w:val="20"/>
          <w:color w:val="auto"/>
        </w:rPr>
      </w:pPr>
    </w:p>
    <w:p>
      <w:pPr>
        <w:ind w:right="140"/>
        <w:spacing w:after="0" w:line="243" w:lineRule="auto"/>
        <w:rPr>
          <w:sz w:val="20"/>
          <w:szCs w:val="20"/>
          <w:color w:val="auto"/>
        </w:rPr>
      </w:pPr>
      <w:r>
        <w:rPr>
          <w:rFonts w:ascii="Arial" w:cs="Arial" w:eastAsia="Arial" w:hAnsi="Arial"/>
          <w:sz w:val="19"/>
          <w:szCs w:val="19"/>
          <w:color w:val="auto"/>
        </w:rPr>
        <w:t>Other than the acquired IPR&amp;D, upfront and milestone impact expressly stated above, this financial guidance does not include any other potential future acquired IPR&amp;D, upfront and milestone charges, impact from potential acquisitions or business development transactions or pending and future litigation or any impact of potential healthcare reform, as all are difficult to predict. Other important financial considerations will be provided on the conference call and webcast.</w:t>
      </w:r>
    </w:p>
    <w:p>
      <w:pPr>
        <w:spacing w:after="0" w:line="202" w:lineRule="exact"/>
        <w:rPr>
          <w:sz w:val="20"/>
          <w:szCs w:val="20"/>
          <w:color w:val="auto"/>
        </w:rPr>
      </w:pPr>
    </w:p>
    <w:p>
      <w:pPr>
        <w:ind w:right="40"/>
        <w:spacing w:after="0" w:line="261" w:lineRule="auto"/>
        <w:rPr>
          <w:sz w:val="20"/>
          <w:szCs w:val="20"/>
          <w:color w:val="auto"/>
        </w:rPr>
      </w:pPr>
      <w:r>
        <w:rPr>
          <w:rFonts w:ascii="Arial" w:cs="Arial" w:eastAsia="Arial" w:hAnsi="Arial"/>
          <w:sz w:val="19"/>
          <w:szCs w:val="19"/>
          <w:color w:val="auto"/>
        </w:rPr>
        <w:t>Biogen may incur charges, realize gains or losses, or experience other events or circumstances in 2026 that could cause any of these assumptions and expectations to change and/or actual results to vary from this financial guidance.</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Biogen does not provide guidance for GAAP reported financial measures (other than revenue) or a</w:t>
      </w:r>
    </w:p>
    <w:p>
      <w:pPr>
        <w:spacing w:after="0" w:line="6" w:lineRule="exact"/>
        <w:rPr>
          <w:sz w:val="20"/>
          <w:szCs w:val="20"/>
          <w:color w:val="auto"/>
        </w:rPr>
      </w:pPr>
    </w:p>
    <w:p>
      <w:pPr>
        <w:ind w:right="100"/>
        <w:spacing w:after="0" w:line="237" w:lineRule="auto"/>
        <w:rPr>
          <w:sz w:val="20"/>
          <w:szCs w:val="20"/>
          <w:color w:val="auto"/>
        </w:rPr>
      </w:pPr>
      <w:r>
        <w:rPr>
          <w:rFonts w:ascii="Arial" w:cs="Arial" w:eastAsia="Arial" w:hAnsi="Arial"/>
          <w:sz w:val="19"/>
          <w:szCs w:val="19"/>
          <w:color w:val="auto"/>
        </w:rPr>
        <w:t>reconciliation of forward-looking Non-GAAP financial measures to the most directly comparable GAAP reported financial measures because the Company is unable without unreasonable effort to predict with reasonable certainty the financial impact of items such as the transaction, integration, and certain other costs related to acquisitions or large business development transactions; unusual gains and losses; potential future asset impairments; gains and losses from equity security investments; and the ultimate outcome of pending or future litigation. These items are uncertain, depend on various factors, and could have a material impact on GAAP reported results for the guidance period. For the same reasons, the Company is unable to address the significance of the unavailable information, which could be material to future results.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Conference Call and Webcast</w:t>
      </w:r>
    </w:p>
    <w:p>
      <w:pPr>
        <w:spacing w:after="0" w:line="221"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color w:val="auto"/>
        </w:rPr>
        <w:t>The Company’s earnings conference call for the third quarter will be broadcast via the internet at 8:30 a.m. ET on October 28, 2026 and will be accessible through the Investors section of Biogen’s website, www.biogen.com. Supplemental information in the form of a slide presentation is also accessible at the same location on the internet and will be subsequently available on the website for at least 90 days.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447260"/>
        </w:rPr>
        <w:t>4</w:t>
      </w:r>
    </w:p>
    <w:p>
      <w:pPr>
        <w:sectPr>
          <w:pgSz w:w="11900" w:h="16838" w:orient="portrait"/>
          <w:cols w:equalWidth="0" w:num="1">
            <w:col w:w="11240"/>
          </w:cols>
          <w:pgMar w:left="320" w:top="1308" w:right="33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auto"/>
        </w:rPr>
        <w:t>About Biogen</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9"/>
          <w:szCs w:val="19"/>
          <w:color w:val="auto"/>
        </w:rPr>
        <w:t>Founded in 1978, Biogen is a leading biotechnology company that pioneers innovative science to deliver new medicines to transform patients' lives and to create value for shareholders and our communities.</w:t>
      </w:r>
    </w:p>
    <w:p>
      <w:pPr>
        <w:spacing w:after="0" w:line="255" w:lineRule="auto"/>
        <w:rPr>
          <w:sz w:val="20"/>
          <w:szCs w:val="20"/>
          <w:color w:val="auto"/>
        </w:rPr>
      </w:pPr>
      <w:r>
        <w:rPr>
          <w:rFonts w:ascii="Arial" w:cs="Arial" w:eastAsia="Arial" w:hAnsi="Arial"/>
          <w:sz w:val="19"/>
          <w:szCs w:val="19"/>
          <w:color w:val="auto"/>
        </w:rPr>
        <w:t>We apply deep understanding of human biology and leverage different modalities to advance first-in-class treatments or therapies that deliver superior outcomes. Our approach is to take bold risks, balanced with return on investment to deliver long-term growth.</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Biogen Safe Harbor</w:t>
      </w:r>
    </w:p>
    <w:p>
      <w:pPr>
        <w:spacing w:after="0" w:line="234" w:lineRule="exact"/>
        <w:rPr>
          <w:sz w:val="20"/>
          <w:szCs w:val="20"/>
          <w:color w:val="auto"/>
        </w:rPr>
      </w:pPr>
    </w:p>
    <w:p>
      <w:pPr>
        <w:ind w:right="60"/>
        <w:spacing w:after="0" w:line="235" w:lineRule="auto"/>
        <w:rPr>
          <w:sz w:val="20"/>
          <w:szCs w:val="20"/>
          <w:color w:val="auto"/>
        </w:rPr>
      </w:pPr>
      <w:r>
        <w:rPr>
          <w:rFonts w:ascii="Arial" w:cs="Arial" w:eastAsia="Arial" w:hAnsi="Arial"/>
          <w:sz w:val="19"/>
          <w:szCs w:val="19"/>
          <w:color w:val="auto"/>
        </w:rPr>
        <w:t>This press release contains forward-looking statements that are being made pursuant to the provisions of the Private Securities Litigation Reform Act of 1995 (the PSLRA) with the intention of obtaining the benefits of the “Safe Harbor” provisions of the PSLRA. This press release contains forward-looking statements, relating to: our strategy and plans; potential of, and expectations for, our commercial business and pipeline programs; capital allocation and investment strategy; clinical development programs, clinical trials, and data readouts and presentations; regulatory discussions, submissions, filings, and approvals; the potential benefits, safety, and efficacy of our and our collaboration partners’ products and investigational therapies; the anticipated benefits and potential of investments or acquisitions; optimization of our cost structure including our "Fit for Growth" program; the goal of repositioning the company to create long-term growth; the impact from existing and potential tariffs and trade restrictions; productivity of our R&amp;D pipeline, collaborations, and business development activities; our future financial and operating results; the costs and other anticipated financial impacts of the acquisition of Apellis including Biogen non-GAAP diluted EPS and non-GAAP diluted EPS growth, expected run rate synergies and the expected revenue growth for EMPAVELI and SYFOVRE following the acquisition of Apellis; and our full year 2026 financial guidance. These forward-looking statements may be accompanied by such words as “aim,” “anticipate,” “assume,” “believe,” “contemplate,” “continue,” “could,” “estimate,” “expect,” “forecast,” “goal,” “guidance,” “hope,” “intend,” “may,” “objective,” “outlook,” “plan,” “possible,” “potential,” “predict,” “project,” “prospect,” “should,” “target,” “will,” “would,” and other words and terms of similar meaning.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should not place undue reliance on these statements.</w:t>
      </w:r>
    </w:p>
    <w:p>
      <w:pPr>
        <w:spacing w:after="0" w:line="198" w:lineRule="exact"/>
        <w:rPr>
          <w:sz w:val="20"/>
          <w:szCs w:val="20"/>
          <w:color w:val="auto"/>
        </w:rPr>
      </w:pPr>
    </w:p>
    <w:p>
      <w:pPr>
        <w:ind w:right="180"/>
        <w:spacing w:after="0" w:line="243" w:lineRule="auto"/>
        <w:rPr>
          <w:sz w:val="20"/>
          <w:szCs w:val="20"/>
          <w:color w:val="auto"/>
        </w:rPr>
      </w:pPr>
      <w:r>
        <w:rPr>
          <w:rFonts w:ascii="Arial" w:cs="Arial" w:eastAsia="Arial" w:hAnsi="Arial"/>
          <w:sz w:val="19"/>
          <w:szCs w:val="19"/>
          <w:color w:val="auto"/>
        </w:rPr>
        <w:t>Given their forward-looking nature, these statements involve substantial risks and uncertainties that may be based on inaccurate assumptions and could cause actual results to differ materially from those reflected in such statements. These forward-looking statements are based on management's current beliefs and assumptions and on information currently available to management. Given their nature, we cannot assure that any outcome expressed in these forward-looking statements will be realized in whole or in part.</w:t>
      </w:r>
    </w:p>
    <w:p>
      <w:pPr>
        <w:spacing w:after="0" w:line="187" w:lineRule="exact"/>
        <w:rPr>
          <w:sz w:val="20"/>
          <w:szCs w:val="20"/>
          <w:color w:val="auto"/>
        </w:rPr>
      </w:pPr>
    </w:p>
    <w:p>
      <w:pPr>
        <w:ind w:right="40"/>
        <w:spacing w:after="0" w:line="236" w:lineRule="auto"/>
        <w:rPr>
          <w:sz w:val="20"/>
          <w:szCs w:val="20"/>
          <w:color w:val="auto"/>
        </w:rPr>
      </w:pPr>
      <w:r>
        <w:rPr>
          <w:rFonts w:ascii="Arial" w:cs="Arial" w:eastAsia="Arial" w:hAnsi="Arial"/>
          <w:sz w:val="19"/>
          <w:szCs w:val="19"/>
          <w:color w:val="auto"/>
        </w:rPr>
        <w:t>We caution that these statements are subject to risks and uncertainties, many of which are outside of our control and could cause future events or results to be materially different from those stated or implied in this document, including, among others, factors relating to: our substantial dependence on revenue from our products and other payments under licensing, collaboration, acquisition or divestiture agreements; uncertainty of long-term success in developing, licensing, or acquiring other product candidates or additional indications for existing products; expectations, plans, prospects and timing of actions relating to product approvals, approvals of additional indications for our existing products, sales, pricing, growth, reimbursement and launch of our marketed and pipeline products; the potential impact of increased product competition in the biopharmaceutical and healthcare industry, as well as any other markets in which we compete, including increased competition from new originator therapies, generics, prodrugs and biosimilars of existing products and products approved under abbreviated regulatory pathways; our ability to effectively implement our corporate strategy; the successful execution of our strategic and growth initiatives, including acquisitions; the drivers for growing our business; difficulties in obtaining and maintaining adequate coverage, pricing, and reimbursement for our products; the drivers for growing our business, including our dependence on collaborators and other third parties for the development, regulatory approval, and commercialization of products and other aspects of our business, which are</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7260"/>
        </w:rPr>
        <w:t>5</w:t>
      </w:r>
    </w:p>
    <w:p>
      <w:pPr>
        <w:sectPr>
          <w:pgSz w:w="11900" w:h="16838" w:orient="portrait"/>
          <w:cols w:equalWidth="0" w:num="1">
            <w:col w:w="11220"/>
          </w:cols>
          <w:pgMar w:left="320" w:top="1205" w:right="359" w:bottom="1440" w:gutter="0" w:footer="0" w:header="0"/>
        </w:sectPr>
      </w:pPr>
    </w:p>
    <w:bookmarkStart w:id="8" w:name="page9"/>
    <w:bookmarkEnd w:id="8"/>
    <w:p>
      <w:pPr>
        <w:spacing w:after="0" w:line="234" w:lineRule="auto"/>
        <w:rPr>
          <w:sz w:val="20"/>
          <w:szCs w:val="20"/>
          <w:color w:val="auto"/>
        </w:rPr>
      </w:pPr>
      <w:r>
        <w:rPr>
          <w:rFonts w:ascii="Arial" w:cs="Arial" w:eastAsia="Arial" w:hAnsi="Arial"/>
          <w:sz w:val="19"/>
          <w:szCs w:val="19"/>
          <w:color w:val="auto"/>
        </w:rPr>
        <w:t>outside of our full control; risks associated with current and potential future healthcare reforms; risks related to commercialization of biosimilars, which is subject to such risks related to our reliance on third-parties, intellectual property, competitive and market challenges and regulatory compliance; failure to obtain, protect, and enforce our data, intellectual property, and other proprietary rights and the risks and uncertainties relating to intellectual property claims and challenges; the risk that positive results in a clinical trial may not be replicated in subsequent or confirmatory trials or success in early stage clinical trials may not be predictive of results in later stage or large scale clinical trials or trials in other potential indications; risks associated with clinical trials, including our ability to adequately manage clinical activities, unexpected concerns that may arise from additional data or analysis obtained during clinical trials, regulatory authorities may require additional information or further studies, or may fail to approve or may delay approval of our drug candidates; the occurrence of adverse safety events, restrictions on use with our products, or product liability claims; risks relating to technology, including our incorporation of new technologies such as artificial intelligence into some of our processes; risks related to use of information technology systems and potential impacts of any breakdowns, interruptions, invasions, corruptions, data breaches, destructions and/or other cybersecurity incidents of our systems or those of connected and/or third-party systems; problems with our manufacturing capacity, including our ability to manufacture products efficiently or adequately address global bulk supply risks; risks relating to retaining management, personnel and other organizational changes, including our ability to attract, retain and motivate qualified individuals; risks related to the failure to comply with current and new legal and regulatory requirements, including judicial decisions, accounting standards, and tariff or trade restrictions; the risks of doing business internationally, including geopolitical tensions, acts of war and large-scale crises; risks relating to investment in our manufacturing capacity; risks relating to the distribution and sale by third parties of counterfeit or unfit versions of our products; risks relating to the use of social media for our business, results of operations and financial condition; fluctuations in our operating results; risks related to investment in properties; risks relating to access to capital and credit markets to finance our present and future operations and business initiatives and obtain funding for such activities on favorable terms; risks related to indebtedness; the market, interest, and credit risks associated with our investment portfolio; risks relating to share repurchase programs; change in control provisions in certain of our collaboration agreements; fluctuations in our effective tax rate and obligations in various jurisdictions in which we are subject to taxation; environmental risks; and any other risks and uncertainties that are described in other reports we have filed with the U.S. Securities and Exchange Commission (SEC), which are available on the SEC’s website at www.sec.gov.</w:t>
      </w:r>
    </w:p>
    <w:p>
      <w:pPr>
        <w:spacing w:after="0" w:line="211"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These statements speak only as of the date of this press release and are based on information and estimates available to us at this time. Should known or unknown risks or uncertainties materialize or should underlying assumptions prove inaccurate, actual results could vary materially from past results and those anticipated, estimated or projected. Investors are cautioned not to put undue reliance on forward-looking statements. A further list and description of risks, uncertainties and other matters can be found in our Annual Report on Form 10-K for the fiscal year ended December 31, 2025 and in our subsequent reports on Form 10-Q, in each case including in the sections thereof captioned “Note Regarding Forward-Looking Statements” and “Item 1A. Risk Factors,” and in our subsequent reports on Form 8-K. Except as required by law, we do not undertake any obligation to publicly update any forward-looking statements whether as a result of any new information, future events, changed circumstances or otherwise.</w:t>
      </w: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Digital Media Disclosure</w:t>
      </w:r>
    </w:p>
    <w:p>
      <w:pPr>
        <w:spacing w:after="0" w:line="221" w:lineRule="exact"/>
        <w:rPr>
          <w:sz w:val="20"/>
          <w:szCs w:val="20"/>
          <w:color w:val="auto"/>
        </w:rPr>
      </w:pPr>
    </w:p>
    <w:p>
      <w:pPr>
        <w:ind w:right="300"/>
        <w:spacing w:after="0" w:line="246" w:lineRule="auto"/>
        <w:rPr>
          <w:sz w:val="20"/>
          <w:szCs w:val="20"/>
          <w:color w:val="auto"/>
        </w:rPr>
      </w:pPr>
      <w:r>
        <w:rPr>
          <w:rFonts w:ascii="Arial" w:cs="Arial" w:eastAsia="Arial" w:hAnsi="Arial"/>
          <w:sz w:val="19"/>
          <w:szCs w:val="19"/>
          <w:color w:val="auto"/>
        </w:rPr>
        <w:t>We use, and expect in the future to use, our investor relations website (investors.biogen.com), the Biogen LinkedIn account (linkedin.com/company/biogen-), and the Biogen X account (x.com/biogen) as a means of disclosing information to the public in a broad, non-exclusionary manner, including for purposes of the SEC’s Regulation Fair Disclosure (Reg FD). Accordingly, investors should monitor our investor relations website and these social media channels in addition to our press releases, SEC filings, public conference calls and webcasts, as the information posted on them could be material to investors.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447260"/>
        </w:rPr>
        <w:t>6</w:t>
      </w:r>
    </w:p>
    <w:p>
      <w:pPr>
        <w:sectPr>
          <w:pgSz w:w="11900" w:h="16838" w:orient="portrait"/>
          <w:cols w:equalWidth="0" w:num="1">
            <w:col w:w="11240"/>
          </w:cols>
          <w:pgMar w:left="320" w:top="104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MEDIA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INVESTOR CONTACT:</w:t>
      </w:r>
    </w:p>
    <w:p>
      <w:pPr>
        <w:spacing w:after="0" w:line="65" w:lineRule="exact"/>
        <w:rPr>
          <w:sz w:val="20"/>
          <w:szCs w:val="20"/>
          <w:color w:val="auto"/>
        </w:rPr>
      </w:pPr>
    </w:p>
    <w:p>
      <w:pPr>
        <w:sectPr>
          <w:pgSz w:w="11900" w:h="16838" w:orient="portrait"/>
          <w:cols w:equalWidth="0" w:num="2">
            <w:col w:w="4980" w:space="720"/>
            <w:col w:w="4419"/>
          </w:cols>
          <w:pgMar w:left="340" w:top="1308" w:right="1440" w:bottom="1440" w:gutter="0" w:footer="0" w:header="0"/>
        </w:sectPr>
      </w:pPr>
    </w:p>
    <w:p>
      <w:pPr>
        <w:spacing w:after="0"/>
        <w:rPr>
          <w:sz w:val="20"/>
          <w:szCs w:val="20"/>
          <w:color w:val="auto"/>
        </w:rPr>
      </w:pPr>
      <w:r>
        <w:rPr>
          <w:rFonts w:ascii="Arial" w:cs="Arial" w:eastAsia="Arial" w:hAnsi="Arial"/>
          <w:sz w:val="18"/>
          <w:szCs w:val="18"/>
          <w:b w:val="1"/>
          <w:bCs w:val="1"/>
          <w:color w:val="auto"/>
        </w:rPr>
        <w:t>Biogen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Biogen</w:t>
      </w:r>
    </w:p>
    <w:p>
      <w:pPr>
        <w:spacing w:after="0" w:line="65" w:lineRule="exact"/>
        <w:rPr>
          <w:sz w:val="20"/>
          <w:szCs w:val="20"/>
          <w:color w:val="auto"/>
        </w:rPr>
      </w:pPr>
    </w:p>
    <w:p>
      <w:pPr>
        <w:sectPr>
          <w:pgSz w:w="11900" w:h="16838" w:orient="portrait"/>
          <w:cols w:equalWidth="0" w:num="2">
            <w:col w:w="4980" w:space="720"/>
            <w:col w:w="4419"/>
          </w:cols>
          <w:pgMar w:left="340" w:top="1308" w:right="1440" w:bottom="1440" w:gutter="0" w:footer="0" w:header="0"/>
          <w:type w:val="continuous"/>
        </w:sectPr>
      </w:pPr>
    </w:p>
    <w:p>
      <w:pPr>
        <w:spacing w:after="0"/>
        <w:rPr>
          <w:sz w:val="20"/>
          <w:szCs w:val="20"/>
          <w:color w:val="auto"/>
        </w:rPr>
      </w:pPr>
      <w:r>
        <w:rPr>
          <w:rFonts w:ascii="Arial" w:cs="Arial" w:eastAsia="Arial" w:hAnsi="Arial"/>
          <w:sz w:val="18"/>
          <w:szCs w:val="18"/>
          <w:color w:val="auto"/>
        </w:rPr>
        <w:t>Madeleine Shin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Tim Power</w:t>
      </w:r>
    </w:p>
    <w:p>
      <w:pPr>
        <w:spacing w:after="0" w:line="65" w:lineRule="exact"/>
        <w:rPr>
          <w:sz w:val="20"/>
          <w:szCs w:val="20"/>
          <w:color w:val="auto"/>
        </w:rPr>
      </w:pPr>
    </w:p>
    <w:p>
      <w:pPr>
        <w:sectPr>
          <w:pgSz w:w="11900" w:h="16838" w:orient="portrait"/>
          <w:cols w:equalWidth="0" w:num="2">
            <w:col w:w="4980" w:space="720"/>
            <w:col w:w="4419"/>
          </w:cols>
          <w:pgMar w:left="340" w:top="1308" w:right="1440" w:bottom="1440" w:gutter="0" w:footer="0" w:header="0"/>
          <w:type w:val="continuous"/>
        </w:sectPr>
      </w:pPr>
    </w:p>
    <w:p>
      <w:pPr>
        <w:spacing w:after="0"/>
        <w:rPr>
          <w:sz w:val="20"/>
          <w:szCs w:val="20"/>
          <w:color w:val="auto"/>
        </w:rPr>
      </w:pPr>
      <w:r>
        <w:rPr>
          <w:rFonts w:ascii="Arial" w:cs="Arial" w:eastAsia="Arial" w:hAnsi="Arial"/>
          <w:sz w:val="19"/>
          <w:szCs w:val="19"/>
          <w:color w:val="auto"/>
        </w:rPr>
        <w:t>Tel: +1 781-464-3260</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public.affairs@biogen.com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Tel: +1 781-464-2442</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IR@biogen.com</w:t>
      </w:r>
    </w:p>
    <w:p>
      <w:pPr>
        <w:spacing w:after="0" w:line="200" w:lineRule="exact"/>
        <w:rPr>
          <w:sz w:val="20"/>
          <w:szCs w:val="20"/>
          <w:color w:val="auto"/>
        </w:rPr>
      </w:pPr>
    </w:p>
    <w:p>
      <w:pPr>
        <w:sectPr>
          <w:pgSz w:w="11900" w:h="16838" w:orient="portrait"/>
          <w:cols w:equalWidth="0" w:num="2">
            <w:col w:w="4980" w:space="720"/>
            <w:col w:w="4419"/>
          </w:cols>
          <w:pgMar w:left="340" w:top="130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7"/>
          <w:szCs w:val="17"/>
          <w:color w:val="447260"/>
        </w:rPr>
        <w:t>7</w:t>
      </w:r>
    </w:p>
    <w:p>
      <w:pPr>
        <w:sectPr>
          <w:pgSz w:w="11900" w:h="16838" w:orient="portrait"/>
          <w:cols w:equalWidth="0" w:num="1">
            <w:col w:w="10119"/>
          </w:cols>
          <w:pgMar w:left="340" w:top="1308" w:right="1440" w:bottom="1440" w:gutter="0" w:footer="0" w:header="0"/>
          <w:type w:val="continuous"/>
        </w:sectPr>
      </w:pPr>
    </w:p>
    <w:bookmarkStart w:id="10" w:name="page11"/>
    <w:bookmarkEnd w:id="10"/>
    <w:p>
      <w:pPr>
        <w:jc w:val="center"/>
        <w:ind w:right="-379"/>
        <w:spacing w:after="0"/>
        <w:rPr>
          <w:sz w:val="20"/>
          <w:szCs w:val="20"/>
          <w:color w:val="auto"/>
        </w:rPr>
      </w:pPr>
      <w:r>
        <w:rPr>
          <w:rFonts w:ascii="Arial" w:cs="Arial" w:eastAsia="Arial" w:hAnsi="Arial"/>
          <w:sz w:val="21"/>
          <w:szCs w:val="21"/>
          <w:b w:val="1"/>
          <w:bCs w:val="1"/>
          <w:color w:val="1C5A7D"/>
        </w:rPr>
        <w:t>TABLE 1</w:t>
      </w:r>
    </w:p>
    <w:p>
      <w:pPr>
        <w:spacing w:after="0" w:line="237" w:lineRule="exact"/>
        <w:rPr>
          <w:sz w:val="20"/>
          <w:szCs w:val="20"/>
          <w:color w:val="auto"/>
        </w:rPr>
      </w:pPr>
    </w:p>
    <w:p>
      <w:pPr>
        <w:jc w:val="center"/>
        <w:ind w:right="-379"/>
        <w:spacing w:after="0"/>
        <w:rPr>
          <w:sz w:val="20"/>
          <w:szCs w:val="20"/>
          <w:color w:val="auto"/>
        </w:rPr>
      </w:pPr>
      <w:r>
        <w:rPr>
          <w:rFonts w:ascii="Arial" w:cs="Arial" w:eastAsia="Arial" w:hAnsi="Arial"/>
          <w:sz w:val="21"/>
          <w:szCs w:val="21"/>
          <w:b w:val="1"/>
          <w:bCs w:val="1"/>
          <w:color w:val="1C5A7D"/>
        </w:rPr>
        <w:t>BIOGEN INC. AND SUBSIDIARIES</w:t>
      </w:r>
    </w:p>
    <w:p>
      <w:pPr>
        <w:spacing w:after="0" w:line="21" w:lineRule="exact"/>
        <w:rPr>
          <w:sz w:val="20"/>
          <w:szCs w:val="20"/>
          <w:color w:val="auto"/>
        </w:rPr>
      </w:pPr>
    </w:p>
    <w:p>
      <w:pPr>
        <w:jc w:val="center"/>
        <w:ind w:right="-379"/>
        <w:spacing w:after="0"/>
        <w:rPr>
          <w:sz w:val="20"/>
          <w:szCs w:val="20"/>
          <w:color w:val="auto"/>
        </w:rPr>
      </w:pPr>
      <w:r>
        <w:rPr>
          <w:rFonts w:ascii="Arial" w:cs="Arial" w:eastAsia="Arial" w:hAnsi="Arial"/>
          <w:sz w:val="21"/>
          <w:szCs w:val="21"/>
          <w:b w:val="1"/>
          <w:bCs w:val="1"/>
          <w:color w:val="1C5A7D"/>
        </w:rPr>
        <w:t>CONDENSED CONSOLIDATED STATEMENT OF INCOME</w:t>
      </w:r>
    </w:p>
    <w:p>
      <w:pPr>
        <w:ind w:left="3540"/>
        <w:spacing w:after="0"/>
        <w:rPr>
          <w:sz w:val="20"/>
          <w:szCs w:val="20"/>
          <w:color w:val="auto"/>
        </w:rPr>
      </w:pPr>
      <w:r>
        <w:rPr>
          <w:rFonts w:ascii="Arial" w:cs="Arial" w:eastAsia="Arial" w:hAnsi="Arial"/>
          <w:sz w:val="17"/>
          <w:szCs w:val="17"/>
          <w:b w:val="1"/>
          <w:bCs w:val="1"/>
          <w:i w:val="1"/>
          <w:iCs w:val="1"/>
          <w:color w:val="1C5A7D"/>
        </w:rPr>
        <w:t>(unaudited, in millions,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Arial" w:cs="Arial" w:eastAsia="Arial" w:hAnsi="Arial"/>
                <w:sz w:val="16"/>
                <w:szCs w:val="16"/>
                <w:b w:val="1"/>
                <w:bCs w:val="1"/>
                <w:color w:val="auto"/>
              </w:rPr>
              <w:t>For the Three Months Ended</w:t>
            </w:r>
          </w:p>
        </w:tc>
        <w:tc>
          <w:tcPr>
            <w:tcW w:w="100" w:type="dxa"/>
            <w:vAlign w:val="bottom"/>
          </w:tcPr>
          <w:p>
            <w:pPr>
              <w:spacing w:after="0"/>
              <w:rPr>
                <w:sz w:val="16"/>
                <w:szCs w:val="16"/>
                <w:color w:val="auto"/>
              </w:rPr>
            </w:pPr>
          </w:p>
        </w:tc>
        <w:tc>
          <w:tcPr>
            <w:tcW w:w="2580" w:type="dxa"/>
            <w:vAlign w:val="bottom"/>
            <w:gridSpan w:val="4"/>
          </w:tcPr>
          <w:p>
            <w:pPr>
              <w:jc w:val="right"/>
              <w:ind w:right="262"/>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7"/>
        </w:trPr>
        <w:tc>
          <w:tcPr>
            <w:tcW w:w="5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20" w:type="dxa"/>
            <w:vAlign w:val="bottom"/>
            <w:vMerge w:val="restart"/>
          </w:tcPr>
          <w:p>
            <w:pPr>
              <w:spacing w:after="0"/>
              <w:rPr>
                <w:sz w:val="20"/>
                <w:szCs w:val="20"/>
                <w:color w:val="auto"/>
              </w:rPr>
            </w:pPr>
            <w:r>
              <w:rPr>
                <w:rFonts w:ascii="Arial" w:cs="Arial" w:eastAsia="Arial" w:hAnsi="Arial"/>
                <w:sz w:val="16"/>
                <w:szCs w:val="16"/>
                <w:color w:val="auto"/>
              </w:rPr>
              <w:t>Revenue:</w:t>
            </w:r>
          </w:p>
        </w:tc>
        <w:tc>
          <w:tcPr>
            <w:tcW w:w="10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ind w:right="402"/>
              <w:spacing w:after="0"/>
              <w:rPr>
                <w:sz w:val="20"/>
                <w:szCs w:val="20"/>
                <w:color w:val="auto"/>
              </w:rPr>
            </w:pPr>
            <w:r>
              <w:rPr>
                <w:rFonts w:ascii="Arial" w:cs="Arial" w:eastAsia="Arial" w:hAnsi="Arial"/>
                <w:sz w:val="16"/>
                <w:szCs w:val="16"/>
                <w:b w:val="1"/>
                <w:bCs w:val="1"/>
                <w:color w:val="2573BA"/>
              </w:rPr>
              <w:t>2026</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w w:val="89"/>
              </w:rPr>
              <w:t>2025</w:t>
            </w:r>
          </w:p>
        </w:tc>
        <w:tc>
          <w:tcPr>
            <w:tcW w:w="12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ind w:right="402"/>
              <w:spacing w:after="0"/>
              <w:rPr>
                <w:sz w:val="20"/>
                <w:szCs w:val="20"/>
                <w:color w:val="auto"/>
              </w:rPr>
            </w:pPr>
            <w:r>
              <w:rPr>
                <w:rFonts w:ascii="Arial" w:cs="Arial" w:eastAsia="Arial" w:hAnsi="Arial"/>
                <w:sz w:val="16"/>
                <w:szCs w:val="16"/>
                <w:b w:val="1"/>
                <w:bCs w:val="1"/>
                <w:color w:val="257ACB"/>
              </w:rPr>
              <w:t>2026</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w w:val="95"/>
              </w:rPr>
              <w:t>2025</w:t>
            </w:r>
          </w:p>
        </w:tc>
        <w:tc>
          <w:tcPr>
            <w:tcW w:w="0" w:type="dxa"/>
            <w:vAlign w:val="bottom"/>
          </w:tcPr>
          <w:p>
            <w:pPr>
              <w:spacing w:after="0"/>
              <w:rPr>
                <w:sz w:val="1"/>
                <w:szCs w:val="1"/>
                <w:color w:val="auto"/>
              </w:rPr>
            </w:pPr>
          </w:p>
        </w:tc>
      </w:tr>
      <w:tr>
        <w:trPr>
          <w:trHeight w:val="185"/>
        </w:trPr>
        <w:tc>
          <w:tcPr>
            <w:tcW w:w="5320" w:type="dxa"/>
            <w:vAlign w:val="bottom"/>
            <w:vMerge w:val="continue"/>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320" w:type="dxa"/>
            <w:vAlign w:val="bottom"/>
          </w:tcPr>
          <w:p>
            <w:pPr>
              <w:ind w:left="120"/>
              <w:spacing w:after="0"/>
              <w:rPr>
                <w:sz w:val="20"/>
                <w:szCs w:val="20"/>
                <w:color w:val="auto"/>
              </w:rPr>
            </w:pPr>
            <w:r>
              <w:rPr>
                <w:rFonts w:ascii="Arial" w:cs="Arial" w:eastAsia="Arial" w:hAnsi="Arial"/>
                <w:sz w:val="16"/>
                <w:szCs w:val="16"/>
                <w:color w:val="auto"/>
              </w:rPr>
              <w:t>Product revenue, net</w:t>
            </w: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2,088.7</w:t>
            </w: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1,846.9</w:t>
            </w:r>
          </w:p>
        </w:tc>
        <w:tc>
          <w:tcPr>
            <w:tcW w:w="120" w:type="dxa"/>
            <w:vAlign w:val="bottom"/>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5,757.4</w:t>
            </w:r>
          </w:p>
        </w:tc>
        <w:tc>
          <w:tcPr>
            <w:tcW w:w="5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5,452.1</w:t>
            </w:r>
          </w:p>
        </w:tc>
        <w:tc>
          <w:tcPr>
            <w:tcW w:w="0" w:type="dxa"/>
            <w:vAlign w:val="bottom"/>
          </w:tcPr>
          <w:p>
            <w:pPr>
              <w:spacing w:after="0"/>
              <w:rPr>
                <w:sz w:val="1"/>
                <w:szCs w:val="1"/>
                <w:color w:val="auto"/>
              </w:rPr>
            </w:pPr>
          </w:p>
        </w:tc>
      </w:tr>
      <w:tr>
        <w:trPr>
          <w:trHeight w:val="207"/>
        </w:trPr>
        <w:tc>
          <w:tcPr>
            <w:tcW w:w="5320" w:type="dxa"/>
            <w:vAlign w:val="bottom"/>
          </w:tcPr>
          <w:p>
            <w:pPr>
              <w:ind w:left="120"/>
              <w:spacing w:after="0"/>
              <w:rPr>
                <w:sz w:val="20"/>
                <w:szCs w:val="20"/>
                <w:color w:val="auto"/>
              </w:rPr>
            </w:pPr>
            <w:r>
              <w:rPr>
                <w:rFonts w:ascii="Arial" w:cs="Arial" w:eastAsia="Arial" w:hAnsi="Arial"/>
                <w:sz w:val="16"/>
                <w:szCs w:val="16"/>
                <w:color w:val="auto"/>
              </w:rPr>
              <w:t>Revenue from anti-CD20 therapeutic programs</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497.3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493.9</w:t>
            </w:r>
          </w:p>
        </w:tc>
        <w:tc>
          <w:tcPr>
            <w:tcW w:w="12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1,429.9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1,339.4</w:t>
            </w:r>
          </w:p>
        </w:tc>
        <w:tc>
          <w:tcPr>
            <w:tcW w:w="0" w:type="dxa"/>
            <w:vAlign w:val="bottom"/>
          </w:tcPr>
          <w:p>
            <w:pPr>
              <w:spacing w:after="0"/>
              <w:rPr>
                <w:sz w:val="1"/>
                <w:szCs w:val="1"/>
                <w:color w:val="auto"/>
              </w:rPr>
            </w:pPr>
          </w:p>
        </w:tc>
      </w:tr>
      <w:tr>
        <w:trPr>
          <w:trHeight w:val="207"/>
        </w:trPr>
        <w:tc>
          <w:tcPr>
            <w:tcW w:w="5320" w:type="dxa"/>
            <w:vAlign w:val="bottom"/>
          </w:tcPr>
          <w:p>
            <w:pPr>
              <w:ind w:left="120"/>
              <w:spacing w:after="0"/>
              <w:rPr>
                <w:sz w:val="20"/>
                <w:szCs w:val="20"/>
                <w:color w:val="auto"/>
              </w:rPr>
            </w:pPr>
            <w:r>
              <w:rPr>
                <w:rFonts w:ascii="Arial" w:cs="Arial" w:eastAsia="Arial" w:hAnsi="Arial"/>
                <w:sz w:val="16"/>
                <w:szCs w:val="16"/>
                <w:color w:val="auto"/>
              </w:rPr>
              <w:t>Alzheimer's collaboration revenue</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68.4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191.6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130.6</w:t>
            </w:r>
          </w:p>
        </w:tc>
        <w:tc>
          <w:tcPr>
            <w:tcW w:w="0" w:type="dxa"/>
            <w:vAlign w:val="bottom"/>
          </w:tcPr>
          <w:p>
            <w:pPr>
              <w:spacing w:after="0"/>
              <w:rPr>
                <w:sz w:val="1"/>
                <w:szCs w:val="1"/>
                <w:color w:val="auto"/>
              </w:rPr>
            </w:pPr>
          </w:p>
        </w:tc>
      </w:tr>
      <w:tr>
        <w:trPr>
          <w:trHeight w:val="207"/>
        </w:trPr>
        <w:tc>
          <w:tcPr>
            <w:tcW w:w="5320" w:type="dxa"/>
            <w:vAlign w:val="bottom"/>
          </w:tcPr>
          <w:p>
            <w:pPr>
              <w:ind w:left="120"/>
              <w:spacing w:after="0"/>
              <w:rPr>
                <w:sz w:val="20"/>
                <w:szCs w:val="20"/>
                <w:color w:val="auto"/>
              </w:rPr>
            </w:pPr>
            <w:r>
              <w:rPr>
                <w:rFonts w:ascii="Arial" w:cs="Arial" w:eastAsia="Arial" w:hAnsi="Arial"/>
                <w:sz w:val="16"/>
                <w:szCs w:val="16"/>
                <w:color w:val="auto"/>
              </w:rPr>
              <w:t>Contract manufacturing, royalty and other revenue</w:t>
            </w:r>
          </w:p>
        </w:tc>
        <w:tc>
          <w:tcPr>
            <w:tcW w:w="10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149.7</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w:t>
            </w:r>
          </w:p>
        </w:tc>
        <w:tc>
          <w:tcPr>
            <w:tcW w:w="12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639.0</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689.1</w:t>
            </w:r>
          </w:p>
        </w:tc>
        <w:tc>
          <w:tcPr>
            <w:tcW w:w="0" w:type="dxa"/>
            <w:vAlign w:val="bottom"/>
          </w:tcPr>
          <w:p>
            <w:pPr>
              <w:spacing w:after="0"/>
              <w:rPr>
                <w:sz w:val="1"/>
                <w:szCs w:val="1"/>
                <w:color w:val="auto"/>
              </w:rPr>
            </w:pPr>
          </w:p>
        </w:tc>
      </w:tr>
      <w:tr>
        <w:trPr>
          <w:trHeight w:val="200"/>
        </w:trPr>
        <w:tc>
          <w:tcPr>
            <w:tcW w:w="532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10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2,804.1</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2,534.7</w:t>
            </w:r>
          </w:p>
        </w:tc>
        <w:tc>
          <w:tcPr>
            <w:tcW w:w="12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8,017.9</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7,611.2</w:t>
            </w:r>
          </w:p>
        </w:tc>
        <w:tc>
          <w:tcPr>
            <w:tcW w:w="0" w:type="dxa"/>
            <w:vAlign w:val="bottom"/>
          </w:tcPr>
          <w:p>
            <w:pPr>
              <w:spacing w:after="0"/>
              <w:rPr>
                <w:sz w:val="1"/>
                <w:szCs w:val="1"/>
                <w:color w:val="auto"/>
              </w:rPr>
            </w:pPr>
          </w:p>
        </w:tc>
      </w:tr>
      <w:tr>
        <w:trPr>
          <w:trHeight w:val="187"/>
        </w:trPr>
        <w:tc>
          <w:tcPr>
            <w:tcW w:w="5320" w:type="dxa"/>
            <w:vAlign w:val="bottom"/>
          </w:tcPr>
          <w:p>
            <w:pPr>
              <w:spacing w:after="0"/>
              <w:rPr>
                <w:sz w:val="20"/>
                <w:szCs w:val="20"/>
                <w:color w:val="auto"/>
              </w:rPr>
            </w:pPr>
            <w:r>
              <w:rPr>
                <w:rFonts w:ascii="Arial" w:cs="Arial" w:eastAsia="Arial" w:hAnsi="Arial"/>
                <w:sz w:val="16"/>
                <w:szCs w:val="16"/>
                <w:color w:val="auto"/>
              </w:rPr>
              <w:t>Cost and expense:</w:t>
            </w:r>
          </w:p>
        </w:tc>
        <w:tc>
          <w:tcPr>
            <w:tcW w:w="10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320" w:type="dxa"/>
            <w:vAlign w:val="bottom"/>
          </w:tcPr>
          <w:p>
            <w:pPr>
              <w:ind w:left="120"/>
              <w:spacing w:after="0" w:line="158" w:lineRule="exact"/>
              <w:rPr>
                <w:sz w:val="20"/>
                <w:szCs w:val="20"/>
                <w:color w:val="auto"/>
              </w:rPr>
            </w:pPr>
            <w:r>
              <w:rPr>
                <w:rFonts w:ascii="Arial" w:cs="Arial" w:eastAsia="Arial" w:hAnsi="Arial"/>
                <w:sz w:val="16"/>
                <w:szCs w:val="16"/>
                <w:color w:val="auto"/>
              </w:rPr>
              <w:t>Cost of sales, excluding amortization and impairment of acquired</w:t>
            </w:r>
          </w:p>
        </w:tc>
        <w:tc>
          <w:tcPr>
            <w:tcW w:w="100" w:type="dxa"/>
            <w:vAlign w:val="bottom"/>
            <w:shd w:val="clear" w:color="auto" w:fill="DBDBDB"/>
          </w:tcPr>
          <w:p>
            <w:pPr>
              <w:spacing w:after="0"/>
              <w:rPr>
                <w:sz w:val="13"/>
                <w:szCs w:val="13"/>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257ACB"/>
              </w:rPr>
              <w:t>748.4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674.4</w:t>
            </w:r>
          </w:p>
        </w:tc>
        <w:tc>
          <w:tcPr>
            <w:tcW w:w="120" w:type="dxa"/>
            <w:vAlign w:val="bottom"/>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257ACB"/>
              </w:rPr>
              <w:t>2,186.3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1,908.7</w:t>
            </w:r>
          </w:p>
        </w:tc>
        <w:tc>
          <w:tcPr>
            <w:tcW w:w="0" w:type="dxa"/>
            <w:vAlign w:val="bottom"/>
          </w:tcPr>
          <w:p>
            <w:pPr>
              <w:spacing w:after="0"/>
              <w:rPr>
                <w:sz w:val="1"/>
                <w:szCs w:val="1"/>
                <w:color w:val="auto"/>
              </w:rPr>
            </w:pPr>
          </w:p>
        </w:tc>
      </w:tr>
      <w:tr>
        <w:trPr>
          <w:trHeight w:val="204"/>
        </w:trPr>
        <w:tc>
          <w:tcPr>
            <w:tcW w:w="5320" w:type="dxa"/>
            <w:vAlign w:val="bottom"/>
          </w:tcPr>
          <w:p>
            <w:pPr>
              <w:ind w:left="120"/>
              <w:spacing w:after="0"/>
              <w:rPr>
                <w:sz w:val="20"/>
                <w:szCs w:val="20"/>
                <w:color w:val="auto"/>
              </w:rPr>
            </w:pPr>
            <w:r>
              <w:rPr>
                <w:rFonts w:ascii="Arial" w:cs="Arial" w:eastAsia="Arial" w:hAnsi="Arial"/>
                <w:sz w:val="16"/>
                <w:szCs w:val="16"/>
                <w:color w:val="auto"/>
              </w:rPr>
              <w:t>intangible assets</w:t>
            </w:r>
          </w:p>
        </w:tc>
        <w:tc>
          <w:tcPr>
            <w:tcW w:w="100" w:type="dxa"/>
            <w:vAlign w:val="bottom"/>
            <w:shd w:val="clear" w:color="auto" w:fill="DBDBDB"/>
          </w:tcPr>
          <w:p>
            <w:pPr>
              <w:spacing w:after="0"/>
              <w:rPr>
                <w:sz w:val="17"/>
                <w:szCs w:val="17"/>
                <w:color w:val="auto"/>
              </w:rPr>
            </w:pPr>
          </w:p>
        </w:tc>
        <w:tc>
          <w:tcPr>
            <w:tcW w:w="1200" w:type="dxa"/>
            <w:vAlign w:val="bottom"/>
            <w:vMerge w:val="continue"/>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0" w:type="dxa"/>
            <w:vAlign w:val="bottom"/>
            <w:vMerge w:val="continue"/>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574.0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436.1</w:t>
            </w:r>
          </w:p>
        </w:tc>
        <w:tc>
          <w:tcPr>
            <w:tcW w:w="12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1,642.6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1,269.2</w:t>
            </w:r>
          </w:p>
        </w:tc>
        <w:tc>
          <w:tcPr>
            <w:tcW w:w="0" w:type="dxa"/>
            <w:vAlign w:val="bottom"/>
          </w:tcPr>
          <w:p>
            <w:pPr>
              <w:spacing w:after="0"/>
              <w:rPr>
                <w:sz w:val="1"/>
                <w:szCs w:val="1"/>
                <w:color w:val="auto"/>
              </w:rPr>
            </w:pPr>
          </w:p>
        </w:tc>
      </w:tr>
      <w:tr>
        <w:trPr>
          <w:trHeight w:val="158"/>
        </w:trPr>
        <w:tc>
          <w:tcPr>
            <w:tcW w:w="5320" w:type="dxa"/>
            <w:vAlign w:val="bottom"/>
          </w:tcPr>
          <w:p>
            <w:pPr>
              <w:ind w:left="120"/>
              <w:spacing w:after="0" w:line="158" w:lineRule="exact"/>
              <w:rPr>
                <w:sz w:val="20"/>
                <w:szCs w:val="20"/>
                <w:color w:val="auto"/>
              </w:rPr>
            </w:pPr>
            <w:r>
              <w:rPr>
                <w:rFonts w:ascii="Arial" w:cs="Arial" w:eastAsia="Arial" w:hAnsi="Arial"/>
                <w:sz w:val="16"/>
                <w:szCs w:val="16"/>
                <w:color w:val="auto"/>
              </w:rPr>
              <w:t>Acquired in-process research and development, upfront and milestone</w:t>
            </w:r>
          </w:p>
        </w:tc>
        <w:tc>
          <w:tcPr>
            <w:tcW w:w="100" w:type="dxa"/>
            <w:vAlign w:val="bottom"/>
            <w:shd w:val="clear" w:color="auto" w:fill="DBDBDB"/>
          </w:tcPr>
          <w:p>
            <w:pPr>
              <w:spacing w:after="0"/>
              <w:rPr>
                <w:sz w:val="13"/>
                <w:szCs w:val="13"/>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257ACB"/>
              </w:rPr>
              <w:t>283.8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257ACB"/>
              </w:rPr>
              <w:t>481.8</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249.4</w:t>
            </w:r>
          </w:p>
        </w:tc>
        <w:tc>
          <w:tcPr>
            <w:tcW w:w="0" w:type="dxa"/>
            <w:vAlign w:val="bottom"/>
          </w:tcPr>
          <w:p>
            <w:pPr>
              <w:spacing w:after="0"/>
              <w:rPr>
                <w:sz w:val="1"/>
                <w:szCs w:val="1"/>
                <w:color w:val="auto"/>
              </w:rPr>
            </w:pPr>
          </w:p>
        </w:tc>
      </w:tr>
      <w:tr>
        <w:trPr>
          <w:trHeight w:val="204"/>
        </w:trPr>
        <w:tc>
          <w:tcPr>
            <w:tcW w:w="5320" w:type="dxa"/>
            <w:vAlign w:val="bottom"/>
          </w:tcPr>
          <w:p>
            <w:pPr>
              <w:ind w:left="120"/>
              <w:spacing w:after="0"/>
              <w:rPr>
                <w:sz w:val="20"/>
                <w:szCs w:val="20"/>
                <w:color w:val="auto"/>
              </w:rPr>
            </w:pPr>
            <w:r>
              <w:rPr>
                <w:rFonts w:ascii="Arial" w:cs="Arial" w:eastAsia="Arial" w:hAnsi="Arial"/>
                <w:sz w:val="16"/>
                <w:szCs w:val="16"/>
                <w:color w:val="auto"/>
              </w:rPr>
              <w:t>expense</w:t>
            </w:r>
          </w:p>
        </w:tc>
        <w:tc>
          <w:tcPr>
            <w:tcW w:w="100" w:type="dxa"/>
            <w:vAlign w:val="bottom"/>
            <w:shd w:val="clear" w:color="auto" w:fill="DBDBDB"/>
          </w:tcPr>
          <w:p>
            <w:pPr>
              <w:spacing w:after="0"/>
              <w:rPr>
                <w:sz w:val="17"/>
                <w:szCs w:val="17"/>
                <w:color w:val="auto"/>
              </w:rPr>
            </w:pPr>
          </w:p>
        </w:tc>
        <w:tc>
          <w:tcPr>
            <w:tcW w:w="1200" w:type="dxa"/>
            <w:vAlign w:val="bottom"/>
            <w:vMerge w:val="continue"/>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0" w:type="dxa"/>
            <w:vAlign w:val="bottom"/>
            <w:vMerge w:val="continue"/>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2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752.0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594.8</w:t>
            </w:r>
          </w:p>
        </w:tc>
        <w:tc>
          <w:tcPr>
            <w:tcW w:w="12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2,069.0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1,751.1</w:t>
            </w:r>
          </w:p>
        </w:tc>
        <w:tc>
          <w:tcPr>
            <w:tcW w:w="0" w:type="dxa"/>
            <w:vAlign w:val="bottom"/>
          </w:tcPr>
          <w:p>
            <w:pPr>
              <w:spacing w:after="0"/>
              <w:rPr>
                <w:sz w:val="1"/>
                <w:szCs w:val="1"/>
                <w:color w:val="auto"/>
              </w:rPr>
            </w:pPr>
          </w:p>
        </w:tc>
      </w:tr>
      <w:tr>
        <w:trPr>
          <w:trHeight w:val="207"/>
        </w:trPr>
        <w:tc>
          <w:tcPr>
            <w:tcW w:w="5320" w:type="dxa"/>
            <w:vAlign w:val="bottom"/>
          </w:tcPr>
          <w:p>
            <w:pPr>
              <w:ind w:left="120"/>
              <w:spacing w:after="0"/>
              <w:rPr>
                <w:sz w:val="20"/>
                <w:szCs w:val="20"/>
                <w:color w:val="auto"/>
              </w:rPr>
            </w:pPr>
            <w:r>
              <w:rPr>
                <w:rFonts w:ascii="Arial" w:cs="Arial" w:eastAsia="Arial" w:hAnsi="Arial"/>
                <w:sz w:val="16"/>
                <w:szCs w:val="16"/>
                <w:color w:val="auto"/>
              </w:rPr>
              <w:t>Amortization and impairment of acquired intangible assets</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172.8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135.7</w:t>
            </w:r>
          </w:p>
        </w:tc>
        <w:tc>
          <w:tcPr>
            <w:tcW w:w="12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477.5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378.4</w:t>
            </w:r>
          </w:p>
        </w:tc>
        <w:tc>
          <w:tcPr>
            <w:tcW w:w="0" w:type="dxa"/>
            <w:vAlign w:val="bottom"/>
          </w:tcPr>
          <w:p>
            <w:pPr>
              <w:spacing w:after="0"/>
              <w:rPr>
                <w:sz w:val="1"/>
                <w:szCs w:val="1"/>
                <w:color w:val="auto"/>
              </w:rPr>
            </w:pPr>
          </w:p>
        </w:tc>
      </w:tr>
      <w:tr>
        <w:trPr>
          <w:trHeight w:val="207"/>
        </w:trPr>
        <w:tc>
          <w:tcPr>
            <w:tcW w:w="5320" w:type="dxa"/>
            <w:vAlign w:val="bottom"/>
          </w:tcPr>
          <w:p>
            <w:pPr>
              <w:ind w:left="120"/>
              <w:spacing w:after="0"/>
              <w:rPr>
                <w:sz w:val="20"/>
                <w:szCs w:val="20"/>
                <w:color w:val="auto"/>
              </w:rPr>
            </w:pPr>
            <w:r>
              <w:rPr>
                <w:rFonts w:ascii="Arial" w:cs="Arial" w:eastAsia="Arial" w:hAnsi="Arial"/>
                <w:sz w:val="16"/>
                <w:szCs w:val="16"/>
                <w:color w:val="auto"/>
              </w:rPr>
              <w:t>Collaboration profit sharing/(loss reimbursement)</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77.8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87.2</w:t>
            </w:r>
          </w:p>
        </w:tc>
        <w:tc>
          <w:tcPr>
            <w:tcW w:w="12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220.8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220.3</w:t>
            </w:r>
          </w:p>
        </w:tc>
        <w:tc>
          <w:tcPr>
            <w:tcW w:w="0" w:type="dxa"/>
            <w:vAlign w:val="bottom"/>
          </w:tcPr>
          <w:p>
            <w:pPr>
              <w:spacing w:after="0"/>
              <w:rPr>
                <w:sz w:val="1"/>
                <w:szCs w:val="1"/>
                <w:color w:val="auto"/>
              </w:rPr>
            </w:pPr>
          </w:p>
        </w:tc>
      </w:tr>
      <w:tr>
        <w:trPr>
          <w:trHeight w:val="207"/>
        </w:trPr>
        <w:tc>
          <w:tcPr>
            <w:tcW w:w="5320" w:type="dxa"/>
            <w:vAlign w:val="bottom"/>
          </w:tcPr>
          <w:p>
            <w:pPr>
              <w:ind w:left="120"/>
              <w:spacing w:after="0"/>
              <w:rPr>
                <w:sz w:val="20"/>
                <w:szCs w:val="20"/>
                <w:color w:val="auto"/>
              </w:rPr>
            </w:pPr>
            <w:r>
              <w:rPr>
                <w:rFonts w:ascii="Arial" w:cs="Arial" w:eastAsia="Arial" w:hAnsi="Arial"/>
                <w:sz w:val="16"/>
                <w:szCs w:val="16"/>
                <w:color w:val="auto"/>
              </w:rPr>
              <w:t>(Gain) loss on fair value remeasurement of contingent consideration</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0.4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23.4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07"/>
        </w:trPr>
        <w:tc>
          <w:tcPr>
            <w:tcW w:w="5320" w:type="dxa"/>
            <w:vAlign w:val="bottom"/>
          </w:tcPr>
          <w:p>
            <w:pPr>
              <w:ind w:left="120"/>
              <w:spacing w:after="0"/>
              <w:rPr>
                <w:sz w:val="20"/>
                <w:szCs w:val="20"/>
                <w:color w:val="auto"/>
              </w:rPr>
            </w:pPr>
            <w:r>
              <w:rPr>
                <w:rFonts w:ascii="Arial" w:cs="Arial" w:eastAsia="Arial" w:hAnsi="Arial"/>
                <w:sz w:val="16"/>
                <w:szCs w:val="16"/>
                <w:color w:val="auto"/>
              </w:rPr>
              <w:t>Restructuring charges</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66.5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239.8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07"/>
        </w:trPr>
        <w:tc>
          <w:tcPr>
            <w:tcW w:w="5320" w:type="dxa"/>
            <w:vAlign w:val="bottom"/>
          </w:tcPr>
          <w:p>
            <w:pPr>
              <w:ind w:left="100"/>
              <w:spacing w:after="0"/>
              <w:rPr>
                <w:sz w:val="20"/>
                <w:szCs w:val="20"/>
                <w:color w:val="auto"/>
              </w:rPr>
            </w:pPr>
            <w:r>
              <w:rPr>
                <w:rFonts w:ascii="Arial" w:cs="Arial" w:eastAsia="Arial" w:hAnsi="Arial"/>
                <w:sz w:val="16"/>
                <w:szCs w:val="16"/>
                <w:color w:val="auto"/>
              </w:rPr>
              <w:t>Other (income) expense, net</w:t>
            </w:r>
          </w:p>
        </w:tc>
        <w:tc>
          <w:tcPr>
            <w:tcW w:w="10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137.4</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175.6</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w:t>
            </w:r>
          </w:p>
        </w:tc>
        <w:tc>
          <w:tcPr>
            <w:tcW w:w="0" w:type="dxa"/>
            <w:vAlign w:val="bottom"/>
          </w:tcPr>
          <w:p>
            <w:pPr>
              <w:spacing w:after="0"/>
              <w:rPr>
                <w:sz w:val="1"/>
                <w:szCs w:val="1"/>
                <w:color w:val="auto"/>
              </w:rPr>
            </w:pPr>
          </w:p>
        </w:tc>
      </w:tr>
      <w:tr>
        <w:trPr>
          <w:trHeight w:val="200"/>
        </w:trPr>
        <w:tc>
          <w:tcPr>
            <w:tcW w:w="5320" w:type="dxa"/>
            <w:vAlign w:val="bottom"/>
          </w:tcPr>
          <w:p>
            <w:pPr>
              <w:ind w:left="320"/>
              <w:spacing w:after="0"/>
              <w:rPr>
                <w:sz w:val="20"/>
                <w:szCs w:val="20"/>
                <w:color w:val="auto"/>
              </w:rPr>
            </w:pPr>
            <w:r>
              <w:rPr>
                <w:rFonts w:ascii="Arial" w:cs="Arial" w:eastAsia="Arial" w:hAnsi="Arial"/>
                <w:sz w:val="16"/>
                <w:szCs w:val="16"/>
                <w:color w:val="auto"/>
              </w:rPr>
              <w:t>Total cost and expense</w:t>
            </w:r>
          </w:p>
        </w:tc>
        <w:tc>
          <w:tcPr>
            <w:tcW w:w="10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2,813.1</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1,977.4</w:t>
            </w:r>
          </w:p>
        </w:tc>
        <w:tc>
          <w:tcPr>
            <w:tcW w:w="12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7,516.8</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5,998.7</w:t>
            </w:r>
          </w:p>
        </w:tc>
        <w:tc>
          <w:tcPr>
            <w:tcW w:w="0" w:type="dxa"/>
            <w:vAlign w:val="bottom"/>
          </w:tcPr>
          <w:p>
            <w:pPr>
              <w:spacing w:after="0"/>
              <w:rPr>
                <w:sz w:val="1"/>
                <w:szCs w:val="1"/>
                <w:color w:val="auto"/>
              </w:rPr>
            </w:pPr>
          </w:p>
        </w:tc>
      </w:tr>
      <w:tr>
        <w:trPr>
          <w:trHeight w:val="200"/>
        </w:trPr>
        <w:tc>
          <w:tcPr>
            <w:tcW w:w="5320" w:type="dxa"/>
            <w:vAlign w:val="bottom"/>
          </w:tcPr>
          <w:p>
            <w:pPr>
              <w:spacing w:after="0"/>
              <w:rPr>
                <w:sz w:val="20"/>
                <w:szCs w:val="20"/>
                <w:color w:val="auto"/>
              </w:rPr>
            </w:pPr>
            <w:r>
              <w:rPr>
                <w:rFonts w:ascii="Arial" w:cs="Arial" w:eastAsia="Arial" w:hAnsi="Arial"/>
                <w:sz w:val="16"/>
                <w:szCs w:val="16"/>
                <w:color w:val="auto"/>
              </w:rPr>
              <w:t>(Loss) Income before income tax (benefit) expense</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(9.0)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557.3</w:t>
            </w:r>
          </w:p>
        </w:tc>
        <w:tc>
          <w:tcPr>
            <w:tcW w:w="12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501.1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1,612.5</w:t>
            </w:r>
          </w:p>
        </w:tc>
        <w:tc>
          <w:tcPr>
            <w:tcW w:w="0" w:type="dxa"/>
            <w:vAlign w:val="bottom"/>
          </w:tcPr>
          <w:p>
            <w:pPr>
              <w:spacing w:after="0"/>
              <w:rPr>
                <w:sz w:val="1"/>
                <w:szCs w:val="1"/>
                <w:color w:val="auto"/>
              </w:rPr>
            </w:pPr>
          </w:p>
        </w:tc>
      </w:tr>
      <w:tr>
        <w:trPr>
          <w:trHeight w:val="208"/>
        </w:trPr>
        <w:tc>
          <w:tcPr>
            <w:tcW w:w="532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10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11.6</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w:t>
            </w:r>
          </w:p>
        </w:tc>
        <w:tc>
          <w:tcPr>
            <w:tcW w:w="120" w:type="dxa"/>
            <w:vAlign w:val="bottom"/>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104.7</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233"/>
        </w:trPr>
        <w:tc>
          <w:tcPr>
            <w:tcW w:w="5320" w:type="dxa"/>
            <w:vAlign w:val="bottom"/>
          </w:tcPr>
          <w:p>
            <w:pPr>
              <w:spacing w:after="0"/>
              <w:rPr>
                <w:sz w:val="20"/>
                <w:szCs w:val="20"/>
                <w:color w:val="auto"/>
              </w:rPr>
            </w:pPr>
            <w:r>
              <w:rPr>
                <w:rFonts w:ascii="Arial" w:cs="Arial" w:eastAsia="Arial" w:hAnsi="Arial"/>
                <w:sz w:val="16"/>
                <w:szCs w:val="16"/>
                <w:color w:val="auto"/>
              </w:rPr>
              <w:t>Net (loss) income attributable to Biogen Inc.</w:t>
            </w: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(20.6)</w:t>
            </w: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466.5</w:t>
            </w:r>
          </w:p>
        </w:tc>
        <w:tc>
          <w:tcPr>
            <w:tcW w:w="120" w:type="dxa"/>
            <w:vAlign w:val="bottom"/>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396.4</w:t>
            </w:r>
          </w:p>
        </w:tc>
        <w:tc>
          <w:tcPr>
            <w:tcW w:w="5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1,341.8</w:t>
            </w:r>
          </w:p>
        </w:tc>
        <w:tc>
          <w:tcPr>
            <w:tcW w:w="0" w:type="dxa"/>
            <w:vAlign w:val="bottom"/>
          </w:tcPr>
          <w:p>
            <w:pPr>
              <w:spacing w:after="0"/>
              <w:rPr>
                <w:sz w:val="1"/>
                <w:szCs w:val="1"/>
                <w:color w:val="auto"/>
              </w:rPr>
            </w:pPr>
          </w:p>
        </w:tc>
      </w:tr>
      <w:tr>
        <w:trPr>
          <w:trHeight w:val="438"/>
        </w:trPr>
        <w:tc>
          <w:tcPr>
            <w:tcW w:w="5320" w:type="dxa"/>
            <w:vAlign w:val="bottom"/>
          </w:tcPr>
          <w:p>
            <w:pPr>
              <w:spacing w:after="0"/>
              <w:rPr>
                <w:sz w:val="20"/>
                <w:szCs w:val="20"/>
                <w:color w:val="auto"/>
              </w:rPr>
            </w:pPr>
            <w:r>
              <w:rPr>
                <w:rFonts w:ascii="Arial" w:cs="Arial" w:eastAsia="Arial" w:hAnsi="Arial"/>
                <w:sz w:val="16"/>
                <w:szCs w:val="16"/>
                <w:color w:val="auto"/>
              </w:rPr>
              <w:t>Net (loss) income per share:</w:t>
            </w:r>
          </w:p>
        </w:tc>
        <w:tc>
          <w:tcPr>
            <w:tcW w:w="100" w:type="dxa"/>
            <w:vAlign w:val="bottom"/>
            <w:tcBorders>
              <w:top w:val="single" w:sz="8" w:color="auto"/>
            </w:tcBorders>
            <w:shd w:val="clear" w:color="auto" w:fill="DBDBDB"/>
          </w:tcPr>
          <w:p>
            <w:pPr>
              <w:spacing w:after="0"/>
              <w:rPr>
                <w:sz w:val="24"/>
                <w:szCs w:val="24"/>
                <w:color w:val="auto"/>
              </w:rPr>
            </w:pPr>
          </w:p>
        </w:tc>
        <w:tc>
          <w:tcPr>
            <w:tcW w:w="1200" w:type="dxa"/>
            <w:vAlign w:val="bottom"/>
            <w:tcBorders>
              <w:top w:val="single" w:sz="8" w:color="auto"/>
            </w:tcBorders>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shd w:val="clear" w:color="auto" w:fill="DBDBDB"/>
          </w:tcPr>
          <w:p>
            <w:pPr>
              <w:spacing w:after="0"/>
              <w:rPr>
                <w:sz w:val="24"/>
                <w:szCs w:val="24"/>
                <w:color w:val="auto"/>
              </w:rPr>
            </w:pPr>
          </w:p>
        </w:tc>
        <w:tc>
          <w:tcPr>
            <w:tcW w:w="1200" w:type="dxa"/>
            <w:vAlign w:val="bottom"/>
            <w:tcBorders>
              <w:top w:val="single" w:sz="8" w:color="auto"/>
            </w:tcBorders>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320" w:type="dxa"/>
            <w:vAlign w:val="bottom"/>
          </w:tcPr>
          <w:p>
            <w:pPr>
              <w:ind w:left="120"/>
              <w:spacing w:after="0"/>
              <w:rPr>
                <w:sz w:val="20"/>
                <w:szCs w:val="20"/>
                <w:color w:val="auto"/>
              </w:rPr>
            </w:pPr>
            <w:r>
              <w:rPr>
                <w:rFonts w:ascii="Arial" w:cs="Arial" w:eastAsia="Arial" w:hAnsi="Arial"/>
                <w:sz w:val="16"/>
                <w:szCs w:val="16"/>
                <w:color w:val="auto"/>
              </w:rPr>
              <w:t>Basic earnings per share attributable to Biogen Inc.</w:t>
            </w: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(0.14)</w:t>
            </w: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2.69</w:t>
            </w:r>
          </w:p>
        </w:tc>
        <w:tc>
          <w:tcPr>
            <w:tcW w:w="5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07"/>
        </w:trPr>
        <w:tc>
          <w:tcPr>
            <w:tcW w:w="5320" w:type="dxa"/>
            <w:vAlign w:val="bottom"/>
          </w:tcPr>
          <w:p>
            <w:pPr>
              <w:ind w:left="120"/>
              <w:spacing w:after="0"/>
              <w:rPr>
                <w:sz w:val="20"/>
                <w:szCs w:val="20"/>
                <w:color w:val="auto"/>
              </w:rPr>
            </w:pPr>
            <w:r>
              <w:rPr>
                <w:rFonts w:ascii="Arial" w:cs="Arial" w:eastAsia="Arial" w:hAnsi="Arial"/>
                <w:sz w:val="16"/>
                <w:szCs w:val="16"/>
                <w:color w:val="auto"/>
              </w:rPr>
              <w:t>Diluted earnings per share attributable to Biogen Inc.</w:t>
            </w: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(0.14)</w:t>
            </w:r>
          </w:p>
        </w:tc>
        <w:tc>
          <w:tcPr>
            <w:tcW w:w="5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2.66</w:t>
            </w:r>
          </w:p>
        </w:tc>
        <w:tc>
          <w:tcPr>
            <w:tcW w:w="5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466"/>
        </w:trPr>
        <w:tc>
          <w:tcPr>
            <w:tcW w:w="5320" w:type="dxa"/>
            <w:vAlign w:val="bottom"/>
          </w:tcPr>
          <w:p>
            <w:pPr>
              <w:spacing w:after="0"/>
              <w:rPr>
                <w:sz w:val="20"/>
                <w:szCs w:val="20"/>
                <w:color w:val="auto"/>
              </w:rPr>
            </w:pPr>
            <w:r>
              <w:rPr>
                <w:rFonts w:ascii="Arial" w:cs="Arial" w:eastAsia="Arial" w:hAnsi="Arial"/>
                <w:sz w:val="16"/>
                <w:szCs w:val="16"/>
                <w:color w:val="auto"/>
              </w:rPr>
              <w:t>Weighted-average shares used in calculating:</w:t>
            </w:r>
          </w:p>
        </w:tc>
        <w:tc>
          <w:tcPr>
            <w:tcW w:w="100" w:type="dxa"/>
            <w:vAlign w:val="bottom"/>
            <w:shd w:val="clear" w:color="auto" w:fill="DBDBDB"/>
          </w:tcPr>
          <w:p>
            <w:pPr>
              <w:spacing w:after="0"/>
              <w:rPr>
                <w:sz w:val="24"/>
                <w:szCs w:val="24"/>
                <w:color w:val="auto"/>
              </w:rPr>
            </w:pPr>
          </w:p>
        </w:tc>
        <w:tc>
          <w:tcPr>
            <w:tcW w:w="1200" w:type="dxa"/>
            <w:vAlign w:val="bottom"/>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200" w:type="dxa"/>
            <w:vAlign w:val="bottom"/>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320" w:type="dxa"/>
            <w:vAlign w:val="bottom"/>
          </w:tcPr>
          <w:p>
            <w:pPr>
              <w:ind w:left="120"/>
              <w:spacing w:after="0"/>
              <w:rPr>
                <w:sz w:val="20"/>
                <w:szCs w:val="20"/>
                <w:color w:val="auto"/>
              </w:rPr>
            </w:pPr>
            <w:r>
              <w:rPr>
                <w:rFonts w:ascii="Arial" w:cs="Arial" w:eastAsia="Arial" w:hAnsi="Arial"/>
                <w:sz w:val="16"/>
                <w:szCs w:val="16"/>
                <w:color w:val="auto"/>
              </w:rPr>
              <w:t>Basic earnings per share attributable to Biogen Inc.</w:t>
            </w: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147.8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146.6</w:t>
            </w:r>
          </w:p>
        </w:tc>
        <w:tc>
          <w:tcPr>
            <w:tcW w:w="12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147.5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146.4</w:t>
            </w:r>
          </w:p>
        </w:tc>
        <w:tc>
          <w:tcPr>
            <w:tcW w:w="0" w:type="dxa"/>
            <w:vAlign w:val="bottom"/>
          </w:tcPr>
          <w:p>
            <w:pPr>
              <w:spacing w:after="0"/>
              <w:rPr>
                <w:sz w:val="1"/>
                <w:szCs w:val="1"/>
                <w:color w:val="auto"/>
              </w:rPr>
            </w:pPr>
          </w:p>
        </w:tc>
      </w:tr>
      <w:tr>
        <w:trPr>
          <w:trHeight w:val="209"/>
        </w:trPr>
        <w:tc>
          <w:tcPr>
            <w:tcW w:w="5320" w:type="dxa"/>
            <w:vAlign w:val="bottom"/>
          </w:tcPr>
          <w:p>
            <w:pPr>
              <w:ind w:left="120"/>
              <w:spacing w:after="0"/>
              <w:rPr>
                <w:sz w:val="20"/>
                <w:szCs w:val="20"/>
                <w:color w:val="auto"/>
              </w:rPr>
            </w:pPr>
            <w:r>
              <w:rPr>
                <w:rFonts w:ascii="Arial" w:cs="Arial" w:eastAsia="Arial" w:hAnsi="Arial"/>
                <w:sz w:val="16"/>
                <w:szCs w:val="16"/>
                <w:color w:val="auto"/>
              </w:rPr>
              <w:t>Diluted earnings per share attributable to Biogen Inc.</w:t>
            </w:r>
          </w:p>
        </w:tc>
        <w:tc>
          <w:tcPr>
            <w:tcW w:w="10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147.8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147.1</w:t>
            </w:r>
          </w:p>
        </w:tc>
        <w:tc>
          <w:tcPr>
            <w:tcW w:w="120" w:type="dxa"/>
            <w:vAlign w:val="bottom"/>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148.9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447260"/>
        </w:rPr>
        <w:t>8</w:t>
      </w:r>
    </w:p>
    <w:p>
      <w:pPr>
        <w:sectPr>
          <w:pgSz w:w="11900" w:h="16838" w:orient="portrait"/>
          <w:cols w:equalWidth="0" w:num="1">
            <w:col w:w="10820"/>
          </w:cols>
          <w:pgMar w:left="340" w:top="1290" w:right="7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21"/>
          <w:szCs w:val="21"/>
          <w:b w:val="1"/>
          <w:bCs w:val="1"/>
          <w:color w:val="1C5A7D"/>
        </w:rPr>
        <w:t>TABLE 2</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1C5A7D"/>
        </w:rPr>
        <w:t>BIOGEN INC.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1C5A7D"/>
        </w:rPr>
        <w:t>CONDENSED CONSOLIDATED BALANCE SHEETS</w:t>
      </w:r>
    </w:p>
    <w:p>
      <w:pPr>
        <w:jc w:val="center"/>
        <w:ind w:right="20"/>
        <w:spacing w:after="0"/>
        <w:rPr>
          <w:sz w:val="20"/>
          <w:szCs w:val="20"/>
          <w:color w:val="auto"/>
        </w:rPr>
      </w:pPr>
      <w:r>
        <w:rPr>
          <w:rFonts w:ascii="Arial" w:cs="Arial" w:eastAsia="Arial" w:hAnsi="Arial"/>
          <w:sz w:val="17"/>
          <w:szCs w:val="17"/>
          <w:b w:val="1"/>
          <w:bCs w:val="1"/>
          <w:i w:val="1"/>
          <w:iCs w:val="1"/>
          <w:color w:val="1C5A7D"/>
        </w:rPr>
        <w:t>(unaudited,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vMerge w:val="restart"/>
          </w:tcPr>
          <w:p>
            <w:pPr>
              <w:spacing w:after="0"/>
              <w:rPr>
                <w:sz w:val="20"/>
                <w:szCs w:val="20"/>
                <w:color w:val="auto"/>
              </w:rPr>
            </w:pPr>
            <w:r>
              <w:rPr>
                <w:rFonts w:ascii="Arial" w:cs="Arial" w:eastAsia="Arial" w:hAnsi="Arial"/>
                <w:sz w:val="16"/>
                <w:szCs w:val="16"/>
                <w:b w:val="1"/>
                <w:bCs w:val="1"/>
                <w:color w:val="2573BA"/>
              </w:rPr>
              <w:t>ASSETS</w:t>
            </w:r>
          </w:p>
        </w:tc>
        <w:tc>
          <w:tcPr>
            <w:tcW w:w="200" w:type="dxa"/>
            <w:vAlign w:val="bottom"/>
            <w:tcBorders>
              <w:bottom w:val="single" w:sz="8" w:color="auto"/>
            </w:tcBorders>
            <w:shd w:val="clear" w:color="auto" w:fill="DDDDDD"/>
          </w:tcPr>
          <w:p>
            <w:pPr>
              <w:spacing w:after="0"/>
              <w:rPr>
                <w:sz w:val="17"/>
                <w:szCs w:val="17"/>
                <w:color w:val="auto"/>
              </w:rPr>
            </w:pPr>
          </w:p>
        </w:tc>
        <w:tc>
          <w:tcPr>
            <w:tcW w:w="2300" w:type="dxa"/>
            <w:vAlign w:val="bottom"/>
            <w:tcBorders>
              <w:bottom w:val="single" w:sz="8" w:color="auto"/>
            </w:tcBorders>
            <w:shd w:val="clear" w:color="auto" w:fill="DDDDDD"/>
          </w:tcPr>
          <w:p>
            <w:pPr>
              <w:jc w:val="right"/>
              <w:ind w:right="242"/>
              <w:spacing w:after="0"/>
              <w:rPr>
                <w:sz w:val="20"/>
                <w:szCs w:val="20"/>
                <w:color w:val="auto"/>
              </w:rPr>
            </w:pPr>
            <w:r>
              <w:rPr>
                <w:rFonts w:ascii="Arial" w:cs="Arial" w:eastAsia="Arial" w:hAnsi="Arial"/>
                <w:sz w:val="16"/>
                <w:szCs w:val="16"/>
                <w:b w:val="1"/>
                <w:bCs w:val="1"/>
                <w:color w:val="2573BA"/>
              </w:rPr>
              <w:t>As of September 30, 2026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As of December 31, 2025</w:t>
            </w:r>
          </w:p>
        </w:tc>
        <w:tc>
          <w:tcPr>
            <w:tcW w:w="0" w:type="dxa"/>
            <w:vAlign w:val="bottom"/>
          </w:tcPr>
          <w:p>
            <w:pPr>
              <w:spacing w:after="0"/>
              <w:rPr>
                <w:sz w:val="1"/>
                <w:szCs w:val="1"/>
                <w:color w:val="auto"/>
              </w:rPr>
            </w:pPr>
          </w:p>
        </w:tc>
      </w:tr>
      <w:tr>
        <w:trPr>
          <w:trHeight w:val="187"/>
        </w:trPr>
        <w:tc>
          <w:tcPr>
            <w:tcW w:w="5900" w:type="dxa"/>
            <w:vAlign w:val="bottom"/>
            <w:vMerge w:val="continue"/>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230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9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w w:val="76"/>
              </w:rPr>
              <w:t>$</w:t>
            </w: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1,303.9</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3,008.5</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Marketable securities</w:t>
            </w:r>
          </w:p>
        </w:tc>
        <w:tc>
          <w:tcPr>
            <w:tcW w:w="200" w:type="dxa"/>
            <w:vAlign w:val="bottom"/>
            <w:shd w:val="clear" w:color="auto" w:fill="DBDBDB"/>
          </w:tcPr>
          <w:p>
            <w:pPr>
              <w:spacing w:after="0"/>
              <w:rPr>
                <w:sz w:val="17"/>
                <w:szCs w:val="17"/>
                <w:color w:val="auto"/>
              </w:rPr>
            </w:pP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807.2</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DBDBDB"/>
          </w:tcPr>
          <w:p>
            <w:pPr>
              <w:spacing w:after="0"/>
              <w:rPr>
                <w:sz w:val="17"/>
                <w:szCs w:val="17"/>
                <w:color w:val="auto"/>
              </w:rPr>
            </w:pP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1,884.6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1,342.4</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Due from anti-CD20 therapeutic programs</w:t>
            </w:r>
          </w:p>
        </w:tc>
        <w:tc>
          <w:tcPr>
            <w:tcW w:w="200" w:type="dxa"/>
            <w:vAlign w:val="bottom"/>
            <w:shd w:val="clear" w:color="auto" w:fill="DBDBDB"/>
          </w:tcPr>
          <w:p>
            <w:pPr>
              <w:spacing w:after="0"/>
              <w:rPr>
                <w:sz w:val="17"/>
                <w:szCs w:val="17"/>
                <w:color w:val="auto"/>
              </w:rPr>
            </w:pP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498.0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524.6</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Inventory</w:t>
            </w:r>
          </w:p>
        </w:tc>
        <w:tc>
          <w:tcPr>
            <w:tcW w:w="200" w:type="dxa"/>
            <w:vAlign w:val="bottom"/>
            <w:shd w:val="clear" w:color="auto" w:fill="DBDBDB"/>
          </w:tcPr>
          <w:p>
            <w:pPr>
              <w:spacing w:after="0"/>
              <w:rPr>
                <w:sz w:val="17"/>
                <w:szCs w:val="17"/>
                <w:color w:val="auto"/>
              </w:rPr>
            </w:pP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2,224.4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2,168.1</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shd w:val="clear" w:color="auto" w:fill="DBDBDB"/>
          </w:tcPr>
          <w:p>
            <w:pPr>
              <w:spacing w:after="0"/>
              <w:rPr>
                <w:sz w:val="17"/>
                <w:szCs w:val="17"/>
                <w:color w:val="auto"/>
              </w:rPr>
            </w:pPr>
          </w:p>
        </w:tc>
        <w:tc>
          <w:tcPr>
            <w:tcW w:w="23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3BA"/>
              </w:rPr>
              <w:t>1,673.5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1,123.3</w:t>
            </w:r>
          </w:p>
        </w:tc>
        <w:tc>
          <w:tcPr>
            <w:tcW w:w="0" w:type="dxa"/>
            <w:vAlign w:val="bottom"/>
          </w:tcPr>
          <w:p>
            <w:pPr>
              <w:spacing w:after="0"/>
              <w:rPr>
                <w:sz w:val="1"/>
                <w:szCs w:val="1"/>
                <w:color w:val="auto"/>
              </w:rPr>
            </w:pPr>
          </w:p>
        </w:tc>
      </w:tr>
      <w:tr>
        <w:trPr>
          <w:trHeight w:val="200"/>
        </w:trPr>
        <w:tc>
          <w:tcPr>
            <w:tcW w:w="590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DBDBDB"/>
          </w:tcPr>
          <w:p>
            <w:pPr>
              <w:spacing w:after="0"/>
              <w:rPr>
                <w:sz w:val="17"/>
                <w:szCs w:val="17"/>
                <w:color w:val="auto"/>
              </w:rPr>
            </w:pP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7,584.4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8,974.1</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Marketable securities</w:t>
            </w:r>
          </w:p>
        </w:tc>
        <w:tc>
          <w:tcPr>
            <w:tcW w:w="200" w:type="dxa"/>
            <w:vAlign w:val="bottom"/>
            <w:shd w:val="clear" w:color="auto" w:fill="DBDBDB"/>
          </w:tcPr>
          <w:p>
            <w:pPr>
              <w:spacing w:after="0"/>
              <w:rPr>
                <w:sz w:val="17"/>
                <w:szCs w:val="17"/>
                <w:color w:val="auto"/>
              </w:rPr>
            </w:pP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431.9</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200" w:type="dxa"/>
            <w:vAlign w:val="bottom"/>
            <w:shd w:val="clear" w:color="auto" w:fill="DBDBDB"/>
          </w:tcPr>
          <w:p>
            <w:pPr>
              <w:spacing w:after="0"/>
              <w:rPr>
                <w:sz w:val="17"/>
                <w:szCs w:val="17"/>
                <w:color w:val="auto"/>
              </w:rPr>
            </w:pP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2,967.6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3,055.4</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Operating lease assets</w:t>
            </w:r>
          </w:p>
        </w:tc>
        <w:tc>
          <w:tcPr>
            <w:tcW w:w="200" w:type="dxa"/>
            <w:vAlign w:val="bottom"/>
            <w:shd w:val="clear" w:color="auto" w:fill="DBDBDB"/>
          </w:tcPr>
          <w:p>
            <w:pPr>
              <w:spacing w:after="0"/>
              <w:rPr>
                <w:sz w:val="17"/>
                <w:szCs w:val="17"/>
                <w:color w:val="auto"/>
              </w:rPr>
            </w:pP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176.1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265.4</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DBDBDB"/>
          </w:tcPr>
          <w:p>
            <w:pPr>
              <w:spacing w:after="0"/>
              <w:rPr>
                <w:sz w:val="17"/>
                <w:szCs w:val="17"/>
                <w:color w:val="auto"/>
              </w:rPr>
            </w:pP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13,379.9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9,178.5</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DBDBDB"/>
          </w:tcPr>
          <w:p>
            <w:pPr>
              <w:spacing w:after="0"/>
              <w:rPr>
                <w:sz w:val="17"/>
                <w:szCs w:val="17"/>
                <w:color w:val="auto"/>
              </w:rPr>
            </w:pP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6,992.6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6,491.1</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Deferred tax asset</w:t>
            </w:r>
          </w:p>
        </w:tc>
        <w:tc>
          <w:tcPr>
            <w:tcW w:w="200" w:type="dxa"/>
            <w:vAlign w:val="bottom"/>
            <w:shd w:val="clear" w:color="auto" w:fill="DBDBDB"/>
          </w:tcPr>
          <w:p>
            <w:pPr>
              <w:spacing w:after="0"/>
              <w:rPr>
                <w:sz w:val="17"/>
                <w:szCs w:val="17"/>
                <w:color w:val="auto"/>
              </w:rPr>
            </w:pP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293.7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292.5</w:t>
            </w:r>
          </w:p>
        </w:tc>
        <w:tc>
          <w:tcPr>
            <w:tcW w:w="0" w:type="dxa"/>
            <w:vAlign w:val="bottom"/>
          </w:tcPr>
          <w:p>
            <w:pPr>
              <w:spacing w:after="0"/>
              <w:rPr>
                <w:sz w:val="1"/>
                <w:szCs w:val="1"/>
                <w:color w:val="auto"/>
              </w:rPr>
            </w:pPr>
          </w:p>
        </w:tc>
      </w:tr>
      <w:tr>
        <w:trPr>
          <w:trHeight w:val="208"/>
        </w:trPr>
        <w:tc>
          <w:tcPr>
            <w:tcW w:w="590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200" w:type="dxa"/>
            <w:vAlign w:val="bottom"/>
            <w:tcBorders>
              <w:bottom w:val="single" w:sz="8" w:color="auto"/>
            </w:tcBorders>
            <w:shd w:val="clear" w:color="auto" w:fill="DBDBDB"/>
          </w:tcPr>
          <w:p>
            <w:pPr>
              <w:spacing w:after="0"/>
              <w:rPr>
                <w:sz w:val="18"/>
                <w:szCs w:val="18"/>
                <w:color w:val="auto"/>
              </w:rPr>
            </w:pPr>
          </w:p>
        </w:tc>
        <w:tc>
          <w:tcPr>
            <w:tcW w:w="23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3BA"/>
              </w:rPr>
              <w:t>659.8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750.6</w:t>
            </w:r>
          </w:p>
        </w:tc>
        <w:tc>
          <w:tcPr>
            <w:tcW w:w="0" w:type="dxa"/>
            <w:vAlign w:val="bottom"/>
          </w:tcPr>
          <w:p>
            <w:pPr>
              <w:spacing w:after="0"/>
              <w:rPr>
                <w:sz w:val="1"/>
                <w:szCs w:val="1"/>
                <w:color w:val="auto"/>
              </w:rPr>
            </w:pPr>
          </w:p>
        </w:tc>
      </w:tr>
      <w:tr>
        <w:trPr>
          <w:trHeight w:val="233"/>
        </w:trPr>
        <w:tc>
          <w:tcPr>
            <w:tcW w:w="5900" w:type="dxa"/>
            <w:vAlign w:val="bottom"/>
          </w:tcPr>
          <w:p>
            <w:pPr>
              <w:spacing w:after="0"/>
              <w:rPr>
                <w:sz w:val="20"/>
                <w:szCs w:val="20"/>
                <w:color w:val="auto"/>
              </w:rPr>
            </w:pPr>
            <w:r>
              <w:rPr>
                <w:rFonts w:ascii="Arial" w:cs="Arial" w:eastAsia="Arial" w:hAnsi="Arial"/>
                <w:sz w:val="16"/>
                <w:szCs w:val="16"/>
                <w:color w:val="auto"/>
              </w:rPr>
              <w:t>TOTAL ASSETS</w:t>
            </w:r>
          </w:p>
        </w:tc>
        <w:tc>
          <w:tcPr>
            <w:tcW w:w="20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w w:val="76"/>
              </w:rPr>
              <w:t>$</w:t>
            </w: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32,054.1</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29,439.5</w:t>
            </w:r>
          </w:p>
        </w:tc>
        <w:tc>
          <w:tcPr>
            <w:tcW w:w="0" w:type="dxa"/>
            <w:vAlign w:val="bottom"/>
          </w:tcPr>
          <w:p>
            <w:pPr>
              <w:spacing w:after="0"/>
              <w:rPr>
                <w:sz w:val="1"/>
                <w:szCs w:val="1"/>
                <w:color w:val="auto"/>
              </w:rPr>
            </w:pPr>
          </w:p>
        </w:tc>
      </w:tr>
      <w:tr>
        <w:trPr>
          <w:trHeight w:val="440"/>
        </w:trPr>
        <w:tc>
          <w:tcPr>
            <w:tcW w:w="5900" w:type="dxa"/>
            <w:vAlign w:val="bottom"/>
          </w:tcPr>
          <w:p>
            <w:pPr>
              <w:spacing w:after="0"/>
              <w:rPr>
                <w:sz w:val="20"/>
                <w:szCs w:val="20"/>
                <w:color w:val="auto"/>
              </w:rPr>
            </w:pPr>
            <w:r>
              <w:rPr>
                <w:rFonts w:ascii="Arial" w:cs="Arial" w:eastAsia="Arial" w:hAnsi="Arial"/>
                <w:sz w:val="16"/>
                <w:szCs w:val="16"/>
                <w:b w:val="1"/>
                <w:bCs w:val="1"/>
                <w:color w:val="2573BA"/>
              </w:rPr>
              <w:t>LIABILITIES AND EQUITY</w:t>
            </w:r>
          </w:p>
        </w:tc>
        <w:tc>
          <w:tcPr>
            <w:tcW w:w="200" w:type="dxa"/>
            <w:vAlign w:val="bottom"/>
            <w:tcBorders>
              <w:top w:val="single" w:sz="8" w:color="auto"/>
            </w:tcBorders>
            <w:shd w:val="clear" w:color="auto" w:fill="DBDBDB"/>
          </w:tcPr>
          <w:p>
            <w:pPr>
              <w:spacing w:after="0"/>
              <w:rPr>
                <w:sz w:val="24"/>
                <w:szCs w:val="24"/>
                <w:color w:val="auto"/>
              </w:rPr>
            </w:pPr>
          </w:p>
        </w:tc>
        <w:tc>
          <w:tcPr>
            <w:tcW w:w="2300" w:type="dxa"/>
            <w:vAlign w:val="bottom"/>
            <w:tcBorders>
              <w:top w:val="single" w:sz="8" w:color="auto"/>
            </w:tcBorders>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900" w:type="dxa"/>
            <w:vAlign w:val="bottom"/>
          </w:tcPr>
          <w:p>
            <w:pPr>
              <w:spacing w:after="0"/>
              <w:rPr>
                <w:sz w:val="20"/>
                <w:szCs w:val="20"/>
                <w:color w:val="auto"/>
              </w:rPr>
            </w:pPr>
            <w:r>
              <w:rPr>
                <w:rFonts w:ascii="Arial" w:cs="Arial" w:eastAsia="Arial" w:hAnsi="Arial"/>
                <w:sz w:val="16"/>
                <w:szCs w:val="16"/>
                <w:color w:val="auto"/>
              </w:rPr>
              <w:t>Current portion of notes payable</w:t>
            </w:r>
          </w:p>
        </w:tc>
        <w:tc>
          <w:tcPr>
            <w:tcW w:w="20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w w:val="76"/>
              </w:rPr>
              <w:t>$</w:t>
            </w: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400.0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Taxes payable</w:t>
            </w:r>
          </w:p>
        </w:tc>
        <w:tc>
          <w:tcPr>
            <w:tcW w:w="200" w:type="dxa"/>
            <w:vAlign w:val="bottom"/>
            <w:shd w:val="clear" w:color="auto" w:fill="DBDBDB"/>
          </w:tcPr>
          <w:p>
            <w:pPr>
              <w:spacing w:after="0"/>
              <w:rPr>
                <w:sz w:val="17"/>
                <w:szCs w:val="17"/>
                <w:color w:val="auto"/>
              </w:rPr>
            </w:pP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54.5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DBDBDB"/>
          </w:tcPr>
          <w:p>
            <w:pPr>
              <w:spacing w:after="0"/>
              <w:rPr>
                <w:sz w:val="17"/>
                <w:szCs w:val="17"/>
                <w:color w:val="auto"/>
              </w:rPr>
            </w:pP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430.3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432.0</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Accrued expenses and other</w:t>
            </w:r>
          </w:p>
        </w:tc>
        <w:tc>
          <w:tcPr>
            <w:tcW w:w="200" w:type="dxa"/>
            <w:vAlign w:val="bottom"/>
            <w:tcBorders>
              <w:bottom w:val="single" w:sz="8" w:color="auto"/>
            </w:tcBorders>
            <w:shd w:val="clear" w:color="auto" w:fill="DBDBDB"/>
          </w:tcPr>
          <w:p>
            <w:pPr>
              <w:spacing w:after="0"/>
              <w:rPr>
                <w:sz w:val="17"/>
                <w:szCs w:val="17"/>
                <w:color w:val="auto"/>
              </w:rPr>
            </w:pPr>
          </w:p>
        </w:tc>
        <w:tc>
          <w:tcPr>
            <w:tcW w:w="23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3BA"/>
              </w:rPr>
              <w:t>3,013.6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2,802.6</w:t>
            </w:r>
          </w:p>
        </w:tc>
        <w:tc>
          <w:tcPr>
            <w:tcW w:w="0" w:type="dxa"/>
            <w:vAlign w:val="bottom"/>
          </w:tcPr>
          <w:p>
            <w:pPr>
              <w:spacing w:after="0"/>
              <w:rPr>
                <w:sz w:val="1"/>
                <w:szCs w:val="1"/>
                <w:color w:val="auto"/>
              </w:rPr>
            </w:pPr>
          </w:p>
        </w:tc>
      </w:tr>
      <w:tr>
        <w:trPr>
          <w:trHeight w:val="200"/>
        </w:trPr>
        <w:tc>
          <w:tcPr>
            <w:tcW w:w="590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DBDBDB"/>
          </w:tcPr>
          <w:p>
            <w:pPr>
              <w:spacing w:after="0"/>
              <w:rPr>
                <w:sz w:val="17"/>
                <w:szCs w:val="17"/>
                <w:color w:val="auto"/>
              </w:rPr>
            </w:pP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3,898.4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3,349.4</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Notes payable</w:t>
            </w:r>
          </w:p>
        </w:tc>
        <w:tc>
          <w:tcPr>
            <w:tcW w:w="200" w:type="dxa"/>
            <w:vAlign w:val="bottom"/>
            <w:shd w:val="clear" w:color="auto" w:fill="DBDBDB"/>
          </w:tcPr>
          <w:p>
            <w:pPr>
              <w:spacing w:after="0"/>
              <w:rPr>
                <w:sz w:val="17"/>
                <w:szCs w:val="17"/>
                <w:color w:val="auto"/>
              </w:rPr>
            </w:pP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7,292.0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6,286.8</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Deferred tax liability</w:t>
            </w:r>
          </w:p>
        </w:tc>
        <w:tc>
          <w:tcPr>
            <w:tcW w:w="200" w:type="dxa"/>
            <w:vAlign w:val="bottom"/>
            <w:shd w:val="clear" w:color="auto" w:fill="DBDBDB"/>
          </w:tcPr>
          <w:p>
            <w:pPr>
              <w:spacing w:after="0"/>
              <w:rPr>
                <w:sz w:val="17"/>
                <w:szCs w:val="17"/>
                <w:color w:val="auto"/>
              </w:rPr>
            </w:pP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1,163.9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507.6</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shd w:val="clear" w:color="auto" w:fill="DBDBDB"/>
          </w:tcPr>
          <w:p>
            <w:pPr>
              <w:spacing w:after="0"/>
              <w:rPr>
                <w:sz w:val="17"/>
                <w:szCs w:val="17"/>
                <w:color w:val="auto"/>
              </w:rPr>
            </w:pP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109.3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290.4</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shd w:val="clear" w:color="auto" w:fill="DBDBDB"/>
          </w:tcPr>
          <w:p>
            <w:pPr>
              <w:spacing w:after="0"/>
              <w:rPr>
                <w:sz w:val="17"/>
                <w:szCs w:val="17"/>
                <w:color w:val="auto"/>
              </w:rPr>
            </w:pPr>
          </w:p>
        </w:tc>
        <w:tc>
          <w:tcPr>
            <w:tcW w:w="23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3BA"/>
              </w:rPr>
              <w:t>668.4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748.5</w:t>
            </w:r>
          </w:p>
        </w:tc>
        <w:tc>
          <w:tcPr>
            <w:tcW w:w="0" w:type="dxa"/>
            <w:vAlign w:val="bottom"/>
          </w:tcPr>
          <w:p>
            <w:pPr>
              <w:spacing w:after="0"/>
              <w:rPr>
                <w:sz w:val="1"/>
                <w:szCs w:val="1"/>
                <w:color w:val="auto"/>
              </w:rPr>
            </w:pPr>
          </w:p>
        </w:tc>
      </w:tr>
      <w:tr>
        <w:trPr>
          <w:trHeight w:val="201"/>
        </w:trPr>
        <w:tc>
          <w:tcPr>
            <w:tcW w:w="5900" w:type="dxa"/>
            <w:vAlign w:val="bottom"/>
          </w:tcPr>
          <w:p>
            <w:pPr>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DBDBDB"/>
          </w:tcPr>
          <w:p>
            <w:pPr>
              <w:spacing w:after="0"/>
              <w:rPr>
                <w:sz w:val="17"/>
                <w:szCs w:val="17"/>
                <w:color w:val="auto"/>
              </w:rPr>
            </w:pPr>
          </w:p>
        </w:tc>
        <w:tc>
          <w:tcPr>
            <w:tcW w:w="23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3BA"/>
              </w:rPr>
              <w:t>13,132.0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11,182.7</w:t>
            </w:r>
          </w:p>
        </w:tc>
        <w:tc>
          <w:tcPr>
            <w:tcW w:w="0" w:type="dxa"/>
            <w:vAlign w:val="bottom"/>
          </w:tcPr>
          <w:p>
            <w:pPr>
              <w:spacing w:after="0"/>
              <w:rPr>
                <w:sz w:val="1"/>
                <w:szCs w:val="1"/>
                <w:color w:val="auto"/>
              </w:rPr>
            </w:pPr>
          </w:p>
        </w:tc>
      </w:tr>
      <w:tr>
        <w:trPr>
          <w:trHeight w:val="445"/>
        </w:trPr>
        <w:tc>
          <w:tcPr>
            <w:tcW w:w="5900" w:type="dxa"/>
            <w:vAlign w:val="bottom"/>
          </w:tcPr>
          <w:p>
            <w:pPr>
              <w:spacing w:after="0"/>
              <w:rPr>
                <w:sz w:val="20"/>
                <w:szCs w:val="20"/>
                <w:color w:val="auto"/>
              </w:rPr>
            </w:pPr>
            <w:r>
              <w:rPr>
                <w:rFonts w:ascii="Arial" w:cs="Arial" w:eastAsia="Arial" w:hAnsi="Arial"/>
                <w:sz w:val="16"/>
                <w:szCs w:val="16"/>
                <w:color w:val="auto"/>
              </w:rPr>
              <w:t>Common stock</w:t>
            </w:r>
          </w:p>
        </w:tc>
        <w:tc>
          <w:tcPr>
            <w:tcW w:w="200" w:type="dxa"/>
            <w:vAlign w:val="bottom"/>
            <w:shd w:val="clear" w:color="auto" w:fill="DBDBDB"/>
          </w:tcPr>
          <w:p>
            <w:pPr>
              <w:spacing w:after="0"/>
              <w:rPr>
                <w:sz w:val="24"/>
                <w:szCs w:val="24"/>
                <w:color w:val="auto"/>
              </w:rPr>
            </w:pP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0.1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DBDBDB"/>
          </w:tcPr>
          <w:p>
            <w:pPr>
              <w:spacing w:after="0"/>
              <w:rPr>
                <w:sz w:val="17"/>
                <w:szCs w:val="17"/>
                <w:color w:val="auto"/>
              </w:rPr>
            </w:pP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1,070.3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863.1</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shd w:val="clear" w:color="auto" w:fill="DBDBDB"/>
          </w:tcPr>
          <w:p>
            <w:pPr>
              <w:spacing w:after="0"/>
              <w:rPr>
                <w:sz w:val="17"/>
                <w:szCs w:val="17"/>
                <w:color w:val="auto"/>
              </w:rPr>
            </w:pPr>
          </w:p>
        </w:tc>
        <w:tc>
          <w:tcPr>
            <w:tcW w:w="2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(120.3)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(182.0)</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DBDBDB"/>
          </w:tcPr>
          <w:p>
            <w:pPr>
              <w:spacing w:after="0"/>
              <w:rPr>
                <w:sz w:val="17"/>
                <w:szCs w:val="17"/>
                <w:color w:val="auto"/>
              </w:rPr>
            </w:pP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20,949.1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20,552.7</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Treasury stock, at cost</w:t>
            </w:r>
          </w:p>
        </w:tc>
        <w:tc>
          <w:tcPr>
            <w:tcW w:w="200" w:type="dxa"/>
            <w:vAlign w:val="bottom"/>
            <w:tcBorders>
              <w:bottom w:val="single" w:sz="8" w:color="auto"/>
            </w:tcBorders>
            <w:shd w:val="clear" w:color="auto" w:fill="DBDBDB"/>
          </w:tcPr>
          <w:p>
            <w:pPr>
              <w:spacing w:after="0"/>
              <w:rPr>
                <w:sz w:val="17"/>
                <w:szCs w:val="17"/>
                <w:color w:val="auto"/>
              </w:rPr>
            </w:pPr>
          </w:p>
        </w:tc>
        <w:tc>
          <w:tcPr>
            <w:tcW w:w="2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(2,977.1)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(2,977.1)</w:t>
            </w:r>
          </w:p>
        </w:tc>
        <w:tc>
          <w:tcPr>
            <w:tcW w:w="0" w:type="dxa"/>
            <w:vAlign w:val="bottom"/>
          </w:tcPr>
          <w:p>
            <w:pPr>
              <w:spacing w:after="0"/>
              <w:rPr>
                <w:sz w:val="1"/>
                <w:szCs w:val="1"/>
                <w:color w:val="auto"/>
              </w:rPr>
            </w:pPr>
          </w:p>
        </w:tc>
      </w:tr>
      <w:tr>
        <w:trPr>
          <w:trHeight w:val="201"/>
        </w:trPr>
        <w:tc>
          <w:tcPr>
            <w:tcW w:w="5900" w:type="dxa"/>
            <w:vAlign w:val="bottom"/>
          </w:tcPr>
          <w:p>
            <w:pPr>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auto"/>
            </w:tcBorders>
            <w:shd w:val="clear" w:color="auto" w:fill="DBDBDB"/>
          </w:tcPr>
          <w:p>
            <w:pPr>
              <w:spacing w:after="0"/>
              <w:rPr>
                <w:sz w:val="17"/>
                <w:szCs w:val="17"/>
                <w:color w:val="auto"/>
              </w:rPr>
            </w:pPr>
          </w:p>
        </w:tc>
        <w:tc>
          <w:tcPr>
            <w:tcW w:w="23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3BA"/>
              </w:rPr>
              <w:t>18,922.1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18,256.8</w:t>
            </w:r>
          </w:p>
        </w:tc>
        <w:tc>
          <w:tcPr>
            <w:tcW w:w="0" w:type="dxa"/>
            <w:vAlign w:val="bottom"/>
          </w:tcPr>
          <w:p>
            <w:pPr>
              <w:spacing w:after="0"/>
              <w:rPr>
                <w:sz w:val="1"/>
                <w:szCs w:val="1"/>
                <w:color w:val="auto"/>
              </w:rPr>
            </w:pPr>
          </w:p>
        </w:tc>
      </w:tr>
      <w:tr>
        <w:trPr>
          <w:trHeight w:val="221"/>
        </w:trPr>
        <w:tc>
          <w:tcPr>
            <w:tcW w:w="5900" w:type="dxa"/>
            <w:vAlign w:val="bottom"/>
          </w:tcPr>
          <w:p>
            <w:pPr>
              <w:spacing w:after="0"/>
              <w:rPr>
                <w:sz w:val="20"/>
                <w:szCs w:val="20"/>
                <w:color w:val="auto"/>
              </w:rPr>
            </w:pPr>
            <w:r>
              <w:rPr>
                <w:rFonts w:ascii="Arial" w:cs="Arial" w:eastAsia="Arial" w:hAnsi="Arial"/>
                <w:sz w:val="16"/>
                <w:szCs w:val="16"/>
                <w:color w:val="auto"/>
              </w:rPr>
              <w:t>TOTAL LIABILITIES AND EQUITY</w:t>
            </w:r>
          </w:p>
        </w:tc>
        <w:tc>
          <w:tcPr>
            <w:tcW w:w="20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w w:val="76"/>
              </w:rPr>
              <w:t>$</w:t>
            </w:r>
          </w:p>
        </w:tc>
        <w:tc>
          <w:tcPr>
            <w:tcW w:w="2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3BA"/>
              </w:rPr>
              <w:t>32,054.1</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320" w:type="dxa"/>
            <w:vAlign w:val="bottom"/>
          </w:tcPr>
          <w:p>
            <w:pPr>
              <w:jc w:val="right"/>
              <w:spacing w:after="0"/>
              <w:rPr>
                <w:sz w:val="20"/>
                <w:szCs w:val="20"/>
                <w:color w:val="auto"/>
              </w:rPr>
            </w:pPr>
            <w:r>
              <w:rPr>
                <w:rFonts w:ascii="Arial" w:cs="Arial" w:eastAsia="Arial" w:hAnsi="Arial"/>
                <w:sz w:val="16"/>
                <w:szCs w:val="16"/>
                <w:color w:val="auto"/>
              </w:rPr>
              <w:t>29,439.5</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447260"/>
        </w:rPr>
        <w:t>9</w:t>
      </w:r>
    </w:p>
    <w:p>
      <w:pPr>
        <w:sectPr>
          <w:pgSz w:w="11900" w:h="16838" w:orient="portrait"/>
          <w:cols w:equalWidth="0" w:num="1">
            <w:col w:w="11060"/>
          </w:cols>
          <w:pgMar w:left="420" w:top="1058" w:right="41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1"/>
          <w:szCs w:val="21"/>
          <w:b w:val="1"/>
          <w:bCs w:val="1"/>
          <w:color w:val="1C5A7D"/>
        </w:rPr>
        <w:t>TABLE 3</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1C5A7D"/>
        </w:rPr>
        <w:t>BIOGEN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1C5A7D"/>
        </w:rPr>
        <w:t>PRODUCT REVENUE &amp; TOTAL REVENUE</w:t>
      </w:r>
    </w:p>
    <w:p>
      <w:pPr>
        <w:jc w:val="center"/>
        <w:ind w:right="-19"/>
        <w:spacing w:after="0"/>
        <w:rPr>
          <w:sz w:val="20"/>
          <w:szCs w:val="20"/>
          <w:color w:val="auto"/>
        </w:rPr>
      </w:pPr>
      <w:r>
        <w:rPr>
          <w:rFonts w:ascii="Arial" w:cs="Arial" w:eastAsia="Arial" w:hAnsi="Arial"/>
          <w:sz w:val="17"/>
          <w:szCs w:val="17"/>
          <w:b w:val="1"/>
          <w:bCs w:val="1"/>
          <w:i w:val="1"/>
          <w:iCs w:val="1"/>
          <w:color w:val="1C5A7D"/>
        </w:rPr>
        <w:t>(unaudited, in millions)</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b w:val="1"/>
          <w:bCs w:val="1"/>
          <w:color w:val="1C5A7D"/>
        </w:rPr>
        <w:t>Product Revenue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9"/>
          </w:tcPr>
          <w:p>
            <w:pPr>
              <w:jc w:val="right"/>
              <w:ind w:right="51"/>
              <w:spacing w:after="0"/>
              <w:rPr>
                <w:sz w:val="20"/>
                <w:szCs w:val="20"/>
                <w:color w:val="auto"/>
              </w:rPr>
            </w:pPr>
            <w:r>
              <w:rPr>
                <w:rFonts w:ascii="Arial" w:cs="Arial" w:eastAsia="Arial" w:hAnsi="Arial"/>
                <w:sz w:val="14"/>
                <w:szCs w:val="14"/>
                <w:b w:val="1"/>
                <w:bCs w:val="1"/>
                <w:color w:val="auto"/>
              </w:rPr>
              <w:t>For the Three Months Ended September 30,</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shd w:val="clear" w:color="auto" w:fill="DDDDDD"/>
          </w:tcPr>
          <w:p>
            <w:pPr>
              <w:spacing w:after="0"/>
              <w:rPr>
                <w:sz w:val="16"/>
                <w:szCs w:val="16"/>
                <w:color w:val="auto"/>
              </w:rPr>
            </w:pPr>
          </w:p>
        </w:tc>
        <w:tc>
          <w:tcPr>
            <w:tcW w:w="1000" w:type="dxa"/>
            <w:vAlign w:val="bottom"/>
            <w:tcBorders>
              <w:bottom w:val="single" w:sz="8" w:color="auto"/>
            </w:tcBorders>
            <w:shd w:val="clear" w:color="auto" w:fill="DDDDDD"/>
          </w:tcPr>
          <w:p>
            <w:pPr>
              <w:spacing w:after="0"/>
              <w:rPr>
                <w:sz w:val="16"/>
                <w:szCs w:val="16"/>
                <w:color w:val="auto"/>
              </w:rPr>
            </w:pPr>
          </w:p>
        </w:tc>
        <w:tc>
          <w:tcPr>
            <w:tcW w:w="20" w:type="dxa"/>
            <w:vAlign w:val="bottom"/>
            <w:tcBorders>
              <w:bottom w:val="single" w:sz="8" w:color="auto"/>
            </w:tcBorders>
            <w:shd w:val="clear" w:color="auto" w:fill="DDDDDD"/>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200" w:type="dxa"/>
            <w:vAlign w:val="bottom"/>
            <w:tcBorders>
              <w:bottom w:val="single" w:sz="8" w:color="auto"/>
            </w:tcBorders>
            <w:shd w:val="clear" w:color="auto" w:fill="DDDDDD"/>
          </w:tcPr>
          <w:p>
            <w:pPr>
              <w:spacing w:after="0"/>
              <w:rPr>
                <w:sz w:val="16"/>
                <w:szCs w:val="16"/>
                <w:color w:val="auto"/>
              </w:rPr>
            </w:pPr>
          </w:p>
        </w:tc>
        <w:tc>
          <w:tcPr>
            <w:tcW w:w="940" w:type="dxa"/>
            <w:vAlign w:val="bottom"/>
            <w:tcBorders>
              <w:bottom w:val="single" w:sz="8" w:color="auto"/>
            </w:tcBorders>
            <w:shd w:val="clear" w:color="auto" w:fill="DDDDDD"/>
          </w:tcPr>
          <w:p>
            <w:pPr>
              <w:jc w:val="center"/>
              <w:ind w:right="131"/>
              <w:spacing w:after="0"/>
              <w:rPr>
                <w:sz w:val="20"/>
                <w:szCs w:val="20"/>
                <w:color w:val="auto"/>
              </w:rPr>
            </w:pPr>
            <w:r>
              <w:rPr>
                <w:rFonts w:ascii="Arial" w:cs="Arial" w:eastAsia="Arial" w:hAnsi="Arial"/>
                <w:sz w:val="14"/>
                <w:szCs w:val="14"/>
                <w:b w:val="1"/>
                <w:bCs w:val="1"/>
                <w:color w:val="257ACB"/>
                <w:w w:val="96"/>
              </w:rPr>
              <w:t>2026</w:t>
            </w:r>
          </w:p>
        </w:tc>
        <w:tc>
          <w:tcPr>
            <w:tcW w:w="100" w:type="dxa"/>
            <w:vAlign w:val="bottom"/>
            <w:tcBorders>
              <w:bottom w:val="single" w:sz="8" w:color="auto"/>
            </w:tcBorders>
            <w:shd w:val="clear" w:color="auto" w:fill="DDDDDD"/>
          </w:tcPr>
          <w:p>
            <w:pPr>
              <w:spacing w:after="0"/>
              <w:rPr>
                <w:sz w:val="16"/>
                <w:szCs w:val="16"/>
                <w:color w:val="auto"/>
              </w:rPr>
            </w:pPr>
          </w:p>
        </w:tc>
        <w:tc>
          <w:tcPr>
            <w:tcW w:w="260" w:type="dxa"/>
            <w:vAlign w:val="bottom"/>
            <w:tcBorders>
              <w:bottom w:val="single" w:sz="8" w:color="auto"/>
            </w:tcBorders>
            <w:shd w:val="clear" w:color="auto" w:fill="DDDDDD"/>
          </w:tcPr>
          <w:p>
            <w:pPr>
              <w:spacing w:after="0"/>
              <w:rPr>
                <w:sz w:val="16"/>
                <w:szCs w:val="16"/>
                <w:color w:val="auto"/>
              </w:rPr>
            </w:pPr>
          </w:p>
        </w:tc>
        <w:tc>
          <w:tcPr>
            <w:tcW w:w="920" w:type="dxa"/>
            <w:vAlign w:val="bottom"/>
            <w:tcBorders>
              <w:bottom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271"/>
              <w:spacing w:after="0" w:line="136" w:lineRule="exact"/>
              <w:rPr>
                <w:sz w:val="20"/>
                <w:szCs w:val="20"/>
                <w:color w:val="auto"/>
              </w:rPr>
            </w:pPr>
            <w:r>
              <w:rPr>
                <w:rFonts w:ascii="Arial" w:cs="Arial" w:eastAsia="Arial" w:hAnsi="Arial"/>
                <w:sz w:val="14"/>
                <w:szCs w:val="14"/>
                <w:b w:val="1"/>
                <w:bCs w:val="1"/>
                <w:color w:val="auto"/>
              </w:rPr>
              <w:t>United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300"/>
              <w:spacing w:after="0" w:line="136" w:lineRule="exact"/>
              <w:rPr>
                <w:sz w:val="20"/>
                <w:szCs w:val="20"/>
                <w:color w:val="auto"/>
              </w:rPr>
            </w:pPr>
            <w:r>
              <w:rPr>
                <w:rFonts w:ascii="Arial" w:cs="Arial" w:eastAsia="Arial" w:hAnsi="Arial"/>
                <w:sz w:val="14"/>
                <w:szCs w:val="14"/>
                <w:b w:val="1"/>
                <w:bCs w:val="1"/>
                <w:color w:val="auto"/>
                <w:w w:val="96"/>
              </w:rPr>
              <w:t>Rest of</w:t>
            </w:r>
          </w:p>
        </w:tc>
        <w:tc>
          <w:tcPr>
            <w:tcW w:w="260" w:type="dxa"/>
            <w:vAlign w:val="bottom"/>
          </w:tcPr>
          <w:p>
            <w:pPr>
              <w:spacing w:after="0"/>
              <w:rPr>
                <w:sz w:val="11"/>
                <w:szCs w:val="11"/>
                <w:color w:val="auto"/>
              </w:rPr>
            </w:pPr>
          </w:p>
        </w:tc>
        <w:tc>
          <w:tcPr>
            <w:tcW w:w="9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tcPr>
          <w:p>
            <w:pPr>
              <w:ind w:left="120"/>
              <w:spacing w:after="0" w:line="136" w:lineRule="exact"/>
              <w:rPr>
                <w:sz w:val="20"/>
                <w:szCs w:val="20"/>
                <w:color w:val="auto"/>
              </w:rPr>
            </w:pPr>
            <w:r>
              <w:rPr>
                <w:rFonts w:ascii="Arial" w:cs="Arial" w:eastAsia="Arial" w:hAnsi="Arial"/>
                <w:sz w:val="14"/>
                <w:szCs w:val="14"/>
                <w:b w:val="1"/>
                <w:bCs w:val="1"/>
                <w:color w:val="auto"/>
              </w:rPr>
              <w:t>United</w:t>
            </w:r>
          </w:p>
        </w:tc>
        <w:tc>
          <w:tcPr>
            <w:tcW w:w="240" w:type="dxa"/>
            <w:vAlign w:val="bottom"/>
          </w:tcPr>
          <w:p>
            <w:pPr>
              <w:spacing w:after="0"/>
              <w:rPr>
                <w:sz w:val="11"/>
                <w:szCs w:val="11"/>
                <w:color w:val="auto"/>
              </w:rPr>
            </w:pPr>
          </w:p>
        </w:tc>
        <w:tc>
          <w:tcPr>
            <w:tcW w:w="1040" w:type="dxa"/>
            <w:vAlign w:val="bottom"/>
            <w:gridSpan w:val="2"/>
          </w:tcPr>
          <w:p>
            <w:pPr>
              <w:jc w:val="center"/>
              <w:ind w:right="340"/>
              <w:spacing w:after="0" w:line="136" w:lineRule="exact"/>
              <w:rPr>
                <w:sz w:val="20"/>
                <w:szCs w:val="20"/>
                <w:color w:val="auto"/>
              </w:rPr>
            </w:pPr>
            <w:r>
              <w:rPr>
                <w:rFonts w:ascii="Arial" w:cs="Arial" w:eastAsia="Arial" w:hAnsi="Arial"/>
                <w:sz w:val="14"/>
                <w:szCs w:val="14"/>
                <w:b w:val="1"/>
                <w:bCs w:val="1"/>
                <w:color w:val="auto"/>
                <w:w w:val="96"/>
              </w:rPr>
              <w:t>Rest of</w:t>
            </w:r>
          </w:p>
        </w:tc>
        <w:tc>
          <w:tcPr>
            <w:tcW w:w="260" w:type="dxa"/>
            <w:vAlign w:val="bottom"/>
          </w:tcPr>
          <w:p>
            <w:pPr>
              <w:spacing w:after="0"/>
              <w:rPr>
                <w:sz w:val="11"/>
                <w:szCs w:val="11"/>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4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States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5"/>
              </w:rPr>
              <w:t>World</w:t>
            </w:r>
          </w:p>
        </w:tc>
        <w:tc>
          <w:tcPr>
            <w:tcW w:w="10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States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95"/>
              </w:rPr>
              <w:t>World</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Multiple Sclerosis (MS):</w:t>
            </w: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92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TECFIDERA</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31.2</w:t>
            </w:r>
          </w:p>
        </w:tc>
        <w:tc>
          <w:tcPr>
            <w:tcW w:w="340" w:type="dxa"/>
            <w:vAlign w:val="bottom"/>
            <w:gridSpan w:val="3"/>
            <w:shd w:val="clear" w:color="auto" w:fill="DBDBDB"/>
          </w:tcPr>
          <w:p>
            <w:pPr>
              <w:jc w:val="right"/>
              <w:ind w:right="51"/>
              <w:spacing w:after="0"/>
              <w:rPr>
                <w:sz w:val="20"/>
                <w:szCs w:val="20"/>
                <w:color w:val="auto"/>
              </w:rPr>
            </w:pPr>
            <w:r>
              <w:rPr>
                <w:rFonts w:ascii="Arial" w:cs="Arial" w:eastAsia="Arial" w:hAnsi="Arial"/>
                <w:sz w:val="14"/>
                <w:szCs w:val="14"/>
                <w:color w:val="257ACB"/>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50.8</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jc w:val="right"/>
              <w:ind w:right="91"/>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82.0</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123.6</w:t>
            </w:r>
          </w:p>
        </w:tc>
        <w:tc>
          <w:tcPr>
            <w:tcW w:w="100" w:type="dxa"/>
            <w:vAlign w:val="bottom"/>
          </w:tcPr>
          <w:p>
            <w:pPr>
              <w:spacing w:after="0"/>
              <w:rPr>
                <w:sz w:val="16"/>
                <w:szCs w:val="16"/>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168.2</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VUMERITY</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166.7</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25.3</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192.0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214.6</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Total Fumarate</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197.9</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76.1</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274.0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382.8</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AVONEX</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110.0</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46.6</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188.5</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PLEGRIDY</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23.2</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28.4</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51.6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Total Interferon</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133.2</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75.0</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246.9</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TYSABRI</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253.3</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183.8</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437.1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431.8</w:t>
            </w:r>
          </w:p>
        </w:tc>
        <w:tc>
          <w:tcPr>
            <w:tcW w:w="0" w:type="dxa"/>
            <w:vAlign w:val="bottom"/>
          </w:tcPr>
          <w:p>
            <w:pPr>
              <w:spacing w:after="0"/>
              <w:rPr>
                <w:sz w:val="1"/>
                <w:szCs w:val="1"/>
                <w:color w:val="auto"/>
              </w:rPr>
            </w:pPr>
          </w:p>
        </w:tc>
      </w:tr>
      <w:tr>
        <w:trPr>
          <w:trHeight w:val="187"/>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MS</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584.4</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334.9</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919.3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1,061.5</w:t>
            </w:r>
          </w:p>
        </w:tc>
        <w:tc>
          <w:tcPr>
            <w:tcW w:w="0" w:type="dxa"/>
            <w:vAlign w:val="bottom"/>
          </w:tcPr>
          <w:p>
            <w:pPr>
              <w:spacing w:after="0"/>
              <w:rPr>
                <w:sz w:val="1"/>
                <w:szCs w:val="1"/>
                <w:color w:val="auto"/>
              </w:rPr>
            </w:pPr>
          </w:p>
        </w:tc>
      </w:tr>
      <w:tr>
        <w:trPr>
          <w:trHeight w:val="225"/>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Rare Disease:</w:t>
            </w:r>
          </w:p>
        </w:tc>
        <w:tc>
          <w:tcPr>
            <w:tcW w:w="14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SPINRAZA</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246.4</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214.2</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460.6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374.0</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80"/>
              <w:spacing w:after="0"/>
              <w:rPr>
                <w:sz w:val="20"/>
                <w:szCs w:val="20"/>
                <w:color w:val="auto"/>
              </w:rPr>
            </w:pPr>
            <w:r>
              <w:rPr>
                <w:rFonts w:ascii="Arial" w:cs="Arial" w:eastAsia="Arial" w:hAnsi="Arial"/>
                <w:sz w:val="14"/>
                <w:szCs w:val="14"/>
                <w:color w:val="auto"/>
              </w:rPr>
              <w:t>SKYCLARYS</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97.2</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81.0</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132.9</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60" w:type="dxa"/>
            <w:vAlign w:val="bottom"/>
            <w:gridSpan w:val="2"/>
          </w:tcPr>
          <w:p>
            <w:pPr>
              <w:ind w:left="80"/>
              <w:spacing w:after="0"/>
              <w:rPr>
                <w:sz w:val="20"/>
                <w:szCs w:val="20"/>
                <w:color w:val="auto"/>
              </w:rPr>
            </w:pPr>
            <w:r>
              <w:rPr>
                <w:rFonts w:ascii="Arial" w:cs="Arial" w:eastAsia="Arial" w:hAnsi="Arial"/>
                <w:sz w:val="14"/>
                <w:szCs w:val="14"/>
                <w:color w:val="auto"/>
              </w:rPr>
              <w:t>QALSODY</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10.8</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26.7</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37.5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87"/>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Rare Disease</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354.4</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321.9</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676.3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533.3</w:t>
            </w:r>
          </w:p>
        </w:tc>
        <w:tc>
          <w:tcPr>
            <w:tcW w:w="0" w:type="dxa"/>
            <w:vAlign w:val="bottom"/>
          </w:tcPr>
          <w:p>
            <w:pPr>
              <w:spacing w:after="0"/>
              <w:rPr>
                <w:sz w:val="1"/>
                <w:szCs w:val="1"/>
                <w:color w:val="auto"/>
              </w:rPr>
            </w:pPr>
          </w:p>
        </w:tc>
      </w:tr>
      <w:tr>
        <w:trPr>
          <w:trHeight w:val="225"/>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Specialized Immunology:</w:t>
            </w:r>
          </w:p>
        </w:tc>
        <w:tc>
          <w:tcPr>
            <w:tcW w:w="14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660" w:type="dxa"/>
            <w:vAlign w:val="bottom"/>
            <w:gridSpan w:val="2"/>
          </w:tcPr>
          <w:p>
            <w:pPr>
              <w:ind w:left="60"/>
              <w:spacing w:after="0"/>
              <w:rPr>
                <w:sz w:val="20"/>
                <w:szCs w:val="20"/>
                <w:color w:val="auto"/>
              </w:rPr>
            </w:pPr>
            <w:r>
              <w:rPr>
                <w:rFonts w:ascii="Arial" w:cs="Arial" w:eastAsia="Arial" w:hAnsi="Arial"/>
                <w:sz w:val="14"/>
                <w:szCs w:val="14"/>
                <w:color w:val="auto"/>
              </w:rPr>
              <w:t>SYFOVRE</w:t>
            </w:r>
            <w:r>
              <w:rPr>
                <w:rFonts w:ascii="Arial" w:cs="Arial" w:eastAsia="Arial" w:hAnsi="Arial"/>
                <w:sz w:val="17"/>
                <w:szCs w:val="17"/>
                <w:color w:val="auto"/>
                <w:vertAlign w:val="superscript"/>
              </w:rPr>
              <w:t>(1)</w:t>
            </w:r>
          </w:p>
        </w:tc>
        <w:tc>
          <w:tcPr>
            <w:tcW w:w="14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191.3</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60"/>
              <w:spacing w:after="0" w:line="194" w:lineRule="exact"/>
              <w:rPr>
                <w:sz w:val="20"/>
                <w:szCs w:val="20"/>
                <w:color w:val="auto"/>
              </w:rPr>
            </w:pPr>
            <w:r>
              <w:rPr>
                <w:rFonts w:ascii="Arial" w:cs="Arial" w:eastAsia="Arial" w:hAnsi="Arial"/>
                <w:sz w:val="14"/>
                <w:szCs w:val="14"/>
                <w:color w:val="auto"/>
              </w:rPr>
              <w:t>EMPAVELI</w:t>
            </w:r>
            <w:r>
              <w:rPr>
                <w:rFonts w:ascii="Arial" w:cs="Arial" w:eastAsia="Arial" w:hAnsi="Arial"/>
                <w:sz w:val="17"/>
                <w:szCs w:val="17"/>
                <w:color w:val="auto"/>
                <w:vertAlign w:val="superscript"/>
              </w:rPr>
              <w:t>(1)</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51.5</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51.5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Specialized Immunology</w:t>
            </w: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242.8</w:t>
            </w:r>
          </w:p>
        </w:tc>
        <w:tc>
          <w:tcPr>
            <w:tcW w:w="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Biosimilars:</w:t>
            </w:r>
          </w:p>
        </w:tc>
        <w:tc>
          <w:tcPr>
            <w:tcW w:w="140" w:type="dxa"/>
            <w:vAlign w:val="bottom"/>
            <w:tcBorders>
              <w:top w:val="single" w:sz="8" w:color="auto"/>
            </w:tcBorders>
            <w:shd w:val="clear" w:color="auto" w:fill="DBDBDB"/>
          </w:tcPr>
          <w:p>
            <w:pPr>
              <w:spacing w:after="0"/>
              <w:rPr>
                <w:sz w:val="19"/>
                <w:szCs w:val="19"/>
                <w:color w:val="auto"/>
              </w:rPr>
            </w:pPr>
          </w:p>
        </w:tc>
        <w:tc>
          <w:tcPr>
            <w:tcW w:w="100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BENEPALI</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117.3</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IMRALDI</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42.0</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FLIXABI</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6.4</w:t>
            </w: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BYOOVIZ</w:t>
            </w:r>
            <w:r>
              <w:rPr>
                <w:rFonts w:ascii="Arial" w:cs="Arial" w:eastAsia="Arial" w:hAnsi="Arial"/>
                <w:sz w:val="17"/>
                <w:szCs w:val="17"/>
                <w:color w:val="auto"/>
                <w:vertAlign w:val="superscript"/>
              </w:rPr>
              <w:t>(2)</w:t>
            </w:r>
          </w:p>
        </w:tc>
        <w:tc>
          <w:tcPr>
            <w:tcW w:w="14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0"/>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Biosimilars</w:t>
            </w:r>
          </w:p>
        </w:tc>
        <w:tc>
          <w:tcPr>
            <w:tcW w:w="14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165.9</w:t>
            </w:r>
          </w:p>
        </w:tc>
        <w:tc>
          <w:tcPr>
            <w:tcW w:w="10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165.9</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194.8</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196.8</w:t>
            </w:r>
          </w:p>
        </w:tc>
        <w:tc>
          <w:tcPr>
            <w:tcW w:w="0" w:type="dxa"/>
            <w:vAlign w:val="bottom"/>
          </w:tcPr>
          <w:p>
            <w:pPr>
              <w:spacing w:after="0"/>
              <w:rPr>
                <w:sz w:val="1"/>
                <w:szCs w:val="1"/>
                <w:color w:val="auto"/>
              </w:rPr>
            </w:pPr>
          </w:p>
        </w:tc>
      </w:tr>
      <w:tr>
        <w:trPr>
          <w:trHeight w:val="225"/>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20" w:type="dxa"/>
            <w:vAlign w:val="bottom"/>
            <w:shd w:val="clear" w:color="auto" w:fill="DBDBDB"/>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ZURZUVAE</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83.4</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84.4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90"/>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Other</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83.4</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w:t>
            </w: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84.4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660" w:type="dxa"/>
            <w:vAlign w:val="bottom"/>
            <w:gridSpan w:val="2"/>
          </w:tcPr>
          <w:p>
            <w:pPr>
              <w:ind w:left="180"/>
              <w:spacing w:after="0"/>
              <w:rPr>
                <w:sz w:val="20"/>
                <w:szCs w:val="20"/>
                <w:color w:val="auto"/>
              </w:rPr>
            </w:pPr>
            <w:r>
              <w:rPr>
                <w:rFonts w:ascii="Arial" w:cs="Arial" w:eastAsia="Arial" w:hAnsi="Arial"/>
                <w:sz w:val="14"/>
                <w:szCs w:val="14"/>
                <w:color w:val="auto"/>
              </w:rPr>
              <w:t>Total product revenue, net</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1,265.0</w:t>
            </w: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257ACB"/>
                <w:w w:val="76"/>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823.7</w:t>
            </w: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91"/>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2,088.7</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935.3</w:t>
            </w:r>
          </w:p>
        </w:tc>
        <w:tc>
          <w:tcPr>
            <w:tcW w:w="100" w:type="dxa"/>
            <w:vAlign w:val="bottom"/>
          </w:tcPr>
          <w:p>
            <w:pPr>
              <w:spacing w:after="0"/>
              <w:rPr>
                <w:sz w:val="18"/>
                <w:szCs w:val="18"/>
                <w:color w:val="auto"/>
              </w:rPr>
            </w:pP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911.6</w:t>
            </w:r>
          </w:p>
        </w:tc>
        <w:tc>
          <w:tcPr>
            <w:tcW w:w="100" w:type="dxa"/>
            <w:vAlign w:val="bottom"/>
          </w:tcPr>
          <w:p>
            <w:pPr>
              <w:spacing w:after="0"/>
              <w:rPr>
                <w:sz w:val="18"/>
                <w:szCs w:val="18"/>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1,846.9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0" w:type="dxa"/>
            <w:vAlign w:val="bottom"/>
          </w:tcPr>
          <w:p>
            <w:pPr>
              <w:spacing w:after="0"/>
              <w:rPr>
                <w:sz w:val="11"/>
                <w:szCs w:val="11"/>
                <w:color w:val="auto"/>
              </w:rPr>
            </w:pPr>
          </w:p>
        </w:tc>
        <w:tc>
          <w:tcPr>
            <w:tcW w:w="3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160" w:hanging="157"/>
        <w:spacing w:after="0"/>
        <w:tabs>
          <w:tab w:leader="none" w:pos="160" w:val="left"/>
        </w:tabs>
        <w:numPr>
          <w:ilvl w:val="0"/>
          <w:numId w:val="14"/>
        </w:numPr>
        <w:rPr>
          <w:rFonts w:ascii="Arial" w:cs="Arial" w:eastAsia="Arial" w:hAnsi="Arial"/>
          <w:sz w:val="9"/>
          <w:szCs w:val="9"/>
          <w:color w:val="auto"/>
        </w:rPr>
      </w:pPr>
      <w:r>
        <w:rPr>
          <w:rFonts w:ascii="Arial" w:cs="Arial" w:eastAsia="Arial" w:hAnsi="Arial"/>
          <w:sz w:val="14"/>
          <w:szCs w:val="14"/>
          <w:color w:val="auto"/>
        </w:rPr>
        <w:t>EMPAVELI and SYFOVRE were obtained as part of our acquisition of Apellis in May 2026</w:t>
      </w:r>
    </w:p>
    <w:p>
      <w:pPr>
        <w:spacing w:after="0" w:line="19" w:lineRule="exact"/>
        <w:rPr>
          <w:rFonts w:ascii="Arial" w:cs="Arial" w:eastAsia="Arial" w:hAnsi="Arial"/>
          <w:sz w:val="9"/>
          <w:szCs w:val="9"/>
          <w:color w:val="auto"/>
        </w:rPr>
      </w:pPr>
    </w:p>
    <w:p>
      <w:pPr>
        <w:ind w:left="160" w:hanging="157"/>
        <w:spacing w:after="0" w:line="224" w:lineRule="auto"/>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 the fourth quarter of 2025 we completed the sale of our rights to BYOOVIZ</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7260"/>
        </w:rPr>
        <w:t>10</w:t>
      </w:r>
    </w:p>
    <w:p>
      <w:pPr>
        <w:sectPr>
          <w:pgSz w:w="11900" w:h="16838" w:orient="portrait"/>
          <w:cols w:equalWidth="0" w:num="1">
            <w:col w:w="11220"/>
          </w:cols>
          <w:pgMar w:left="320" w:top="1058" w:right="3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1"/>
          <w:szCs w:val="21"/>
          <w:b w:val="1"/>
          <w:bCs w:val="1"/>
          <w:color w:val="1C5A7D"/>
        </w:rPr>
        <w:t>TABLE 3 (continued)</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1C5A7D"/>
        </w:rPr>
        <w:t>BIOGEN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1C5A7D"/>
        </w:rPr>
        <w:t>PRODUCT REVENUE &amp; TOTAL REVENUE</w:t>
      </w:r>
    </w:p>
    <w:p>
      <w:pPr>
        <w:jc w:val="center"/>
        <w:ind w:right="-19"/>
        <w:spacing w:after="0"/>
        <w:rPr>
          <w:sz w:val="20"/>
          <w:szCs w:val="20"/>
          <w:color w:val="auto"/>
        </w:rPr>
      </w:pPr>
      <w:r>
        <w:rPr>
          <w:rFonts w:ascii="Arial" w:cs="Arial" w:eastAsia="Arial" w:hAnsi="Arial"/>
          <w:sz w:val="17"/>
          <w:szCs w:val="17"/>
          <w:b w:val="1"/>
          <w:bCs w:val="1"/>
          <w:i w:val="1"/>
          <w:iCs w:val="1"/>
          <w:color w:val="1C5A7D"/>
        </w:rPr>
        <w:t>(unaudited,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9"/>
          </w:tcPr>
          <w:p>
            <w:pPr>
              <w:jc w:val="right"/>
              <w:ind w:right="71"/>
              <w:spacing w:after="0"/>
              <w:rPr>
                <w:sz w:val="20"/>
                <w:szCs w:val="20"/>
                <w:color w:val="auto"/>
              </w:rPr>
            </w:pPr>
            <w:r>
              <w:rPr>
                <w:rFonts w:ascii="Arial" w:cs="Arial" w:eastAsia="Arial" w:hAnsi="Arial"/>
                <w:sz w:val="14"/>
                <w:szCs w:val="14"/>
                <w:b w:val="1"/>
                <w:bCs w:val="1"/>
                <w:color w:val="auto"/>
                <w:w w:val="97"/>
              </w:rPr>
              <w:t>For the Nine Months Ended September 30,</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shd w:val="clear" w:color="auto" w:fill="DDDDDD"/>
          </w:tcPr>
          <w:p>
            <w:pPr>
              <w:spacing w:after="0"/>
              <w:rPr>
                <w:sz w:val="16"/>
                <w:szCs w:val="16"/>
                <w:color w:val="auto"/>
              </w:rPr>
            </w:pPr>
          </w:p>
        </w:tc>
        <w:tc>
          <w:tcPr>
            <w:tcW w:w="1000" w:type="dxa"/>
            <w:vAlign w:val="bottom"/>
            <w:tcBorders>
              <w:bottom w:val="single" w:sz="8" w:color="auto"/>
            </w:tcBorders>
            <w:shd w:val="clear" w:color="auto" w:fill="DDDDDD"/>
          </w:tcPr>
          <w:p>
            <w:pPr>
              <w:spacing w:after="0"/>
              <w:rPr>
                <w:sz w:val="16"/>
                <w:szCs w:val="16"/>
                <w:color w:val="auto"/>
              </w:rPr>
            </w:pPr>
          </w:p>
        </w:tc>
        <w:tc>
          <w:tcPr>
            <w:tcW w:w="20" w:type="dxa"/>
            <w:vAlign w:val="bottom"/>
            <w:tcBorders>
              <w:bottom w:val="single" w:sz="8" w:color="auto"/>
            </w:tcBorders>
            <w:shd w:val="clear" w:color="auto" w:fill="DDDDDD"/>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200" w:type="dxa"/>
            <w:vAlign w:val="bottom"/>
            <w:tcBorders>
              <w:bottom w:val="single" w:sz="8" w:color="auto"/>
            </w:tcBorders>
            <w:shd w:val="clear" w:color="auto" w:fill="DDDDDD"/>
          </w:tcPr>
          <w:p>
            <w:pPr>
              <w:spacing w:after="0"/>
              <w:rPr>
                <w:sz w:val="16"/>
                <w:szCs w:val="16"/>
                <w:color w:val="auto"/>
              </w:rPr>
            </w:pPr>
          </w:p>
        </w:tc>
        <w:tc>
          <w:tcPr>
            <w:tcW w:w="880" w:type="dxa"/>
            <w:vAlign w:val="bottom"/>
            <w:tcBorders>
              <w:bottom w:val="single" w:sz="8" w:color="auto"/>
            </w:tcBorders>
            <w:shd w:val="clear" w:color="auto" w:fill="DDDDDD"/>
          </w:tcPr>
          <w:p>
            <w:pPr>
              <w:jc w:val="center"/>
              <w:ind w:right="71"/>
              <w:spacing w:after="0"/>
              <w:rPr>
                <w:sz w:val="20"/>
                <w:szCs w:val="20"/>
                <w:color w:val="auto"/>
              </w:rPr>
            </w:pPr>
            <w:r>
              <w:rPr>
                <w:rFonts w:ascii="Arial" w:cs="Arial" w:eastAsia="Arial" w:hAnsi="Arial"/>
                <w:sz w:val="14"/>
                <w:szCs w:val="14"/>
                <w:b w:val="1"/>
                <w:bCs w:val="1"/>
                <w:color w:val="257ACB"/>
                <w:w w:val="96"/>
              </w:rPr>
              <w:t>2026</w:t>
            </w:r>
          </w:p>
        </w:tc>
        <w:tc>
          <w:tcPr>
            <w:tcW w:w="6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260" w:type="dxa"/>
            <w:vAlign w:val="bottom"/>
            <w:tcBorders>
              <w:bottom w:val="single" w:sz="8" w:color="auto"/>
            </w:tcBorders>
            <w:shd w:val="clear" w:color="auto" w:fill="DDDDDD"/>
          </w:tcPr>
          <w:p>
            <w:pPr>
              <w:spacing w:after="0"/>
              <w:rPr>
                <w:sz w:val="16"/>
                <w:szCs w:val="16"/>
                <w:color w:val="auto"/>
              </w:rPr>
            </w:pPr>
          </w:p>
        </w:tc>
        <w:tc>
          <w:tcPr>
            <w:tcW w:w="900" w:type="dxa"/>
            <w:vAlign w:val="bottom"/>
            <w:tcBorders>
              <w:bottom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6"/>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271"/>
              <w:spacing w:after="0" w:line="140" w:lineRule="exact"/>
              <w:rPr>
                <w:sz w:val="20"/>
                <w:szCs w:val="20"/>
                <w:color w:val="auto"/>
              </w:rPr>
            </w:pPr>
            <w:r>
              <w:rPr>
                <w:rFonts w:ascii="Arial" w:cs="Arial" w:eastAsia="Arial" w:hAnsi="Arial"/>
                <w:sz w:val="14"/>
                <w:szCs w:val="14"/>
                <w:b w:val="1"/>
                <w:bCs w:val="1"/>
                <w:color w:val="auto"/>
              </w:rPr>
              <w:t>United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71"/>
              <w:spacing w:after="0" w:line="140" w:lineRule="exact"/>
              <w:rPr>
                <w:sz w:val="20"/>
                <w:szCs w:val="20"/>
                <w:color w:val="auto"/>
              </w:rPr>
            </w:pPr>
            <w:r>
              <w:rPr>
                <w:rFonts w:ascii="Arial" w:cs="Arial" w:eastAsia="Arial" w:hAnsi="Arial"/>
                <w:sz w:val="14"/>
                <w:szCs w:val="14"/>
                <w:b w:val="1"/>
                <w:bCs w:val="1"/>
                <w:color w:val="auto"/>
                <w:w w:val="96"/>
              </w:rPr>
              <w:t>Rest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ind w:left="140"/>
              <w:spacing w:after="0" w:line="140" w:lineRule="exact"/>
              <w:rPr>
                <w:sz w:val="20"/>
                <w:szCs w:val="20"/>
                <w:color w:val="auto"/>
              </w:rPr>
            </w:pPr>
            <w:r>
              <w:rPr>
                <w:rFonts w:ascii="Arial" w:cs="Arial" w:eastAsia="Arial" w:hAnsi="Arial"/>
                <w:sz w:val="14"/>
                <w:szCs w:val="14"/>
                <w:b w:val="1"/>
                <w:bCs w:val="1"/>
                <w:color w:val="auto"/>
              </w:rPr>
              <w:t>United</w:t>
            </w: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96"/>
              </w:rPr>
              <w:t>Rest of</w:t>
            </w:r>
          </w:p>
        </w:tc>
        <w:tc>
          <w:tcPr>
            <w:tcW w:w="260" w:type="dxa"/>
            <w:vAlign w:val="bottom"/>
          </w:tcPr>
          <w:p>
            <w:pPr>
              <w:spacing w:after="0"/>
              <w:rPr>
                <w:sz w:val="12"/>
                <w:szCs w:val="12"/>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States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5"/>
              </w:rPr>
              <w:t>World</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States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5"/>
              </w:rPr>
              <w:t>World</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Multiple Sclerosis (MS):</w:t>
            </w: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900" w:type="dxa"/>
            <w:vAlign w:val="bottom"/>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TECFIDERA</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95.0</w:t>
            </w:r>
          </w:p>
        </w:tc>
        <w:tc>
          <w:tcPr>
            <w:tcW w:w="340" w:type="dxa"/>
            <w:vAlign w:val="bottom"/>
            <w:gridSpan w:val="3"/>
            <w:shd w:val="clear" w:color="auto" w:fill="DBDBDB"/>
          </w:tcPr>
          <w:p>
            <w:pPr>
              <w:jc w:val="right"/>
              <w:ind w:right="51"/>
              <w:spacing w:after="0"/>
              <w:rPr>
                <w:sz w:val="20"/>
                <w:szCs w:val="20"/>
                <w:color w:val="auto"/>
              </w:rPr>
            </w:pPr>
            <w:r>
              <w:rPr>
                <w:rFonts w:ascii="Arial" w:cs="Arial" w:eastAsia="Arial" w:hAnsi="Arial"/>
                <w:sz w:val="14"/>
                <w:szCs w:val="14"/>
                <w:color w:val="257ACB"/>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187.4</w:t>
            </w: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jc w:val="right"/>
              <w:ind w:right="91"/>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282.4</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131.6</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436.3</w:t>
            </w:r>
          </w:p>
        </w:tc>
        <w:tc>
          <w:tcPr>
            <w:tcW w:w="100" w:type="dxa"/>
            <w:vAlign w:val="bottom"/>
          </w:tcPr>
          <w:p>
            <w:pPr>
              <w:spacing w:after="0"/>
              <w:rPr>
                <w:sz w:val="16"/>
                <w:szCs w:val="16"/>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567.9</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VUMERITY</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492.1</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75.4</w:t>
            </w:r>
          </w:p>
        </w:tc>
        <w:tc>
          <w:tcPr>
            <w:tcW w:w="6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567.5</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565.7</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Total Fumarate</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587.1</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262.8</w:t>
            </w: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849.9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507.3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1,133.6</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AVONEX</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339.4</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150.4</w:t>
            </w: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489.8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533.0</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PLEGRIDY</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72.7</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98.3</w:t>
            </w:r>
          </w:p>
        </w:tc>
        <w:tc>
          <w:tcPr>
            <w:tcW w:w="6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171.0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106.7</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186.9</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3660" w:type="dxa"/>
            <w:vAlign w:val="bottom"/>
            <w:gridSpan w:val="2"/>
          </w:tcPr>
          <w:p>
            <w:pPr>
              <w:ind w:left="200"/>
              <w:spacing w:after="0"/>
              <w:rPr>
                <w:sz w:val="20"/>
                <w:szCs w:val="20"/>
                <w:color w:val="auto"/>
              </w:rPr>
            </w:pPr>
            <w:r>
              <w:rPr>
                <w:rFonts w:ascii="Arial" w:cs="Arial" w:eastAsia="Arial" w:hAnsi="Arial"/>
                <w:sz w:val="14"/>
                <w:szCs w:val="14"/>
                <w:color w:val="auto"/>
              </w:rPr>
              <w:t>Total Interferon</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412.1</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248.7</w:t>
            </w: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660.8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276.0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719.9</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TYSABRI</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765.6</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563.8</w:t>
            </w: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1,329.4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1,267.9</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FAMPYRA</w:t>
            </w:r>
            <w:r>
              <w:rPr>
                <w:rFonts w:ascii="Arial" w:cs="Arial" w:eastAsia="Arial" w:hAnsi="Arial"/>
                <w:sz w:val="17"/>
                <w:szCs w:val="17"/>
                <w:color w:val="auto"/>
                <w:vertAlign w:val="superscript"/>
              </w:rPr>
              <w:t>(1)</w:t>
            </w:r>
          </w:p>
        </w:tc>
        <w:tc>
          <w:tcPr>
            <w:tcW w:w="14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0"/>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MS</w:t>
            </w:r>
          </w:p>
        </w:tc>
        <w:tc>
          <w:tcPr>
            <w:tcW w:w="140" w:type="dxa"/>
            <w:vAlign w:val="bottom"/>
            <w:tcBorders>
              <w:top w:val="single" w:sz="8" w:color="auto"/>
              <w:bottom w:val="single" w:sz="8" w:color="auto"/>
            </w:tcBorders>
            <w:shd w:val="clear" w:color="auto" w:fill="DBDBDB"/>
          </w:tcPr>
          <w:p>
            <w:pPr>
              <w:spacing w:after="0"/>
              <w:rPr>
                <w:sz w:val="15"/>
                <w:szCs w:val="15"/>
                <w:color w:val="auto"/>
              </w:rPr>
            </w:pP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1,764.8</w:t>
            </w:r>
          </w:p>
        </w:tc>
        <w:tc>
          <w:tcPr>
            <w:tcW w:w="20" w:type="dxa"/>
            <w:vAlign w:val="bottom"/>
            <w:tcBorders>
              <w:top w:val="single" w:sz="8" w:color="auto"/>
              <w:bottom w:val="single" w:sz="8" w:color="auto"/>
            </w:tcBorders>
            <w:shd w:val="clear" w:color="auto" w:fill="DBDBDB"/>
          </w:tcPr>
          <w:p>
            <w:pPr>
              <w:spacing w:after="0"/>
              <w:rPr>
                <w:sz w:val="15"/>
                <w:szCs w:val="15"/>
                <w:color w:val="auto"/>
              </w:rPr>
            </w:pPr>
          </w:p>
        </w:tc>
        <w:tc>
          <w:tcPr>
            <w:tcW w:w="120" w:type="dxa"/>
            <w:vAlign w:val="bottom"/>
            <w:tcBorders>
              <w:top w:val="single" w:sz="8" w:color="DBDBDB"/>
              <w:bottom w:val="single" w:sz="8" w:color="DBDBDB"/>
            </w:tcBorders>
            <w:shd w:val="clear" w:color="auto" w:fill="DBDBDB"/>
          </w:tcPr>
          <w:p>
            <w:pPr>
              <w:spacing w:after="0"/>
              <w:rPr>
                <w:sz w:val="15"/>
                <w:szCs w:val="15"/>
                <w:color w:val="auto"/>
              </w:rPr>
            </w:pPr>
          </w:p>
        </w:tc>
        <w:tc>
          <w:tcPr>
            <w:tcW w:w="200" w:type="dxa"/>
            <w:vAlign w:val="bottom"/>
            <w:tcBorders>
              <w:top w:val="single" w:sz="8" w:color="auto"/>
              <w:bottom w:val="single" w:sz="8" w:color="auto"/>
            </w:tcBorders>
            <w:shd w:val="clear" w:color="auto" w:fill="DBDBDB"/>
          </w:tcPr>
          <w:p>
            <w:pPr>
              <w:spacing w:after="0"/>
              <w:rPr>
                <w:sz w:val="15"/>
                <w:szCs w:val="15"/>
                <w:color w:val="auto"/>
              </w:rPr>
            </w:pP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1,075.3</w:t>
            </w:r>
          </w:p>
        </w:tc>
        <w:tc>
          <w:tcPr>
            <w:tcW w:w="60" w:type="dxa"/>
            <w:vAlign w:val="bottom"/>
            <w:tcBorders>
              <w:top w:val="single" w:sz="8" w:color="auto"/>
              <w:bottom w:val="single" w:sz="8" w:color="auto"/>
            </w:tcBorders>
            <w:shd w:val="clear" w:color="auto" w:fill="DBDBDB"/>
          </w:tcPr>
          <w:p>
            <w:pPr>
              <w:spacing w:after="0"/>
              <w:rPr>
                <w:sz w:val="15"/>
                <w:szCs w:val="15"/>
                <w:color w:val="auto"/>
              </w:rPr>
            </w:pP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260" w:type="dxa"/>
            <w:vAlign w:val="bottom"/>
            <w:tcBorders>
              <w:top w:val="single" w:sz="8" w:color="auto"/>
              <w:bottom w:val="single" w:sz="8" w:color="auto"/>
            </w:tcBorders>
            <w:shd w:val="clear" w:color="auto" w:fill="DBDBDB"/>
          </w:tcPr>
          <w:p>
            <w:pPr>
              <w:spacing w:after="0"/>
              <w:rPr>
                <w:sz w:val="15"/>
                <w:szCs w:val="15"/>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2,840.1</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1,790.7</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1,331.0</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3,121.7</w:t>
            </w:r>
          </w:p>
        </w:tc>
        <w:tc>
          <w:tcPr>
            <w:tcW w:w="0" w:type="dxa"/>
            <w:vAlign w:val="bottom"/>
          </w:tcPr>
          <w:p>
            <w:pPr>
              <w:spacing w:after="0"/>
              <w:rPr>
                <w:sz w:val="1"/>
                <w:szCs w:val="1"/>
                <w:color w:val="auto"/>
              </w:rPr>
            </w:pPr>
          </w:p>
        </w:tc>
      </w:tr>
      <w:tr>
        <w:trPr>
          <w:trHeight w:val="225"/>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Rare Disease:</w:t>
            </w:r>
          </w:p>
        </w:tc>
        <w:tc>
          <w:tcPr>
            <w:tcW w:w="14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SPINRAZA</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592.9</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643.6</w:t>
            </w: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1,236.5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456.9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733.7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1,190.6</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80"/>
              <w:spacing w:after="0"/>
              <w:rPr>
                <w:sz w:val="20"/>
                <w:szCs w:val="20"/>
                <w:color w:val="auto"/>
              </w:rPr>
            </w:pPr>
            <w:r>
              <w:rPr>
                <w:rFonts w:ascii="Arial" w:cs="Arial" w:eastAsia="Arial" w:hAnsi="Arial"/>
                <w:sz w:val="14"/>
                <w:szCs w:val="14"/>
                <w:color w:val="auto"/>
              </w:rPr>
              <w:t>SKYCLARYS</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251.3</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245.5</w:t>
            </w: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496.8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387.1</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660" w:type="dxa"/>
            <w:vAlign w:val="bottom"/>
            <w:gridSpan w:val="2"/>
          </w:tcPr>
          <w:p>
            <w:pPr>
              <w:ind w:left="80"/>
              <w:spacing w:after="0"/>
              <w:rPr>
                <w:sz w:val="20"/>
                <w:szCs w:val="20"/>
                <w:color w:val="auto"/>
              </w:rPr>
            </w:pPr>
            <w:r>
              <w:rPr>
                <w:rFonts w:ascii="Arial" w:cs="Arial" w:eastAsia="Arial" w:hAnsi="Arial"/>
                <w:sz w:val="14"/>
                <w:szCs w:val="14"/>
                <w:color w:val="auto"/>
              </w:rPr>
              <w:t>QALSODY</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29.6</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72.3</w:t>
            </w:r>
          </w:p>
        </w:tc>
        <w:tc>
          <w:tcPr>
            <w:tcW w:w="6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101.9</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90"/>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Rare Disease</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873.8</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961.4</w:t>
            </w:r>
          </w:p>
        </w:tc>
        <w:tc>
          <w:tcPr>
            <w:tcW w:w="6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1,835.2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938.7</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1,639.6</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91"/>
              <w:spacing w:after="0"/>
              <w:rPr>
                <w:sz w:val="20"/>
                <w:szCs w:val="20"/>
                <w:color w:val="auto"/>
              </w:rPr>
            </w:pPr>
            <w:r>
              <w:rPr>
                <w:rFonts w:ascii="Arial" w:cs="Arial" w:eastAsia="Arial" w:hAnsi="Arial"/>
                <w:sz w:val="14"/>
                <w:szCs w:val="14"/>
                <w:color w:val="257ACB"/>
              </w:rPr>
              <w:t>0</w:t>
            </w:r>
          </w:p>
        </w:tc>
        <w:tc>
          <w:tcPr>
            <w:tcW w:w="900" w:type="dxa"/>
            <w:vAlign w:val="bottom"/>
            <w:shd w:val="clear" w:color="auto" w:fill="DBDBDB"/>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Specialized Immunology:</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660" w:type="dxa"/>
            <w:vAlign w:val="bottom"/>
            <w:gridSpan w:val="2"/>
          </w:tcPr>
          <w:p>
            <w:pPr>
              <w:ind w:left="60"/>
              <w:spacing w:after="0"/>
              <w:rPr>
                <w:sz w:val="20"/>
                <w:szCs w:val="20"/>
                <w:color w:val="auto"/>
              </w:rPr>
            </w:pPr>
            <w:r>
              <w:rPr>
                <w:rFonts w:ascii="Arial" w:cs="Arial" w:eastAsia="Arial" w:hAnsi="Arial"/>
                <w:sz w:val="14"/>
                <w:szCs w:val="14"/>
                <w:color w:val="auto"/>
              </w:rPr>
              <w:t>SYFOVRE</w:t>
            </w:r>
            <w:r>
              <w:rPr>
                <w:rFonts w:ascii="Arial" w:cs="Arial" w:eastAsia="Arial" w:hAnsi="Arial"/>
                <w:sz w:val="17"/>
                <w:szCs w:val="17"/>
                <w:color w:val="auto"/>
                <w:vertAlign w:val="superscript"/>
              </w:rPr>
              <w:t>(2)</w:t>
            </w:r>
          </w:p>
        </w:tc>
        <w:tc>
          <w:tcPr>
            <w:tcW w:w="14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288.7</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288.7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60"/>
              <w:spacing w:after="0" w:line="194" w:lineRule="exact"/>
              <w:rPr>
                <w:sz w:val="20"/>
                <w:szCs w:val="20"/>
                <w:color w:val="auto"/>
              </w:rPr>
            </w:pPr>
            <w:r>
              <w:rPr>
                <w:rFonts w:ascii="Arial" w:cs="Arial" w:eastAsia="Arial" w:hAnsi="Arial"/>
                <w:sz w:val="14"/>
                <w:szCs w:val="14"/>
                <w:color w:val="auto"/>
              </w:rPr>
              <w:t>EMPAVELI</w:t>
            </w:r>
            <w:r>
              <w:rPr>
                <w:rFonts w:ascii="Arial" w:cs="Arial" w:eastAsia="Arial" w:hAnsi="Arial"/>
                <w:sz w:val="17"/>
                <w:szCs w:val="17"/>
                <w:color w:val="auto"/>
                <w:vertAlign w:val="superscript"/>
              </w:rPr>
              <w:t>(2)</w:t>
            </w: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81.9</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81.9</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Specialized Immunology</w:t>
            </w:r>
          </w:p>
        </w:tc>
        <w:tc>
          <w:tcPr>
            <w:tcW w:w="140" w:type="dxa"/>
            <w:vAlign w:val="bottom"/>
            <w:shd w:val="clear" w:color="auto" w:fill="DBDBDB"/>
          </w:tcPr>
          <w:p>
            <w:pPr>
              <w:spacing w:after="0"/>
              <w:rPr>
                <w:sz w:val="15"/>
                <w:szCs w:val="15"/>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370.6</w:t>
            </w:r>
          </w:p>
        </w:tc>
        <w:tc>
          <w:tcPr>
            <w:tcW w:w="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370.6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Biosimilars:</w:t>
            </w:r>
          </w:p>
        </w:tc>
        <w:tc>
          <w:tcPr>
            <w:tcW w:w="140" w:type="dxa"/>
            <w:vAlign w:val="bottom"/>
            <w:tcBorders>
              <w:top w:val="single" w:sz="8" w:color="auto"/>
            </w:tcBorders>
            <w:shd w:val="clear" w:color="auto" w:fill="DBDBDB"/>
          </w:tcPr>
          <w:p>
            <w:pPr>
              <w:spacing w:after="0"/>
              <w:rPr>
                <w:sz w:val="19"/>
                <w:szCs w:val="19"/>
                <w:color w:val="auto"/>
              </w:rPr>
            </w:pPr>
          </w:p>
        </w:tc>
        <w:tc>
          <w:tcPr>
            <w:tcW w:w="100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spacing w:after="0"/>
              <w:rPr>
                <w:sz w:val="19"/>
                <w:szCs w:val="19"/>
                <w:color w:val="auto"/>
              </w:rPr>
            </w:pPr>
          </w:p>
        </w:tc>
        <w:tc>
          <w:tcPr>
            <w:tcW w:w="6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BENEPALI</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346.2</w:t>
            </w: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346.2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345.3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345.3</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IMRALDI</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129.4</w:t>
            </w: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146.7</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FLIXABI</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25.0</w:t>
            </w: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BYOOVIZ</w:t>
            </w:r>
            <w:r>
              <w:rPr>
                <w:rFonts w:ascii="Arial" w:cs="Arial" w:eastAsia="Arial" w:hAnsi="Arial"/>
                <w:sz w:val="17"/>
                <w:szCs w:val="17"/>
                <w:color w:val="auto"/>
                <w:vertAlign w:val="superscript"/>
              </w:rPr>
              <w:t>(3)</w:t>
            </w:r>
          </w:p>
        </w:tc>
        <w:tc>
          <w:tcPr>
            <w:tcW w:w="14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660" w:type="dxa"/>
            <w:vAlign w:val="bottom"/>
            <w:gridSpan w:val="2"/>
          </w:tcPr>
          <w:p>
            <w:pPr>
              <w:ind w:left="100"/>
              <w:spacing w:after="0" w:line="193" w:lineRule="exact"/>
              <w:rPr>
                <w:sz w:val="20"/>
                <w:szCs w:val="20"/>
                <w:color w:val="auto"/>
              </w:rPr>
            </w:pPr>
            <w:r>
              <w:rPr>
                <w:rFonts w:ascii="Arial" w:cs="Arial" w:eastAsia="Arial" w:hAnsi="Arial"/>
                <w:sz w:val="14"/>
                <w:szCs w:val="14"/>
                <w:color w:val="auto"/>
              </w:rPr>
              <w:t>TOFIDENCE</w:t>
            </w:r>
            <w:r>
              <w:rPr>
                <w:rFonts w:ascii="Arial" w:cs="Arial" w:eastAsia="Arial" w:hAnsi="Arial"/>
                <w:sz w:val="17"/>
                <w:szCs w:val="17"/>
                <w:color w:val="auto"/>
                <w:vertAlign w:val="superscript"/>
              </w:rPr>
              <w:t>(3)</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0"/>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Biosimilars</w:t>
            </w:r>
          </w:p>
        </w:tc>
        <w:tc>
          <w:tcPr>
            <w:tcW w:w="140" w:type="dxa"/>
            <w:vAlign w:val="bottom"/>
            <w:tcBorders>
              <w:top w:val="single" w:sz="8" w:color="auto"/>
              <w:bottom w:val="single" w:sz="8" w:color="auto"/>
            </w:tcBorders>
            <w:shd w:val="clear" w:color="auto" w:fill="DBDBDB"/>
          </w:tcPr>
          <w:p>
            <w:pPr>
              <w:spacing w:after="0"/>
              <w:rPr>
                <w:sz w:val="15"/>
                <w:szCs w:val="15"/>
                <w:color w:val="auto"/>
              </w:rPr>
            </w:pP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20" w:type="dxa"/>
            <w:vAlign w:val="bottom"/>
            <w:tcBorders>
              <w:top w:val="single" w:sz="8" w:color="auto"/>
              <w:bottom w:val="single" w:sz="8" w:color="auto"/>
            </w:tcBorders>
            <w:shd w:val="clear" w:color="auto" w:fill="DBDBDB"/>
          </w:tcPr>
          <w:p>
            <w:pPr>
              <w:spacing w:after="0"/>
              <w:rPr>
                <w:sz w:val="15"/>
                <w:szCs w:val="15"/>
                <w:color w:val="auto"/>
              </w:rPr>
            </w:pPr>
          </w:p>
        </w:tc>
        <w:tc>
          <w:tcPr>
            <w:tcW w:w="120" w:type="dxa"/>
            <w:vAlign w:val="bottom"/>
            <w:tcBorders>
              <w:top w:val="single" w:sz="8" w:color="DBDBDB"/>
              <w:bottom w:val="single" w:sz="8" w:color="DBDBDB"/>
            </w:tcBorders>
            <w:shd w:val="clear" w:color="auto" w:fill="DBDBDB"/>
          </w:tcPr>
          <w:p>
            <w:pPr>
              <w:spacing w:after="0"/>
              <w:rPr>
                <w:sz w:val="15"/>
                <w:szCs w:val="15"/>
                <w:color w:val="auto"/>
              </w:rPr>
            </w:pPr>
          </w:p>
        </w:tc>
        <w:tc>
          <w:tcPr>
            <w:tcW w:w="200" w:type="dxa"/>
            <w:vAlign w:val="bottom"/>
            <w:tcBorders>
              <w:top w:val="single" w:sz="8" w:color="auto"/>
              <w:bottom w:val="single" w:sz="8" w:color="auto"/>
            </w:tcBorders>
            <w:shd w:val="clear" w:color="auto" w:fill="DBDBDB"/>
          </w:tcPr>
          <w:p>
            <w:pPr>
              <w:spacing w:after="0"/>
              <w:rPr>
                <w:sz w:val="15"/>
                <w:szCs w:val="15"/>
                <w:color w:val="auto"/>
              </w:rPr>
            </w:pP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500.8</w:t>
            </w:r>
          </w:p>
        </w:tc>
        <w:tc>
          <w:tcPr>
            <w:tcW w:w="60" w:type="dxa"/>
            <w:vAlign w:val="bottom"/>
            <w:tcBorders>
              <w:top w:val="single" w:sz="8" w:color="auto"/>
              <w:bottom w:val="single" w:sz="8" w:color="auto"/>
            </w:tcBorders>
            <w:shd w:val="clear" w:color="auto" w:fill="DBDBDB"/>
          </w:tcPr>
          <w:p>
            <w:pPr>
              <w:spacing w:after="0"/>
              <w:rPr>
                <w:sz w:val="15"/>
                <w:szCs w:val="15"/>
                <w:color w:val="auto"/>
              </w:rPr>
            </w:pP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260" w:type="dxa"/>
            <w:vAlign w:val="bottom"/>
            <w:tcBorders>
              <w:top w:val="single" w:sz="8" w:color="auto"/>
              <w:bottom w:val="single" w:sz="8" w:color="auto"/>
            </w:tcBorders>
            <w:shd w:val="clear" w:color="auto" w:fill="DBDBDB"/>
          </w:tcPr>
          <w:p>
            <w:pPr>
              <w:spacing w:after="0"/>
              <w:rPr>
                <w:sz w:val="15"/>
                <w:szCs w:val="15"/>
                <w:color w:val="auto"/>
              </w:rPr>
            </w:pPr>
          </w:p>
        </w:tc>
        <w:tc>
          <w:tcPr>
            <w:tcW w:w="9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500.9</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550.5</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559.3</w:t>
            </w:r>
          </w:p>
        </w:tc>
        <w:tc>
          <w:tcPr>
            <w:tcW w:w="0" w:type="dxa"/>
            <w:vAlign w:val="bottom"/>
          </w:tcPr>
          <w:p>
            <w:pPr>
              <w:spacing w:after="0"/>
              <w:rPr>
                <w:sz w:val="1"/>
                <w:szCs w:val="1"/>
                <w:color w:val="auto"/>
              </w:rPr>
            </w:pPr>
          </w:p>
        </w:tc>
      </w:tr>
      <w:tr>
        <w:trPr>
          <w:trHeight w:val="225"/>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ZURZUVAE</w:t>
            </w: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209.4</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210.6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129.4</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660" w:type="dxa"/>
            <w:vAlign w:val="bottom"/>
            <w:gridSpan w:val="2"/>
          </w:tcPr>
          <w:p>
            <w:pPr>
              <w:ind w:left="100"/>
              <w:spacing w:after="0"/>
              <w:rPr>
                <w:sz w:val="20"/>
                <w:szCs w:val="20"/>
                <w:color w:val="auto"/>
              </w:rPr>
            </w:pPr>
            <w:r>
              <w:rPr>
                <w:rFonts w:ascii="Arial" w:cs="Arial" w:eastAsia="Arial" w:hAnsi="Arial"/>
                <w:sz w:val="14"/>
                <w:szCs w:val="14"/>
                <w:color w:val="auto"/>
              </w:rPr>
              <w:t>Other</w:t>
            </w:r>
            <w:r>
              <w:rPr>
                <w:rFonts w:ascii="Arial" w:cs="Arial" w:eastAsia="Arial" w:hAnsi="Arial"/>
                <w:sz w:val="17"/>
                <w:szCs w:val="17"/>
                <w:color w:val="auto"/>
                <w:vertAlign w:val="superscript"/>
              </w:rPr>
              <w:t>(4)</w:t>
            </w:r>
          </w:p>
        </w:tc>
        <w:tc>
          <w:tcPr>
            <w:tcW w:w="14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3"/>
        </w:trPr>
        <w:tc>
          <w:tcPr>
            <w:tcW w:w="3700" w:type="dxa"/>
            <w:vAlign w:val="bottom"/>
            <w:gridSpan w:val="3"/>
          </w:tcPr>
          <w:p>
            <w:pPr>
              <w:ind w:left="20"/>
              <w:spacing w:after="0"/>
              <w:rPr>
                <w:sz w:val="20"/>
                <w:szCs w:val="20"/>
                <w:color w:val="auto"/>
              </w:rPr>
            </w:pPr>
            <w:r>
              <w:rPr>
                <w:rFonts w:ascii="Arial" w:cs="Arial" w:eastAsia="Arial" w:hAnsi="Arial"/>
                <w:sz w:val="14"/>
                <w:szCs w:val="14"/>
                <w:color w:val="auto"/>
              </w:rPr>
              <w:t>Subtotal: Other</w:t>
            </w:r>
          </w:p>
        </w:tc>
        <w:tc>
          <w:tcPr>
            <w:tcW w:w="14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209.4</w:t>
            </w:r>
          </w:p>
        </w:tc>
        <w:tc>
          <w:tcPr>
            <w:tcW w:w="2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6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auto"/>
            </w:tcBorders>
            <w:shd w:val="clear" w:color="auto" w:fill="DBDBDB"/>
          </w:tcPr>
          <w:p>
            <w:pPr>
              <w:spacing w:after="0"/>
              <w:rPr>
                <w:sz w:val="15"/>
                <w:szCs w:val="15"/>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210.6</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129.8</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131.5</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660" w:type="dxa"/>
            <w:vAlign w:val="bottom"/>
            <w:gridSpan w:val="2"/>
          </w:tcPr>
          <w:p>
            <w:pPr>
              <w:ind w:left="180"/>
              <w:spacing w:after="0"/>
              <w:rPr>
                <w:sz w:val="20"/>
                <w:szCs w:val="20"/>
                <w:color w:val="auto"/>
              </w:rPr>
            </w:pPr>
            <w:r>
              <w:rPr>
                <w:rFonts w:ascii="Arial" w:cs="Arial" w:eastAsia="Arial" w:hAnsi="Arial"/>
                <w:sz w:val="14"/>
                <w:szCs w:val="14"/>
                <w:color w:val="auto"/>
              </w:rPr>
              <w:t>Total product revenue, net</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3,218.7</w:t>
            </w: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257ACB"/>
                <w:w w:val="76"/>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2,538.7</w:t>
            </w:r>
          </w:p>
        </w:tc>
        <w:tc>
          <w:tcPr>
            <w:tcW w:w="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jc w:val="right"/>
              <w:ind w:right="91"/>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5,757.4</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2,630.2</w:t>
            </w:r>
          </w:p>
        </w:tc>
        <w:tc>
          <w:tcPr>
            <w:tcW w:w="100" w:type="dxa"/>
            <w:vAlign w:val="bottom"/>
          </w:tcPr>
          <w:p>
            <w:pPr>
              <w:spacing w:after="0"/>
              <w:rPr>
                <w:sz w:val="18"/>
                <w:szCs w:val="18"/>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2,821.9</w:t>
            </w:r>
          </w:p>
        </w:tc>
        <w:tc>
          <w:tcPr>
            <w:tcW w:w="100" w:type="dxa"/>
            <w:vAlign w:val="bottom"/>
          </w:tcPr>
          <w:p>
            <w:pPr>
              <w:spacing w:after="0"/>
              <w:rPr>
                <w:sz w:val="18"/>
                <w:szCs w:val="18"/>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5,452.1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 w:type="dxa"/>
            <w:vAlign w:val="bottom"/>
          </w:tcPr>
          <w:p>
            <w:pPr>
              <w:spacing w:after="0"/>
              <w:rPr>
                <w:sz w:val="13"/>
                <w:szCs w:val="13"/>
                <w:color w:val="auto"/>
              </w:rPr>
            </w:pPr>
          </w:p>
        </w:tc>
        <w:tc>
          <w:tcPr>
            <w:tcW w:w="3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60" w:hanging="157"/>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Effective January 1, 2025, our collaboration and license agreement for FAMPYRA global commercialization rights was terminated</w:t>
      </w:r>
    </w:p>
    <w:p>
      <w:pPr>
        <w:spacing w:after="0" w:line="12" w:lineRule="exact"/>
        <w:rPr>
          <w:rFonts w:ascii="Arial" w:cs="Arial" w:eastAsia="Arial" w:hAnsi="Arial"/>
          <w:sz w:val="18"/>
          <w:szCs w:val="18"/>
          <w:color w:val="auto"/>
          <w:vertAlign w:val="superscript"/>
        </w:rPr>
      </w:pPr>
    </w:p>
    <w:p>
      <w:pPr>
        <w:ind w:left="160" w:hanging="157"/>
        <w:spacing w:after="0"/>
        <w:tabs>
          <w:tab w:leader="none" w:pos="160" w:val="left"/>
        </w:tabs>
        <w:numPr>
          <w:ilvl w:val="0"/>
          <w:numId w:val="15"/>
        </w:numPr>
        <w:rPr>
          <w:rFonts w:ascii="Arial" w:cs="Arial" w:eastAsia="Arial" w:hAnsi="Arial"/>
          <w:sz w:val="9"/>
          <w:szCs w:val="9"/>
          <w:color w:val="auto"/>
        </w:rPr>
      </w:pPr>
      <w:r>
        <w:rPr>
          <w:rFonts w:ascii="Arial" w:cs="Arial" w:eastAsia="Arial" w:hAnsi="Arial"/>
          <w:sz w:val="14"/>
          <w:szCs w:val="14"/>
          <w:color w:val="auto"/>
        </w:rPr>
        <w:t>EMPAVELI and SYFOVRE were obtained as part of our acquisition of Apellis in May 2026</w:t>
      </w:r>
    </w:p>
    <w:p>
      <w:pPr>
        <w:spacing w:after="0" w:line="8" w:lineRule="exact"/>
        <w:rPr>
          <w:rFonts w:ascii="Arial" w:cs="Arial" w:eastAsia="Arial" w:hAnsi="Arial"/>
          <w:sz w:val="9"/>
          <w:szCs w:val="9"/>
          <w:color w:val="auto"/>
        </w:rPr>
      </w:pPr>
    </w:p>
    <w:p>
      <w:pPr>
        <w:ind w:left="160" w:hanging="157"/>
        <w:spacing w:after="0"/>
        <w:tabs>
          <w:tab w:leader="none" w:pos="160" w:val="left"/>
        </w:tabs>
        <w:numPr>
          <w:ilvl w:val="0"/>
          <w:numId w:val="15"/>
        </w:numPr>
        <w:rPr>
          <w:rFonts w:ascii="Arial" w:cs="Arial" w:eastAsia="Arial" w:hAnsi="Arial"/>
          <w:sz w:val="9"/>
          <w:szCs w:val="9"/>
          <w:color w:val="auto"/>
        </w:rPr>
      </w:pPr>
      <w:r>
        <w:rPr>
          <w:rFonts w:ascii="Arial" w:cs="Arial" w:eastAsia="Arial" w:hAnsi="Arial"/>
          <w:sz w:val="14"/>
          <w:szCs w:val="14"/>
          <w:color w:val="auto"/>
        </w:rPr>
        <w:t>In 2025 we completed the sale of our rights to TOFIDENCE and BYOOVIZ</w:t>
      </w:r>
    </w:p>
    <w:p>
      <w:pPr>
        <w:spacing w:after="0" w:line="19" w:lineRule="exact"/>
        <w:rPr>
          <w:rFonts w:ascii="Arial" w:cs="Arial" w:eastAsia="Arial" w:hAnsi="Arial"/>
          <w:sz w:val="9"/>
          <w:szCs w:val="9"/>
          <w:color w:val="auto"/>
        </w:rPr>
      </w:pPr>
    </w:p>
    <w:p>
      <w:pPr>
        <w:ind w:left="160" w:hanging="157"/>
        <w:spacing w:after="0" w:line="224" w:lineRule="auto"/>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Other includes FUMADERM and ADUHELM</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447260"/>
        </w:rPr>
        <w:t>11</w:t>
      </w:r>
    </w:p>
    <w:p>
      <w:pPr>
        <w:sectPr>
          <w:pgSz w:w="11900" w:h="16838" w:orient="portrait"/>
          <w:cols w:equalWidth="0" w:num="1">
            <w:col w:w="11220"/>
          </w:cols>
          <w:pgMar w:left="320" w:top="1071" w:right="359" w:bottom="1440" w:gutter="0" w:footer="0" w:header="0"/>
        </w:sectPr>
      </w:pPr>
    </w:p>
    <w:bookmarkStart w:id="14" w:name="page15"/>
    <w:bookmarkEnd w:id="14"/>
    <w:p>
      <w:pPr>
        <w:jc w:val="center"/>
        <w:ind w:right="-259"/>
        <w:spacing w:after="0"/>
        <w:rPr>
          <w:sz w:val="20"/>
          <w:szCs w:val="20"/>
          <w:color w:val="auto"/>
        </w:rPr>
      </w:pPr>
      <w:r>
        <w:rPr>
          <w:rFonts w:ascii="Arial" w:cs="Arial" w:eastAsia="Arial" w:hAnsi="Arial"/>
          <w:sz w:val="21"/>
          <w:szCs w:val="21"/>
          <w:b w:val="1"/>
          <w:bCs w:val="1"/>
          <w:color w:val="1C5A7D"/>
        </w:rPr>
        <w:t>TABLE 3 (continued)</w:t>
      </w:r>
    </w:p>
    <w:p>
      <w:pPr>
        <w:spacing w:after="0" w:line="276"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1C5A7D"/>
        </w:rPr>
        <w:t>BIOGEN INC. AND SUBSIDIARIES</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21"/>
          <w:szCs w:val="21"/>
          <w:b w:val="1"/>
          <w:bCs w:val="1"/>
          <w:color w:val="1C5A7D"/>
        </w:rPr>
        <w:t>PRODUCT REVENUE &amp; TOTAL REVENUE</w:t>
      </w:r>
    </w:p>
    <w:p>
      <w:pPr>
        <w:jc w:val="center"/>
        <w:ind w:right="-259"/>
        <w:spacing w:after="0"/>
        <w:rPr>
          <w:sz w:val="20"/>
          <w:szCs w:val="20"/>
          <w:color w:val="auto"/>
        </w:rPr>
      </w:pPr>
      <w:r>
        <w:rPr>
          <w:rFonts w:ascii="Arial" w:cs="Arial" w:eastAsia="Arial" w:hAnsi="Arial"/>
          <w:sz w:val="17"/>
          <w:szCs w:val="17"/>
          <w:b w:val="1"/>
          <w:bCs w:val="1"/>
          <w:i w:val="1"/>
          <w:iCs w:val="1"/>
          <w:color w:val="1C5A7D"/>
        </w:rPr>
        <w:t>(unaudited, in millions)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1C5A7D"/>
        </w:rPr>
        <w:t>Total Revenue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60"/>
              <w:spacing w:after="0"/>
              <w:rPr>
                <w:sz w:val="20"/>
                <w:szCs w:val="20"/>
                <w:color w:val="auto"/>
              </w:rPr>
            </w:pPr>
            <w:r>
              <w:rPr>
                <w:rFonts w:ascii="Arial" w:cs="Arial" w:eastAsia="Arial" w:hAnsi="Arial"/>
                <w:sz w:val="16"/>
                <w:szCs w:val="16"/>
                <w:b w:val="1"/>
                <w:bCs w:val="1"/>
                <w:color w:val="auto"/>
              </w:rPr>
              <w:t>For the Three Months Ended</w:t>
            </w:r>
          </w:p>
        </w:tc>
        <w:tc>
          <w:tcPr>
            <w:tcW w:w="3020" w:type="dxa"/>
            <w:vAlign w:val="bottom"/>
            <w:gridSpan w:val="5"/>
          </w:tcPr>
          <w:p>
            <w:pPr>
              <w:jc w:val="right"/>
              <w:ind w:right="2"/>
              <w:spacing w:after="0"/>
              <w:rPr>
                <w:sz w:val="20"/>
                <w:szCs w:val="20"/>
                <w:color w:val="auto"/>
              </w:rPr>
            </w:pPr>
            <w:r>
              <w:rPr>
                <w:rFonts w:ascii="Arial" w:cs="Arial" w:eastAsia="Arial" w:hAnsi="Arial"/>
                <w:sz w:val="16"/>
                <w:szCs w:val="16"/>
                <w:b w:val="1"/>
                <w:bCs w:val="1"/>
                <w:color w:val="auto"/>
                <w:w w:val="98"/>
              </w:rPr>
              <w:t>For the Nine Months Ended September</w:t>
            </w:r>
          </w:p>
        </w:tc>
        <w:tc>
          <w:tcPr>
            <w:tcW w:w="0" w:type="dxa"/>
            <w:vAlign w:val="bottom"/>
          </w:tcPr>
          <w:p>
            <w:pPr>
              <w:spacing w:after="0"/>
              <w:rPr>
                <w:sz w:val="1"/>
                <w:szCs w:val="1"/>
                <w:color w:val="auto"/>
              </w:rPr>
            </w:pPr>
          </w:p>
        </w:tc>
      </w:tr>
      <w:tr>
        <w:trPr>
          <w:trHeight w:val="207"/>
        </w:trPr>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ind w:right="542"/>
              <w:spacing w:after="0"/>
              <w:rPr>
                <w:sz w:val="20"/>
                <w:szCs w:val="20"/>
                <w:color w:val="auto"/>
              </w:rPr>
            </w:pPr>
            <w:r>
              <w:rPr>
                <w:rFonts w:ascii="Arial" w:cs="Arial" w:eastAsia="Arial" w:hAnsi="Arial"/>
                <w:sz w:val="16"/>
                <w:szCs w:val="16"/>
                <w:b w:val="1"/>
                <w:bCs w:val="1"/>
                <w:color w:val="2573BA"/>
              </w:rPr>
              <w:t>2026</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442"/>
              <w:spacing w:after="0"/>
              <w:rPr>
                <w:sz w:val="20"/>
                <w:szCs w:val="20"/>
                <w:color w:val="auto"/>
              </w:rPr>
            </w:pPr>
            <w:r>
              <w:rPr>
                <w:rFonts w:ascii="Arial" w:cs="Arial" w:eastAsia="Arial" w:hAnsi="Arial"/>
                <w:sz w:val="16"/>
                <w:szCs w:val="16"/>
                <w:b w:val="1"/>
                <w:bCs w:val="1"/>
                <w:color w:val="257ACB"/>
              </w:rPr>
              <w:t>2026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8"/>
        </w:trPr>
        <w:tc>
          <w:tcPr>
            <w:tcW w:w="4900" w:type="dxa"/>
            <w:vAlign w:val="bottom"/>
            <w:gridSpan w:val="2"/>
          </w:tcPr>
          <w:p>
            <w:pPr>
              <w:ind w:left="20"/>
              <w:spacing w:after="0"/>
              <w:rPr>
                <w:sz w:val="20"/>
                <w:szCs w:val="20"/>
                <w:color w:val="auto"/>
              </w:rPr>
            </w:pPr>
            <w:r>
              <w:rPr>
                <w:rFonts w:ascii="Arial" w:cs="Arial" w:eastAsia="Arial" w:hAnsi="Arial"/>
                <w:sz w:val="16"/>
                <w:szCs w:val="16"/>
                <w:color w:val="auto"/>
              </w:rPr>
              <w:t>Product revenue, net</w:t>
            </w:r>
          </w:p>
        </w:tc>
        <w:tc>
          <w:tcPr>
            <w:tcW w:w="260" w:type="dxa"/>
            <w:vAlign w:val="bottom"/>
            <w:shd w:val="clear" w:color="auto" w:fill="DBDBDB"/>
          </w:tcPr>
          <w:p>
            <w:pPr>
              <w:jc w:val="right"/>
              <w:ind w:right="82"/>
              <w:spacing w:after="0"/>
              <w:rPr>
                <w:sz w:val="20"/>
                <w:szCs w:val="20"/>
                <w:color w:val="auto"/>
              </w:rPr>
            </w:pPr>
            <w:r>
              <w:rPr>
                <w:rFonts w:ascii="Arial" w:cs="Arial" w:eastAsia="Arial" w:hAnsi="Arial"/>
                <w:sz w:val="16"/>
                <w:szCs w:val="16"/>
                <w:color w:val="026DCE"/>
                <w:w w:val="89"/>
              </w:rPr>
              <w:t>$</w:t>
            </w:r>
          </w:p>
        </w:tc>
        <w:tc>
          <w:tcPr>
            <w:tcW w:w="1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026DCE"/>
              </w:rPr>
              <w:t>2,088.7</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1,846.9</w:t>
            </w:r>
          </w:p>
        </w:tc>
        <w:tc>
          <w:tcPr>
            <w:tcW w:w="100" w:type="dxa"/>
            <w:vAlign w:val="bottom"/>
          </w:tcPr>
          <w:p>
            <w:pPr>
              <w:spacing w:after="0"/>
              <w:rPr>
                <w:sz w:val="17"/>
                <w:szCs w:val="17"/>
                <w:color w:val="auto"/>
              </w:rPr>
            </w:pPr>
          </w:p>
        </w:tc>
        <w:tc>
          <w:tcPr>
            <w:tcW w:w="320" w:type="dxa"/>
            <w:vAlign w:val="bottom"/>
            <w:shd w:val="clear" w:color="auto" w:fill="DBDBDB"/>
          </w:tcPr>
          <w:p>
            <w:pPr>
              <w:jc w:val="right"/>
              <w:ind w:right="142"/>
              <w:spacing w:after="0"/>
              <w:rPr>
                <w:sz w:val="20"/>
                <w:szCs w:val="20"/>
                <w:color w:val="auto"/>
              </w:rPr>
            </w:pPr>
            <w:r>
              <w:rPr>
                <w:rFonts w:ascii="Arial" w:cs="Arial" w:eastAsia="Arial" w:hAnsi="Arial"/>
                <w:sz w:val="16"/>
                <w:szCs w:val="16"/>
                <w:color w:val="026DCE"/>
                <w:w w:val="89"/>
              </w:rPr>
              <w:t>$</w:t>
            </w:r>
          </w:p>
        </w:tc>
        <w:tc>
          <w:tcPr>
            <w:tcW w:w="10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026DCE"/>
              </w:rPr>
              <w:t>5,757.4</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5,452.1</w:t>
            </w:r>
          </w:p>
        </w:tc>
        <w:tc>
          <w:tcPr>
            <w:tcW w:w="0" w:type="dxa"/>
            <w:vAlign w:val="bottom"/>
          </w:tcPr>
          <w:p>
            <w:pPr>
              <w:spacing w:after="0"/>
              <w:rPr>
                <w:sz w:val="1"/>
                <w:szCs w:val="1"/>
                <w:color w:val="auto"/>
              </w:rPr>
            </w:pPr>
          </w:p>
        </w:tc>
      </w:tr>
      <w:tr>
        <w:trPr>
          <w:trHeight w:val="207"/>
        </w:trPr>
        <w:tc>
          <w:tcPr>
            <w:tcW w:w="4900" w:type="dxa"/>
            <w:vAlign w:val="bottom"/>
            <w:gridSpan w:val="2"/>
          </w:tcPr>
          <w:p>
            <w:pPr>
              <w:ind w:left="20"/>
              <w:spacing w:after="0"/>
              <w:rPr>
                <w:sz w:val="20"/>
                <w:szCs w:val="20"/>
                <w:color w:val="auto"/>
              </w:rPr>
            </w:pPr>
            <w:r>
              <w:rPr>
                <w:rFonts w:ascii="Arial" w:cs="Arial" w:eastAsia="Arial" w:hAnsi="Arial"/>
                <w:sz w:val="16"/>
                <w:szCs w:val="16"/>
                <w:color w:val="auto"/>
              </w:rPr>
              <w:t>Royalty revenue on sales of OCREVUS</w:t>
            </w:r>
          </w:p>
        </w:tc>
        <w:tc>
          <w:tcPr>
            <w:tcW w:w="26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026DCE"/>
              </w:rPr>
              <w:t>369.9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386.4</w:t>
            </w:r>
          </w:p>
        </w:tc>
        <w:tc>
          <w:tcPr>
            <w:tcW w:w="100" w:type="dxa"/>
            <w:vAlign w:val="bottom"/>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026DCE"/>
              </w:rPr>
              <w:t>1,068.5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1,029.0</w:t>
            </w:r>
          </w:p>
        </w:tc>
        <w:tc>
          <w:tcPr>
            <w:tcW w:w="0" w:type="dxa"/>
            <w:vAlign w:val="bottom"/>
          </w:tcPr>
          <w:p>
            <w:pPr>
              <w:spacing w:after="0"/>
              <w:rPr>
                <w:sz w:val="1"/>
                <w:szCs w:val="1"/>
                <w:color w:val="auto"/>
              </w:rPr>
            </w:pPr>
          </w:p>
        </w:tc>
      </w:tr>
      <w:tr>
        <w:trPr>
          <w:trHeight w:val="158"/>
        </w:trPr>
        <w:tc>
          <w:tcPr>
            <w:tcW w:w="490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Biogen’s share of pre-tax profits in the U.S. for RITUXAN, GAZYVA</w:t>
            </w:r>
          </w:p>
        </w:tc>
        <w:tc>
          <w:tcPr>
            <w:tcW w:w="260" w:type="dxa"/>
            <w:vAlign w:val="bottom"/>
            <w:shd w:val="clear" w:color="auto" w:fill="DBDBDB"/>
          </w:tcPr>
          <w:p>
            <w:pPr>
              <w:spacing w:after="0"/>
              <w:rPr>
                <w:sz w:val="13"/>
                <w:szCs w:val="13"/>
                <w:color w:val="auto"/>
              </w:rPr>
            </w:pPr>
          </w:p>
        </w:tc>
        <w:tc>
          <w:tcPr>
            <w:tcW w:w="1300" w:type="dxa"/>
            <w:vAlign w:val="bottom"/>
            <w:vMerge w:val="restart"/>
            <w:shd w:val="clear" w:color="auto" w:fill="DBDBDB"/>
          </w:tcPr>
          <w:p>
            <w:pPr>
              <w:jc w:val="right"/>
              <w:ind w:right="2"/>
              <w:spacing w:after="0"/>
              <w:rPr>
                <w:sz w:val="20"/>
                <w:szCs w:val="20"/>
                <w:color w:val="auto"/>
              </w:rPr>
            </w:pPr>
            <w:r>
              <w:rPr>
                <w:rFonts w:ascii="Arial" w:cs="Arial" w:eastAsia="Arial" w:hAnsi="Arial"/>
                <w:sz w:val="16"/>
                <w:szCs w:val="16"/>
                <w:color w:val="026DCE"/>
              </w:rPr>
              <w:t>118.3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vMerge w:val="restart"/>
          </w:tcPr>
          <w:p>
            <w:pPr>
              <w:jc w:val="right"/>
              <w:ind w:right="2"/>
              <w:spacing w:after="0"/>
              <w:rPr>
                <w:sz w:val="20"/>
                <w:szCs w:val="20"/>
                <w:color w:val="auto"/>
              </w:rPr>
            </w:pPr>
            <w:r>
              <w:rPr>
                <w:rFonts w:ascii="Arial" w:cs="Arial" w:eastAsia="Arial" w:hAnsi="Arial"/>
                <w:sz w:val="16"/>
                <w:szCs w:val="16"/>
                <w:color w:val="auto"/>
              </w:rPr>
              <w:t>101.0</w:t>
            </w:r>
          </w:p>
        </w:tc>
        <w:tc>
          <w:tcPr>
            <w:tcW w:w="100" w:type="dxa"/>
            <w:vAlign w:val="bottom"/>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ind w:right="2"/>
              <w:spacing w:after="0"/>
              <w:rPr>
                <w:sz w:val="20"/>
                <w:szCs w:val="20"/>
                <w:color w:val="auto"/>
              </w:rPr>
            </w:pPr>
            <w:r>
              <w:rPr>
                <w:rFonts w:ascii="Arial" w:cs="Arial" w:eastAsia="Arial" w:hAnsi="Arial"/>
                <w:sz w:val="16"/>
                <w:szCs w:val="16"/>
                <w:color w:val="026DCE"/>
              </w:rPr>
              <w:t>338.7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vMerge w:val="restart"/>
          </w:tcPr>
          <w:p>
            <w:pPr>
              <w:jc w:val="right"/>
              <w:ind w:right="2"/>
              <w:spacing w:after="0"/>
              <w:rPr>
                <w:sz w:val="20"/>
                <w:szCs w:val="20"/>
                <w:color w:val="auto"/>
              </w:rPr>
            </w:pPr>
            <w:r>
              <w:rPr>
                <w:rFonts w:ascii="Arial" w:cs="Arial" w:eastAsia="Arial" w:hAnsi="Arial"/>
                <w:sz w:val="16"/>
                <w:szCs w:val="16"/>
                <w:color w:val="auto"/>
              </w:rPr>
              <w:t>292.4</w:t>
            </w:r>
          </w:p>
        </w:tc>
        <w:tc>
          <w:tcPr>
            <w:tcW w:w="0" w:type="dxa"/>
            <w:vAlign w:val="bottom"/>
          </w:tcPr>
          <w:p>
            <w:pPr>
              <w:spacing w:after="0"/>
              <w:rPr>
                <w:sz w:val="1"/>
                <w:szCs w:val="1"/>
                <w:color w:val="auto"/>
              </w:rPr>
            </w:pPr>
          </w:p>
        </w:tc>
      </w:tr>
      <w:tr>
        <w:trPr>
          <w:trHeight w:val="204"/>
        </w:trPr>
        <w:tc>
          <w:tcPr>
            <w:tcW w:w="4900" w:type="dxa"/>
            <w:vAlign w:val="bottom"/>
            <w:gridSpan w:val="2"/>
          </w:tcPr>
          <w:p>
            <w:pPr>
              <w:ind w:left="20"/>
              <w:spacing w:after="0"/>
              <w:rPr>
                <w:sz w:val="20"/>
                <w:szCs w:val="20"/>
                <w:color w:val="auto"/>
              </w:rPr>
            </w:pPr>
            <w:r>
              <w:rPr>
                <w:rFonts w:ascii="Arial" w:cs="Arial" w:eastAsia="Arial" w:hAnsi="Arial"/>
                <w:sz w:val="16"/>
                <w:szCs w:val="16"/>
                <w:color w:val="auto"/>
              </w:rPr>
              <w:t>and LUNSUMIO</w:t>
            </w:r>
          </w:p>
        </w:tc>
        <w:tc>
          <w:tcPr>
            <w:tcW w:w="260" w:type="dxa"/>
            <w:vAlign w:val="bottom"/>
            <w:shd w:val="clear" w:color="auto" w:fill="DBDBDB"/>
          </w:tcPr>
          <w:p>
            <w:pPr>
              <w:spacing w:after="0"/>
              <w:rPr>
                <w:sz w:val="17"/>
                <w:szCs w:val="17"/>
                <w:color w:val="auto"/>
              </w:rPr>
            </w:pPr>
          </w:p>
        </w:tc>
        <w:tc>
          <w:tcPr>
            <w:tcW w:w="1300" w:type="dxa"/>
            <w:vAlign w:val="bottom"/>
            <w:vMerge w:val="continue"/>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080" w:type="dxa"/>
            <w:vAlign w:val="bottom"/>
            <w:vMerge w:val="continue"/>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900" w:type="dxa"/>
            <w:vAlign w:val="bottom"/>
            <w:gridSpan w:val="2"/>
          </w:tcPr>
          <w:p>
            <w:pPr>
              <w:ind w:left="20"/>
              <w:spacing w:after="0"/>
              <w:rPr>
                <w:sz w:val="20"/>
                <w:szCs w:val="20"/>
                <w:color w:val="auto"/>
              </w:rPr>
            </w:pPr>
            <w:r>
              <w:rPr>
                <w:rFonts w:ascii="Arial" w:cs="Arial" w:eastAsia="Arial" w:hAnsi="Arial"/>
                <w:sz w:val="16"/>
                <w:szCs w:val="16"/>
                <w:color w:val="auto"/>
              </w:rPr>
              <w:t>Other revenue from anti-CD20 therapeutic programs</w:t>
            </w:r>
          </w:p>
        </w:tc>
        <w:tc>
          <w:tcPr>
            <w:tcW w:w="26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9.1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026DCE"/>
              </w:rPr>
              <w:t>22.7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07"/>
        </w:trPr>
        <w:tc>
          <w:tcPr>
            <w:tcW w:w="4900" w:type="dxa"/>
            <w:vAlign w:val="bottom"/>
            <w:gridSpan w:val="2"/>
          </w:tcPr>
          <w:p>
            <w:pPr>
              <w:ind w:left="20"/>
              <w:spacing w:after="0"/>
              <w:rPr>
                <w:sz w:val="20"/>
                <w:szCs w:val="20"/>
                <w:color w:val="auto"/>
              </w:rPr>
            </w:pPr>
            <w:r>
              <w:rPr>
                <w:rFonts w:ascii="Arial" w:cs="Arial" w:eastAsia="Arial" w:hAnsi="Arial"/>
                <w:sz w:val="16"/>
                <w:szCs w:val="16"/>
                <w:color w:val="auto"/>
              </w:rPr>
              <w:t>Alzheimer's collaboration revenue</w:t>
            </w:r>
          </w:p>
        </w:tc>
        <w:tc>
          <w:tcPr>
            <w:tcW w:w="26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257ACB"/>
              </w:rPr>
              <w:t>68.4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026DCE"/>
              </w:rPr>
              <w:t>191.6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130.6</w:t>
            </w:r>
          </w:p>
        </w:tc>
        <w:tc>
          <w:tcPr>
            <w:tcW w:w="0" w:type="dxa"/>
            <w:vAlign w:val="bottom"/>
          </w:tcPr>
          <w:p>
            <w:pPr>
              <w:spacing w:after="0"/>
              <w:rPr>
                <w:sz w:val="1"/>
                <w:szCs w:val="1"/>
                <w:color w:val="auto"/>
              </w:rPr>
            </w:pPr>
          </w:p>
        </w:tc>
      </w:tr>
      <w:tr>
        <w:trPr>
          <w:trHeight w:val="208"/>
        </w:trPr>
        <w:tc>
          <w:tcPr>
            <w:tcW w:w="4900" w:type="dxa"/>
            <w:vAlign w:val="bottom"/>
            <w:gridSpan w:val="2"/>
          </w:tcPr>
          <w:p>
            <w:pPr>
              <w:ind w:left="20"/>
              <w:spacing w:after="0"/>
              <w:rPr>
                <w:sz w:val="20"/>
                <w:szCs w:val="20"/>
                <w:color w:val="auto"/>
              </w:rPr>
            </w:pPr>
            <w:r>
              <w:rPr>
                <w:rFonts w:ascii="Arial" w:cs="Arial" w:eastAsia="Arial" w:hAnsi="Arial"/>
                <w:sz w:val="16"/>
                <w:szCs w:val="16"/>
                <w:color w:val="auto"/>
              </w:rPr>
              <w:t>Contract manufacturing, royalty and other revenue</w:t>
            </w:r>
          </w:p>
        </w:tc>
        <w:tc>
          <w:tcPr>
            <w:tcW w:w="26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257ACB"/>
              </w:rPr>
              <w:t>149.7</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151.2</w:t>
            </w:r>
          </w:p>
        </w:tc>
        <w:tc>
          <w:tcPr>
            <w:tcW w:w="100" w:type="dxa"/>
            <w:vAlign w:val="bottom"/>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6"/>
                <w:szCs w:val="16"/>
                <w:color w:val="026DCE"/>
              </w:rPr>
              <w:t>639.0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689.1</w:t>
            </w:r>
          </w:p>
        </w:tc>
        <w:tc>
          <w:tcPr>
            <w:tcW w:w="0" w:type="dxa"/>
            <w:vAlign w:val="bottom"/>
          </w:tcPr>
          <w:p>
            <w:pPr>
              <w:spacing w:after="0"/>
              <w:rPr>
                <w:sz w:val="1"/>
                <w:szCs w:val="1"/>
                <w:color w:val="auto"/>
              </w:rPr>
            </w:pPr>
          </w:p>
        </w:tc>
      </w:tr>
      <w:tr>
        <w:trPr>
          <w:trHeight w:val="221"/>
        </w:trPr>
        <w:tc>
          <w:tcPr>
            <w:tcW w:w="4900" w:type="dxa"/>
            <w:vAlign w:val="bottom"/>
            <w:gridSpan w:val="2"/>
          </w:tcPr>
          <w:p>
            <w:pPr>
              <w:ind w:left="120"/>
              <w:spacing w:after="0"/>
              <w:rPr>
                <w:sz w:val="20"/>
                <w:szCs w:val="20"/>
                <w:color w:val="auto"/>
              </w:rPr>
            </w:pPr>
            <w:r>
              <w:rPr>
                <w:rFonts w:ascii="Arial" w:cs="Arial" w:eastAsia="Arial" w:hAnsi="Arial"/>
                <w:sz w:val="16"/>
                <w:szCs w:val="16"/>
                <w:color w:val="auto"/>
              </w:rPr>
              <w:t>Total revenue</w:t>
            </w:r>
          </w:p>
        </w:tc>
        <w:tc>
          <w:tcPr>
            <w:tcW w:w="260" w:type="dxa"/>
            <w:vAlign w:val="bottom"/>
            <w:shd w:val="clear" w:color="auto" w:fill="DBDBDB"/>
          </w:tcPr>
          <w:p>
            <w:pPr>
              <w:jc w:val="right"/>
              <w:ind w:right="82"/>
              <w:spacing w:after="0"/>
              <w:rPr>
                <w:sz w:val="20"/>
                <w:szCs w:val="20"/>
                <w:color w:val="auto"/>
              </w:rPr>
            </w:pPr>
            <w:r>
              <w:rPr>
                <w:rFonts w:ascii="Arial" w:cs="Arial" w:eastAsia="Arial" w:hAnsi="Arial"/>
                <w:sz w:val="16"/>
                <w:szCs w:val="16"/>
                <w:color w:val="026DCE"/>
                <w:w w:val="89"/>
              </w:rPr>
              <w:t>$</w:t>
            </w:r>
          </w:p>
        </w:tc>
        <w:tc>
          <w:tcPr>
            <w:tcW w:w="13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026DCE"/>
              </w:rPr>
              <w:t>2,804.1</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2,534.7</w:t>
            </w:r>
          </w:p>
        </w:tc>
        <w:tc>
          <w:tcPr>
            <w:tcW w:w="100" w:type="dxa"/>
            <w:vAlign w:val="bottom"/>
          </w:tcPr>
          <w:p>
            <w:pPr>
              <w:spacing w:after="0"/>
              <w:rPr>
                <w:sz w:val="19"/>
                <w:szCs w:val="19"/>
                <w:color w:val="auto"/>
              </w:rPr>
            </w:pPr>
          </w:p>
        </w:tc>
        <w:tc>
          <w:tcPr>
            <w:tcW w:w="320" w:type="dxa"/>
            <w:vAlign w:val="bottom"/>
            <w:shd w:val="clear" w:color="auto" w:fill="DBDBDB"/>
          </w:tcPr>
          <w:p>
            <w:pPr>
              <w:jc w:val="right"/>
              <w:ind w:right="142"/>
              <w:spacing w:after="0"/>
              <w:rPr>
                <w:sz w:val="20"/>
                <w:szCs w:val="20"/>
                <w:color w:val="auto"/>
              </w:rPr>
            </w:pPr>
            <w:r>
              <w:rPr>
                <w:rFonts w:ascii="Arial" w:cs="Arial" w:eastAsia="Arial" w:hAnsi="Arial"/>
                <w:sz w:val="16"/>
                <w:szCs w:val="16"/>
                <w:color w:val="026DCE"/>
                <w:w w:val="89"/>
              </w:rPr>
              <w:t>$</w:t>
            </w:r>
          </w:p>
        </w:tc>
        <w:tc>
          <w:tcPr>
            <w:tcW w:w="108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026DCE"/>
              </w:rPr>
              <w:t>8,017.9</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7,611.2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447260"/>
        </w:rPr>
        <w:t>12</w:t>
      </w:r>
    </w:p>
    <w:p>
      <w:pPr>
        <w:sectPr>
          <w:pgSz w:w="11900" w:h="16838" w:orient="portrait"/>
          <w:cols w:equalWidth="0" w:num="1">
            <w:col w:w="10980"/>
          </w:cols>
          <w:pgMar w:left="320" w:top="1071" w:right="59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21"/>
          <w:szCs w:val="21"/>
          <w:b w:val="1"/>
          <w:bCs w:val="1"/>
          <w:color w:val="1C5A7D"/>
        </w:rPr>
        <w:t>TABLE 4</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1C5A7D"/>
        </w:rPr>
        <w:t>BIOGEN INC. AND SUBSIDIARIES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1C5A7D"/>
        </w:rPr>
        <w:t>GAAP TO NON-GAAP RECONCILIATION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1C5A7D"/>
        </w:rPr>
        <w:t>OPERATING EXPENSE, OTHER (INCOME) EXPENSE, NET, AND INCOME TAX</w:t>
      </w:r>
    </w:p>
    <w:p>
      <w:pPr>
        <w:jc w:val="center"/>
        <w:ind w:right="-39"/>
        <w:spacing w:after="0"/>
        <w:rPr>
          <w:sz w:val="20"/>
          <w:szCs w:val="20"/>
          <w:color w:val="auto"/>
        </w:rPr>
      </w:pPr>
      <w:r>
        <w:rPr>
          <w:rFonts w:ascii="Arial" w:cs="Arial" w:eastAsia="Arial" w:hAnsi="Arial"/>
          <w:sz w:val="17"/>
          <w:szCs w:val="17"/>
          <w:b w:val="1"/>
          <w:bCs w:val="1"/>
          <w:i w:val="1"/>
          <w:iCs w:val="1"/>
          <w:color w:val="1C5A7D"/>
        </w:rPr>
        <w:t>(unaudited, in millions)</w:t>
      </w:r>
    </w:p>
    <w:p>
      <w:pPr>
        <w:spacing w:after="0" w:line="9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supplement our GAAP consolidated financial statements and GAAP financial measures with other financial measures, such as adjusted net income, adjusted diluted earnings per share, revenue growth at constant currency, which excludes the impact of changes in foreign exchange rates and hedging gains or losses, and free cash flow, which is defined as net cash flow from operations less capital expenditures. We believe that these and other Non-GAAP financial measures provide additional insight into the ongoing economics of our business and reflect how we manage our business internally, set operational goals and form the basis of our management incentive programs. Non-GAAP financial measures are in addition to, not a substitute for, or superior to, measures of financial performance prepared in accordance with GAAP.</w:t>
      </w:r>
    </w:p>
    <w:tbl>
      <w:tblPr>
        <w:tblLayout w:type="fixed"/>
        <w:tblInd w:w="0" w:type="dxa"/>
        <w:tblCellMar>
          <w:top w:w="0" w:type="dxa"/>
          <w:left w:w="0" w:type="dxa"/>
          <w:bottom w:w="0" w:type="dxa"/>
          <w:right w:w="0" w:type="dxa"/>
        </w:tblCellMar>
      </w:tblPr>
      <w:tr>
        <w:trPr>
          <w:trHeight w:val="155"/>
        </w:trPr>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6"/>
          </w:tcPr>
          <w:p>
            <w:pPr>
              <w:ind w:left="340"/>
              <w:spacing w:after="0" w:line="155" w:lineRule="exact"/>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3"/>
                <w:szCs w:val="13"/>
                <w:color w:val="auto"/>
              </w:rPr>
            </w:pPr>
          </w:p>
        </w:tc>
        <w:tc>
          <w:tcPr>
            <w:tcW w:w="2260" w:type="dxa"/>
            <w:vAlign w:val="bottom"/>
            <w:gridSpan w:val="4"/>
          </w:tcPr>
          <w:p>
            <w:pPr>
              <w:jc w:val="right"/>
              <w:ind w:right="271"/>
              <w:spacing w:after="0" w:line="155" w:lineRule="exact"/>
              <w:rPr>
                <w:sz w:val="20"/>
                <w:szCs w:val="20"/>
                <w:color w:val="auto"/>
              </w:rPr>
            </w:pPr>
            <w:r>
              <w:rPr>
                <w:rFonts w:ascii="Arial" w:cs="Arial" w:eastAsia="Arial" w:hAnsi="Arial"/>
                <w:sz w:val="14"/>
                <w:szCs w:val="14"/>
                <w:b w:val="1"/>
                <w:bCs w:val="1"/>
                <w:color w:val="auto"/>
              </w:rPr>
              <w:t>For the Nine Months Ended</w:t>
            </w:r>
          </w:p>
        </w:tc>
      </w:tr>
      <w:tr>
        <w:trPr>
          <w:trHeight w:val="178"/>
        </w:trPr>
        <w:tc>
          <w:tcPr>
            <w:tcW w:w="5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r>
      <w:tr>
        <w:trPr>
          <w:trHeight w:val="186"/>
        </w:trPr>
        <w:tc>
          <w:tcPr>
            <w:tcW w:w="5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00497F"/>
              </w:rPr>
              <w:t>2026</w:t>
            </w:r>
          </w:p>
        </w:tc>
        <w:tc>
          <w:tcPr>
            <w:tcW w:w="420" w:type="dxa"/>
            <w:vAlign w:val="bottom"/>
            <w:tcBorders>
              <w:bottom w:val="single" w:sz="8" w:color="auto"/>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ind w:right="371"/>
              <w:spacing w:after="0"/>
              <w:rPr>
                <w:sz w:val="20"/>
                <w:szCs w:val="20"/>
                <w:color w:val="auto"/>
              </w:rPr>
            </w:pPr>
            <w:r>
              <w:rPr>
                <w:rFonts w:ascii="Arial" w:cs="Arial" w:eastAsia="Arial" w:hAnsi="Arial"/>
                <w:sz w:val="14"/>
                <w:szCs w:val="14"/>
                <w:b w:val="1"/>
                <w:bCs w:val="1"/>
                <w:color w:val="00497F"/>
              </w:rPr>
              <w:t>2026</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2025</w:t>
            </w:r>
          </w:p>
        </w:tc>
      </w:tr>
      <w:tr>
        <w:trPr>
          <w:trHeight w:val="186"/>
        </w:trPr>
        <w:tc>
          <w:tcPr>
            <w:tcW w:w="602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 of Sales:</w:t>
            </w:r>
          </w:p>
        </w:tc>
        <w:tc>
          <w:tcPr>
            <w:tcW w:w="76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8"/>
        </w:trPr>
        <w:tc>
          <w:tcPr>
            <w:tcW w:w="6020" w:type="dxa"/>
            <w:vAlign w:val="bottom"/>
            <w:gridSpan w:val="2"/>
          </w:tcPr>
          <w:p>
            <w:pPr>
              <w:ind w:left="20"/>
              <w:spacing w:after="0"/>
              <w:rPr>
                <w:sz w:val="20"/>
                <w:szCs w:val="20"/>
                <w:color w:val="auto"/>
              </w:rPr>
            </w:pPr>
            <w:r>
              <w:rPr>
                <w:rFonts w:ascii="Arial" w:cs="Arial" w:eastAsia="Arial" w:hAnsi="Arial"/>
                <w:sz w:val="14"/>
                <w:szCs w:val="14"/>
                <w:color w:val="auto"/>
              </w:rPr>
              <w:t>Total cost of sales, GAAP</w:t>
            </w:r>
          </w:p>
        </w:tc>
        <w:tc>
          <w:tcPr>
            <w:tcW w:w="760" w:type="dxa"/>
            <w:vAlign w:val="bottom"/>
            <w:shd w:val="clear" w:color="auto" w:fill="DBDBDB"/>
          </w:tcPr>
          <w:p>
            <w:pPr>
              <w:jc w:val="right"/>
              <w:ind w:right="591"/>
              <w:spacing w:after="0"/>
              <w:rPr>
                <w:sz w:val="20"/>
                <w:szCs w:val="20"/>
                <w:color w:val="auto"/>
              </w:rPr>
            </w:pPr>
            <w:r>
              <w:rPr>
                <w:rFonts w:ascii="Arial" w:cs="Arial" w:eastAsia="Arial" w:hAnsi="Arial"/>
                <w:sz w:val="14"/>
                <w:szCs w:val="14"/>
                <w:color w:val="00497F"/>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0497F"/>
                <w:w w:val="96"/>
              </w:rPr>
              <w:t>748.4</w:t>
            </w:r>
          </w:p>
        </w:tc>
        <w:tc>
          <w:tcPr>
            <w:tcW w:w="860" w:type="dxa"/>
            <w:vAlign w:val="bottom"/>
            <w:gridSpan w:val="2"/>
          </w:tcPr>
          <w:p>
            <w:pPr>
              <w:jc w:val="right"/>
              <w:ind w:right="591"/>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6"/>
              </w:rPr>
              <w:t>674.4</w:t>
            </w:r>
          </w:p>
        </w:tc>
        <w:tc>
          <w:tcPr>
            <w:tcW w:w="80" w:type="dxa"/>
            <w:vAlign w:val="bottom"/>
          </w:tcPr>
          <w:p>
            <w:pPr>
              <w:spacing w:after="0"/>
              <w:rPr>
                <w:sz w:val="16"/>
                <w:szCs w:val="16"/>
                <w:color w:val="auto"/>
              </w:rPr>
            </w:pPr>
          </w:p>
        </w:tc>
        <w:tc>
          <w:tcPr>
            <w:tcW w:w="22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00497F"/>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2,186.3</w:t>
            </w: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1,908.7</w:t>
            </w:r>
          </w:p>
        </w:tc>
      </w:tr>
      <w:tr>
        <w:trPr>
          <w:trHeight w:val="194"/>
        </w:trPr>
        <w:tc>
          <w:tcPr>
            <w:tcW w:w="6020" w:type="dxa"/>
            <w:vAlign w:val="bottom"/>
            <w:gridSpan w:val="2"/>
          </w:tcPr>
          <w:p>
            <w:pPr>
              <w:ind w:left="220"/>
              <w:spacing w:after="0"/>
              <w:rPr>
                <w:sz w:val="20"/>
                <w:szCs w:val="20"/>
                <w:color w:val="auto"/>
              </w:rPr>
            </w:pPr>
            <w:r>
              <w:rPr>
                <w:rFonts w:ascii="Arial" w:cs="Arial" w:eastAsia="Arial" w:hAnsi="Arial"/>
                <w:sz w:val="14"/>
                <w:szCs w:val="14"/>
                <w:color w:val="auto"/>
              </w:rPr>
              <w:t>Less: litigation matter</w:t>
            </w:r>
          </w:p>
        </w:tc>
        <w:tc>
          <w:tcPr>
            <w:tcW w:w="760" w:type="dxa"/>
            <w:vAlign w:val="bottom"/>
            <w:shd w:val="clear" w:color="auto" w:fill="DBDBDB"/>
          </w:tcPr>
          <w:p>
            <w:pPr>
              <w:spacing w:after="0"/>
              <w:rPr>
                <w:sz w:val="16"/>
                <w:szCs w:val="16"/>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1.1</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104.3</w:t>
            </w:r>
          </w:p>
        </w:tc>
        <w:tc>
          <w:tcPr>
            <w:tcW w:w="8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3.4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104.3</w:t>
            </w:r>
          </w:p>
        </w:tc>
      </w:tr>
      <w:tr>
        <w:trPr>
          <w:trHeight w:val="198"/>
        </w:trPr>
        <w:tc>
          <w:tcPr>
            <w:tcW w:w="6020" w:type="dxa"/>
            <w:vAlign w:val="bottom"/>
            <w:gridSpan w:val="2"/>
          </w:tcPr>
          <w:p>
            <w:pPr>
              <w:ind w:left="220"/>
              <w:spacing w:after="0"/>
              <w:rPr>
                <w:sz w:val="20"/>
                <w:szCs w:val="20"/>
                <w:color w:val="auto"/>
              </w:rPr>
            </w:pPr>
            <w:r>
              <w:rPr>
                <w:rFonts w:ascii="Arial" w:cs="Arial" w:eastAsia="Arial" w:hAnsi="Arial"/>
                <w:sz w:val="14"/>
                <w:szCs w:val="14"/>
                <w:color w:val="auto"/>
              </w:rPr>
              <w:t>Less: amortization of inventory fair value step-up</w:t>
            </w:r>
          </w:p>
        </w:tc>
        <w:tc>
          <w:tcPr>
            <w:tcW w:w="760" w:type="dxa"/>
            <w:vAlign w:val="bottom"/>
            <w:tcBorders>
              <w:bottom w:val="single" w:sz="8" w:color="auto"/>
            </w:tcBorders>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w w:val="96"/>
              </w:rPr>
              <w:t>194.8</w:t>
            </w: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408.1</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160.1</w:t>
            </w: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4"/>
                <w:szCs w:val="14"/>
                <w:color w:val="auto"/>
              </w:rPr>
              <w:t>Total cost of sales, Non-GAAP</w:t>
            </w:r>
          </w:p>
        </w:tc>
        <w:tc>
          <w:tcPr>
            <w:tcW w:w="760" w:type="dxa"/>
            <w:vAlign w:val="bottom"/>
            <w:shd w:val="clear" w:color="auto" w:fill="DBDBDB"/>
          </w:tcPr>
          <w:p>
            <w:pPr>
              <w:jc w:val="right"/>
              <w:ind w:right="591"/>
              <w:spacing w:after="0"/>
              <w:rPr>
                <w:sz w:val="20"/>
                <w:szCs w:val="20"/>
                <w:color w:val="auto"/>
              </w:rPr>
            </w:pPr>
            <w:r>
              <w:rPr>
                <w:rFonts w:ascii="Arial" w:cs="Arial" w:eastAsia="Arial" w:hAnsi="Arial"/>
                <w:sz w:val="14"/>
                <w:szCs w:val="14"/>
                <w:color w:val="00497F"/>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0497F"/>
                <w:w w:val="96"/>
              </w:rPr>
              <w:t>552.5</w:t>
            </w:r>
          </w:p>
        </w:tc>
        <w:tc>
          <w:tcPr>
            <w:tcW w:w="860" w:type="dxa"/>
            <w:vAlign w:val="bottom"/>
            <w:gridSpan w:val="2"/>
          </w:tcPr>
          <w:p>
            <w:pPr>
              <w:jc w:val="right"/>
              <w:ind w:right="591"/>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6"/>
              </w:rPr>
              <w:t>510.1</w:t>
            </w:r>
          </w:p>
        </w:tc>
        <w:tc>
          <w:tcPr>
            <w:tcW w:w="80" w:type="dxa"/>
            <w:vAlign w:val="bottom"/>
          </w:tcPr>
          <w:p>
            <w:pPr>
              <w:spacing w:after="0"/>
              <w:rPr>
                <w:sz w:val="19"/>
                <w:szCs w:val="19"/>
                <w:color w:val="auto"/>
              </w:rPr>
            </w:pPr>
          </w:p>
        </w:tc>
        <w:tc>
          <w:tcPr>
            <w:tcW w:w="22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00497F"/>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1,774.8</w:t>
            </w: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1,644.3</w:t>
            </w:r>
          </w:p>
        </w:tc>
      </w:tr>
      <w:tr>
        <w:trPr>
          <w:trHeight w:val="78"/>
        </w:trPr>
        <w:tc>
          <w:tcPr>
            <w:tcW w:w="59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60" w:type="dxa"/>
            <w:vAlign w:val="bottom"/>
            <w:tcBorders>
              <w:top w:val="single" w:sz="8" w:color="auto"/>
              <w:bottom w:val="single" w:sz="8" w:color="auto"/>
            </w:tcBorders>
            <w:shd w:val="clear" w:color="auto" w:fill="DBDBDB"/>
          </w:tcPr>
          <w:p>
            <w:pPr>
              <w:spacing w:after="0"/>
              <w:rPr>
                <w:sz w:val="6"/>
                <w:szCs w:val="6"/>
                <w:color w:val="auto"/>
              </w:rPr>
            </w:pPr>
          </w:p>
        </w:tc>
        <w:tc>
          <w:tcPr>
            <w:tcW w:w="420" w:type="dxa"/>
            <w:vAlign w:val="bottom"/>
            <w:tcBorders>
              <w:top w:val="single" w:sz="8" w:color="auto"/>
              <w:bottom w:val="single" w:sz="8" w:color="auto"/>
            </w:tcBorders>
            <w:shd w:val="clear" w:color="auto" w:fill="DBDBDB"/>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42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top w:val="single" w:sz="8" w:color="auto"/>
              <w:bottom w:val="single" w:sz="8" w:color="auto"/>
            </w:tcBorders>
            <w:shd w:val="clear" w:color="auto" w:fill="DBDBDB"/>
          </w:tcPr>
          <w:p>
            <w:pPr>
              <w:spacing w:after="0"/>
              <w:rPr>
                <w:sz w:val="6"/>
                <w:szCs w:val="6"/>
                <w:color w:val="auto"/>
              </w:rPr>
            </w:pPr>
          </w:p>
        </w:tc>
        <w:tc>
          <w:tcPr>
            <w:tcW w:w="980" w:type="dxa"/>
            <w:vAlign w:val="bottom"/>
            <w:tcBorders>
              <w:top w:val="single" w:sz="8" w:color="auto"/>
              <w:bottom w:val="single" w:sz="8" w:color="auto"/>
            </w:tcBorders>
            <w:shd w:val="clear" w:color="auto" w:fill="DBDBDB"/>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r>
      <w:tr>
        <w:trPr>
          <w:trHeight w:val="185"/>
        </w:trPr>
        <w:tc>
          <w:tcPr>
            <w:tcW w:w="60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Research and Development Expense:</w:t>
            </w:r>
          </w:p>
        </w:tc>
        <w:tc>
          <w:tcPr>
            <w:tcW w:w="76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8"/>
        </w:trPr>
        <w:tc>
          <w:tcPr>
            <w:tcW w:w="6020" w:type="dxa"/>
            <w:vAlign w:val="bottom"/>
            <w:gridSpan w:val="2"/>
          </w:tcPr>
          <w:p>
            <w:pPr>
              <w:ind w:left="20"/>
              <w:spacing w:after="0"/>
              <w:rPr>
                <w:sz w:val="20"/>
                <w:szCs w:val="20"/>
                <w:color w:val="auto"/>
              </w:rPr>
            </w:pPr>
            <w:r>
              <w:rPr>
                <w:rFonts w:ascii="Arial" w:cs="Arial" w:eastAsia="Arial" w:hAnsi="Arial"/>
                <w:sz w:val="14"/>
                <w:szCs w:val="14"/>
                <w:color w:val="auto"/>
              </w:rPr>
              <w:t>Total research and development expense, GAAP</w:t>
            </w:r>
          </w:p>
        </w:tc>
        <w:tc>
          <w:tcPr>
            <w:tcW w:w="760" w:type="dxa"/>
            <w:vAlign w:val="bottom"/>
            <w:shd w:val="clear" w:color="auto" w:fill="DBDBDB"/>
          </w:tcPr>
          <w:p>
            <w:pPr>
              <w:jc w:val="right"/>
              <w:ind w:right="591"/>
              <w:spacing w:after="0"/>
              <w:rPr>
                <w:sz w:val="20"/>
                <w:szCs w:val="20"/>
                <w:color w:val="auto"/>
              </w:rPr>
            </w:pPr>
            <w:r>
              <w:rPr>
                <w:rFonts w:ascii="Arial" w:cs="Arial" w:eastAsia="Arial" w:hAnsi="Arial"/>
                <w:sz w:val="14"/>
                <w:szCs w:val="14"/>
                <w:color w:val="00497F"/>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0497F"/>
                <w:w w:val="96"/>
              </w:rPr>
              <w:t>574.0</w:t>
            </w:r>
          </w:p>
        </w:tc>
        <w:tc>
          <w:tcPr>
            <w:tcW w:w="860" w:type="dxa"/>
            <w:vAlign w:val="bottom"/>
            <w:gridSpan w:val="2"/>
          </w:tcPr>
          <w:p>
            <w:pPr>
              <w:jc w:val="right"/>
              <w:ind w:right="591"/>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6"/>
              </w:rPr>
              <w:t>436.1</w:t>
            </w:r>
          </w:p>
        </w:tc>
        <w:tc>
          <w:tcPr>
            <w:tcW w:w="80" w:type="dxa"/>
            <w:vAlign w:val="bottom"/>
          </w:tcPr>
          <w:p>
            <w:pPr>
              <w:spacing w:after="0"/>
              <w:rPr>
                <w:sz w:val="16"/>
                <w:szCs w:val="16"/>
                <w:color w:val="auto"/>
              </w:rPr>
            </w:pPr>
          </w:p>
        </w:tc>
        <w:tc>
          <w:tcPr>
            <w:tcW w:w="22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00497F"/>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1,642.6</w:t>
            </w: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1,269.2</w:t>
            </w:r>
          </w:p>
        </w:tc>
      </w:tr>
      <w:tr>
        <w:trPr>
          <w:trHeight w:val="194"/>
        </w:trPr>
        <w:tc>
          <w:tcPr>
            <w:tcW w:w="6020" w:type="dxa"/>
            <w:vAlign w:val="bottom"/>
            <w:gridSpan w:val="2"/>
          </w:tcPr>
          <w:p>
            <w:pPr>
              <w:ind w:left="220"/>
              <w:spacing w:after="0"/>
              <w:rPr>
                <w:sz w:val="20"/>
                <w:szCs w:val="20"/>
                <w:color w:val="auto"/>
              </w:rPr>
            </w:pPr>
            <w:r>
              <w:rPr>
                <w:rFonts w:ascii="Arial" w:cs="Arial" w:eastAsia="Arial" w:hAnsi="Arial"/>
                <w:sz w:val="14"/>
                <w:szCs w:val="14"/>
                <w:color w:val="auto"/>
              </w:rPr>
              <w:t>Less: amortization of inventory fair value step-up</w:t>
            </w:r>
          </w:p>
        </w:tc>
        <w:tc>
          <w:tcPr>
            <w:tcW w:w="760" w:type="dxa"/>
            <w:vAlign w:val="bottom"/>
            <w:shd w:val="clear" w:color="auto" w:fill="DBDBDB"/>
          </w:tcPr>
          <w:p>
            <w:pPr>
              <w:spacing w:after="0"/>
              <w:rPr>
                <w:sz w:val="16"/>
                <w:szCs w:val="16"/>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92.9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6020" w:type="dxa"/>
            <w:vAlign w:val="bottom"/>
            <w:gridSpan w:val="2"/>
          </w:tcPr>
          <w:p>
            <w:pPr>
              <w:ind w:left="220"/>
              <w:spacing w:after="0"/>
              <w:rPr>
                <w:sz w:val="20"/>
                <w:szCs w:val="20"/>
                <w:color w:val="auto"/>
              </w:rPr>
            </w:pPr>
            <w:r>
              <w:rPr>
                <w:rFonts w:ascii="Arial" w:cs="Arial" w:eastAsia="Arial" w:hAnsi="Arial"/>
                <w:sz w:val="14"/>
                <w:szCs w:val="14"/>
                <w:color w:val="auto"/>
              </w:rPr>
              <w:t>Less: acquisition-related transaction and integration costs</w:t>
            </w:r>
          </w:p>
        </w:tc>
        <w:tc>
          <w:tcPr>
            <w:tcW w:w="760" w:type="dxa"/>
            <w:vAlign w:val="bottom"/>
            <w:shd w:val="clear" w:color="auto" w:fill="DBDBDB"/>
          </w:tcPr>
          <w:p>
            <w:pPr>
              <w:spacing w:after="0"/>
              <w:rPr>
                <w:sz w:val="16"/>
                <w:szCs w:val="16"/>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4.9</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4.9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020" w:type="dxa"/>
            <w:vAlign w:val="bottom"/>
            <w:gridSpan w:val="2"/>
          </w:tcPr>
          <w:p>
            <w:pPr>
              <w:ind w:left="220"/>
              <w:spacing w:after="0"/>
              <w:rPr>
                <w:sz w:val="20"/>
                <w:szCs w:val="20"/>
                <w:color w:val="auto"/>
              </w:rPr>
            </w:pPr>
            <w:r>
              <w:rPr>
                <w:rFonts w:ascii="Arial" w:cs="Arial" w:eastAsia="Arial" w:hAnsi="Arial"/>
                <w:sz w:val="14"/>
                <w:szCs w:val="14"/>
                <w:color w:val="auto"/>
              </w:rPr>
              <w:t>Less: restructuring charges and other cost saving initiatives</w:t>
            </w:r>
          </w:p>
        </w:tc>
        <w:tc>
          <w:tcPr>
            <w:tcW w:w="760" w:type="dxa"/>
            <w:vAlign w:val="bottom"/>
            <w:tcBorders>
              <w:bottom w:val="single" w:sz="8" w:color="auto"/>
            </w:tcBorders>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2.0</w:t>
            </w: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8.2</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4"/>
                <w:szCs w:val="14"/>
                <w:color w:val="auto"/>
              </w:rPr>
              <w:t>Total research and development expense, Non-GAAP</w:t>
            </w:r>
          </w:p>
        </w:tc>
        <w:tc>
          <w:tcPr>
            <w:tcW w:w="760" w:type="dxa"/>
            <w:vAlign w:val="bottom"/>
            <w:shd w:val="clear" w:color="auto" w:fill="DBDBDB"/>
          </w:tcPr>
          <w:p>
            <w:pPr>
              <w:jc w:val="right"/>
              <w:ind w:right="591"/>
              <w:spacing w:after="0"/>
              <w:rPr>
                <w:sz w:val="20"/>
                <w:szCs w:val="20"/>
                <w:color w:val="auto"/>
              </w:rPr>
            </w:pPr>
            <w:r>
              <w:rPr>
                <w:rFonts w:ascii="Arial" w:cs="Arial" w:eastAsia="Arial" w:hAnsi="Arial"/>
                <w:sz w:val="14"/>
                <w:szCs w:val="14"/>
                <w:color w:val="00497F"/>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0497F"/>
                <w:w w:val="96"/>
              </w:rPr>
              <w:t>567.1</w:t>
            </w:r>
          </w:p>
        </w:tc>
        <w:tc>
          <w:tcPr>
            <w:tcW w:w="860" w:type="dxa"/>
            <w:vAlign w:val="bottom"/>
            <w:gridSpan w:val="2"/>
          </w:tcPr>
          <w:p>
            <w:pPr>
              <w:jc w:val="right"/>
              <w:ind w:right="591"/>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6"/>
              </w:rPr>
              <w:t>431.8</w:t>
            </w:r>
          </w:p>
        </w:tc>
        <w:tc>
          <w:tcPr>
            <w:tcW w:w="80" w:type="dxa"/>
            <w:vAlign w:val="bottom"/>
          </w:tcPr>
          <w:p>
            <w:pPr>
              <w:spacing w:after="0"/>
              <w:rPr>
                <w:sz w:val="19"/>
                <w:szCs w:val="19"/>
                <w:color w:val="auto"/>
              </w:rPr>
            </w:pPr>
          </w:p>
        </w:tc>
        <w:tc>
          <w:tcPr>
            <w:tcW w:w="22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00497F"/>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1,536.6</w:t>
            </w: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1,252.1</w:t>
            </w:r>
          </w:p>
        </w:tc>
      </w:tr>
      <w:tr>
        <w:trPr>
          <w:trHeight w:val="78"/>
        </w:trPr>
        <w:tc>
          <w:tcPr>
            <w:tcW w:w="59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60" w:type="dxa"/>
            <w:vAlign w:val="bottom"/>
            <w:tcBorders>
              <w:top w:val="single" w:sz="8" w:color="auto"/>
              <w:bottom w:val="single" w:sz="8" w:color="auto"/>
            </w:tcBorders>
            <w:shd w:val="clear" w:color="auto" w:fill="DBDBDB"/>
          </w:tcPr>
          <w:p>
            <w:pPr>
              <w:spacing w:after="0"/>
              <w:rPr>
                <w:sz w:val="6"/>
                <w:szCs w:val="6"/>
                <w:color w:val="auto"/>
              </w:rPr>
            </w:pPr>
          </w:p>
        </w:tc>
        <w:tc>
          <w:tcPr>
            <w:tcW w:w="420" w:type="dxa"/>
            <w:vAlign w:val="bottom"/>
            <w:tcBorders>
              <w:top w:val="single" w:sz="8" w:color="auto"/>
              <w:bottom w:val="single" w:sz="8" w:color="auto"/>
            </w:tcBorders>
            <w:shd w:val="clear" w:color="auto" w:fill="DBDBDB"/>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420" w:type="dxa"/>
            <w:vAlign w:val="bottom"/>
            <w:tcBorders>
              <w:top w:val="single" w:sz="8" w:color="auto"/>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top w:val="single" w:sz="8" w:color="auto"/>
              <w:bottom w:val="single" w:sz="8" w:color="auto"/>
            </w:tcBorders>
            <w:shd w:val="clear" w:color="auto" w:fill="DBDBDB"/>
          </w:tcPr>
          <w:p>
            <w:pPr>
              <w:spacing w:after="0"/>
              <w:rPr>
                <w:sz w:val="6"/>
                <w:szCs w:val="6"/>
                <w:color w:val="auto"/>
              </w:rPr>
            </w:pPr>
          </w:p>
        </w:tc>
        <w:tc>
          <w:tcPr>
            <w:tcW w:w="980" w:type="dxa"/>
            <w:vAlign w:val="bottom"/>
            <w:tcBorders>
              <w:top w:val="single" w:sz="8" w:color="auto"/>
              <w:bottom w:val="single" w:sz="8" w:color="auto"/>
            </w:tcBorders>
            <w:shd w:val="clear" w:color="auto" w:fill="DBDBDB"/>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top w:val="single" w:sz="8" w:color="auto"/>
              <w:bottom w:val="single" w:sz="8" w:color="auto"/>
            </w:tcBorders>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r>
      <w:tr>
        <w:trPr>
          <w:trHeight w:val="185"/>
        </w:trPr>
        <w:tc>
          <w:tcPr>
            <w:tcW w:w="6020" w:type="dxa"/>
            <w:vAlign w:val="bottom"/>
            <w:gridSpan w:val="2"/>
          </w:tcPr>
          <w:p>
            <w:pPr>
              <w:ind w:left="20"/>
              <w:spacing w:after="0"/>
              <w:rPr>
                <w:sz w:val="20"/>
                <w:szCs w:val="20"/>
                <w:color w:val="auto"/>
              </w:rPr>
            </w:pPr>
            <w:r>
              <w:rPr>
                <w:rFonts w:ascii="Arial" w:cs="Arial" w:eastAsia="Arial" w:hAnsi="Arial"/>
                <w:sz w:val="14"/>
                <w:szCs w:val="14"/>
                <w:b w:val="1"/>
                <w:bCs w:val="1"/>
                <w:color w:val="auto"/>
              </w:rPr>
              <w:t>Selling, General and Administrative Expense:</w:t>
            </w:r>
          </w:p>
        </w:tc>
        <w:tc>
          <w:tcPr>
            <w:tcW w:w="76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8"/>
        </w:trPr>
        <w:tc>
          <w:tcPr>
            <w:tcW w:w="6020" w:type="dxa"/>
            <w:vAlign w:val="bottom"/>
            <w:gridSpan w:val="2"/>
          </w:tcPr>
          <w:p>
            <w:pPr>
              <w:ind w:left="20"/>
              <w:spacing w:after="0"/>
              <w:rPr>
                <w:sz w:val="20"/>
                <w:szCs w:val="20"/>
                <w:color w:val="auto"/>
              </w:rPr>
            </w:pPr>
            <w:r>
              <w:rPr>
                <w:rFonts w:ascii="Arial" w:cs="Arial" w:eastAsia="Arial" w:hAnsi="Arial"/>
                <w:sz w:val="14"/>
                <w:szCs w:val="14"/>
                <w:color w:val="auto"/>
              </w:rPr>
              <w:t>Total selling, general and administrative, GAAP</w:t>
            </w:r>
          </w:p>
        </w:tc>
        <w:tc>
          <w:tcPr>
            <w:tcW w:w="760" w:type="dxa"/>
            <w:vAlign w:val="bottom"/>
            <w:shd w:val="clear" w:color="auto" w:fill="DBDBDB"/>
          </w:tcPr>
          <w:p>
            <w:pPr>
              <w:jc w:val="right"/>
              <w:ind w:right="591"/>
              <w:spacing w:after="0"/>
              <w:rPr>
                <w:sz w:val="20"/>
                <w:szCs w:val="20"/>
                <w:color w:val="auto"/>
              </w:rPr>
            </w:pPr>
            <w:r>
              <w:rPr>
                <w:rFonts w:ascii="Arial" w:cs="Arial" w:eastAsia="Arial" w:hAnsi="Arial"/>
                <w:sz w:val="14"/>
                <w:szCs w:val="14"/>
                <w:color w:val="00497F"/>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0497F"/>
                <w:w w:val="96"/>
              </w:rPr>
              <w:t>752.0</w:t>
            </w:r>
          </w:p>
        </w:tc>
        <w:tc>
          <w:tcPr>
            <w:tcW w:w="860" w:type="dxa"/>
            <w:vAlign w:val="bottom"/>
            <w:gridSpan w:val="2"/>
          </w:tcPr>
          <w:p>
            <w:pPr>
              <w:jc w:val="right"/>
              <w:ind w:right="591"/>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6"/>
              </w:rPr>
              <w:t>594.8</w:t>
            </w:r>
          </w:p>
        </w:tc>
        <w:tc>
          <w:tcPr>
            <w:tcW w:w="80" w:type="dxa"/>
            <w:vAlign w:val="bottom"/>
          </w:tcPr>
          <w:p>
            <w:pPr>
              <w:spacing w:after="0"/>
              <w:rPr>
                <w:sz w:val="16"/>
                <w:szCs w:val="16"/>
                <w:color w:val="auto"/>
              </w:rPr>
            </w:pPr>
          </w:p>
        </w:tc>
        <w:tc>
          <w:tcPr>
            <w:tcW w:w="22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00497F"/>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2,069.0</w:t>
            </w: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1,751.1</w:t>
            </w:r>
          </w:p>
        </w:tc>
      </w:tr>
      <w:tr>
        <w:trPr>
          <w:trHeight w:val="194"/>
        </w:trPr>
        <w:tc>
          <w:tcPr>
            <w:tcW w:w="6020" w:type="dxa"/>
            <w:vAlign w:val="bottom"/>
            <w:gridSpan w:val="2"/>
          </w:tcPr>
          <w:p>
            <w:pPr>
              <w:ind w:left="220"/>
              <w:spacing w:after="0"/>
              <w:rPr>
                <w:sz w:val="20"/>
                <w:szCs w:val="20"/>
                <w:color w:val="auto"/>
              </w:rPr>
            </w:pPr>
            <w:r>
              <w:rPr>
                <w:rFonts w:ascii="Arial" w:cs="Arial" w:eastAsia="Arial" w:hAnsi="Arial"/>
                <w:sz w:val="14"/>
                <w:szCs w:val="14"/>
                <w:color w:val="auto"/>
              </w:rPr>
              <w:t>Less: acquisition-related transaction and integration costs</w:t>
            </w:r>
          </w:p>
        </w:tc>
        <w:tc>
          <w:tcPr>
            <w:tcW w:w="760" w:type="dxa"/>
            <w:vAlign w:val="bottom"/>
            <w:shd w:val="clear" w:color="auto" w:fill="DBDBDB"/>
          </w:tcPr>
          <w:p>
            <w:pPr>
              <w:spacing w:after="0"/>
              <w:rPr>
                <w:sz w:val="16"/>
                <w:szCs w:val="16"/>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8.8</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42.3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94"/>
        </w:trPr>
        <w:tc>
          <w:tcPr>
            <w:tcW w:w="6020" w:type="dxa"/>
            <w:vAlign w:val="bottom"/>
            <w:gridSpan w:val="2"/>
          </w:tcPr>
          <w:p>
            <w:pPr>
              <w:ind w:left="220"/>
              <w:spacing w:after="0"/>
              <w:rPr>
                <w:sz w:val="20"/>
                <w:szCs w:val="20"/>
                <w:color w:val="auto"/>
              </w:rPr>
            </w:pPr>
            <w:r>
              <w:rPr>
                <w:rFonts w:ascii="Arial" w:cs="Arial" w:eastAsia="Arial" w:hAnsi="Arial"/>
                <w:sz w:val="14"/>
                <w:szCs w:val="14"/>
                <w:color w:val="auto"/>
              </w:rPr>
              <w:t>Less: restructuring charges and other cost saving initiatives</w:t>
            </w:r>
          </w:p>
        </w:tc>
        <w:tc>
          <w:tcPr>
            <w:tcW w:w="760" w:type="dxa"/>
            <w:vAlign w:val="bottom"/>
            <w:shd w:val="clear" w:color="auto" w:fill="DBDBDB"/>
          </w:tcPr>
          <w:p>
            <w:pPr>
              <w:spacing w:after="0"/>
              <w:rPr>
                <w:sz w:val="16"/>
                <w:szCs w:val="16"/>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13.5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17.8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98"/>
        </w:trPr>
        <w:tc>
          <w:tcPr>
            <w:tcW w:w="6020" w:type="dxa"/>
            <w:vAlign w:val="bottom"/>
            <w:gridSpan w:val="2"/>
          </w:tcPr>
          <w:p>
            <w:pPr>
              <w:ind w:left="220"/>
              <w:spacing w:after="0"/>
              <w:rPr>
                <w:sz w:val="20"/>
                <w:szCs w:val="20"/>
                <w:color w:val="auto"/>
              </w:rPr>
            </w:pPr>
            <w:r>
              <w:rPr>
                <w:rFonts w:ascii="Arial" w:cs="Arial" w:eastAsia="Arial" w:hAnsi="Arial"/>
                <w:sz w:val="14"/>
                <w:szCs w:val="14"/>
                <w:color w:val="auto"/>
              </w:rPr>
              <w:t>Less: other</w:t>
            </w:r>
          </w:p>
        </w:tc>
        <w:tc>
          <w:tcPr>
            <w:tcW w:w="760" w:type="dxa"/>
            <w:vAlign w:val="bottom"/>
            <w:tcBorders>
              <w:bottom w:val="single" w:sz="8" w:color="auto"/>
            </w:tcBorders>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4"/>
                <w:szCs w:val="14"/>
                <w:color w:val="auto"/>
              </w:rPr>
              <w:t>Total selling, general and administrative, Non-GAAP</w:t>
            </w:r>
          </w:p>
        </w:tc>
        <w:tc>
          <w:tcPr>
            <w:tcW w:w="760" w:type="dxa"/>
            <w:vAlign w:val="bottom"/>
            <w:shd w:val="clear" w:color="auto" w:fill="DBDBDB"/>
          </w:tcPr>
          <w:p>
            <w:pPr>
              <w:jc w:val="right"/>
              <w:ind w:right="591"/>
              <w:spacing w:after="0"/>
              <w:rPr>
                <w:sz w:val="20"/>
                <w:szCs w:val="20"/>
                <w:color w:val="auto"/>
              </w:rPr>
            </w:pPr>
            <w:r>
              <w:rPr>
                <w:rFonts w:ascii="Arial" w:cs="Arial" w:eastAsia="Arial" w:hAnsi="Arial"/>
                <w:sz w:val="14"/>
                <w:szCs w:val="14"/>
                <w:color w:val="00497F"/>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0497F"/>
                <w:w w:val="96"/>
              </w:rPr>
              <w:t>729.7</w:t>
            </w:r>
          </w:p>
        </w:tc>
        <w:tc>
          <w:tcPr>
            <w:tcW w:w="860" w:type="dxa"/>
            <w:vAlign w:val="bottom"/>
            <w:gridSpan w:val="2"/>
          </w:tcPr>
          <w:p>
            <w:pPr>
              <w:jc w:val="right"/>
              <w:ind w:right="591"/>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6"/>
              </w:rPr>
              <w:t>591.9</w:t>
            </w:r>
          </w:p>
        </w:tc>
        <w:tc>
          <w:tcPr>
            <w:tcW w:w="80" w:type="dxa"/>
            <w:vAlign w:val="bottom"/>
          </w:tcPr>
          <w:p>
            <w:pPr>
              <w:spacing w:after="0"/>
              <w:rPr>
                <w:sz w:val="19"/>
                <w:szCs w:val="19"/>
                <w:color w:val="auto"/>
              </w:rPr>
            </w:pPr>
          </w:p>
        </w:tc>
        <w:tc>
          <w:tcPr>
            <w:tcW w:w="22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00497F"/>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2,008.9</w:t>
            </w: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1,742.9</w:t>
            </w:r>
          </w:p>
        </w:tc>
      </w:tr>
      <w:tr>
        <w:trPr>
          <w:trHeight w:val="65"/>
        </w:trPr>
        <w:tc>
          <w:tcPr>
            <w:tcW w:w="5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top w:val="single" w:sz="8" w:color="auto"/>
              <w:bottom w:val="single" w:sz="8" w:color="auto"/>
            </w:tcBorders>
            <w:shd w:val="clear" w:color="auto" w:fill="DBDBDB"/>
          </w:tcPr>
          <w:p>
            <w:pPr>
              <w:spacing w:after="0"/>
              <w:rPr>
                <w:sz w:val="5"/>
                <w:szCs w:val="5"/>
                <w:color w:val="auto"/>
              </w:rPr>
            </w:pPr>
          </w:p>
        </w:tc>
        <w:tc>
          <w:tcPr>
            <w:tcW w:w="420" w:type="dxa"/>
            <w:vAlign w:val="bottom"/>
            <w:tcBorders>
              <w:top w:val="single" w:sz="8" w:color="auto"/>
              <w:bottom w:val="single" w:sz="8" w:color="auto"/>
            </w:tcBorders>
            <w:shd w:val="clear" w:color="auto" w:fill="DBDBDB"/>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top w:val="single" w:sz="8" w:color="auto"/>
              <w:bottom w:val="single" w:sz="8" w:color="auto"/>
            </w:tcBorders>
          </w:tcPr>
          <w:p>
            <w:pPr>
              <w:spacing w:after="0"/>
              <w:rPr>
                <w:sz w:val="5"/>
                <w:szCs w:val="5"/>
                <w:color w:val="auto"/>
              </w:rPr>
            </w:pPr>
          </w:p>
        </w:tc>
        <w:tc>
          <w:tcPr>
            <w:tcW w:w="4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top w:val="single" w:sz="8" w:color="auto"/>
              <w:bottom w:val="single" w:sz="8" w:color="auto"/>
            </w:tcBorders>
            <w:shd w:val="clear" w:color="auto" w:fill="DBDBDB"/>
          </w:tcPr>
          <w:p>
            <w:pPr>
              <w:spacing w:after="0"/>
              <w:rPr>
                <w:sz w:val="5"/>
                <w:szCs w:val="5"/>
                <w:color w:val="auto"/>
              </w:rPr>
            </w:pPr>
          </w:p>
        </w:tc>
        <w:tc>
          <w:tcPr>
            <w:tcW w:w="980" w:type="dxa"/>
            <w:vAlign w:val="bottom"/>
            <w:tcBorders>
              <w:top w:val="single" w:sz="8" w:color="auto"/>
              <w:bottom w:val="single" w:sz="8" w:color="auto"/>
            </w:tcBorders>
            <w:shd w:val="clear" w:color="auto" w:fill="DBDBDB"/>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760" w:type="dxa"/>
            <w:vAlign w:val="bottom"/>
            <w:tcBorders>
              <w:top w:val="single" w:sz="8" w:color="auto"/>
              <w:bottom w:val="single" w:sz="8" w:color="auto"/>
            </w:tcBorders>
          </w:tcPr>
          <w:p>
            <w:pPr>
              <w:spacing w:after="0"/>
              <w:rPr>
                <w:sz w:val="5"/>
                <w:szCs w:val="5"/>
                <w:color w:val="auto"/>
              </w:rPr>
            </w:pPr>
          </w:p>
        </w:tc>
      </w:tr>
      <w:tr>
        <w:trPr>
          <w:trHeight w:val="185"/>
        </w:trPr>
        <w:tc>
          <w:tcPr>
            <w:tcW w:w="60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 and Impairment of Acquired Intangible Assets:</w:t>
            </w:r>
          </w:p>
        </w:tc>
        <w:tc>
          <w:tcPr>
            <w:tcW w:w="76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8"/>
        </w:trPr>
        <w:tc>
          <w:tcPr>
            <w:tcW w:w="6020" w:type="dxa"/>
            <w:vAlign w:val="bottom"/>
            <w:gridSpan w:val="2"/>
          </w:tcPr>
          <w:p>
            <w:pPr>
              <w:ind w:left="20"/>
              <w:spacing w:after="0"/>
              <w:rPr>
                <w:sz w:val="20"/>
                <w:szCs w:val="20"/>
                <w:color w:val="auto"/>
              </w:rPr>
            </w:pPr>
            <w:r>
              <w:rPr>
                <w:rFonts w:ascii="Arial" w:cs="Arial" w:eastAsia="Arial" w:hAnsi="Arial"/>
                <w:sz w:val="14"/>
                <w:szCs w:val="14"/>
                <w:color w:val="auto"/>
              </w:rPr>
              <w:t>Total amortization and impairment of acquired intangible assets, GAAP</w:t>
            </w:r>
          </w:p>
        </w:tc>
        <w:tc>
          <w:tcPr>
            <w:tcW w:w="760" w:type="dxa"/>
            <w:vAlign w:val="bottom"/>
            <w:shd w:val="clear" w:color="auto" w:fill="DBDBDB"/>
          </w:tcPr>
          <w:p>
            <w:pPr>
              <w:jc w:val="right"/>
              <w:ind w:right="591"/>
              <w:spacing w:after="0"/>
              <w:rPr>
                <w:sz w:val="20"/>
                <w:szCs w:val="20"/>
                <w:color w:val="auto"/>
              </w:rPr>
            </w:pPr>
            <w:r>
              <w:rPr>
                <w:rFonts w:ascii="Arial" w:cs="Arial" w:eastAsia="Arial" w:hAnsi="Arial"/>
                <w:sz w:val="14"/>
                <w:szCs w:val="14"/>
                <w:color w:val="00497F"/>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0497F"/>
                <w:w w:val="96"/>
              </w:rPr>
              <w:t>172.8</w:t>
            </w:r>
          </w:p>
        </w:tc>
        <w:tc>
          <w:tcPr>
            <w:tcW w:w="860" w:type="dxa"/>
            <w:vAlign w:val="bottom"/>
            <w:gridSpan w:val="2"/>
          </w:tcPr>
          <w:p>
            <w:pPr>
              <w:jc w:val="right"/>
              <w:ind w:right="591"/>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6"/>
              </w:rPr>
              <w:t>135.7</w:t>
            </w:r>
          </w:p>
        </w:tc>
        <w:tc>
          <w:tcPr>
            <w:tcW w:w="80" w:type="dxa"/>
            <w:vAlign w:val="bottom"/>
          </w:tcPr>
          <w:p>
            <w:pPr>
              <w:spacing w:after="0"/>
              <w:rPr>
                <w:sz w:val="16"/>
                <w:szCs w:val="16"/>
                <w:color w:val="auto"/>
              </w:rPr>
            </w:pPr>
          </w:p>
        </w:tc>
        <w:tc>
          <w:tcPr>
            <w:tcW w:w="22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00497F"/>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477.5</w:t>
            </w: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378.4</w:t>
            </w:r>
          </w:p>
        </w:tc>
      </w:tr>
      <w:tr>
        <w:trPr>
          <w:trHeight w:val="194"/>
        </w:trPr>
        <w:tc>
          <w:tcPr>
            <w:tcW w:w="6020" w:type="dxa"/>
            <w:vAlign w:val="bottom"/>
            <w:gridSpan w:val="2"/>
          </w:tcPr>
          <w:p>
            <w:pPr>
              <w:ind w:left="220"/>
              <w:spacing w:after="0"/>
              <w:rPr>
                <w:sz w:val="20"/>
                <w:szCs w:val="20"/>
                <w:color w:val="auto"/>
              </w:rPr>
            </w:pPr>
            <w:r>
              <w:rPr>
                <w:rFonts w:ascii="Arial" w:cs="Arial" w:eastAsia="Arial" w:hAnsi="Arial"/>
                <w:sz w:val="14"/>
                <w:szCs w:val="14"/>
                <w:color w:val="auto"/>
              </w:rPr>
              <w:t>Less: impairment charges</w:t>
            </w:r>
          </w:p>
        </w:tc>
        <w:tc>
          <w:tcPr>
            <w:tcW w:w="760" w:type="dxa"/>
            <w:vAlign w:val="bottom"/>
            <w:shd w:val="clear" w:color="auto" w:fill="DBDBDB"/>
          </w:tcPr>
          <w:p>
            <w:pPr>
              <w:spacing w:after="0"/>
              <w:rPr>
                <w:sz w:val="16"/>
                <w:szCs w:val="16"/>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98"/>
        </w:trPr>
        <w:tc>
          <w:tcPr>
            <w:tcW w:w="6020" w:type="dxa"/>
            <w:vAlign w:val="bottom"/>
            <w:gridSpan w:val="2"/>
          </w:tcPr>
          <w:p>
            <w:pPr>
              <w:ind w:left="220"/>
              <w:spacing w:after="0"/>
              <w:rPr>
                <w:sz w:val="20"/>
                <w:szCs w:val="20"/>
                <w:color w:val="auto"/>
              </w:rPr>
            </w:pPr>
            <w:r>
              <w:rPr>
                <w:rFonts w:ascii="Arial" w:cs="Arial" w:eastAsia="Arial" w:hAnsi="Arial"/>
                <w:sz w:val="14"/>
                <w:szCs w:val="14"/>
                <w:color w:val="auto"/>
              </w:rPr>
              <w:t>Less: amortization of acquired intangible assets</w:t>
            </w:r>
          </w:p>
        </w:tc>
        <w:tc>
          <w:tcPr>
            <w:tcW w:w="760" w:type="dxa"/>
            <w:vAlign w:val="bottom"/>
            <w:tcBorders>
              <w:bottom w:val="single" w:sz="8" w:color="auto"/>
            </w:tcBorders>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w w:val="96"/>
              </w:rPr>
              <w:t>160.2</w:t>
            </w: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121.8</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437.0</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337.8</w:t>
            </w: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4"/>
                <w:szCs w:val="14"/>
                <w:color w:val="auto"/>
              </w:rPr>
              <w:t>Total amortization and impairment of acquired intangible assets, Non-GAAP</w:t>
            </w:r>
          </w:p>
        </w:tc>
        <w:tc>
          <w:tcPr>
            <w:tcW w:w="760" w:type="dxa"/>
            <w:vAlign w:val="bottom"/>
            <w:shd w:val="clear" w:color="auto" w:fill="DBDBDB"/>
          </w:tcPr>
          <w:p>
            <w:pPr>
              <w:jc w:val="right"/>
              <w:ind w:right="591"/>
              <w:spacing w:after="0"/>
              <w:rPr>
                <w:sz w:val="20"/>
                <w:szCs w:val="20"/>
                <w:color w:val="auto"/>
              </w:rPr>
            </w:pPr>
            <w:r>
              <w:rPr>
                <w:rFonts w:ascii="Arial" w:cs="Arial" w:eastAsia="Arial" w:hAnsi="Arial"/>
                <w:sz w:val="14"/>
                <w:szCs w:val="14"/>
                <w:color w:val="00497F"/>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12.6</w:t>
            </w:r>
          </w:p>
        </w:tc>
        <w:tc>
          <w:tcPr>
            <w:tcW w:w="860" w:type="dxa"/>
            <w:vAlign w:val="bottom"/>
            <w:gridSpan w:val="2"/>
          </w:tcPr>
          <w:p>
            <w:pPr>
              <w:jc w:val="right"/>
              <w:ind w:right="591"/>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13.9</w:t>
            </w:r>
          </w:p>
        </w:tc>
        <w:tc>
          <w:tcPr>
            <w:tcW w:w="80" w:type="dxa"/>
            <w:vAlign w:val="bottom"/>
          </w:tcPr>
          <w:p>
            <w:pPr>
              <w:spacing w:after="0"/>
              <w:rPr>
                <w:sz w:val="19"/>
                <w:szCs w:val="19"/>
                <w:color w:val="auto"/>
              </w:rPr>
            </w:pPr>
          </w:p>
        </w:tc>
        <w:tc>
          <w:tcPr>
            <w:tcW w:w="22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00497F"/>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40.5</w:t>
            </w: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37.1</w:t>
            </w:r>
          </w:p>
        </w:tc>
      </w:tr>
      <w:tr>
        <w:trPr>
          <w:trHeight w:val="65"/>
        </w:trPr>
        <w:tc>
          <w:tcPr>
            <w:tcW w:w="5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top w:val="single" w:sz="8" w:color="auto"/>
              <w:bottom w:val="single" w:sz="8" w:color="auto"/>
            </w:tcBorders>
            <w:shd w:val="clear" w:color="auto" w:fill="DBDBDB"/>
          </w:tcPr>
          <w:p>
            <w:pPr>
              <w:spacing w:after="0"/>
              <w:rPr>
                <w:sz w:val="5"/>
                <w:szCs w:val="5"/>
                <w:color w:val="auto"/>
              </w:rPr>
            </w:pPr>
          </w:p>
        </w:tc>
        <w:tc>
          <w:tcPr>
            <w:tcW w:w="420" w:type="dxa"/>
            <w:vAlign w:val="bottom"/>
            <w:tcBorders>
              <w:top w:val="single" w:sz="8" w:color="auto"/>
              <w:bottom w:val="single" w:sz="8" w:color="auto"/>
            </w:tcBorders>
            <w:shd w:val="clear" w:color="auto" w:fill="DBDBDB"/>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top w:val="single" w:sz="8" w:color="auto"/>
              <w:bottom w:val="single" w:sz="8" w:color="auto"/>
            </w:tcBorders>
          </w:tcPr>
          <w:p>
            <w:pPr>
              <w:spacing w:after="0"/>
              <w:rPr>
                <w:sz w:val="5"/>
                <w:szCs w:val="5"/>
                <w:color w:val="auto"/>
              </w:rPr>
            </w:pPr>
          </w:p>
        </w:tc>
        <w:tc>
          <w:tcPr>
            <w:tcW w:w="4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top w:val="single" w:sz="8" w:color="auto"/>
              <w:bottom w:val="single" w:sz="8" w:color="auto"/>
            </w:tcBorders>
            <w:shd w:val="clear" w:color="auto" w:fill="DBDBDB"/>
          </w:tcPr>
          <w:p>
            <w:pPr>
              <w:spacing w:after="0"/>
              <w:rPr>
                <w:sz w:val="5"/>
                <w:szCs w:val="5"/>
                <w:color w:val="auto"/>
              </w:rPr>
            </w:pPr>
          </w:p>
        </w:tc>
        <w:tc>
          <w:tcPr>
            <w:tcW w:w="980" w:type="dxa"/>
            <w:vAlign w:val="bottom"/>
            <w:tcBorders>
              <w:top w:val="single" w:sz="8" w:color="auto"/>
              <w:bottom w:val="single" w:sz="8" w:color="auto"/>
            </w:tcBorders>
            <w:shd w:val="clear" w:color="auto" w:fill="DBDBDB"/>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760" w:type="dxa"/>
            <w:vAlign w:val="bottom"/>
            <w:tcBorders>
              <w:top w:val="single" w:sz="8" w:color="auto"/>
              <w:bottom w:val="single" w:sz="8" w:color="auto"/>
            </w:tcBorders>
          </w:tcPr>
          <w:p>
            <w:pPr>
              <w:spacing w:after="0"/>
              <w:rPr>
                <w:sz w:val="5"/>
                <w:szCs w:val="5"/>
                <w:color w:val="auto"/>
              </w:rPr>
            </w:pPr>
          </w:p>
        </w:tc>
      </w:tr>
      <w:tr>
        <w:trPr>
          <w:trHeight w:val="185"/>
        </w:trPr>
        <w:tc>
          <w:tcPr>
            <w:tcW w:w="602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(Income) Expense, net:</w:t>
            </w:r>
          </w:p>
        </w:tc>
        <w:tc>
          <w:tcPr>
            <w:tcW w:w="76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8"/>
        </w:trPr>
        <w:tc>
          <w:tcPr>
            <w:tcW w:w="6020" w:type="dxa"/>
            <w:vAlign w:val="bottom"/>
            <w:gridSpan w:val="2"/>
          </w:tcPr>
          <w:p>
            <w:pPr>
              <w:ind w:left="20"/>
              <w:spacing w:after="0"/>
              <w:rPr>
                <w:sz w:val="20"/>
                <w:szCs w:val="20"/>
                <w:color w:val="auto"/>
              </w:rPr>
            </w:pPr>
            <w:r>
              <w:rPr>
                <w:rFonts w:ascii="Arial" w:cs="Arial" w:eastAsia="Arial" w:hAnsi="Arial"/>
                <w:sz w:val="14"/>
                <w:szCs w:val="14"/>
                <w:color w:val="auto"/>
              </w:rPr>
              <w:t>Total other (income) expense, net, GAAP</w:t>
            </w:r>
          </w:p>
        </w:tc>
        <w:tc>
          <w:tcPr>
            <w:tcW w:w="760" w:type="dxa"/>
            <w:vAlign w:val="bottom"/>
            <w:shd w:val="clear" w:color="auto" w:fill="DBDBDB"/>
          </w:tcPr>
          <w:p>
            <w:pPr>
              <w:jc w:val="right"/>
              <w:ind w:right="591"/>
              <w:spacing w:after="0"/>
              <w:rPr>
                <w:sz w:val="20"/>
                <w:szCs w:val="20"/>
                <w:color w:val="auto"/>
              </w:rPr>
            </w:pPr>
            <w:r>
              <w:rPr>
                <w:rFonts w:ascii="Arial" w:cs="Arial" w:eastAsia="Arial" w:hAnsi="Arial"/>
                <w:sz w:val="14"/>
                <w:szCs w:val="14"/>
                <w:color w:val="00497F"/>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0497F"/>
                <w:w w:val="96"/>
              </w:rPr>
              <w:t>137.4</w:t>
            </w:r>
          </w:p>
        </w:tc>
        <w:tc>
          <w:tcPr>
            <w:tcW w:w="860" w:type="dxa"/>
            <w:vAlign w:val="bottom"/>
            <w:gridSpan w:val="2"/>
          </w:tcPr>
          <w:p>
            <w:pPr>
              <w:jc w:val="right"/>
              <w:ind w:right="591"/>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34.1</w:t>
            </w:r>
          </w:p>
        </w:tc>
        <w:tc>
          <w:tcPr>
            <w:tcW w:w="80" w:type="dxa"/>
            <w:vAlign w:val="bottom"/>
          </w:tcPr>
          <w:p>
            <w:pPr>
              <w:spacing w:after="0"/>
              <w:rPr>
                <w:sz w:val="16"/>
                <w:szCs w:val="16"/>
                <w:color w:val="auto"/>
              </w:rPr>
            </w:pPr>
          </w:p>
        </w:tc>
        <w:tc>
          <w:tcPr>
            <w:tcW w:w="22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00497F"/>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175.6</w:t>
            </w: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151.2</w:t>
            </w:r>
          </w:p>
        </w:tc>
      </w:tr>
      <w:tr>
        <w:trPr>
          <w:trHeight w:val="194"/>
        </w:trPr>
        <w:tc>
          <w:tcPr>
            <w:tcW w:w="6020" w:type="dxa"/>
            <w:vAlign w:val="bottom"/>
            <w:gridSpan w:val="2"/>
          </w:tcPr>
          <w:p>
            <w:pPr>
              <w:ind w:left="220"/>
              <w:spacing w:after="0"/>
              <w:rPr>
                <w:sz w:val="20"/>
                <w:szCs w:val="20"/>
                <w:color w:val="auto"/>
              </w:rPr>
            </w:pPr>
            <w:r>
              <w:rPr>
                <w:rFonts w:ascii="Arial" w:cs="Arial" w:eastAsia="Arial" w:hAnsi="Arial"/>
                <w:sz w:val="14"/>
                <w:szCs w:val="14"/>
                <w:color w:val="auto"/>
              </w:rPr>
              <w:t>Less: (gain) loss on equity security investments</w:t>
            </w:r>
          </w:p>
        </w:tc>
        <w:tc>
          <w:tcPr>
            <w:tcW w:w="760" w:type="dxa"/>
            <w:vAlign w:val="bottom"/>
            <w:shd w:val="clear" w:color="auto" w:fill="DBDBDB"/>
          </w:tcPr>
          <w:p>
            <w:pPr>
              <w:spacing w:after="0"/>
              <w:rPr>
                <w:sz w:val="16"/>
                <w:szCs w:val="16"/>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33.3</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(31.8)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34.1</w:t>
            </w:r>
          </w:p>
        </w:tc>
      </w:tr>
      <w:tr>
        <w:trPr>
          <w:trHeight w:val="194"/>
        </w:trPr>
        <w:tc>
          <w:tcPr>
            <w:tcW w:w="6020" w:type="dxa"/>
            <w:vAlign w:val="bottom"/>
            <w:gridSpan w:val="2"/>
          </w:tcPr>
          <w:p>
            <w:pPr>
              <w:ind w:left="220"/>
              <w:spacing w:after="0"/>
              <w:rPr>
                <w:sz w:val="20"/>
                <w:szCs w:val="20"/>
                <w:color w:val="auto"/>
              </w:rPr>
            </w:pPr>
            <w:r>
              <w:rPr>
                <w:rFonts w:ascii="Arial" w:cs="Arial" w:eastAsia="Arial" w:hAnsi="Arial"/>
                <w:sz w:val="14"/>
                <w:szCs w:val="14"/>
                <w:color w:val="auto"/>
              </w:rPr>
              <w:t>Less: litigation matter</w:t>
            </w:r>
          </w:p>
        </w:tc>
        <w:tc>
          <w:tcPr>
            <w:tcW w:w="760" w:type="dxa"/>
            <w:vAlign w:val="bottom"/>
            <w:shd w:val="clear" w:color="auto" w:fill="DBDBDB"/>
          </w:tcPr>
          <w:p>
            <w:pPr>
              <w:spacing w:after="0"/>
              <w:rPr>
                <w:sz w:val="16"/>
                <w:szCs w:val="16"/>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25.5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25.5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020" w:type="dxa"/>
            <w:vAlign w:val="bottom"/>
            <w:gridSpan w:val="2"/>
          </w:tcPr>
          <w:p>
            <w:pPr>
              <w:ind w:left="220"/>
              <w:spacing w:after="0"/>
              <w:rPr>
                <w:sz w:val="20"/>
                <w:szCs w:val="20"/>
                <w:color w:val="auto"/>
              </w:rPr>
            </w:pPr>
            <w:r>
              <w:rPr>
                <w:rFonts w:ascii="Arial" w:cs="Arial" w:eastAsia="Arial" w:hAnsi="Arial"/>
                <w:sz w:val="14"/>
                <w:szCs w:val="14"/>
                <w:color w:val="auto"/>
              </w:rPr>
              <w:t>Less: other</w:t>
            </w:r>
          </w:p>
        </w:tc>
        <w:tc>
          <w:tcPr>
            <w:tcW w:w="760" w:type="dxa"/>
            <w:vAlign w:val="bottom"/>
            <w:tcBorders>
              <w:bottom w:val="single" w:sz="8" w:color="auto"/>
            </w:tcBorders>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w w:val="98"/>
              </w:rPr>
              <w:t>(12.8)</w:t>
            </w: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(11.5)</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4"/>
                <w:szCs w:val="14"/>
                <w:color w:val="auto"/>
              </w:rPr>
              <w:t>Total other (income) expense, net, Non-GAAP</w:t>
            </w:r>
          </w:p>
        </w:tc>
        <w:tc>
          <w:tcPr>
            <w:tcW w:w="760" w:type="dxa"/>
            <w:vAlign w:val="bottom"/>
            <w:shd w:val="clear" w:color="auto" w:fill="DBDBDB"/>
          </w:tcPr>
          <w:p>
            <w:pPr>
              <w:jc w:val="right"/>
              <w:ind w:right="591"/>
              <w:spacing w:after="0"/>
              <w:rPr>
                <w:sz w:val="20"/>
                <w:szCs w:val="20"/>
                <w:color w:val="auto"/>
              </w:rPr>
            </w:pPr>
            <w:r>
              <w:rPr>
                <w:rFonts w:ascii="Arial" w:cs="Arial" w:eastAsia="Arial" w:hAnsi="Arial"/>
                <w:sz w:val="14"/>
                <w:szCs w:val="14"/>
                <w:color w:val="00497F"/>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91.4</w:t>
            </w:r>
          </w:p>
        </w:tc>
        <w:tc>
          <w:tcPr>
            <w:tcW w:w="860" w:type="dxa"/>
            <w:vAlign w:val="bottom"/>
            <w:gridSpan w:val="2"/>
          </w:tcPr>
          <w:p>
            <w:pPr>
              <w:jc w:val="right"/>
              <w:ind w:right="591"/>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43.6</w:t>
            </w:r>
          </w:p>
        </w:tc>
        <w:tc>
          <w:tcPr>
            <w:tcW w:w="80" w:type="dxa"/>
            <w:vAlign w:val="bottom"/>
          </w:tcPr>
          <w:p>
            <w:pPr>
              <w:spacing w:after="0"/>
              <w:rPr>
                <w:sz w:val="19"/>
                <w:szCs w:val="19"/>
                <w:color w:val="auto"/>
              </w:rPr>
            </w:pPr>
          </w:p>
        </w:tc>
        <w:tc>
          <w:tcPr>
            <w:tcW w:w="22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00497F"/>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193.4</w:t>
            </w: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132.9</w:t>
            </w:r>
          </w:p>
        </w:tc>
      </w:tr>
      <w:tr>
        <w:trPr>
          <w:trHeight w:val="65"/>
        </w:trPr>
        <w:tc>
          <w:tcPr>
            <w:tcW w:w="5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top w:val="single" w:sz="8" w:color="auto"/>
              <w:bottom w:val="single" w:sz="8" w:color="auto"/>
            </w:tcBorders>
            <w:shd w:val="clear" w:color="auto" w:fill="DBDBDB"/>
          </w:tcPr>
          <w:p>
            <w:pPr>
              <w:spacing w:after="0"/>
              <w:rPr>
                <w:sz w:val="5"/>
                <w:szCs w:val="5"/>
                <w:color w:val="auto"/>
              </w:rPr>
            </w:pPr>
          </w:p>
        </w:tc>
        <w:tc>
          <w:tcPr>
            <w:tcW w:w="420" w:type="dxa"/>
            <w:vAlign w:val="bottom"/>
            <w:tcBorders>
              <w:top w:val="single" w:sz="8" w:color="auto"/>
              <w:bottom w:val="single" w:sz="8" w:color="auto"/>
            </w:tcBorders>
            <w:shd w:val="clear" w:color="auto" w:fill="DBDBDB"/>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top w:val="single" w:sz="8" w:color="auto"/>
              <w:bottom w:val="single" w:sz="8" w:color="auto"/>
            </w:tcBorders>
          </w:tcPr>
          <w:p>
            <w:pPr>
              <w:spacing w:after="0"/>
              <w:rPr>
                <w:sz w:val="5"/>
                <w:szCs w:val="5"/>
                <w:color w:val="auto"/>
              </w:rPr>
            </w:pPr>
          </w:p>
        </w:tc>
        <w:tc>
          <w:tcPr>
            <w:tcW w:w="4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top w:val="single" w:sz="8" w:color="auto"/>
              <w:bottom w:val="single" w:sz="8" w:color="auto"/>
            </w:tcBorders>
            <w:shd w:val="clear" w:color="auto" w:fill="DBDBDB"/>
          </w:tcPr>
          <w:p>
            <w:pPr>
              <w:spacing w:after="0"/>
              <w:rPr>
                <w:sz w:val="5"/>
                <w:szCs w:val="5"/>
                <w:color w:val="auto"/>
              </w:rPr>
            </w:pPr>
          </w:p>
        </w:tc>
        <w:tc>
          <w:tcPr>
            <w:tcW w:w="980" w:type="dxa"/>
            <w:vAlign w:val="bottom"/>
            <w:tcBorders>
              <w:top w:val="single" w:sz="8" w:color="auto"/>
              <w:bottom w:val="single" w:sz="8" w:color="auto"/>
            </w:tcBorders>
            <w:shd w:val="clear" w:color="auto" w:fill="DBDBDB"/>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760" w:type="dxa"/>
            <w:vAlign w:val="bottom"/>
            <w:tcBorders>
              <w:top w:val="single" w:sz="8" w:color="auto"/>
              <w:bottom w:val="single" w:sz="8" w:color="auto"/>
            </w:tcBorders>
          </w:tcPr>
          <w:p>
            <w:pPr>
              <w:spacing w:after="0"/>
              <w:rPr>
                <w:sz w:val="5"/>
                <w:szCs w:val="5"/>
                <w:color w:val="auto"/>
              </w:rPr>
            </w:pPr>
          </w:p>
        </w:tc>
      </w:tr>
      <w:tr>
        <w:trPr>
          <w:trHeight w:val="185"/>
        </w:trPr>
        <w:tc>
          <w:tcPr>
            <w:tcW w:w="6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Tax (Benefit) Expense:</w:t>
            </w:r>
          </w:p>
        </w:tc>
        <w:tc>
          <w:tcPr>
            <w:tcW w:w="76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8"/>
        </w:trPr>
        <w:tc>
          <w:tcPr>
            <w:tcW w:w="6020" w:type="dxa"/>
            <w:vAlign w:val="bottom"/>
            <w:gridSpan w:val="2"/>
          </w:tcPr>
          <w:p>
            <w:pPr>
              <w:ind w:left="20"/>
              <w:spacing w:after="0"/>
              <w:rPr>
                <w:sz w:val="20"/>
                <w:szCs w:val="20"/>
                <w:color w:val="auto"/>
              </w:rPr>
            </w:pPr>
            <w:r>
              <w:rPr>
                <w:rFonts w:ascii="Arial" w:cs="Arial" w:eastAsia="Arial" w:hAnsi="Arial"/>
                <w:sz w:val="14"/>
                <w:szCs w:val="14"/>
                <w:color w:val="auto"/>
              </w:rPr>
              <w:t>Total income tax (benefit) expense, GAAP</w:t>
            </w:r>
          </w:p>
        </w:tc>
        <w:tc>
          <w:tcPr>
            <w:tcW w:w="760" w:type="dxa"/>
            <w:vAlign w:val="bottom"/>
            <w:shd w:val="clear" w:color="auto" w:fill="DBDBDB"/>
          </w:tcPr>
          <w:p>
            <w:pPr>
              <w:jc w:val="right"/>
              <w:ind w:right="591"/>
              <w:spacing w:after="0"/>
              <w:rPr>
                <w:sz w:val="20"/>
                <w:szCs w:val="20"/>
                <w:color w:val="auto"/>
              </w:rPr>
            </w:pPr>
            <w:r>
              <w:rPr>
                <w:rFonts w:ascii="Arial" w:cs="Arial" w:eastAsia="Arial" w:hAnsi="Arial"/>
                <w:sz w:val="14"/>
                <w:szCs w:val="14"/>
                <w:color w:val="00497F"/>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11.6</w:t>
            </w:r>
          </w:p>
        </w:tc>
        <w:tc>
          <w:tcPr>
            <w:tcW w:w="860" w:type="dxa"/>
            <w:vAlign w:val="bottom"/>
            <w:gridSpan w:val="2"/>
          </w:tcPr>
          <w:p>
            <w:pPr>
              <w:jc w:val="right"/>
              <w:ind w:right="591"/>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90.8</w:t>
            </w:r>
          </w:p>
        </w:tc>
        <w:tc>
          <w:tcPr>
            <w:tcW w:w="80" w:type="dxa"/>
            <w:vAlign w:val="bottom"/>
          </w:tcPr>
          <w:p>
            <w:pPr>
              <w:spacing w:after="0"/>
              <w:rPr>
                <w:sz w:val="16"/>
                <w:szCs w:val="16"/>
                <w:color w:val="auto"/>
              </w:rPr>
            </w:pPr>
          </w:p>
        </w:tc>
        <w:tc>
          <w:tcPr>
            <w:tcW w:w="22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00497F"/>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104.7</w:t>
            </w: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270.7</w:t>
            </w:r>
          </w:p>
        </w:tc>
      </w:tr>
      <w:tr>
        <w:trPr>
          <w:trHeight w:val="194"/>
        </w:trPr>
        <w:tc>
          <w:tcPr>
            <w:tcW w:w="6020" w:type="dxa"/>
            <w:vAlign w:val="bottom"/>
            <w:gridSpan w:val="2"/>
          </w:tcPr>
          <w:p>
            <w:pPr>
              <w:ind w:left="220"/>
              <w:spacing w:after="0"/>
              <w:rPr>
                <w:sz w:val="20"/>
                <w:szCs w:val="20"/>
                <w:color w:val="auto"/>
              </w:rPr>
            </w:pPr>
            <w:r>
              <w:rPr>
                <w:rFonts w:ascii="Arial" w:cs="Arial" w:eastAsia="Arial" w:hAnsi="Arial"/>
                <w:sz w:val="14"/>
                <w:szCs w:val="14"/>
                <w:color w:val="auto"/>
              </w:rPr>
              <w:t>Less: U.S. tax reform</w:t>
            </w:r>
          </w:p>
        </w:tc>
        <w:tc>
          <w:tcPr>
            <w:tcW w:w="760" w:type="dxa"/>
            <w:vAlign w:val="bottom"/>
            <w:shd w:val="clear" w:color="auto" w:fill="DBDBDB"/>
          </w:tcPr>
          <w:p>
            <w:pPr>
              <w:spacing w:after="0"/>
              <w:rPr>
                <w:sz w:val="16"/>
                <w:szCs w:val="16"/>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198"/>
        </w:trPr>
        <w:tc>
          <w:tcPr>
            <w:tcW w:w="6020" w:type="dxa"/>
            <w:vAlign w:val="bottom"/>
            <w:gridSpan w:val="2"/>
          </w:tcPr>
          <w:p>
            <w:pPr>
              <w:ind w:left="220"/>
              <w:spacing w:after="0"/>
              <w:rPr>
                <w:sz w:val="20"/>
                <w:szCs w:val="20"/>
                <w:color w:val="auto"/>
              </w:rPr>
            </w:pPr>
            <w:r>
              <w:rPr>
                <w:rFonts w:ascii="Arial" w:cs="Arial" w:eastAsia="Arial" w:hAnsi="Arial"/>
                <w:sz w:val="14"/>
                <w:szCs w:val="14"/>
                <w:color w:val="auto"/>
              </w:rPr>
              <w:t>Less: income tax effect related to Non-GAAP reconciling items</w:t>
            </w:r>
          </w:p>
        </w:tc>
        <w:tc>
          <w:tcPr>
            <w:tcW w:w="760" w:type="dxa"/>
            <w:vAlign w:val="bottom"/>
            <w:tcBorders>
              <w:bottom w:val="single" w:sz="8" w:color="auto"/>
            </w:tcBorders>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w w:val="98"/>
              </w:rPr>
              <w:t>(86.3)</w:t>
            </w: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w:t>
            </w:r>
          </w:p>
        </w:tc>
        <w:tc>
          <w:tcPr>
            <w:tcW w:w="8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(199.6)</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w:t>
            </w: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4"/>
                <w:szCs w:val="14"/>
                <w:color w:val="auto"/>
              </w:rPr>
              <w:t>Total income tax (benefit) expense, Non-GAAP</w:t>
            </w:r>
          </w:p>
        </w:tc>
        <w:tc>
          <w:tcPr>
            <w:tcW w:w="760" w:type="dxa"/>
            <w:vAlign w:val="bottom"/>
            <w:shd w:val="clear" w:color="auto" w:fill="DBDBDB"/>
          </w:tcPr>
          <w:p>
            <w:pPr>
              <w:jc w:val="right"/>
              <w:ind w:right="591"/>
              <w:spacing w:after="0"/>
              <w:rPr>
                <w:sz w:val="20"/>
                <w:szCs w:val="20"/>
                <w:color w:val="auto"/>
              </w:rPr>
            </w:pPr>
            <w:r>
              <w:rPr>
                <w:rFonts w:ascii="Arial" w:cs="Arial" w:eastAsia="Arial" w:hAnsi="Arial"/>
                <w:sz w:val="14"/>
                <w:szCs w:val="14"/>
                <w:color w:val="00497F"/>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97.9</w:t>
            </w:r>
          </w:p>
        </w:tc>
        <w:tc>
          <w:tcPr>
            <w:tcW w:w="860" w:type="dxa"/>
            <w:vAlign w:val="bottom"/>
            <w:gridSpan w:val="2"/>
          </w:tcPr>
          <w:p>
            <w:pPr>
              <w:jc w:val="right"/>
              <w:ind w:right="591"/>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6"/>
              </w:rPr>
              <w:t>146.6</w:t>
            </w:r>
          </w:p>
        </w:tc>
        <w:tc>
          <w:tcPr>
            <w:tcW w:w="80" w:type="dxa"/>
            <w:vAlign w:val="bottom"/>
          </w:tcPr>
          <w:p>
            <w:pPr>
              <w:spacing w:after="0"/>
              <w:rPr>
                <w:sz w:val="19"/>
                <w:szCs w:val="19"/>
                <w:color w:val="auto"/>
              </w:rPr>
            </w:pPr>
          </w:p>
        </w:tc>
        <w:tc>
          <w:tcPr>
            <w:tcW w:w="22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00497F"/>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304.3</w:t>
            </w: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378.8</w:t>
            </w:r>
          </w:p>
        </w:tc>
      </w:tr>
      <w:tr>
        <w:trPr>
          <w:trHeight w:val="65"/>
        </w:trPr>
        <w:tc>
          <w:tcPr>
            <w:tcW w:w="5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top w:val="single" w:sz="8" w:color="auto"/>
              <w:bottom w:val="single" w:sz="8" w:color="auto"/>
            </w:tcBorders>
            <w:shd w:val="clear" w:color="auto" w:fill="DBDBDB"/>
          </w:tcPr>
          <w:p>
            <w:pPr>
              <w:spacing w:after="0"/>
              <w:rPr>
                <w:sz w:val="5"/>
                <w:szCs w:val="5"/>
                <w:color w:val="auto"/>
              </w:rPr>
            </w:pPr>
          </w:p>
        </w:tc>
        <w:tc>
          <w:tcPr>
            <w:tcW w:w="420" w:type="dxa"/>
            <w:vAlign w:val="bottom"/>
            <w:tcBorders>
              <w:top w:val="single" w:sz="8" w:color="auto"/>
              <w:bottom w:val="single" w:sz="8" w:color="auto"/>
            </w:tcBorders>
            <w:shd w:val="clear" w:color="auto" w:fill="DBDBDB"/>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top w:val="single" w:sz="8" w:color="auto"/>
              <w:bottom w:val="single" w:sz="8" w:color="auto"/>
            </w:tcBorders>
          </w:tcPr>
          <w:p>
            <w:pPr>
              <w:spacing w:after="0"/>
              <w:rPr>
                <w:sz w:val="5"/>
                <w:szCs w:val="5"/>
                <w:color w:val="auto"/>
              </w:rPr>
            </w:pPr>
          </w:p>
        </w:tc>
        <w:tc>
          <w:tcPr>
            <w:tcW w:w="42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top w:val="single" w:sz="8" w:color="auto"/>
              <w:bottom w:val="single" w:sz="8" w:color="auto"/>
            </w:tcBorders>
            <w:shd w:val="clear" w:color="auto" w:fill="DBDBDB"/>
          </w:tcPr>
          <w:p>
            <w:pPr>
              <w:spacing w:after="0"/>
              <w:rPr>
                <w:sz w:val="5"/>
                <w:szCs w:val="5"/>
                <w:color w:val="auto"/>
              </w:rPr>
            </w:pPr>
          </w:p>
        </w:tc>
        <w:tc>
          <w:tcPr>
            <w:tcW w:w="980" w:type="dxa"/>
            <w:vAlign w:val="bottom"/>
            <w:tcBorders>
              <w:top w:val="single" w:sz="8" w:color="auto"/>
              <w:bottom w:val="single" w:sz="8" w:color="auto"/>
            </w:tcBorders>
            <w:shd w:val="clear" w:color="auto" w:fill="DBDBDB"/>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760" w:type="dxa"/>
            <w:vAlign w:val="bottom"/>
            <w:tcBorders>
              <w:top w:val="single" w:sz="8" w:color="auto"/>
              <w:bottom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447260"/>
        </w:rPr>
        <w:t>13</w:t>
      </w:r>
    </w:p>
    <w:p>
      <w:pPr>
        <w:sectPr>
          <w:pgSz w:w="11900" w:h="16838" w:orient="portrait"/>
          <w:cols w:equalWidth="0" w:num="1">
            <w:col w:w="11200"/>
          </w:cols>
          <w:pgMar w:left="320" w:top="1213" w:right="379" w:bottom="1440" w:gutter="0" w:footer="0" w:header="0"/>
        </w:sectPr>
      </w:pPr>
    </w:p>
    <w:bookmarkStart w:id="16" w:name="page17"/>
    <w:bookmarkEnd w:id="16"/>
    <w:p>
      <w:pPr>
        <w:ind w:left="4920"/>
        <w:spacing w:after="0"/>
        <w:rPr>
          <w:sz w:val="20"/>
          <w:szCs w:val="20"/>
          <w:color w:val="auto"/>
        </w:rPr>
      </w:pPr>
      <w:r>
        <w:rPr>
          <w:rFonts w:ascii="Arial" w:cs="Arial" w:eastAsia="Arial" w:hAnsi="Arial"/>
          <w:sz w:val="21"/>
          <w:szCs w:val="21"/>
          <w:b w:val="1"/>
          <w:bCs w:val="1"/>
          <w:color w:val="1C5A7D"/>
        </w:rPr>
        <w:t>TABLE 4 (continued)</w:t>
      </w:r>
    </w:p>
    <w:p>
      <w:pPr>
        <w:spacing w:after="0" w:line="237" w:lineRule="exact"/>
        <w:rPr>
          <w:sz w:val="20"/>
          <w:szCs w:val="20"/>
          <w:color w:val="auto"/>
        </w:rPr>
      </w:pPr>
    </w:p>
    <w:p>
      <w:pPr>
        <w:jc w:val="center"/>
        <w:ind w:left="540" w:right="2280"/>
        <w:spacing w:after="0" w:line="248" w:lineRule="auto"/>
        <w:rPr>
          <w:sz w:val="20"/>
          <w:szCs w:val="20"/>
          <w:color w:val="auto"/>
        </w:rPr>
      </w:pPr>
      <w:r>
        <w:rPr>
          <w:rFonts w:ascii="Arial" w:cs="Arial" w:eastAsia="Arial" w:hAnsi="Arial"/>
          <w:sz w:val="21"/>
          <w:szCs w:val="21"/>
          <w:b w:val="1"/>
          <w:bCs w:val="1"/>
          <w:color w:val="1C5A7D"/>
        </w:rPr>
        <w:t>BIOGEN INC. AND SUBSIDIARIES GAAP TO NON-GAAP RECONCILIATION NET INCOME ATTRIBUTABLE TO BIOGEN INC. &amp; DILUTED EPS</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i w:val="1"/>
          <w:iCs w:val="1"/>
          <w:color w:val="1C5A7D"/>
        </w:rPr>
        <w:t>(unaudited, in millions, except effective tax rate and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5320" w:type="dxa"/>
            <w:vAlign w:val="bottom"/>
            <w:gridSpan w:val="13"/>
          </w:tcPr>
          <w:p>
            <w:pPr>
              <w:ind w:left="40"/>
              <w:spacing w:after="0"/>
              <w:rPr>
                <w:sz w:val="20"/>
                <w:szCs w:val="20"/>
                <w:color w:val="auto"/>
              </w:rPr>
            </w:pPr>
            <w:r>
              <w:rPr>
                <w:rFonts w:ascii="Arial" w:cs="Arial" w:eastAsia="Arial" w:hAnsi="Arial"/>
                <w:sz w:val="14"/>
                <w:szCs w:val="14"/>
                <w:b w:val="1"/>
                <w:bCs w:val="1"/>
                <w:color w:val="auto"/>
                <w:w w:val="99"/>
              </w:rPr>
              <w:t>For the Three Months Ended September For the Nine Months Ended September</w:t>
            </w:r>
          </w:p>
        </w:tc>
        <w:tc>
          <w:tcPr>
            <w:tcW w:w="0" w:type="dxa"/>
            <w:vAlign w:val="bottom"/>
          </w:tcPr>
          <w:p>
            <w:pPr>
              <w:spacing w:after="0"/>
              <w:rPr>
                <w:sz w:val="1"/>
                <w:szCs w:val="1"/>
                <w:color w:val="auto"/>
              </w:rPr>
            </w:pPr>
          </w:p>
        </w:tc>
      </w:tr>
      <w:tr>
        <w:trPr>
          <w:trHeight w:val="178"/>
        </w:trPr>
        <w:tc>
          <w:tcPr>
            <w:tcW w:w="5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30,</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shd w:val="clear" w:color="auto" w:fill="DBDBDB"/>
          </w:tcPr>
          <w:p>
            <w:pPr>
              <w:spacing w:after="0"/>
              <w:rPr>
                <w:sz w:val="16"/>
                <w:szCs w:val="16"/>
                <w:color w:val="auto"/>
              </w:rPr>
            </w:pPr>
          </w:p>
        </w:tc>
        <w:tc>
          <w:tcPr>
            <w:tcW w:w="820" w:type="dxa"/>
            <w:vAlign w:val="bottom"/>
            <w:tcBorders>
              <w:bottom w:val="single" w:sz="8" w:color="auto"/>
            </w:tcBorders>
            <w:shd w:val="clear" w:color="auto" w:fill="DBDBDB"/>
          </w:tcPr>
          <w:p>
            <w:pPr>
              <w:jc w:val="right"/>
              <w:ind w:right="271"/>
              <w:spacing w:after="0"/>
              <w:rPr>
                <w:sz w:val="20"/>
                <w:szCs w:val="20"/>
                <w:color w:val="auto"/>
              </w:rPr>
            </w:pPr>
            <w:r>
              <w:rPr>
                <w:rFonts w:ascii="Arial" w:cs="Arial" w:eastAsia="Arial" w:hAnsi="Arial"/>
                <w:sz w:val="14"/>
                <w:szCs w:val="14"/>
                <w:b w:val="1"/>
                <w:bCs w:val="1"/>
                <w:color w:val="00497F"/>
              </w:rPr>
              <w:t>2026</w:t>
            </w:r>
          </w:p>
        </w:tc>
        <w:tc>
          <w:tcPr>
            <w:tcW w:w="1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shd w:val="clear" w:color="auto" w:fill="DBDBDB"/>
          </w:tcPr>
          <w:p>
            <w:pPr>
              <w:spacing w:after="0"/>
              <w:rPr>
                <w:sz w:val="16"/>
                <w:szCs w:val="16"/>
                <w:color w:val="auto"/>
              </w:rPr>
            </w:pPr>
          </w:p>
        </w:tc>
        <w:tc>
          <w:tcPr>
            <w:tcW w:w="840" w:type="dxa"/>
            <w:vAlign w:val="bottom"/>
            <w:tcBorders>
              <w:bottom w:val="single" w:sz="8" w:color="auto"/>
            </w:tcBorders>
            <w:shd w:val="clear" w:color="auto" w:fill="DBDBDB"/>
          </w:tcPr>
          <w:p>
            <w:pPr>
              <w:jc w:val="right"/>
              <w:ind w:right="271"/>
              <w:spacing w:after="0"/>
              <w:rPr>
                <w:sz w:val="20"/>
                <w:szCs w:val="20"/>
                <w:color w:val="auto"/>
              </w:rPr>
            </w:pPr>
            <w:r>
              <w:rPr>
                <w:rFonts w:ascii="Arial" w:cs="Arial" w:eastAsia="Arial" w:hAnsi="Arial"/>
                <w:sz w:val="14"/>
                <w:szCs w:val="14"/>
                <w:b w:val="1"/>
                <w:bCs w:val="1"/>
                <w:color w:val="00497F"/>
              </w:rPr>
              <w:t>2026</w:t>
            </w:r>
          </w:p>
        </w:tc>
        <w:tc>
          <w:tcPr>
            <w:tcW w:w="1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6"/>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Effective Tax Rate:</w:t>
            </w:r>
          </w:p>
        </w:tc>
        <w:tc>
          <w:tcPr>
            <w:tcW w:w="3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00" w:type="dxa"/>
            <w:vAlign w:val="bottom"/>
          </w:tcPr>
          <w:p>
            <w:pPr>
              <w:ind w:left="20"/>
              <w:spacing w:after="0"/>
              <w:rPr>
                <w:sz w:val="20"/>
                <w:szCs w:val="20"/>
                <w:color w:val="auto"/>
              </w:rPr>
            </w:pPr>
            <w:r>
              <w:rPr>
                <w:rFonts w:ascii="Arial" w:cs="Arial" w:eastAsia="Arial" w:hAnsi="Arial"/>
                <w:sz w:val="14"/>
                <w:szCs w:val="14"/>
                <w:color w:val="auto"/>
              </w:rPr>
              <w:t>Total effective tax rate, GAAP</w:t>
            </w:r>
          </w:p>
        </w:tc>
        <w:tc>
          <w:tcPr>
            <w:tcW w:w="300" w:type="dxa"/>
            <w:vAlign w:val="bottom"/>
            <w:shd w:val="clear" w:color="auto" w:fill="DBDBDB"/>
          </w:tcPr>
          <w:p>
            <w:pPr>
              <w:spacing w:after="0"/>
              <w:rPr>
                <w:sz w:val="17"/>
                <w:szCs w:val="17"/>
                <w:color w:val="auto"/>
              </w:rPr>
            </w:pPr>
          </w:p>
        </w:tc>
        <w:tc>
          <w:tcPr>
            <w:tcW w:w="9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00497F"/>
              </w:rPr>
              <w:t>(128.5)%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16.3 %</w:t>
            </w:r>
          </w:p>
        </w:tc>
        <w:tc>
          <w:tcPr>
            <w:tcW w:w="100" w:type="dxa"/>
            <w:vAlign w:val="bottom"/>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20.9</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497F"/>
                <w:w w:val="79"/>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16.8 %</w:t>
            </w:r>
          </w:p>
        </w:tc>
        <w:tc>
          <w:tcPr>
            <w:tcW w:w="0" w:type="dxa"/>
            <w:vAlign w:val="bottom"/>
          </w:tcPr>
          <w:p>
            <w:pPr>
              <w:spacing w:after="0"/>
              <w:rPr>
                <w:sz w:val="1"/>
                <w:szCs w:val="1"/>
                <w:color w:val="auto"/>
              </w:rPr>
            </w:pPr>
          </w:p>
        </w:tc>
      </w:tr>
      <w:tr>
        <w:trPr>
          <w:trHeight w:val="186"/>
        </w:trPr>
        <w:tc>
          <w:tcPr>
            <w:tcW w:w="5700" w:type="dxa"/>
            <w:vAlign w:val="bottom"/>
          </w:tcPr>
          <w:p>
            <w:pPr>
              <w:ind w:left="220"/>
              <w:spacing w:after="0"/>
              <w:rPr>
                <w:sz w:val="20"/>
                <w:szCs w:val="20"/>
                <w:color w:val="auto"/>
              </w:rPr>
            </w:pPr>
            <w:r>
              <w:rPr>
                <w:rFonts w:ascii="Arial" w:cs="Arial" w:eastAsia="Arial" w:hAnsi="Arial"/>
                <w:sz w:val="14"/>
                <w:szCs w:val="14"/>
                <w:color w:val="auto"/>
              </w:rPr>
              <w:t>Less: U.S. tax reform</w:t>
            </w: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00497F"/>
              </w:rPr>
              <w:t>—</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71"/>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98"/>
        </w:trPr>
        <w:tc>
          <w:tcPr>
            <w:tcW w:w="5700" w:type="dxa"/>
            <w:vAlign w:val="bottom"/>
          </w:tcPr>
          <w:p>
            <w:pPr>
              <w:ind w:left="220"/>
              <w:spacing w:after="0"/>
              <w:rPr>
                <w:sz w:val="20"/>
                <w:szCs w:val="20"/>
                <w:color w:val="auto"/>
              </w:rPr>
            </w:pPr>
            <w:r>
              <w:rPr>
                <w:rFonts w:ascii="Arial" w:cs="Arial" w:eastAsia="Arial" w:hAnsi="Arial"/>
                <w:sz w:val="14"/>
                <w:szCs w:val="14"/>
                <w:color w:val="auto"/>
              </w:rPr>
              <w:t>Less: impact of GAAP to Non-GAAP adjustments</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497F"/>
              </w:rPr>
              <w:t>(148.5)</w:t>
            </w:r>
          </w:p>
        </w:tc>
        <w:tc>
          <w:tcPr>
            <w:tcW w:w="14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3.6</w:t>
            </w:r>
          </w:p>
        </w:tc>
        <w:tc>
          <w:tcPr>
            <w:tcW w:w="14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307"/>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effective tax rate, Non-GAAP</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497F"/>
              </w:rPr>
              <w:t>20.0</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w w:val="79"/>
              </w:rPr>
              <w:t>%</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17.2 %</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shd w:val="clear" w:color="auto" w:fill="DBDBDB"/>
          </w:tcPr>
          <w:p>
            <w:pPr>
              <w:spacing w:after="0"/>
              <w:rPr>
                <w:sz w:val="24"/>
                <w:szCs w:val="24"/>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17.3</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w w:val="79"/>
              </w:rPr>
              <w:t>%</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16.2 %</w:t>
            </w:r>
          </w:p>
        </w:tc>
        <w:tc>
          <w:tcPr>
            <w:tcW w:w="0" w:type="dxa"/>
            <w:vAlign w:val="bottom"/>
          </w:tcPr>
          <w:p>
            <w:pPr>
              <w:spacing w:after="0"/>
              <w:rPr>
                <w:sz w:val="1"/>
                <w:szCs w:val="1"/>
                <w:color w:val="auto"/>
              </w:rPr>
            </w:pPr>
          </w:p>
        </w:tc>
      </w:tr>
      <w:tr>
        <w:trPr>
          <w:trHeight w:val="185"/>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Net (Loss) Income Attributable to Biogen Inc.:</w:t>
            </w:r>
          </w:p>
        </w:tc>
        <w:tc>
          <w:tcPr>
            <w:tcW w:w="3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700" w:type="dxa"/>
            <w:vAlign w:val="bottom"/>
          </w:tcPr>
          <w:p>
            <w:pPr>
              <w:ind w:left="20"/>
              <w:spacing w:after="0"/>
              <w:rPr>
                <w:sz w:val="20"/>
                <w:szCs w:val="20"/>
                <w:color w:val="auto"/>
              </w:rPr>
            </w:pPr>
            <w:r>
              <w:rPr>
                <w:rFonts w:ascii="Arial" w:cs="Arial" w:eastAsia="Arial" w:hAnsi="Arial"/>
                <w:sz w:val="14"/>
                <w:szCs w:val="14"/>
                <w:color w:val="auto"/>
              </w:rPr>
              <w:t>Total net (loss) income attributable to Biogen Inc., GAAP</w:t>
            </w:r>
          </w:p>
        </w:tc>
        <w:tc>
          <w:tcPr>
            <w:tcW w:w="300" w:type="dxa"/>
            <w:vAlign w:val="bottom"/>
            <w:shd w:val="clear" w:color="auto" w:fill="DBDBDB"/>
          </w:tcPr>
          <w:p>
            <w:pPr>
              <w:ind w:left="20"/>
              <w:spacing w:after="0"/>
              <w:rPr>
                <w:sz w:val="20"/>
                <w:szCs w:val="20"/>
                <w:color w:val="auto"/>
              </w:rPr>
            </w:pPr>
            <w:r>
              <w:rPr>
                <w:rFonts w:ascii="Arial" w:cs="Arial" w:eastAsia="Arial" w:hAnsi="Arial"/>
                <w:sz w:val="14"/>
                <w:szCs w:val="14"/>
                <w:color w:val="00497F"/>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(20.6)</w:t>
            </w:r>
          </w:p>
        </w:tc>
        <w:tc>
          <w:tcPr>
            <w:tcW w:w="140" w:type="dxa"/>
            <w:vAlign w:val="bottom"/>
            <w:shd w:val="clear" w:color="auto" w:fill="DBDBDB"/>
          </w:tcPr>
          <w:p>
            <w:pPr>
              <w:spacing w:after="0"/>
              <w:rPr>
                <w:sz w:val="16"/>
                <w:szCs w:val="16"/>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466.5</w:t>
            </w:r>
          </w:p>
        </w:tc>
        <w:tc>
          <w:tcPr>
            <w:tcW w:w="100" w:type="dxa"/>
            <w:vAlign w:val="bottom"/>
          </w:tcPr>
          <w:p>
            <w:pPr>
              <w:spacing w:after="0"/>
              <w:rPr>
                <w:sz w:val="16"/>
                <w:szCs w:val="16"/>
                <w:color w:val="auto"/>
              </w:rPr>
            </w:pPr>
          </w:p>
        </w:tc>
        <w:tc>
          <w:tcPr>
            <w:tcW w:w="280" w:type="dxa"/>
            <w:vAlign w:val="bottom"/>
            <w:shd w:val="clear" w:color="auto" w:fill="DBDBDB"/>
          </w:tcPr>
          <w:p>
            <w:pPr>
              <w:jc w:val="right"/>
              <w:ind w:right="111"/>
              <w:spacing w:after="0"/>
              <w:rPr>
                <w:sz w:val="20"/>
                <w:szCs w:val="20"/>
                <w:color w:val="auto"/>
              </w:rPr>
            </w:pPr>
            <w:r>
              <w:rPr>
                <w:rFonts w:ascii="Arial" w:cs="Arial" w:eastAsia="Arial" w:hAnsi="Arial"/>
                <w:sz w:val="14"/>
                <w:szCs w:val="14"/>
                <w:color w:val="00497F"/>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396.4</w:t>
            </w:r>
          </w:p>
        </w:tc>
        <w:tc>
          <w:tcPr>
            <w:tcW w:w="140" w:type="dxa"/>
            <w:vAlign w:val="bottom"/>
            <w:shd w:val="clear" w:color="auto" w:fill="DBDBDB"/>
          </w:tcPr>
          <w:p>
            <w:pPr>
              <w:spacing w:after="0"/>
              <w:rPr>
                <w:sz w:val="16"/>
                <w:szCs w:val="16"/>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1,341.8</w:t>
            </w:r>
          </w:p>
        </w:tc>
        <w:tc>
          <w:tcPr>
            <w:tcW w:w="0" w:type="dxa"/>
            <w:vAlign w:val="bottom"/>
          </w:tcPr>
          <w:p>
            <w:pPr>
              <w:spacing w:after="0"/>
              <w:rPr>
                <w:sz w:val="1"/>
                <w:szCs w:val="1"/>
                <w:color w:val="auto"/>
              </w:rPr>
            </w:pPr>
          </w:p>
        </w:tc>
      </w:tr>
      <w:tr>
        <w:trPr>
          <w:trHeight w:val="194"/>
        </w:trPr>
        <w:tc>
          <w:tcPr>
            <w:tcW w:w="5700" w:type="dxa"/>
            <w:vAlign w:val="bottom"/>
          </w:tcPr>
          <w:p>
            <w:pPr>
              <w:ind w:left="120"/>
              <w:spacing w:after="0"/>
              <w:rPr>
                <w:sz w:val="20"/>
                <w:szCs w:val="20"/>
                <w:color w:val="auto"/>
              </w:rPr>
            </w:pPr>
            <w:r>
              <w:rPr>
                <w:rFonts w:ascii="Arial" w:cs="Arial" w:eastAsia="Arial" w:hAnsi="Arial"/>
                <w:sz w:val="14"/>
                <w:szCs w:val="14"/>
                <w:color w:val="auto"/>
              </w:rPr>
              <w:t>Plus: litigation matters</w:t>
            </w:r>
          </w:p>
        </w:tc>
        <w:tc>
          <w:tcPr>
            <w:tcW w:w="30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26.6</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104.3</w:t>
            </w:r>
          </w:p>
        </w:tc>
        <w:tc>
          <w:tcPr>
            <w:tcW w:w="100" w:type="dxa"/>
            <w:vAlign w:val="bottom"/>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28.9</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104.3</w:t>
            </w:r>
          </w:p>
        </w:tc>
        <w:tc>
          <w:tcPr>
            <w:tcW w:w="0" w:type="dxa"/>
            <w:vAlign w:val="bottom"/>
          </w:tcPr>
          <w:p>
            <w:pPr>
              <w:spacing w:after="0"/>
              <w:rPr>
                <w:sz w:val="1"/>
                <w:szCs w:val="1"/>
                <w:color w:val="auto"/>
              </w:rPr>
            </w:pPr>
          </w:p>
        </w:tc>
      </w:tr>
      <w:tr>
        <w:trPr>
          <w:trHeight w:val="194"/>
        </w:trPr>
        <w:tc>
          <w:tcPr>
            <w:tcW w:w="5700" w:type="dxa"/>
            <w:vAlign w:val="bottom"/>
          </w:tcPr>
          <w:p>
            <w:pPr>
              <w:ind w:left="120"/>
              <w:spacing w:after="0"/>
              <w:rPr>
                <w:sz w:val="20"/>
                <w:szCs w:val="20"/>
                <w:color w:val="auto"/>
              </w:rPr>
            </w:pPr>
            <w:r>
              <w:rPr>
                <w:rFonts w:ascii="Arial" w:cs="Arial" w:eastAsia="Arial" w:hAnsi="Arial"/>
                <w:sz w:val="14"/>
                <w:szCs w:val="14"/>
                <w:color w:val="auto"/>
              </w:rPr>
              <w:t>Plus: amortization of inventory fair value step-up</w:t>
            </w:r>
          </w:p>
        </w:tc>
        <w:tc>
          <w:tcPr>
            <w:tcW w:w="30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194.8</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501.0</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160.1</w:t>
            </w:r>
          </w:p>
        </w:tc>
        <w:tc>
          <w:tcPr>
            <w:tcW w:w="0" w:type="dxa"/>
            <w:vAlign w:val="bottom"/>
          </w:tcPr>
          <w:p>
            <w:pPr>
              <w:spacing w:after="0"/>
              <w:rPr>
                <w:sz w:val="1"/>
                <w:szCs w:val="1"/>
                <w:color w:val="auto"/>
              </w:rPr>
            </w:pPr>
          </w:p>
        </w:tc>
      </w:tr>
      <w:tr>
        <w:trPr>
          <w:trHeight w:val="194"/>
        </w:trPr>
        <w:tc>
          <w:tcPr>
            <w:tcW w:w="5700" w:type="dxa"/>
            <w:vAlign w:val="bottom"/>
          </w:tcPr>
          <w:p>
            <w:pPr>
              <w:ind w:left="120"/>
              <w:spacing w:after="0"/>
              <w:rPr>
                <w:sz w:val="20"/>
                <w:szCs w:val="20"/>
                <w:color w:val="auto"/>
              </w:rPr>
            </w:pPr>
            <w:r>
              <w:rPr>
                <w:rFonts w:ascii="Arial" w:cs="Arial" w:eastAsia="Arial" w:hAnsi="Arial"/>
                <w:sz w:val="14"/>
                <w:szCs w:val="14"/>
                <w:color w:val="auto"/>
              </w:rPr>
              <w:t>Plus: impairment charges</w:t>
            </w:r>
          </w:p>
        </w:tc>
        <w:tc>
          <w:tcPr>
            <w:tcW w:w="30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4"/>
        </w:trPr>
        <w:tc>
          <w:tcPr>
            <w:tcW w:w="5700" w:type="dxa"/>
            <w:vAlign w:val="bottom"/>
          </w:tcPr>
          <w:p>
            <w:pPr>
              <w:ind w:left="120"/>
              <w:spacing w:after="0"/>
              <w:rPr>
                <w:sz w:val="20"/>
                <w:szCs w:val="20"/>
                <w:color w:val="auto"/>
              </w:rPr>
            </w:pPr>
            <w:r>
              <w:rPr>
                <w:rFonts w:ascii="Arial" w:cs="Arial" w:eastAsia="Arial" w:hAnsi="Arial"/>
                <w:sz w:val="14"/>
                <w:szCs w:val="14"/>
                <w:color w:val="auto"/>
              </w:rPr>
              <w:t>Plus: acquisition-related transaction and integration costs</w:t>
            </w:r>
          </w:p>
        </w:tc>
        <w:tc>
          <w:tcPr>
            <w:tcW w:w="30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13.7</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47.2</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4"/>
        </w:trPr>
        <w:tc>
          <w:tcPr>
            <w:tcW w:w="5700" w:type="dxa"/>
            <w:vAlign w:val="bottom"/>
          </w:tcPr>
          <w:p>
            <w:pPr>
              <w:ind w:left="120"/>
              <w:spacing w:after="0"/>
              <w:rPr>
                <w:sz w:val="20"/>
                <w:szCs w:val="20"/>
                <w:color w:val="auto"/>
              </w:rPr>
            </w:pPr>
            <w:r>
              <w:rPr>
                <w:rFonts w:ascii="Arial" w:cs="Arial" w:eastAsia="Arial" w:hAnsi="Arial"/>
                <w:sz w:val="14"/>
                <w:szCs w:val="14"/>
                <w:color w:val="auto"/>
              </w:rPr>
              <w:t>Plus: amortization of acquired intangible assets</w:t>
            </w:r>
          </w:p>
        </w:tc>
        <w:tc>
          <w:tcPr>
            <w:tcW w:w="30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160.2</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121.8</w:t>
            </w:r>
          </w:p>
        </w:tc>
        <w:tc>
          <w:tcPr>
            <w:tcW w:w="100" w:type="dxa"/>
            <w:vAlign w:val="bottom"/>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437.0</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337.8</w:t>
            </w:r>
          </w:p>
        </w:tc>
        <w:tc>
          <w:tcPr>
            <w:tcW w:w="0" w:type="dxa"/>
            <w:vAlign w:val="bottom"/>
          </w:tcPr>
          <w:p>
            <w:pPr>
              <w:spacing w:after="0"/>
              <w:rPr>
                <w:sz w:val="1"/>
                <w:szCs w:val="1"/>
                <w:color w:val="auto"/>
              </w:rPr>
            </w:pPr>
          </w:p>
        </w:tc>
      </w:tr>
      <w:tr>
        <w:trPr>
          <w:trHeight w:val="194"/>
        </w:trPr>
        <w:tc>
          <w:tcPr>
            <w:tcW w:w="5700" w:type="dxa"/>
            <w:vAlign w:val="bottom"/>
          </w:tcPr>
          <w:p>
            <w:pPr>
              <w:ind w:left="120"/>
              <w:spacing w:after="0"/>
              <w:rPr>
                <w:sz w:val="20"/>
                <w:szCs w:val="20"/>
                <w:color w:val="auto"/>
              </w:rPr>
            </w:pPr>
            <w:r>
              <w:rPr>
                <w:rFonts w:ascii="Arial" w:cs="Arial" w:eastAsia="Arial" w:hAnsi="Arial"/>
                <w:sz w:val="14"/>
                <w:szCs w:val="14"/>
                <w:color w:val="auto"/>
              </w:rPr>
              <w:t>Plus: restructuring charges and other cost saving initiatives</w:t>
            </w:r>
          </w:p>
        </w:tc>
        <w:tc>
          <w:tcPr>
            <w:tcW w:w="30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82.1</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265.7</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94"/>
        </w:trPr>
        <w:tc>
          <w:tcPr>
            <w:tcW w:w="5700" w:type="dxa"/>
            <w:vAlign w:val="bottom"/>
          </w:tcPr>
          <w:p>
            <w:pPr>
              <w:ind w:left="120"/>
              <w:spacing w:after="0"/>
              <w:rPr>
                <w:sz w:val="20"/>
                <w:szCs w:val="20"/>
                <w:color w:val="auto"/>
              </w:rPr>
            </w:pPr>
            <w:r>
              <w:rPr>
                <w:rFonts w:ascii="Arial" w:cs="Arial" w:eastAsia="Arial" w:hAnsi="Arial"/>
                <w:sz w:val="14"/>
                <w:szCs w:val="14"/>
                <w:color w:val="auto"/>
              </w:rPr>
              <w:t>Plus: (gain) loss on fair value remeasurement of contingent consideration</w:t>
            </w:r>
          </w:p>
        </w:tc>
        <w:tc>
          <w:tcPr>
            <w:tcW w:w="30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0.4</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23.4</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94"/>
        </w:trPr>
        <w:tc>
          <w:tcPr>
            <w:tcW w:w="5700" w:type="dxa"/>
            <w:vAlign w:val="bottom"/>
          </w:tcPr>
          <w:p>
            <w:pPr>
              <w:ind w:left="120"/>
              <w:spacing w:after="0"/>
              <w:rPr>
                <w:sz w:val="20"/>
                <w:szCs w:val="20"/>
                <w:color w:val="auto"/>
              </w:rPr>
            </w:pPr>
            <w:r>
              <w:rPr>
                <w:rFonts w:ascii="Arial" w:cs="Arial" w:eastAsia="Arial" w:hAnsi="Arial"/>
                <w:sz w:val="14"/>
                <w:szCs w:val="14"/>
                <w:color w:val="auto"/>
              </w:rPr>
              <w:t>Plus: (gain) loss on equity security investments</w:t>
            </w:r>
          </w:p>
        </w:tc>
        <w:tc>
          <w:tcPr>
            <w:tcW w:w="30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33.3</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(31.8)</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94"/>
        </w:trPr>
        <w:tc>
          <w:tcPr>
            <w:tcW w:w="5700" w:type="dxa"/>
            <w:vAlign w:val="bottom"/>
          </w:tcPr>
          <w:p>
            <w:pPr>
              <w:ind w:left="120"/>
              <w:spacing w:after="0"/>
              <w:rPr>
                <w:sz w:val="20"/>
                <w:szCs w:val="20"/>
                <w:color w:val="auto"/>
              </w:rPr>
            </w:pPr>
            <w:r>
              <w:rPr>
                <w:rFonts w:ascii="Arial" w:cs="Arial" w:eastAsia="Arial" w:hAnsi="Arial"/>
                <w:sz w:val="14"/>
                <w:szCs w:val="14"/>
                <w:color w:val="auto"/>
              </w:rPr>
              <w:t>Plus: US tax reform</w:t>
            </w:r>
          </w:p>
        </w:tc>
        <w:tc>
          <w:tcPr>
            <w:tcW w:w="30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71"/>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94"/>
        </w:trPr>
        <w:tc>
          <w:tcPr>
            <w:tcW w:w="5700" w:type="dxa"/>
            <w:vAlign w:val="bottom"/>
          </w:tcPr>
          <w:p>
            <w:pPr>
              <w:ind w:left="120"/>
              <w:spacing w:after="0"/>
              <w:rPr>
                <w:sz w:val="20"/>
                <w:szCs w:val="20"/>
                <w:color w:val="auto"/>
              </w:rPr>
            </w:pPr>
            <w:r>
              <w:rPr>
                <w:rFonts w:ascii="Arial" w:cs="Arial" w:eastAsia="Arial" w:hAnsi="Arial"/>
                <w:sz w:val="14"/>
                <w:szCs w:val="14"/>
                <w:color w:val="auto"/>
              </w:rPr>
              <w:t>Plus: income tax effect related to Non-GAAP reconciling items</w:t>
            </w:r>
          </w:p>
        </w:tc>
        <w:tc>
          <w:tcPr>
            <w:tcW w:w="30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(86.3)</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71"/>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(199.6)</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71"/>
              <w:spacing w:after="0"/>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198"/>
        </w:trPr>
        <w:tc>
          <w:tcPr>
            <w:tcW w:w="5700" w:type="dxa"/>
            <w:vAlign w:val="bottom"/>
          </w:tcPr>
          <w:p>
            <w:pPr>
              <w:ind w:left="120"/>
              <w:spacing w:after="0"/>
              <w:rPr>
                <w:sz w:val="20"/>
                <w:szCs w:val="20"/>
                <w:color w:val="auto"/>
              </w:rPr>
            </w:pPr>
            <w:r>
              <w:rPr>
                <w:rFonts w:ascii="Arial" w:cs="Arial" w:eastAsia="Arial" w:hAnsi="Arial"/>
                <w:sz w:val="14"/>
                <w:szCs w:val="14"/>
                <w:color w:val="auto"/>
              </w:rPr>
              <w:t>Plus: other</w:t>
            </w:r>
          </w:p>
        </w:tc>
        <w:tc>
          <w:tcPr>
            <w:tcW w:w="30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(12.8)</w:t>
            </w:r>
          </w:p>
        </w:tc>
        <w:tc>
          <w:tcPr>
            <w:tcW w:w="14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497F"/>
              </w:rPr>
              <w:t>(11.5)</w:t>
            </w:r>
          </w:p>
        </w:tc>
        <w:tc>
          <w:tcPr>
            <w:tcW w:w="14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4"/>
                <w:szCs w:val="14"/>
                <w:color w:val="auto"/>
              </w:rPr>
              <w:t>Total net income attributable to Biogen Inc., Non-GAAP</w:t>
            </w:r>
          </w:p>
        </w:tc>
        <w:tc>
          <w:tcPr>
            <w:tcW w:w="300" w:type="dxa"/>
            <w:vAlign w:val="bottom"/>
            <w:shd w:val="clear" w:color="auto" w:fill="DBDBDB"/>
          </w:tcPr>
          <w:p>
            <w:pPr>
              <w:ind w:left="20"/>
              <w:spacing w:after="0"/>
              <w:rPr>
                <w:sz w:val="20"/>
                <w:szCs w:val="20"/>
                <w:color w:val="auto"/>
              </w:rPr>
            </w:pPr>
            <w:r>
              <w:rPr>
                <w:rFonts w:ascii="Arial" w:cs="Arial" w:eastAsia="Arial" w:hAnsi="Arial"/>
                <w:sz w:val="14"/>
                <w:szCs w:val="14"/>
                <w:color w:val="00497F"/>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391.4</w:t>
            </w:r>
          </w:p>
        </w:tc>
        <w:tc>
          <w:tcPr>
            <w:tcW w:w="140" w:type="dxa"/>
            <w:vAlign w:val="bottom"/>
            <w:shd w:val="clear" w:color="auto" w:fill="DBDBDB"/>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707.5</w:t>
            </w:r>
          </w:p>
        </w:tc>
        <w:tc>
          <w:tcPr>
            <w:tcW w:w="100" w:type="dxa"/>
            <w:vAlign w:val="bottom"/>
          </w:tcPr>
          <w:p>
            <w:pPr>
              <w:spacing w:after="0"/>
              <w:rPr>
                <w:sz w:val="19"/>
                <w:szCs w:val="19"/>
                <w:color w:val="auto"/>
              </w:rPr>
            </w:pPr>
          </w:p>
        </w:tc>
        <w:tc>
          <w:tcPr>
            <w:tcW w:w="280" w:type="dxa"/>
            <w:vAlign w:val="bottom"/>
            <w:shd w:val="clear" w:color="auto" w:fill="DBDBDB"/>
          </w:tcPr>
          <w:p>
            <w:pPr>
              <w:jc w:val="right"/>
              <w:ind w:right="111"/>
              <w:spacing w:after="0"/>
              <w:rPr>
                <w:sz w:val="20"/>
                <w:szCs w:val="20"/>
                <w:color w:val="auto"/>
              </w:rPr>
            </w:pPr>
            <w:r>
              <w:rPr>
                <w:rFonts w:ascii="Arial" w:cs="Arial" w:eastAsia="Arial" w:hAnsi="Arial"/>
                <w:sz w:val="14"/>
                <w:szCs w:val="14"/>
                <w:color w:val="00497F"/>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1,456.7</w:t>
            </w:r>
          </w:p>
        </w:tc>
        <w:tc>
          <w:tcPr>
            <w:tcW w:w="140" w:type="dxa"/>
            <w:vAlign w:val="bottom"/>
            <w:shd w:val="clear" w:color="auto" w:fill="DBDBDB"/>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1,953.4</w:t>
            </w:r>
          </w:p>
        </w:tc>
        <w:tc>
          <w:tcPr>
            <w:tcW w:w="0" w:type="dxa"/>
            <w:vAlign w:val="bottom"/>
          </w:tcPr>
          <w:p>
            <w:pPr>
              <w:spacing w:after="0"/>
              <w:rPr>
                <w:sz w:val="1"/>
                <w:szCs w:val="1"/>
                <w:color w:val="auto"/>
              </w:rPr>
            </w:pPr>
          </w:p>
        </w:tc>
      </w:tr>
      <w:tr>
        <w:trPr>
          <w:trHeight w:val="65"/>
        </w:trPr>
        <w:tc>
          <w:tcPr>
            <w:tcW w:w="5700" w:type="dxa"/>
            <w:vAlign w:val="bottom"/>
            <w:tcBorders>
              <w:bottom w:val="single" w:sz="8" w:color="auto"/>
            </w:tcBorders>
          </w:tcPr>
          <w:p>
            <w:pPr>
              <w:spacing w:after="0"/>
              <w:rPr>
                <w:sz w:val="5"/>
                <w:szCs w:val="5"/>
                <w:color w:val="auto"/>
              </w:rPr>
            </w:pPr>
          </w:p>
        </w:tc>
        <w:tc>
          <w:tcPr>
            <w:tcW w:w="300" w:type="dxa"/>
            <w:vAlign w:val="bottom"/>
            <w:tcBorders>
              <w:top w:val="single" w:sz="8" w:color="auto"/>
              <w:bottom w:val="single" w:sz="8" w:color="auto"/>
            </w:tcBorders>
            <w:shd w:val="clear" w:color="auto" w:fill="DBDBDB"/>
          </w:tcPr>
          <w:p>
            <w:pPr>
              <w:spacing w:after="0"/>
              <w:rPr>
                <w:sz w:val="5"/>
                <w:szCs w:val="5"/>
                <w:color w:val="auto"/>
              </w:rPr>
            </w:pPr>
          </w:p>
        </w:tc>
        <w:tc>
          <w:tcPr>
            <w:tcW w:w="820" w:type="dxa"/>
            <w:vAlign w:val="bottom"/>
            <w:tcBorders>
              <w:top w:val="single" w:sz="8" w:color="auto"/>
              <w:bottom w:val="single" w:sz="8" w:color="auto"/>
            </w:tcBorders>
            <w:shd w:val="clear" w:color="auto" w:fill="DBDBDB"/>
          </w:tcPr>
          <w:p>
            <w:pPr>
              <w:spacing w:after="0"/>
              <w:rPr>
                <w:sz w:val="5"/>
                <w:szCs w:val="5"/>
                <w:color w:val="auto"/>
              </w:rPr>
            </w:pPr>
          </w:p>
        </w:tc>
        <w:tc>
          <w:tcPr>
            <w:tcW w:w="140" w:type="dxa"/>
            <w:vAlign w:val="bottom"/>
            <w:tcBorders>
              <w:top w:val="single" w:sz="8" w:color="auto"/>
              <w:bottom w:val="single" w:sz="8" w:color="auto"/>
            </w:tcBorders>
            <w:shd w:val="clear" w:color="auto" w:fill="DBDBDB"/>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top w:val="single" w:sz="8" w:color="auto"/>
              <w:bottom w:val="single" w:sz="8" w:color="auto"/>
            </w:tcBorders>
          </w:tcPr>
          <w:p>
            <w:pPr>
              <w:spacing w:after="0"/>
              <w:rPr>
                <w:sz w:val="5"/>
                <w:szCs w:val="5"/>
                <w:color w:val="auto"/>
              </w:rPr>
            </w:pPr>
          </w:p>
        </w:tc>
        <w:tc>
          <w:tcPr>
            <w:tcW w:w="960" w:type="dxa"/>
            <w:vAlign w:val="bottom"/>
            <w:tcBorders>
              <w:top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top w:val="single" w:sz="8" w:color="auto"/>
              <w:bottom w:val="single" w:sz="8" w:color="auto"/>
            </w:tcBorders>
            <w:shd w:val="clear" w:color="auto" w:fill="DBDBDB"/>
          </w:tcPr>
          <w:p>
            <w:pPr>
              <w:spacing w:after="0"/>
              <w:rPr>
                <w:sz w:val="5"/>
                <w:szCs w:val="5"/>
                <w:color w:val="auto"/>
              </w:rPr>
            </w:pPr>
          </w:p>
        </w:tc>
        <w:tc>
          <w:tcPr>
            <w:tcW w:w="840" w:type="dxa"/>
            <w:vAlign w:val="bottom"/>
            <w:tcBorders>
              <w:top w:val="single" w:sz="8" w:color="auto"/>
              <w:bottom w:val="single" w:sz="8" w:color="auto"/>
            </w:tcBorders>
            <w:shd w:val="clear" w:color="auto" w:fill="DBDBDB"/>
          </w:tcPr>
          <w:p>
            <w:pPr>
              <w:spacing w:after="0"/>
              <w:rPr>
                <w:sz w:val="5"/>
                <w:szCs w:val="5"/>
                <w:color w:val="auto"/>
              </w:rPr>
            </w:pPr>
          </w:p>
        </w:tc>
        <w:tc>
          <w:tcPr>
            <w:tcW w:w="140" w:type="dxa"/>
            <w:vAlign w:val="bottom"/>
            <w:tcBorders>
              <w:top w:val="single" w:sz="8" w:color="auto"/>
              <w:bottom w:val="single" w:sz="8" w:color="auto"/>
            </w:tcBorders>
            <w:shd w:val="clear" w:color="auto" w:fill="DBDBDB"/>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top w:val="single" w:sz="8" w:color="auto"/>
              <w:bottom w:val="single" w:sz="8" w:color="auto"/>
            </w:tcBorders>
          </w:tcPr>
          <w:p>
            <w:pPr>
              <w:spacing w:after="0"/>
              <w:rPr>
                <w:sz w:val="5"/>
                <w:szCs w:val="5"/>
                <w:color w:val="auto"/>
              </w:rPr>
            </w:pPr>
          </w:p>
        </w:tc>
        <w:tc>
          <w:tcPr>
            <w:tcW w:w="980" w:type="dxa"/>
            <w:vAlign w:val="bottom"/>
            <w:tcBorders>
              <w:top w:val="single" w:sz="8" w:color="auto"/>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3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700" w:type="dxa"/>
            <w:vAlign w:val="bottom"/>
          </w:tcPr>
          <w:p>
            <w:pPr>
              <w:ind w:left="20"/>
              <w:spacing w:after="0"/>
              <w:rPr>
                <w:sz w:val="20"/>
                <w:szCs w:val="20"/>
                <w:color w:val="auto"/>
              </w:rPr>
            </w:pPr>
            <w:r>
              <w:rPr>
                <w:rFonts w:ascii="Arial" w:cs="Arial" w:eastAsia="Arial" w:hAnsi="Arial"/>
                <w:sz w:val="14"/>
                <w:szCs w:val="14"/>
                <w:color w:val="auto"/>
              </w:rPr>
              <w:t>Total diluted (loss) earnings per share, GAAP</w:t>
            </w:r>
          </w:p>
        </w:tc>
        <w:tc>
          <w:tcPr>
            <w:tcW w:w="300" w:type="dxa"/>
            <w:vAlign w:val="bottom"/>
            <w:shd w:val="clear" w:color="auto" w:fill="DBDBDB"/>
          </w:tcPr>
          <w:p>
            <w:pPr>
              <w:ind w:left="20"/>
              <w:spacing w:after="0"/>
              <w:rPr>
                <w:sz w:val="20"/>
                <w:szCs w:val="20"/>
                <w:color w:val="auto"/>
              </w:rPr>
            </w:pPr>
            <w:r>
              <w:rPr>
                <w:rFonts w:ascii="Arial" w:cs="Arial" w:eastAsia="Arial" w:hAnsi="Arial"/>
                <w:sz w:val="14"/>
                <w:szCs w:val="14"/>
                <w:color w:val="00497F"/>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(0.14)</w:t>
            </w:r>
          </w:p>
        </w:tc>
        <w:tc>
          <w:tcPr>
            <w:tcW w:w="140" w:type="dxa"/>
            <w:vAlign w:val="bottom"/>
            <w:shd w:val="clear" w:color="auto" w:fill="DBDBDB"/>
          </w:tcPr>
          <w:p>
            <w:pPr>
              <w:spacing w:after="0"/>
              <w:rPr>
                <w:sz w:val="16"/>
                <w:szCs w:val="16"/>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6"/>
                <w:szCs w:val="16"/>
                <w:color w:val="auto"/>
              </w:rPr>
            </w:pPr>
          </w:p>
        </w:tc>
        <w:tc>
          <w:tcPr>
            <w:tcW w:w="280" w:type="dxa"/>
            <w:vAlign w:val="bottom"/>
            <w:shd w:val="clear" w:color="auto" w:fill="DBDBDB"/>
          </w:tcPr>
          <w:p>
            <w:pPr>
              <w:jc w:val="right"/>
              <w:ind w:right="111"/>
              <w:spacing w:after="0"/>
              <w:rPr>
                <w:sz w:val="20"/>
                <w:szCs w:val="20"/>
                <w:color w:val="auto"/>
              </w:rPr>
            </w:pPr>
            <w:r>
              <w:rPr>
                <w:rFonts w:ascii="Arial" w:cs="Arial" w:eastAsia="Arial" w:hAnsi="Arial"/>
                <w:sz w:val="14"/>
                <w:szCs w:val="14"/>
                <w:color w:val="00497F"/>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2.66</w:t>
            </w:r>
          </w:p>
        </w:tc>
        <w:tc>
          <w:tcPr>
            <w:tcW w:w="140" w:type="dxa"/>
            <w:vAlign w:val="bottom"/>
            <w:shd w:val="clear" w:color="auto" w:fill="DBDBDB"/>
          </w:tcPr>
          <w:p>
            <w:pPr>
              <w:spacing w:after="0"/>
              <w:rPr>
                <w:sz w:val="16"/>
                <w:szCs w:val="16"/>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156"/>
        </w:trPr>
        <w:tc>
          <w:tcPr>
            <w:tcW w:w="5700" w:type="dxa"/>
            <w:vAlign w:val="bottom"/>
          </w:tcPr>
          <w:p>
            <w:pPr>
              <w:ind w:left="220"/>
              <w:spacing w:after="0" w:line="155" w:lineRule="exact"/>
              <w:rPr>
                <w:sz w:val="20"/>
                <w:szCs w:val="20"/>
                <w:color w:val="auto"/>
              </w:rPr>
            </w:pPr>
            <w:r>
              <w:rPr>
                <w:rFonts w:ascii="Arial" w:cs="Arial" w:eastAsia="Arial" w:hAnsi="Arial"/>
                <w:sz w:val="14"/>
                <w:szCs w:val="14"/>
                <w:color w:val="auto"/>
              </w:rPr>
              <w:t>(Less) Plus: adjustments to GAAP net income attributable to Biogen Inc. (as detailed</w:t>
            </w:r>
          </w:p>
        </w:tc>
        <w:tc>
          <w:tcPr>
            <w:tcW w:w="300" w:type="dxa"/>
            <w:vAlign w:val="bottom"/>
            <w:shd w:val="clear" w:color="auto" w:fill="DBDBDB"/>
          </w:tcPr>
          <w:p>
            <w:pPr>
              <w:spacing w:after="0"/>
              <w:rPr>
                <w:sz w:val="13"/>
                <w:szCs w:val="13"/>
                <w:color w:val="auto"/>
              </w:rPr>
            </w:pPr>
          </w:p>
        </w:tc>
        <w:tc>
          <w:tcPr>
            <w:tcW w:w="8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0497F"/>
              </w:rPr>
              <w:t>2.76</w:t>
            </w:r>
          </w:p>
        </w:tc>
        <w:tc>
          <w:tcPr>
            <w:tcW w:w="140" w:type="dxa"/>
            <w:vAlign w:val="bottom"/>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111"/>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0497F"/>
              </w:rPr>
              <w:t>7.13</w:t>
            </w:r>
          </w:p>
        </w:tc>
        <w:tc>
          <w:tcPr>
            <w:tcW w:w="140" w:type="dxa"/>
            <w:vAlign w:val="bottom"/>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ind w:right="111"/>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76"/>
        </w:trPr>
        <w:tc>
          <w:tcPr>
            <w:tcW w:w="5700" w:type="dxa"/>
            <w:vAlign w:val="bottom"/>
          </w:tcPr>
          <w:p>
            <w:pPr>
              <w:ind w:left="220"/>
              <w:spacing w:after="0"/>
              <w:rPr>
                <w:sz w:val="20"/>
                <w:szCs w:val="20"/>
                <w:color w:val="auto"/>
              </w:rPr>
            </w:pPr>
            <w:r>
              <w:rPr>
                <w:rFonts w:ascii="Arial" w:cs="Arial" w:eastAsia="Arial" w:hAnsi="Arial"/>
                <w:sz w:val="14"/>
                <w:szCs w:val="14"/>
                <w:color w:val="auto"/>
              </w:rPr>
              <w:t>above)</w:t>
            </w:r>
          </w:p>
        </w:tc>
        <w:tc>
          <w:tcPr>
            <w:tcW w:w="30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vMerge w:val="continue"/>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shd w:val="clear" w:color="auto" w:fill="DBDBDB"/>
          </w:tcPr>
          <w:p>
            <w:pPr>
              <w:spacing w:after="0"/>
              <w:rPr>
                <w:sz w:val="15"/>
                <w:szCs w:val="15"/>
                <w:color w:val="auto"/>
              </w:rPr>
            </w:pPr>
          </w:p>
        </w:tc>
        <w:tc>
          <w:tcPr>
            <w:tcW w:w="840" w:type="dxa"/>
            <w:vAlign w:val="bottom"/>
            <w:tcBorders>
              <w:bottom w:val="single" w:sz="8" w:color="auto"/>
            </w:tcBorders>
            <w:vMerge w:val="continue"/>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700" w:type="dxa"/>
            <w:vAlign w:val="bottom"/>
          </w:tcPr>
          <w:p>
            <w:pPr>
              <w:ind w:left="20"/>
              <w:spacing w:after="0"/>
              <w:rPr>
                <w:sz w:val="20"/>
                <w:szCs w:val="20"/>
                <w:color w:val="auto"/>
              </w:rPr>
            </w:pPr>
            <w:r>
              <w:rPr>
                <w:rFonts w:ascii="Arial" w:cs="Arial" w:eastAsia="Arial" w:hAnsi="Arial"/>
                <w:sz w:val="14"/>
                <w:szCs w:val="14"/>
                <w:color w:val="auto"/>
              </w:rPr>
              <w:t>Total diluted earnings per share, Non-GAAP</w:t>
            </w:r>
          </w:p>
        </w:tc>
        <w:tc>
          <w:tcPr>
            <w:tcW w:w="300" w:type="dxa"/>
            <w:vAlign w:val="bottom"/>
            <w:shd w:val="clear" w:color="auto" w:fill="DBDBDB"/>
          </w:tcPr>
          <w:p>
            <w:pPr>
              <w:ind w:left="20"/>
              <w:spacing w:after="0"/>
              <w:rPr>
                <w:sz w:val="20"/>
                <w:szCs w:val="20"/>
                <w:color w:val="auto"/>
              </w:rPr>
            </w:pPr>
            <w:r>
              <w:rPr>
                <w:rFonts w:ascii="Arial" w:cs="Arial" w:eastAsia="Arial" w:hAnsi="Arial"/>
                <w:sz w:val="14"/>
                <w:szCs w:val="14"/>
                <w:color w:val="00497F"/>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2.62</w:t>
            </w:r>
          </w:p>
        </w:tc>
        <w:tc>
          <w:tcPr>
            <w:tcW w:w="140" w:type="dxa"/>
            <w:vAlign w:val="bottom"/>
            <w:shd w:val="clear" w:color="auto" w:fill="DBDBDB"/>
          </w:tcPr>
          <w:p>
            <w:pPr>
              <w:spacing w:after="0"/>
              <w:rPr>
                <w:sz w:val="17"/>
                <w:szCs w:val="17"/>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1"/>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17"/>
                <w:szCs w:val="17"/>
                <w:color w:val="auto"/>
              </w:rPr>
            </w:pPr>
          </w:p>
        </w:tc>
        <w:tc>
          <w:tcPr>
            <w:tcW w:w="280" w:type="dxa"/>
            <w:vAlign w:val="bottom"/>
            <w:shd w:val="clear" w:color="auto" w:fill="DBDBDB"/>
          </w:tcPr>
          <w:p>
            <w:pPr>
              <w:jc w:val="right"/>
              <w:ind w:right="111"/>
              <w:spacing w:after="0"/>
              <w:rPr>
                <w:sz w:val="20"/>
                <w:szCs w:val="20"/>
                <w:color w:val="auto"/>
              </w:rPr>
            </w:pPr>
            <w:r>
              <w:rPr>
                <w:rFonts w:ascii="Arial" w:cs="Arial" w:eastAsia="Arial" w:hAnsi="Arial"/>
                <w:sz w:val="14"/>
                <w:szCs w:val="14"/>
                <w:color w:val="00497F"/>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497F"/>
              </w:rPr>
              <w:t>9.79</w:t>
            </w:r>
          </w:p>
        </w:tc>
        <w:tc>
          <w:tcPr>
            <w:tcW w:w="140" w:type="dxa"/>
            <w:vAlign w:val="bottom"/>
            <w:shd w:val="clear" w:color="auto" w:fill="DBDBDB"/>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1"/>
              <w:spacing w:after="0"/>
              <w:rPr>
                <w:sz w:val="20"/>
                <w:szCs w:val="20"/>
                <w:color w:val="auto"/>
              </w:rPr>
            </w:pPr>
            <w:r>
              <w:rPr>
                <w:rFonts w:ascii="Arial" w:cs="Arial" w:eastAsia="Arial" w:hAnsi="Arial"/>
                <w:sz w:val="14"/>
                <w:szCs w:val="14"/>
                <w:color w:val="auto"/>
              </w:rPr>
              <w:t>13.30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57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-3063240</wp:posOffset>
            </wp:positionV>
            <wp:extent cx="706120" cy="517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6120" cy="517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447260"/>
        </w:rPr>
        <w:t>14</w:t>
      </w:r>
    </w:p>
    <w:p>
      <w:pPr>
        <w:sectPr>
          <w:pgSz w:w="11900" w:h="16838" w:orient="portrait"/>
          <w:cols w:equalWidth="0" w:num="1">
            <w:col w:w="11020"/>
          </w:cols>
          <w:pgMar w:left="320" w:top="1213" w:right="559" w:bottom="1440" w:gutter="0" w:footer="0" w:header="0"/>
        </w:sectPr>
      </w:pPr>
    </w:p>
    <w:bookmarkStart w:id="17" w:name="page18"/>
    <w:bookmarkEnd w:id="17"/>
    <w:p>
      <w:pPr>
        <w:jc w:val="center"/>
        <w:spacing w:after="0"/>
        <w:rPr>
          <w:sz w:val="20"/>
          <w:szCs w:val="20"/>
          <w:color w:val="auto"/>
        </w:rPr>
      </w:pPr>
      <w:r>
        <w:rPr>
          <w:rFonts w:ascii="Arial" w:cs="Arial" w:eastAsia="Arial" w:hAnsi="Arial"/>
          <w:sz w:val="21"/>
          <w:szCs w:val="21"/>
          <w:b w:val="1"/>
          <w:bCs w:val="1"/>
          <w:color w:val="1C5A7D"/>
        </w:rPr>
        <w:t>TABLE 4 (continued)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BIOGEN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GAAP TO NON-GAAP RECONCILIATION: REVENUE CHANGE AT CONSTANT CURRENCY</w:t>
      </w:r>
    </w:p>
    <w:p>
      <w:pPr>
        <w:jc w:val="center"/>
        <w:spacing w:after="0"/>
        <w:rPr>
          <w:sz w:val="20"/>
          <w:szCs w:val="20"/>
          <w:color w:val="auto"/>
        </w:rPr>
      </w:pPr>
      <w:r>
        <w:rPr>
          <w:rFonts w:ascii="Arial" w:cs="Arial" w:eastAsia="Arial" w:hAnsi="Arial"/>
          <w:sz w:val="17"/>
          <w:szCs w:val="17"/>
          <w:b w:val="1"/>
          <w:bCs w:val="1"/>
          <w:i w:val="1"/>
          <w:iCs w:val="1"/>
          <w:color w:val="1C5A7D"/>
        </w:rPr>
        <w:t>(unaudited)</w:t>
      </w:r>
    </w:p>
    <w:p>
      <w:pPr>
        <w:spacing w:after="0" w:line="99"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Revenue changes at constant currency are presented excluding the impact of changes in foreign currency exchange rates and hedging gains or losses. Foreign currency revenue values are converted into U.S. Dollars using the exchange rates from the end of the previous calendar year.</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1420" w:type="dxa"/>
            <w:vAlign w:val="bottom"/>
            <w:shd w:val="clear" w:color="auto" w:fill="DBDBDB"/>
          </w:tcPr>
          <w:p>
            <w:pPr>
              <w:jc w:val="center"/>
              <w:ind w:left="582"/>
              <w:spacing w:after="0"/>
              <w:rPr>
                <w:sz w:val="20"/>
                <w:szCs w:val="20"/>
                <w:color w:val="auto"/>
              </w:rPr>
            </w:pPr>
            <w:r>
              <w:rPr>
                <w:rFonts w:ascii="Arial" w:cs="Arial" w:eastAsia="Arial" w:hAnsi="Arial"/>
                <w:sz w:val="16"/>
                <w:szCs w:val="16"/>
                <w:b w:val="1"/>
                <w:bCs w:val="1"/>
                <w:color w:val="00497F"/>
                <w:w w:val="97"/>
              </w:rPr>
              <w:t>Q3 2026</w:t>
            </w:r>
          </w:p>
        </w:tc>
        <w:tc>
          <w:tcPr>
            <w:tcW w:w="4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shd w:val="clear" w:color="auto" w:fill="DBDBDB"/>
          </w:tcPr>
          <w:p>
            <w:pPr>
              <w:jc w:val="center"/>
              <w:spacing w:after="0"/>
              <w:rPr>
                <w:sz w:val="20"/>
                <w:szCs w:val="20"/>
                <w:color w:val="auto"/>
              </w:rPr>
            </w:pPr>
            <w:r>
              <w:rPr>
                <w:rFonts w:ascii="Arial" w:cs="Arial" w:eastAsia="Arial" w:hAnsi="Arial"/>
                <w:sz w:val="16"/>
                <w:szCs w:val="16"/>
                <w:b w:val="1"/>
                <w:bCs w:val="1"/>
                <w:color w:val="00497F"/>
                <w:w w:val="97"/>
              </w:rPr>
              <w:t>YTD 2026</w:t>
            </w:r>
          </w:p>
        </w:tc>
        <w:tc>
          <w:tcPr>
            <w:tcW w:w="0" w:type="dxa"/>
            <w:vAlign w:val="bottom"/>
          </w:tcPr>
          <w:p>
            <w:pPr>
              <w:spacing w:after="0"/>
              <w:rPr>
                <w:sz w:val="1"/>
                <w:szCs w:val="1"/>
                <w:color w:val="auto"/>
              </w:rPr>
            </w:pPr>
          </w:p>
        </w:tc>
      </w:tr>
      <w:tr>
        <w:trPr>
          <w:trHeight w:val="155"/>
        </w:trPr>
        <w:tc>
          <w:tcPr>
            <w:tcW w:w="7000" w:type="dxa"/>
            <w:vAlign w:val="bottom"/>
          </w:tcPr>
          <w:p>
            <w:pPr>
              <w:spacing w:after="0"/>
              <w:rPr>
                <w:sz w:val="13"/>
                <w:szCs w:val="13"/>
                <w:color w:val="auto"/>
              </w:rPr>
            </w:pPr>
          </w:p>
        </w:tc>
        <w:tc>
          <w:tcPr>
            <w:tcW w:w="1420" w:type="dxa"/>
            <w:vAlign w:val="bottom"/>
            <w:shd w:val="clear" w:color="auto" w:fill="DBDBDB"/>
          </w:tcPr>
          <w:p>
            <w:pPr>
              <w:jc w:val="center"/>
              <w:ind w:left="562"/>
              <w:spacing w:after="0" w:line="155" w:lineRule="exact"/>
              <w:rPr>
                <w:sz w:val="20"/>
                <w:szCs w:val="20"/>
                <w:color w:val="auto"/>
              </w:rPr>
            </w:pPr>
            <w:r>
              <w:rPr>
                <w:rFonts w:ascii="Arial" w:cs="Arial" w:eastAsia="Arial" w:hAnsi="Arial"/>
                <w:sz w:val="16"/>
                <w:szCs w:val="16"/>
                <w:b w:val="1"/>
                <w:bCs w:val="1"/>
                <w:color w:val="00497F"/>
                <w:w w:val="98"/>
              </w:rPr>
              <w:t>vs.</w:t>
            </w:r>
          </w:p>
        </w:tc>
        <w:tc>
          <w:tcPr>
            <w:tcW w:w="4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2"/>
            <w:shd w:val="clear" w:color="auto" w:fill="DBDBDB"/>
          </w:tcPr>
          <w:p>
            <w:pPr>
              <w:jc w:val="center"/>
              <w:spacing w:after="0" w:line="155" w:lineRule="exact"/>
              <w:rPr>
                <w:sz w:val="20"/>
                <w:szCs w:val="20"/>
                <w:color w:val="auto"/>
              </w:rPr>
            </w:pPr>
            <w:r>
              <w:rPr>
                <w:rFonts w:ascii="Arial" w:cs="Arial" w:eastAsia="Arial" w:hAnsi="Arial"/>
                <w:sz w:val="16"/>
                <w:szCs w:val="16"/>
                <w:b w:val="1"/>
                <w:bCs w:val="1"/>
                <w:color w:val="00497F"/>
                <w:w w:val="98"/>
              </w:rPr>
              <w:t>vs.</w:t>
            </w:r>
          </w:p>
        </w:tc>
        <w:tc>
          <w:tcPr>
            <w:tcW w:w="0" w:type="dxa"/>
            <w:vAlign w:val="bottom"/>
          </w:tcPr>
          <w:p>
            <w:pPr>
              <w:spacing w:after="0"/>
              <w:rPr>
                <w:sz w:val="1"/>
                <w:szCs w:val="1"/>
                <w:color w:val="auto"/>
              </w:rPr>
            </w:pPr>
          </w:p>
        </w:tc>
      </w:tr>
      <w:tr>
        <w:trPr>
          <w:trHeight w:val="207"/>
        </w:trPr>
        <w:tc>
          <w:tcPr>
            <w:tcW w:w="7000" w:type="dxa"/>
            <w:vAlign w:val="bottom"/>
            <w:vMerge w:val="restart"/>
          </w:tcPr>
          <w:p>
            <w:pPr>
              <w:spacing w:after="0"/>
              <w:rPr>
                <w:sz w:val="20"/>
                <w:szCs w:val="20"/>
                <w:color w:val="auto"/>
              </w:rPr>
            </w:pPr>
            <w:r>
              <w:rPr>
                <w:rFonts w:ascii="Arial" w:cs="Arial" w:eastAsia="Arial" w:hAnsi="Arial"/>
                <w:sz w:val="16"/>
                <w:szCs w:val="16"/>
                <w:b w:val="1"/>
                <w:bCs w:val="1"/>
                <w:color w:val="auto"/>
              </w:rPr>
              <w:t>Total Revenue:</w:t>
            </w:r>
          </w:p>
        </w:tc>
        <w:tc>
          <w:tcPr>
            <w:tcW w:w="1420" w:type="dxa"/>
            <w:vAlign w:val="bottom"/>
            <w:tcBorders>
              <w:bottom w:val="single" w:sz="8" w:color="auto"/>
            </w:tcBorders>
            <w:shd w:val="clear" w:color="auto" w:fill="DBDBDB"/>
          </w:tcPr>
          <w:p>
            <w:pPr>
              <w:jc w:val="center"/>
              <w:ind w:left="582"/>
              <w:spacing w:after="0"/>
              <w:rPr>
                <w:sz w:val="20"/>
                <w:szCs w:val="20"/>
                <w:color w:val="auto"/>
              </w:rPr>
            </w:pPr>
            <w:r>
              <w:rPr>
                <w:rFonts w:ascii="Arial" w:cs="Arial" w:eastAsia="Arial" w:hAnsi="Arial"/>
                <w:sz w:val="16"/>
                <w:szCs w:val="16"/>
                <w:b w:val="1"/>
                <w:bCs w:val="1"/>
                <w:color w:val="00497F"/>
                <w:w w:val="97"/>
              </w:rPr>
              <w:t>Q3 2025</w:t>
            </w:r>
          </w:p>
        </w:tc>
        <w:tc>
          <w:tcPr>
            <w:tcW w:w="480" w:type="dxa"/>
            <w:vAlign w:val="bottom"/>
            <w:tcBorders>
              <w:bottom w:val="single" w:sz="8" w:color="auto"/>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bottom w:val="single" w:sz="8" w:color="auto"/>
            </w:tcBorders>
            <w:gridSpan w:val="2"/>
            <w:shd w:val="clear" w:color="auto" w:fill="DBDBDB"/>
          </w:tcPr>
          <w:p>
            <w:pPr>
              <w:jc w:val="center"/>
              <w:spacing w:after="0"/>
              <w:rPr>
                <w:sz w:val="20"/>
                <w:szCs w:val="20"/>
                <w:color w:val="auto"/>
              </w:rPr>
            </w:pPr>
            <w:r>
              <w:rPr>
                <w:rFonts w:ascii="Arial" w:cs="Arial" w:eastAsia="Arial" w:hAnsi="Arial"/>
                <w:sz w:val="16"/>
                <w:szCs w:val="16"/>
                <w:b w:val="1"/>
                <w:bCs w:val="1"/>
                <w:color w:val="00497F"/>
                <w:w w:val="97"/>
              </w:rPr>
              <w:t>YTD 2025</w:t>
            </w:r>
          </w:p>
        </w:tc>
        <w:tc>
          <w:tcPr>
            <w:tcW w:w="0" w:type="dxa"/>
            <w:vAlign w:val="bottom"/>
          </w:tcPr>
          <w:p>
            <w:pPr>
              <w:spacing w:after="0"/>
              <w:rPr>
                <w:sz w:val="1"/>
                <w:szCs w:val="1"/>
                <w:color w:val="auto"/>
              </w:rPr>
            </w:pPr>
          </w:p>
        </w:tc>
      </w:tr>
      <w:tr>
        <w:trPr>
          <w:trHeight w:val="187"/>
        </w:trPr>
        <w:tc>
          <w:tcPr>
            <w:tcW w:w="7000" w:type="dxa"/>
            <w:vAlign w:val="bottom"/>
            <w:vMerge w:val="continue"/>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00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420" w:type="dxa"/>
            <w:vAlign w:val="bottom"/>
            <w:shd w:val="clear" w:color="auto" w:fill="DBDBDB"/>
          </w:tcPr>
          <w:p>
            <w:pPr>
              <w:spacing w:after="0"/>
              <w:rPr>
                <w:sz w:val="17"/>
                <w:szCs w:val="17"/>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10.6</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5.3</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07"/>
        </w:trPr>
        <w:tc>
          <w:tcPr>
            <w:tcW w:w="700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420" w:type="dxa"/>
            <w:vAlign w:val="bottom"/>
            <w:tcBorders>
              <w:bottom w:val="single" w:sz="8" w:color="auto"/>
            </w:tcBorders>
            <w:shd w:val="clear" w:color="auto" w:fill="DBDBDB"/>
          </w:tcPr>
          <w:p>
            <w:pPr>
              <w:spacing w:after="0"/>
              <w:rPr>
                <w:sz w:val="17"/>
                <w:szCs w:val="17"/>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0.4</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1.9</w:t>
            </w:r>
          </w:p>
        </w:tc>
        <w:tc>
          <w:tcPr>
            <w:tcW w:w="16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1420" w:type="dxa"/>
            <w:vAlign w:val="bottom"/>
            <w:shd w:val="clear" w:color="auto" w:fill="DBDBDB"/>
          </w:tcPr>
          <w:p>
            <w:pPr>
              <w:spacing w:after="0"/>
              <w:rPr>
                <w:sz w:val="17"/>
                <w:szCs w:val="17"/>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10.2</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3.4</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60"/>
        </w:trPr>
        <w:tc>
          <w:tcPr>
            <w:tcW w:w="7000" w:type="dxa"/>
            <w:vAlign w:val="bottom"/>
          </w:tcPr>
          <w:p>
            <w:pPr>
              <w:spacing w:after="0"/>
              <w:rPr>
                <w:sz w:val="20"/>
                <w:szCs w:val="20"/>
                <w:color w:val="auto"/>
              </w:rPr>
            </w:pPr>
            <w:r>
              <w:rPr>
                <w:rFonts w:ascii="Arial" w:cs="Arial" w:eastAsia="Arial" w:hAnsi="Arial"/>
                <w:sz w:val="16"/>
                <w:szCs w:val="16"/>
                <w:b w:val="1"/>
                <w:bCs w:val="1"/>
                <w:color w:val="auto"/>
              </w:rPr>
              <w:t>Total Product Revenue:</w:t>
            </w:r>
          </w:p>
        </w:tc>
        <w:tc>
          <w:tcPr>
            <w:tcW w:w="1420" w:type="dxa"/>
            <w:vAlign w:val="bottom"/>
            <w:shd w:val="clear" w:color="auto" w:fill="DBDBDB"/>
          </w:tcPr>
          <w:p>
            <w:pPr>
              <w:spacing w:after="0"/>
              <w:rPr>
                <w:sz w:val="22"/>
                <w:szCs w:val="22"/>
                <w:color w:val="auto"/>
              </w:rPr>
            </w:pPr>
          </w:p>
        </w:tc>
        <w:tc>
          <w:tcPr>
            <w:tcW w:w="48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00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420" w:type="dxa"/>
            <w:vAlign w:val="bottom"/>
            <w:shd w:val="clear" w:color="auto" w:fill="DBDBDB"/>
          </w:tcPr>
          <w:p>
            <w:pPr>
              <w:spacing w:after="0"/>
              <w:rPr>
                <w:sz w:val="17"/>
                <w:szCs w:val="17"/>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13.1</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5.6</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07"/>
        </w:trPr>
        <w:tc>
          <w:tcPr>
            <w:tcW w:w="700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420" w:type="dxa"/>
            <w:vAlign w:val="bottom"/>
            <w:tcBorders>
              <w:bottom w:val="single" w:sz="8" w:color="auto"/>
            </w:tcBorders>
            <w:shd w:val="clear" w:color="auto" w:fill="DBDBDB"/>
          </w:tcPr>
          <w:p>
            <w:pPr>
              <w:spacing w:after="0"/>
              <w:rPr>
                <w:sz w:val="17"/>
                <w:szCs w:val="17"/>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0.6</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2.3</w:t>
            </w:r>
          </w:p>
        </w:tc>
        <w:tc>
          <w:tcPr>
            <w:tcW w:w="16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1420" w:type="dxa"/>
            <w:vAlign w:val="bottom"/>
            <w:shd w:val="clear" w:color="auto" w:fill="DBDBDB"/>
          </w:tcPr>
          <w:p>
            <w:pPr>
              <w:spacing w:after="0"/>
              <w:rPr>
                <w:sz w:val="17"/>
                <w:szCs w:val="17"/>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12.5</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3.3</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60"/>
        </w:trPr>
        <w:tc>
          <w:tcPr>
            <w:tcW w:w="7000" w:type="dxa"/>
            <w:vAlign w:val="bottom"/>
          </w:tcPr>
          <w:p>
            <w:pPr>
              <w:spacing w:after="0"/>
              <w:rPr>
                <w:sz w:val="20"/>
                <w:szCs w:val="20"/>
                <w:color w:val="auto"/>
              </w:rPr>
            </w:pPr>
            <w:r>
              <w:rPr>
                <w:rFonts w:ascii="Arial" w:cs="Arial" w:eastAsia="Arial" w:hAnsi="Arial"/>
                <w:sz w:val="16"/>
                <w:szCs w:val="16"/>
                <w:b w:val="1"/>
                <w:bCs w:val="1"/>
                <w:color w:val="auto"/>
              </w:rPr>
              <w:t>Total MS Product Revenue:</w:t>
            </w:r>
          </w:p>
        </w:tc>
        <w:tc>
          <w:tcPr>
            <w:tcW w:w="1420" w:type="dxa"/>
            <w:vAlign w:val="bottom"/>
            <w:shd w:val="clear" w:color="auto" w:fill="DBDBDB"/>
          </w:tcPr>
          <w:p>
            <w:pPr>
              <w:spacing w:after="0"/>
              <w:rPr>
                <w:sz w:val="22"/>
                <w:szCs w:val="22"/>
                <w:color w:val="auto"/>
              </w:rPr>
            </w:pPr>
          </w:p>
        </w:tc>
        <w:tc>
          <w:tcPr>
            <w:tcW w:w="48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700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420" w:type="dxa"/>
            <w:vAlign w:val="bottom"/>
            <w:shd w:val="clear" w:color="auto" w:fill="DBDBDB"/>
          </w:tcPr>
          <w:p>
            <w:pPr>
              <w:spacing w:after="0"/>
              <w:rPr>
                <w:sz w:val="17"/>
                <w:szCs w:val="17"/>
                <w:color w:val="auto"/>
              </w:rPr>
            </w:pPr>
          </w:p>
        </w:tc>
        <w:tc>
          <w:tcPr>
            <w:tcW w:w="6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00497F"/>
              </w:rPr>
              <w:t>(13.4)%</w:t>
            </w:r>
          </w:p>
        </w:tc>
        <w:tc>
          <w:tcPr>
            <w:tcW w:w="100" w:type="dxa"/>
            <w:vAlign w:val="bottom"/>
          </w:tcPr>
          <w:p>
            <w:pPr>
              <w:spacing w:after="0"/>
              <w:rPr>
                <w:sz w:val="17"/>
                <w:szCs w:val="17"/>
                <w:color w:val="auto"/>
              </w:rPr>
            </w:pPr>
          </w:p>
        </w:tc>
        <w:tc>
          <w:tcPr>
            <w:tcW w:w="20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00497F"/>
              </w:rPr>
              <w:t>(9.0)%</w:t>
            </w:r>
          </w:p>
        </w:tc>
        <w:tc>
          <w:tcPr>
            <w:tcW w:w="0" w:type="dxa"/>
            <w:vAlign w:val="bottom"/>
          </w:tcPr>
          <w:p>
            <w:pPr>
              <w:spacing w:after="0"/>
              <w:rPr>
                <w:sz w:val="1"/>
                <w:szCs w:val="1"/>
                <w:color w:val="auto"/>
              </w:rPr>
            </w:pPr>
          </w:p>
        </w:tc>
      </w:tr>
      <w:tr>
        <w:trPr>
          <w:trHeight w:val="205"/>
        </w:trPr>
        <w:tc>
          <w:tcPr>
            <w:tcW w:w="700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4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497F"/>
              </w:rPr>
              <w:t>(0.1)</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497F"/>
              </w:rPr>
              <w:t>1.5</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14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00497F"/>
              </w:rPr>
              <w:t>(13.3)%</w:t>
            </w:r>
          </w:p>
        </w:tc>
        <w:tc>
          <w:tcPr>
            <w:tcW w:w="100" w:type="dxa"/>
            <w:vAlign w:val="bottom"/>
          </w:tcPr>
          <w:p>
            <w:pPr>
              <w:spacing w:after="0"/>
              <w:rPr>
                <w:sz w:val="17"/>
                <w:szCs w:val="17"/>
                <w:color w:val="auto"/>
              </w:rPr>
            </w:pPr>
          </w:p>
        </w:tc>
        <w:tc>
          <w:tcPr>
            <w:tcW w:w="2060" w:type="dxa"/>
            <w:vAlign w:val="bottom"/>
            <w:gridSpan w:val="2"/>
          </w:tcPr>
          <w:p>
            <w:pPr>
              <w:jc w:val="right"/>
              <w:spacing w:after="0"/>
              <w:rPr>
                <w:sz w:val="20"/>
                <w:szCs w:val="20"/>
                <w:color w:val="auto"/>
              </w:rPr>
            </w:pPr>
            <w:r>
              <w:rPr>
                <w:rFonts w:ascii="Arial" w:cs="Arial" w:eastAsia="Arial" w:hAnsi="Arial"/>
                <w:sz w:val="16"/>
                <w:szCs w:val="16"/>
                <w:color w:val="00497F"/>
              </w:rPr>
              <w:t>(10.5)%</w:t>
            </w:r>
          </w:p>
        </w:tc>
        <w:tc>
          <w:tcPr>
            <w:tcW w:w="0" w:type="dxa"/>
            <w:vAlign w:val="bottom"/>
          </w:tcPr>
          <w:p>
            <w:pPr>
              <w:spacing w:after="0"/>
              <w:rPr>
                <w:sz w:val="1"/>
                <w:szCs w:val="1"/>
                <w:color w:val="auto"/>
              </w:rPr>
            </w:pPr>
          </w:p>
        </w:tc>
      </w:tr>
      <w:tr>
        <w:trPr>
          <w:trHeight w:val="260"/>
        </w:trPr>
        <w:tc>
          <w:tcPr>
            <w:tcW w:w="7000" w:type="dxa"/>
            <w:vAlign w:val="bottom"/>
          </w:tcPr>
          <w:p>
            <w:pPr>
              <w:spacing w:after="0"/>
              <w:rPr>
                <w:sz w:val="20"/>
                <w:szCs w:val="20"/>
                <w:color w:val="auto"/>
              </w:rPr>
            </w:pPr>
            <w:r>
              <w:rPr>
                <w:rFonts w:ascii="Arial" w:cs="Arial" w:eastAsia="Arial" w:hAnsi="Arial"/>
                <w:sz w:val="16"/>
                <w:szCs w:val="16"/>
                <w:b w:val="1"/>
                <w:bCs w:val="1"/>
                <w:color w:val="auto"/>
              </w:rPr>
              <w:t>Total Rare Disease Revenue</w:t>
            </w:r>
          </w:p>
        </w:tc>
        <w:tc>
          <w:tcPr>
            <w:tcW w:w="1420" w:type="dxa"/>
            <w:vAlign w:val="bottom"/>
            <w:shd w:val="clear" w:color="auto" w:fill="DBDBDB"/>
          </w:tcPr>
          <w:p>
            <w:pPr>
              <w:spacing w:after="0"/>
              <w:rPr>
                <w:sz w:val="22"/>
                <w:szCs w:val="22"/>
                <w:color w:val="auto"/>
              </w:rPr>
            </w:pPr>
          </w:p>
        </w:tc>
        <w:tc>
          <w:tcPr>
            <w:tcW w:w="48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00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420" w:type="dxa"/>
            <w:vAlign w:val="bottom"/>
            <w:shd w:val="clear" w:color="auto" w:fill="DBDBDB"/>
          </w:tcPr>
          <w:p>
            <w:pPr>
              <w:spacing w:after="0"/>
              <w:rPr>
                <w:sz w:val="17"/>
                <w:szCs w:val="17"/>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26.8</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11.9</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07"/>
        </w:trPr>
        <w:tc>
          <w:tcPr>
            <w:tcW w:w="700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420" w:type="dxa"/>
            <w:vAlign w:val="bottom"/>
            <w:tcBorders>
              <w:bottom w:val="single" w:sz="8" w:color="auto"/>
            </w:tcBorders>
            <w:shd w:val="clear" w:color="auto" w:fill="DBDBDB"/>
          </w:tcPr>
          <w:p>
            <w:pPr>
              <w:spacing w:after="0"/>
              <w:rPr>
                <w:sz w:val="17"/>
                <w:szCs w:val="17"/>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(0.1)</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2.1</w:t>
            </w:r>
          </w:p>
        </w:tc>
        <w:tc>
          <w:tcPr>
            <w:tcW w:w="16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1420" w:type="dxa"/>
            <w:vAlign w:val="bottom"/>
            <w:shd w:val="clear" w:color="auto" w:fill="DBDBDB"/>
          </w:tcPr>
          <w:p>
            <w:pPr>
              <w:spacing w:after="0"/>
              <w:rPr>
                <w:sz w:val="17"/>
                <w:szCs w:val="17"/>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26.9</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9.8</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60"/>
        </w:trPr>
        <w:tc>
          <w:tcPr>
            <w:tcW w:w="7000" w:type="dxa"/>
            <w:vAlign w:val="bottom"/>
          </w:tcPr>
          <w:p>
            <w:pPr>
              <w:spacing w:after="0"/>
              <w:rPr>
                <w:sz w:val="20"/>
                <w:szCs w:val="20"/>
                <w:color w:val="auto"/>
              </w:rPr>
            </w:pPr>
            <w:r>
              <w:rPr>
                <w:rFonts w:ascii="Arial" w:cs="Arial" w:eastAsia="Arial" w:hAnsi="Arial"/>
                <w:sz w:val="16"/>
                <w:szCs w:val="16"/>
                <w:b w:val="1"/>
                <w:bCs w:val="1"/>
                <w:color w:val="auto"/>
              </w:rPr>
              <w:t>Total Biosimilars Product Revenue:</w:t>
            </w:r>
          </w:p>
        </w:tc>
        <w:tc>
          <w:tcPr>
            <w:tcW w:w="1420" w:type="dxa"/>
            <w:vAlign w:val="bottom"/>
            <w:shd w:val="clear" w:color="auto" w:fill="DBDBDB"/>
          </w:tcPr>
          <w:p>
            <w:pPr>
              <w:spacing w:after="0"/>
              <w:rPr>
                <w:sz w:val="22"/>
                <w:szCs w:val="22"/>
                <w:color w:val="auto"/>
              </w:rPr>
            </w:pPr>
          </w:p>
        </w:tc>
        <w:tc>
          <w:tcPr>
            <w:tcW w:w="48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700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420" w:type="dxa"/>
            <w:vAlign w:val="bottom"/>
            <w:shd w:val="clear" w:color="auto" w:fill="DBDBDB"/>
          </w:tcPr>
          <w:p>
            <w:pPr>
              <w:spacing w:after="0"/>
              <w:rPr>
                <w:sz w:val="17"/>
                <w:szCs w:val="17"/>
                <w:color w:val="auto"/>
              </w:rPr>
            </w:pPr>
          </w:p>
        </w:tc>
        <w:tc>
          <w:tcPr>
            <w:tcW w:w="6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00497F"/>
              </w:rPr>
              <w:t>(15.7)%</w:t>
            </w:r>
          </w:p>
        </w:tc>
        <w:tc>
          <w:tcPr>
            <w:tcW w:w="100" w:type="dxa"/>
            <w:vAlign w:val="bottom"/>
          </w:tcPr>
          <w:p>
            <w:pPr>
              <w:spacing w:after="0"/>
              <w:rPr>
                <w:sz w:val="17"/>
                <w:szCs w:val="17"/>
                <w:color w:val="auto"/>
              </w:rPr>
            </w:pPr>
          </w:p>
        </w:tc>
        <w:tc>
          <w:tcPr>
            <w:tcW w:w="20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00497F"/>
              </w:rPr>
              <w:t>(10.4)%</w:t>
            </w:r>
          </w:p>
        </w:tc>
        <w:tc>
          <w:tcPr>
            <w:tcW w:w="0" w:type="dxa"/>
            <w:vAlign w:val="bottom"/>
          </w:tcPr>
          <w:p>
            <w:pPr>
              <w:spacing w:after="0"/>
              <w:rPr>
                <w:sz w:val="1"/>
                <w:szCs w:val="1"/>
                <w:color w:val="auto"/>
              </w:rPr>
            </w:pPr>
          </w:p>
        </w:tc>
      </w:tr>
      <w:tr>
        <w:trPr>
          <w:trHeight w:val="205"/>
        </w:trPr>
        <w:tc>
          <w:tcPr>
            <w:tcW w:w="700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4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497F"/>
              </w:rPr>
              <w:t>3.5</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497F"/>
              </w:rPr>
              <w:t>4.9</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14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00497F"/>
              </w:rPr>
              <w:t>(19.2)%</w:t>
            </w:r>
          </w:p>
        </w:tc>
        <w:tc>
          <w:tcPr>
            <w:tcW w:w="100" w:type="dxa"/>
            <w:vAlign w:val="bottom"/>
          </w:tcPr>
          <w:p>
            <w:pPr>
              <w:spacing w:after="0"/>
              <w:rPr>
                <w:sz w:val="17"/>
                <w:szCs w:val="17"/>
                <w:color w:val="auto"/>
              </w:rPr>
            </w:pPr>
          </w:p>
        </w:tc>
        <w:tc>
          <w:tcPr>
            <w:tcW w:w="2060" w:type="dxa"/>
            <w:vAlign w:val="bottom"/>
            <w:gridSpan w:val="2"/>
          </w:tcPr>
          <w:p>
            <w:pPr>
              <w:jc w:val="right"/>
              <w:spacing w:after="0"/>
              <w:rPr>
                <w:sz w:val="20"/>
                <w:szCs w:val="20"/>
                <w:color w:val="auto"/>
              </w:rPr>
            </w:pPr>
            <w:r>
              <w:rPr>
                <w:rFonts w:ascii="Arial" w:cs="Arial" w:eastAsia="Arial" w:hAnsi="Arial"/>
                <w:sz w:val="16"/>
                <w:szCs w:val="16"/>
                <w:color w:val="00497F"/>
              </w:rPr>
              <w:t>(15.3)%</w:t>
            </w:r>
          </w:p>
        </w:tc>
        <w:tc>
          <w:tcPr>
            <w:tcW w:w="0" w:type="dxa"/>
            <w:vAlign w:val="bottom"/>
          </w:tcPr>
          <w:p>
            <w:pPr>
              <w:spacing w:after="0"/>
              <w:rPr>
                <w:sz w:val="1"/>
                <w:szCs w:val="1"/>
                <w:color w:val="auto"/>
              </w:rPr>
            </w:pPr>
          </w:p>
        </w:tc>
      </w:tr>
      <w:tr>
        <w:trPr>
          <w:trHeight w:val="260"/>
        </w:trPr>
        <w:tc>
          <w:tcPr>
            <w:tcW w:w="7000" w:type="dxa"/>
            <w:vAlign w:val="bottom"/>
          </w:tcPr>
          <w:p>
            <w:pPr>
              <w:spacing w:after="0"/>
              <w:rPr>
                <w:sz w:val="20"/>
                <w:szCs w:val="20"/>
                <w:color w:val="auto"/>
              </w:rPr>
            </w:pPr>
            <w:r>
              <w:rPr>
                <w:rFonts w:ascii="Arial" w:cs="Arial" w:eastAsia="Arial" w:hAnsi="Arial"/>
                <w:sz w:val="16"/>
                <w:szCs w:val="16"/>
                <w:b w:val="1"/>
                <w:bCs w:val="1"/>
                <w:color w:val="auto"/>
              </w:rPr>
              <w:t>Total Other Product Revenue:</w:t>
            </w:r>
          </w:p>
        </w:tc>
        <w:tc>
          <w:tcPr>
            <w:tcW w:w="1420" w:type="dxa"/>
            <w:vAlign w:val="bottom"/>
            <w:shd w:val="clear" w:color="auto" w:fill="DBDBDB"/>
          </w:tcPr>
          <w:p>
            <w:pPr>
              <w:spacing w:after="0"/>
              <w:rPr>
                <w:sz w:val="22"/>
                <w:szCs w:val="22"/>
                <w:color w:val="auto"/>
              </w:rPr>
            </w:pPr>
          </w:p>
        </w:tc>
        <w:tc>
          <w:tcPr>
            <w:tcW w:w="48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00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420" w:type="dxa"/>
            <w:vAlign w:val="bottom"/>
            <w:shd w:val="clear" w:color="auto" w:fill="DBDBDB"/>
          </w:tcPr>
          <w:p>
            <w:pPr>
              <w:spacing w:after="0"/>
              <w:rPr>
                <w:sz w:val="17"/>
                <w:szCs w:val="17"/>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52.6</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60.2</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07"/>
        </w:trPr>
        <w:tc>
          <w:tcPr>
            <w:tcW w:w="700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420" w:type="dxa"/>
            <w:vAlign w:val="bottom"/>
            <w:tcBorders>
              <w:bottom w:val="single" w:sz="8" w:color="auto"/>
            </w:tcBorders>
            <w:shd w:val="clear" w:color="auto" w:fill="DBDBDB"/>
          </w:tcPr>
          <w:p>
            <w:pPr>
              <w:spacing w:after="0"/>
              <w:rPr>
                <w:sz w:val="17"/>
                <w:szCs w:val="17"/>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0.2</w:t>
            </w:r>
          </w:p>
        </w:tc>
        <w:tc>
          <w:tcPr>
            <w:tcW w:w="16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1420" w:type="dxa"/>
            <w:vAlign w:val="bottom"/>
            <w:shd w:val="clear" w:color="auto" w:fill="DBDBDB"/>
          </w:tcPr>
          <w:p>
            <w:pPr>
              <w:spacing w:after="0"/>
              <w:rPr>
                <w:sz w:val="17"/>
                <w:szCs w:val="17"/>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52.6</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60.0</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60"/>
        </w:trPr>
        <w:tc>
          <w:tcPr>
            <w:tcW w:w="7000" w:type="dxa"/>
            <w:vAlign w:val="bottom"/>
          </w:tcPr>
          <w:p>
            <w:pPr>
              <w:spacing w:after="0"/>
              <w:rPr>
                <w:sz w:val="20"/>
                <w:szCs w:val="20"/>
                <w:color w:val="auto"/>
              </w:rPr>
            </w:pPr>
            <w:r>
              <w:rPr>
                <w:rFonts w:ascii="Arial" w:cs="Arial" w:eastAsia="Arial" w:hAnsi="Arial"/>
                <w:sz w:val="16"/>
                <w:szCs w:val="16"/>
                <w:b w:val="1"/>
                <w:bCs w:val="1"/>
                <w:color w:val="auto"/>
              </w:rPr>
              <w:t>Total Revenue from Anti-CD20 Therapeutic Programs Revenue:</w:t>
            </w:r>
          </w:p>
        </w:tc>
        <w:tc>
          <w:tcPr>
            <w:tcW w:w="1420" w:type="dxa"/>
            <w:vAlign w:val="bottom"/>
            <w:shd w:val="clear" w:color="auto" w:fill="DBDBDB"/>
          </w:tcPr>
          <w:p>
            <w:pPr>
              <w:spacing w:after="0"/>
              <w:rPr>
                <w:sz w:val="22"/>
                <w:szCs w:val="22"/>
                <w:color w:val="auto"/>
              </w:rPr>
            </w:pPr>
          </w:p>
        </w:tc>
        <w:tc>
          <w:tcPr>
            <w:tcW w:w="48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00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420" w:type="dxa"/>
            <w:vAlign w:val="bottom"/>
            <w:shd w:val="clear" w:color="auto" w:fill="DBDBDB"/>
          </w:tcPr>
          <w:p>
            <w:pPr>
              <w:spacing w:after="0"/>
              <w:rPr>
                <w:sz w:val="17"/>
                <w:szCs w:val="17"/>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0.7</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6.8</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07"/>
        </w:trPr>
        <w:tc>
          <w:tcPr>
            <w:tcW w:w="700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420" w:type="dxa"/>
            <w:vAlign w:val="bottom"/>
            <w:tcBorders>
              <w:bottom w:val="single" w:sz="8" w:color="auto"/>
            </w:tcBorders>
            <w:shd w:val="clear" w:color="auto" w:fill="DBDBDB"/>
          </w:tcPr>
          <w:p>
            <w:pPr>
              <w:spacing w:after="0"/>
              <w:rPr>
                <w:sz w:val="17"/>
                <w:szCs w:val="17"/>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0.1</w:t>
            </w:r>
          </w:p>
        </w:tc>
        <w:tc>
          <w:tcPr>
            <w:tcW w:w="16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1420" w:type="dxa"/>
            <w:vAlign w:val="bottom"/>
            <w:shd w:val="clear" w:color="auto" w:fill="DBDBDB"/>
          </w:tcPr>
          <w:p>
            <w:pPr>
              <w:spacing w:after="0"/>
              <w:rPr>
                <w:sz w:val="17"/>
                <w:szCs w:val="17"/>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0.7</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6.7</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60"/>
        </w:trPr>
        <w:tc>
          <w:tcPr>
            <w:tcW w:w="7000" w:type="dxa"/>
            <w:vAlign w:val="bottom"/>
          </w:tcPr>
          <w:p>
            <w:pPr>
              <w:spacing w:after="0"/>
              <w:rPr>
                <w:sz w:val="20"/>
                <w:szCs w:val="20"/>
                <w:color w:val="auto"/>
              </w:rPr>
            </w:pPr>
            <w:r>
              <w:rPr>
                <w:rFonts w:ascii="Arial" w:cs="Arial" w:eastAsia="Arial" w:hAnsi="Arial"/>
                <w:sz w:val="16"/>
                <w:szCs w:val="16"/>
                <w:b w:val="1"/>
                <w:bCs w:val="1"/>
                <w:color w:val="auto"/>
              </w:rPr>
              <w:t>Total Revenue from Alzheimer's Collaboration Revenue:</w:t>
            </w:r>
          </w:p>
        </w:tc>
        <w:tc>
          <w:tcPr>
            <w:tcW w:w="1420" w:type="dxa"/>
            <w:vAlign w:val="bottom"/>
            <w:shd w:val="clear" w:color="auto" w:fill="DBDBDB"/>
          </w:tcPr>
          <w:p>
            <w:pPr>
              <w:spacing w:after="0"/>
              <w:rPr>
                <w:sz w:val="22"/>
                <w:szCs w:val="22"/>
                <w:color w:val="auto"/>
              </w:rPr>
            </w:pPr>
          </w:p>
        </w:tc>
        <w:tc>
          <w:tcPr>
            <w:tcW w:w="48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00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420" w:type="dxa"/>
            <w:vAlign w:val="bottom"/>
            <w:shd w:val="clear" w:color="auto" w:fill="DBDBDB"/>
          </w:tcPr>
          <w:p>
            <w:pPr>
              <w:spacing w:after="0"/>
              <w:rPr>
                <w:sz w:val="17"/>
                <w:szCs w:val="17"/>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60.2</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46.7</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07"/>
        </w:trPr>
        <w:tc>
          <w:tcPr>
            <w:tcW w:w="700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420" w:type="dxa"/>
            <w:vAlign w:val="bottom"/>
            <w:tcBorders>
              <w:bottom w:val="single" w:sz="8" w:color="auto"/>
            </w:tcBorders>
            <w:shd w:val="clear" w:color="auto" w:fill="DBDBDB"/>
          </w:tcPr>
          <w:p>
            <w:pPr>
              <w:spacing w:after="0"/>
              <w:rPr>
                <w:sz w:val="17"/>
                <w:szCs w:val="17"/>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w:t>
            </w:r>
          </w:p>
        </w:tc>
        <w:tc>
          <w:tcPr>
            <w:tcW w:w="16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1420" w:type="dxa"/>
            <w:vAlign w:val="bottom"/>
            <w:shd w:val="clear" w:color="auto" w:fill="DBDBDB"/>
          </w:tcPr>
          <w:p>
            <w:pPr>
              <w:spacing w:after="0"/>
              <w:rPr>
                <w:sz w:val="17"/>
                <w:szCs w:val="17"/>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60.2</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100" w:type="dxa"/>
            <w:vAlign w:val="bottom"/>
          </w:tcPr>
          <w:p>
            <w:pPr>
              <w:spacing w:after="0"/>
              <w:rPr>
                <w:sz w:val="17"/>
                <w:szCs w:val="17"/>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46.7</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00497F"/>
                <w:w w:val="84"/>
              </w:rPr>
              <w:t>%</w:t>
            </w:r>
          </w:p>
        </w:tc>
        <w:tc>
          <w:tcPr>
            <w:tcW w:w="0" w:type="dxa"/>
            <w:vAlign w:val="bottom"/>
          </w:tcPr>
          <w:p>
            <w:pPr>
              <w:spacing w:after="0"/>
              <w:rPr>
                <w:sz w:val="1"/>
                <w:szCs w:val="1"/>
                <w:color w:val="auto"/>
              </w:rPr>
            </w:pPr>
          </w:p>
        </w:tc>
      </w:tr>
      <w:tr>
        <w:trPr>
          <w:trHeight w:val="260"/>
        </w:trPr>
        <w:tc>
          <w:tcPr>
            <w:tcW w:w="7000" w:type="dxa"/>
            <w:vAlign w:val="bottom"/>
          </w:tcPr>
          <w:p>
            <w:pPr>
              <w:spacing w:after="0"/>
              <w:rPr>
                <w:sz w:val="20"/>
                <w:szCs w:val="20"/>
                <w:color w:val="auto"/>
              </w:rPr>
            </w:pPr>
            <w:r>
              <w:rPr>
                <w:rFonts w:ascii="Arial" w:cs="Arial" w:eastAsia="Arial" w:hAnsi="Arial"/>
                <w:sz w:val="16"/>
                <w:szCs w:val="16"/>
                <w:b w:val="1"/>
                <w:bCs w:val="1"/>
                <w:color w:val="auto"/>
              </w:rPr>
              <w:t>Total Contract Manufacturing, Royalty and Other Revenue:</w:t>
            </w:r>
          </w:p>
        </w:tc>
        <w:tc>
          <w:tcPr>
            <w:tcW w:w="1420" w:type="dxa"/>
            <w:vAlign w:val="bottom"/>
            <w:shd w:val="clear" w:color="auto" w:fill="DBDBDB"/>
          </w:tcPr>
          <w:p>
            <w:pPr>
              <w:spacing w:after="0"/>
              <w:rPr>
                <w:sz w:val="22"/>
                <w:szCs w:val="22"/>
                <w:color w:val="auto"/>
              </w:rPr>
            </w:pPr>
          </w:p>
        </w:tc>
        <w:tc>
          <w:tcPr>
            <w:tcW w:w="48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7000" w:type="dxa"/>
            <w:vAlign w:val="bottom"/>
          </w:tcPr>
          <w:p>
            <w:pPr>
              <w:ind w:left="120"/>
              <w:spacing w:after="0"/>
              <w:rPr>
                <w:sz w:val="20"/>
                <w:szCs w:val="20"/>
                <w:color w:val="auto"/>
              </w:rPr>
            </w:pPr>
            <w:r>
              <w:rPr>
                <w:rFonts w:ascii="Arial" w:cs="Arial" w:eastAsia="Arial" w:hAnsi="Arial"/>
                <w:sz w:val="16"/>
                <w:szCs w:val="16"/>
                <w:color w:val="auto"/>
              </w:rPr>
              <w:t>Revenue change, as reported</w:t>
            </w:r>
          </w:p>
        </w:tc>
        <w:tc>
          <w:tcPr>
            <w:tcW w:w="1420" w:type="dxa"/>
            <w:vAlign w:val="bottom"/>
            <w:shd w:val="clear" w:color="auto" w:fill="DBDBDB"/>
          </w:tcPr>
          <w:p>
            <w:pPr>
              <w:spacing w:after="0"/>
              <w:rPr>
                <w:sz w:val="17"/>
                <w:szCs w:val="17"/>
                <w:color w:val="auto"/>
              </w:rPr>
            </w:pPr>
          </w:p>
        </w:tc>
        <w:tc>
          <w:tcPr>
            <w:tcW w:w="6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00497F"/>
              </w:rPr>
              <w:t>(1.0)%</w:t>
            </w:r>
          </w:p>
        </w:tc>
        <w:tc>
          <w:tcPr>
            <w:tcW w:w="100" w:type="dxa"/>
            <w:vAlign w:val="bottom"/>
          </w:tcPr>
          <w:p>
            <w:pPr>
              <w:spacing w:after="0"/>
              <w:rPr>
                <w:sz w:val="17"/>
                <w:szCs w:val="17"/>
                <w:color w:val="auto"/>
              </w:rPr>
            </w:pPr>
          </w:p>
        </w:tc>
        <w:tc>
          <w:tcPr>
            <w:tcW w:w="20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00497F"/>
              </w:rPr>
              <w:t>(7.3)%</w:t>
            </w:r>
          </w:p>
        </w:tc>
        <w:tc>
          <w:tcPr>
            <w:tcW w:w="0" w:type="dxa"/>
            <w:vAlign w:val="bottom"/>
          </w:tcPr>
          <w:p>
            <w:pPr>
              <w:spacing w:after="0"/>
              <w:rPr>
                <w:sz w:val="1"/>
                <w:szCs w:val="1"/>
                <w:color w:val="auto"/>
              </w:rPr>
            </w:pPr>
          </w:p>
        </w:tc>
      </w:tr>
      <w:tr>
        <w:trPr>
          <w:trHeight w:val="205"/>
        </w:trPr>
        <w:tc>
          <w:tcPr>
            <w:tcW w:w="7000" w:type="dxa"/>
            <w:vAlign w:val="bottom"/>
          </w:tcPr>
          <w:p>
            <w:pPr>
              <w:ind w:left="120"/>
              <w:spacing w:after="0"/>
              <w:rPr>
                <w:sz w:val="20"/>
                <w:szCs w:val="20"/>
                <w:color w:val="auto"/>
              </w:rPr>
            </w:pPr>
            <w:r>
              <w:rPr>
                <w:rFonts w:ascii="Arial" w:cs="Arial" w:eastAsia="Arial" w:hAnsi="Arial"/>
                <w:sz w:val="16"/>
                <w:szCs w:val="16"/>
                <w:color w:val="auto"/>
              </w:rPr>
              <w:t>Less: impact of foreign currency translation and hedging gains / losses</w:t>
            </w:r>
          </w:p>
        </w:tc>
        <w:tc>
          <w:tcPr>
            <w:tcW w:w="14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497F"/>
              </w:rPr>
              <w:t>0.1</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497F"/>
              </w:rPr>
              <w:t>3.4</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0" w:type="dxa"/>
            <w:vAlign w:val="bottom"/>
          </w:tcPr>
          <w:p>
            <w:pPr>
              <w:ind w:left="220"/>
              <w:spacing w:after="0"/>
              <w:rPr>
                <w:sz w:val="20"/>
                <w:szCs w:val="20"/>
                <w:color w:val="auto"/>
              </w:rPr>
            </w:pPr>
            <w:r>
              <w:rPr>
                <w:rFonts w:ascii="Arial" w:cs="Arial" w:eastAsia="Arial" w:hAnsi="Arial"/>
                <w:sz w:val="16"/>
                <w:szCs w:val="16"/>
                <w:color w:val="auto"/>
              </w:rPr>
              <w:t>Revenue change at constant currency</w:t>
            </w:r>
          </w:p>
        </w:tc>
        <w:tc>
          <w:tcPr>
            <w:tcW w:w="14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00497F"/>
              </w:rPr>
              <w:t>(1.1)%</w:t>
            </w:r>
          </w:p>
        </w:tc>
        <w:tc>
          <w:tcPr>
            <w:tcW w:w="100" w:type="dxa"/>
            <w:vAlign w:val="bottom"/>
          </w:tcPr>
          <w:p>
            <w:pPr>
              <w:spacing w:after="0"/>
              <w:rPr>
                <w:sz w:val="17"/>
                <w:szCs w:val="17"/>
                <w:color w:val="auto"/>
              </w:rPr>
            </w:pPr>
          </w:p>
        </w:tc>
        <w:tc>
          <w:tcPr>
            <w:tcW w:w="2060" w:type="dxa"/>
            <w:vAlign w:val="bottom"/>
            <w:gridSpan w:val="2"/>
          </w:tcPr>
          <w:p>
            <w:pPr>
              <w:jc w:val="right"/>
              <w:spacing w:after="0"/>
              <w:rPr>
                <w:sz w:val="20"/>
                <w:szCs w:val="20"/>
                <w:color w:val="auto"/>
              </w:rPr>
            </w:pPr>
            <w:r>
              <w:rPr>
                <w:rFonts w:ascii="Arial" w:cs="Arial" w:eastAsia="Arial" w:hAnsi="Arial"/>
                <w:sz w:val="16"/>
                <w:szCs w:val="16"/>
                <w:color w:val="00497F"/>
              </w:rPr>
              <w:t>(10.7)%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-3801110</wp:posOffset>
            </wp:positionV>
            <wp:extent cx="2677795" cy="402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77795" cy="4025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-2667635</wp:posOffset>
            </wp:positionV>
            <wp:extent cx="2677795" cy="402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77795" cy="4025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-400685</wp:posOffset>
            </wp:positionV>
            <wp:extent cx="2677795" cy="402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77795" cy="4025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447260"/>
        </w:rPr>
        <w:t>15</w:t>
      </w:r>
    </w:p>
    <w:p>
      <w:pPr>
        <w:sectPr>
          <w:pgSz w:w="11900" w:h="16838" w:orient="portrait"/>
          <w:cols w:equalWidth="0" w:num="1">
            <w:col w:w="11240"/>
          </w:cols>
          <w:pgMar w:left="320" w:top="1213" w:right="339" w:bottom="1440" w:gutter="0" w:footer="0" w:header="0"/>
        </w:sectPr>
      </w:pPr>
    </w:p>
    <w:bookmarkStart w:id="18" w:name="page19"/>
    <w:bookmarkEnd w:id="18"/>
    <w:p>
      <w:pPr>
        <w:ind w:left="4920"/>
        <w:spacing w:after="0"/>
        <w:rPr>
          <w:sz w:val="20"/>
          <w:szCs w:val="20"/>
          <w:color w:val="auto"/>
        </w:rPr>
      </w:pPr>
      <w:r>
        <w:rPr>
          <w:rFonts w:ascii="Arial" w:cs="Arial" w:eastAsia="Arial" w:hAnsi="Arial"/>
          <w:sz w:val="21"/>
          <w:szCs w:val="21"/>
          <w:b w:val="1"/>
          <w:bCs w:val="1"/>
          <w:color w:val="1C5A7D"/>
        </w:rPr>
        <w:t>TABLE 4 (continued)</w:t>
      </w: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1C5A7D"/>
        </w:rPr>
        <w:t>BIOGEN INC. AND SUBSIDIARIES</w:t>
      </w:r>
    </w:p>
    <w:p>
      <w:pPr>
        <w:spacing w:after="0" w:line="24"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1C5A7D"/>
        </w:rPr>
        <w:t>GAAP TO NON-GAAP RECONCILIATION</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1C5A7D"/>
        </w:rPr>
        <w:t>FREE CASH FLOW</w:t>
      </w:r>
    </w:p>
    <w:p>
      <w:pPr>
        <w:jc w:val="center"/>
        <w:ind w:right="-199"/>
        <w:spacing w:after="0"/>
        <w:rPr>
          <w:sz w:val="20"/>
          <w:szCs w:val="20"/>
          <w:color w:val="auto"/>
        </w:rPr>
      </w:pPr>
      <w:r>
        <w:rPr>
          <w:rFonts w:ascii="Arial" w:cs="Arial" w:eastAsia="Arial" w:hAnsi="Arial"/>
          <w:sz w:val="17"/>
          <w:szCs w:val="17"/>
          <w:b w:val="1"/>
          <w:bCs w:val="1"/>
          <w:i w:val="1"/>
          <w:iCs w:val="1"/>
          <w:color w:val="1C5A7D"/>
        </w:rPr>
        <w:t>(unaudited, in millions)</w:t>
      </w:r>
    </w:p>
    <w:p>
      <w:pPr>
        <w:spacing w:after="0" w:line="99"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We define free cash flow as net cash provided by (used in) operating activities in the period less capital expenditures made in the period. The following table reconciles net cash provided by (used in) operating activities, a GAAP measure, to free cash flow, a Non-GAAP measure.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6"/>
              </w:rPr>
              <w:t>For the Three Months Ended</w:t>
            </w:r>
          </w:p>
        </w:tc>
        <w:tc>
          <w:tcPr>
            <w:tcW w:w="220" w:type="dxa"/>
            <w:vAlign w:val="bottom"/>
          </w:tcPr>
          <w:p>
            <w:pPr>
              <w:spacing w:after="0"/>
              <w:rPr>
                <w:sz w:val="16"/>
                <w:szCs w:val="16"/>
                <w:color w:val="auto"/>
              </w:rPr>
            </w:pPr>
          </w:p>
        </w:tc>
        <w:tc>
          <w:tcPr>
            <w:tcW w:w="2480" w:type="dxa"/>
            <w:vAlign w:val="bottom"/>
            <w:gridSpan w:val="4"/>
          </w:tcPr>
          <w:p>
            <w:pPr>
              <w:jc w:val="right"/>
              <w:ind w:right="262"/>
              <w:spacing w:after="0"/>
              <w:rPr>
                <w:sz w:val="20"/>
                <w:szCs w:val="20"/>
                <w:color w:val="auto"/>
              </w:rPr>
            </w:pPr>
            <w:r>
              <w:rPr>
                <w:rFonts w:ascii="Arial" w:cs="Arial" w:eastAsia="Arial" w:hAnsi="Arial"/>
                <w:sz w:val="16"/>
                <w:szCs w:val="16"/>
                <w:b w:val="1"/>
                <w:bCs w:val="1"/>
                <w:color w:val="auto"/>
              </w:rPr>
              <w:t>For the Nine Months Ended</w:t>
            </w:r>
          </w:p>
        </w:tc>
      </w:tr>
      <w:tr>
        <w:trPr>
          <w:trHeight w:val="207"/>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6"/>
              </w:rPr>
              <w:t>September 30,</w:t>
            </w:r>
          </w:p>
        </w:tc>
        <w:tc>
          <w:tcPr>
            <w:tcW w:w="220" w:type="dxa"/>
            <w:vAlign w:val="bottom"/>
          </w:tcPr>
          <w:p>
            <w:pPr>
              <w:spacing w:after="0"/>
              <w:rPr>
                <w:sz w:val="17"/>
                <w:szCs w:val="17"/>
                <w:color w:val="auto"/>
              </w:rPr>
            </w:pPr>
          </w:p>
        </w:tc>
        <w:tc>
          <w:tcPr>
            <w:tcW w:w="2480" w:type="dxa"/>
            <w:vAlign w:val="bottom"/>
            <w:gridSpan w:val="4"/>
          </w:tcPr>
          <w:p>
            <w:pPr>
              <w:jc w:val="right"/>
              <w:ind w:right="742"/>
              <w:spacing w:after="0"/>
              <w:rPr>
                <w:sz w:val="20"/>
                <w:szCs w:val="20"/>
                <w:color w:val="auto"/>
              </w:rPr>
            </w:pPr>
            <w:r>
              <w:rPr>
                <w:rFonts w:ascii="Arial" w:cs="Arial" w:eastAsia="Arial" w:hAnsi="Arial"/>
                <w:sz w:val="16"/>
                <w:szCs w:val="16"/>
                <w:b w:val="1"/>
                <w:bCs w:val="1"/>
                <w:color w:val="auto"/>
              </w:rPr>
              <w:t>September 30,</w:t>
            </w:r>
          </w:p>
        </w:tc>
      </w:tr>
      <w:tr>
        <w:trPr>
          <w:trHeight w:val="200"/>
        </w:trPr>
        <w:tc>
          <w:tcPr>
            <w:tcW w:w="54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shd w:val="clear" w:color="auto" w:fill="DBDBDB"/>
          </w:tcPr>
          <w:p>
            <w:pPr>
              <w:spacing w:after="0"/>
              <w:rPr>
                <w:sz w:val="17"/>
                <w:szCs w:val="17"/>
                <w:color w:val="auto"/>
              </w:rPr>
            </w:pPr>
          </w:p>
        </w:tc>
        <w:tc>
          <w:tcPr>
            <w:tcW w:w="1100" w:type="dxa"/>
            <w:vAlign w:val="bottom"/>
            <w:tcBorders>
              <w:top w:val="single" w:sz="8" w:color="auto"/>
              <w:bottom w:val="single" w:sz="8" w:color="auto"/>
            </w:tcBorders>
            <w:shd w:val="clear" w:color="auto" w:fill="DBDBDB"/>
          </w:tcPr>
          <w:p>
            <w:pPr>
              <w:jc w:val="right"/>
              <w:ind w:right="402"/>
              <w:spacing w:after="0"/>
              <w:rPr>
                <w:sz w:val="20"/>
                <w:szCs w:val="20"/>
                <w:color w:val="auto"/>
              </w:rPr>
            </w:pPr>
            <w:r>
              <w:rPr>
                <w:rFonts w:ascii="Arial" w:cs="Arial" w:eastAsia="Arial" w:hAnsi="Arial"/>
                <w:sz w:val="16"/>
                <w:szCs w:val="16"/>
                <w:b w:val="1"/>
                <w:bCs w:val="1"/>
                <w:color w:val="00497F"/>
              </w:rPr>
              <w:t>2026</w:t>
            </w: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shd w:val="clear" w:color="auto" w:fill="DBDBDB"/>
          </w:tcPr>
          <w:p>
            <w:pPr>
              <w:spacing w:after="0"/>
              <w:rPr>
                <w:sz w:val="17"/>
                <w:szCs w:val="17"/>
                <w:color w:val="auto"/>
              </w:rPr>
            </w:pPr>
          </w:p>
        </w:tc>
        <w:tc>
          <w:tcPr>
            <w:tcW w:w="1080" w:type="dxa"/>
            <w:vAlign w:val="bottom"/>
            <w:tcBorders>
              <w:top w:val="single" w:sz="8" w:color="auto"/>
              <w:bottom w:val="single" w:sz="8" w:color="auto"/>
            </w:tcBorders>
            <w:shd w:val="clear" w:color="auto" w:fill="DBDBDB"/>
          </w:tcPr>
          <w:p>
            <w:pPr>
              <w:jc w:val="right"/>
              <w:ind w:right="402"/>
              <w:spacing w:after="0"/>
              <w:rPr>
                <w:sz w:val="20"/>
                <w:szCs w:val="20"/>
                <w:color w:val="auto"/>
              </w:rPr>
            </w:pPr>
            <w:r>
              <w:rPr>
                <w:rFonts w:ascii="Arial" w:cs="Arial" w:eastAsia="Arial" w:hAnsi="Arial"/>
                <w:sz w:val="16"/>
                <w:szCs w:val="16"/>
                <w:b w:val="1"/>
                <w:bCs w:val="1"/>
                <w:color w:val="00497F"/>
              </w:rPr>
              <w:t>2026</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2025</w:t>
            </w:r>
          </w:p>
        </w:tc>
      </w:tr>
      <w:tr>
        <w:trPr>
          <w:trHeight w:val="200"/>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Cash Flow:</w:t>
            </w:r>
          </w:p>
        </w:tc>
        <w:tc>
          <w:tcPr>
            <w:tcW w:w="8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5"/>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200" w:type="dxa"/>
            <w:vAlign w:val="bottom"/>
            <w:shd w:val="clear" w:color="auto" w:fill="DBDBDB"/>
          </w:tcPr>
          <w:p>
            <w:pPr>
              <w:jc w:val="right"/>
              <w:ind w:right="22"/>
              <w:spacing w:after="0"/>
              <w:rPr>
                <w:sz w:val="20"/>
                <w:szCs w:val="20"/>
                <w:color w:val="auto"/>
              </w:rPr>
            </w:pPr>
            <w:r>
              <w:rPr>
                <w:rFonts w:ascii="Arial" w:cs="Arial" w:eastAsia="Arial" w:hAnsi="Arial"/>
                <w:sz w:val="16"/>
                <w:szCs w:val="16"/>
                <w:color w:val="00497F"/>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640.8</w:t>
            </w:r>
          </w:p>
        </w:tc>
        <w:tc>
          <w:tcPr>
            <w:tcW w:w="38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1,272.5</w:t>
            </w:r>
          </w:p>
        </w:tc>
        <w:tc>
          <w:tcPr>
            <w:tcW w:w="100" w:type="dxa"/>
            <w:vAlign w:val="bottom"/>
          </w:tcPr>
          <w:p>
            <w:pPr>
              <w:spacing w:after="0"/>
              <w:rPr>
                <w:sz w:val="17"/>
                <w:szCs w:val="17"/>
                <w:color w:val="auto"/>
              </w:rPr>
            </w:pPr>
          </w:p>
        </w:tc>
        <w:tc>
          <w:tcPr>
            <w:tcW w:w="220" w:type="dxa"/>
            <w:vAlign w:val="bottom"/>
            <w:shd w:val="clear" w:color="auto" w:fill="DBDBDB"/>
          </w:tcPr>
          <w:p>
            <w:pPr>
              <w:jc w:val="right"/>
              <w:ind w:right="42"/>
              <w:spacing w:after="0"/>
              <w:rPr>
                <w:sz w:val="20"/>
                <w:szCs w:val="20"/>
                <w:color w:val="auto"/>
              </w:rPr>
            </w:pPr>
            <w:r>
              <w:rPr>
                <w:rFonts w:ascii="Arial" w:cs="Arial" w:eastAsia="Arial" w:hAnsi="Arial"/>
                <w:sz w:val="16"/>
                <w:szCs w:val="16"/>
                <w:color w:val="00497F"/>
                <w:w w:val="8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1,735.2</w:t>
            </w:r>
          </w:p>
        </w:tc>
        <w:tc>
          <w:tcPr>
            <w:tcW w:w="38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1,692.7</w:t>
            </w:r>
          </w:p>
        </w:tc>
      </w:tr>
      <w:tr>
        <w:trPr>
          <w:trHeight w:val="207"/>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0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(222.1)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(4,270.8)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(139.4)</w:t>
            </w:r>
          </w:p>
        </w:tc>
      </w:tr>
      <w:tr>
        <w:trPr>
          <w:trHeight w:val="208"/>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0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(393.8)</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w:t>
            </w: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858.4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(164.9)</w:t>
            </w:r>
          </w:p>
        </w:tc>
      </w:tr>
      <w:tr>
        <w:trPr>
          <w:trHeight w:val="233"/>
        </w:trPr>
        <w:tc>
          <w:tcPr>
            <w:tcW w:w="5560" w:type="dxa"/>
            <w:vAlign w:val="bottom"/>
            <w:gridSpan w:val="2"/>
          </w:tcPr>
          <w:p>
            <w:pPr>
              <w:ind w:left="22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tcBorders>
              <w:bottom w:val="single" w:sz="8" w:color="auto"/>
            </w:tcBorders>
            <w:shd w:val="clear" w:color="auto" w:fill="DBDBDB"/>
          </w:tcPr>
          <w:p>
            <w:pPr>
              <w:jc w:val="right"/>
              <w:ind w:right="22"/>
              <w:spacing w:after="0"/>
              <w:rPr>
                <w:sz w:val="20"/>
                <w:szCs w:val="20"/>
                <w:color w:val="auto"/>
              </w:rPr>
            </w:pPr>
            <w:r>
              <w:rPr>
                <w:rFonts w:ascii="Arial" w:cs="Arial" w:eastAsia="Arial" w:hAnsi="Arial"/>
                <w:sz w:val="16"/>
                <w:szCs w:val="16"/>
                <w:color w:val="00497F"/>
                <w:w w:val="8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24.9</w:t>
            </w:r>
          </w:p>
        </w:tc>
        <w:tc>
          <w:tcPr>
            <w:tcW w:w="80" w:type="dxa"/>
            <w:vAlign w:val="bottom"/>
          </w:tcPr>
          <w:p>
            <w:pPr>
              <w:spacing w:after="0"/>
              <w:rPr>
                <w:sz w:val="20"/>
                <w:szCs w:val="20"/>
                <w:color w:val="auto"/>
              </w:rPr>
            </w:pP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1,107.2</w:t>
            </w:r>
          </w:p>
        </w:tc>
        <w:tc>
          <w:tcPr>
            <w:tcW w:w="100" w:type="dxa"/>
            <w:vAlign w:val="bottom"/>
          </w:tcPr>
          <w:p>
            <w:pPr>
              <w:spacing w:after="0"/>
              <w:rPr>
                <w:sz w:val="20"/>
                <w:szCs w:val="20"/>
                <w:color w:val="auto"/>
              </w:rPr>
            </w:pPr>
          </w:p>
        </w:tc>
        <w:tc>
          <w:tcPr>
            <w:tcW w:w="220" w:type="dxa"/>
            <w:vAlign w:val="bottom"/>
            <w:tcBorders>
              <w:bottom w:val="single" w:sz="8" w:color="auto"/>
            </w:tcBorders>
            <w:shd w:val="clear" w:color="auto" w:fill="DBDBDB"/>
          </w:tcPr>
          <w:p>
            <w:pPr>
              <w:jc w:val="right"/>
              <w:ind w:right="42"/>
              <w:spacing w:after="0"/>
              <w:rPr>
                <w:sz w:val="20"/>
                <w:szCs w:val="20"/>
                <w:color w:val="auto"/>
              </w:rPr>
            </w:pPr>
            <w:r>
              <w:rPr>
                <w:rFonts w:ascii="Arial" w:cs="Arial" w:eastAsia="Arial" w:hAnsi="Arial"/>
                <w:sz w:val="16"/>
                <w:szCs w:val="16"/>
                <w:color w:val="00497F"/>
                <w:w w:val="8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(1,677.2)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1,388.4</w:t>
            </w:r>
          </w:p>
        </w:tc>
      </w:tr>
      <w:tr>
        <w:trPr>
          <w:trHeight w:val="438"/>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200" w:type="dxa"/>
            <w:vAlign w:val="bottom"/>
            <w:shd w:val="clear" w:color="auto" w:fill="DBDBDB"/>
          </w:tcPr>
          <w:p>
            <w:pPr>
              <w:jc w:val="right"/>
              <w:ind w:right="22"/>
              <w:spacing w:after="0"/>
              <w:rPr>
                <w:sz w:val="20"/>
                <w:szCs w:val="20"/>
                <w:color w:val="auto"/>
              </w:rPr>
            </w:pPr>
            <w:r>
              <w:rPr>
                <w:rFonts w:ascii="Arial" w:cs="Arial" w:eastAsia="Arial" w:hAnsi="Arial"/>
                <w:sz w:val="16"/>
                <w:szCs w:val="16"/>
                <w:color w:val="00497F"/>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640.8</w:t>
            </w:r>
          </w:p>
        </w:tc>
        <w:tc>
          <w:tcPr>
            <w:tcW w:w="38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1,272.5</w:t>
            </w:r>
          </w:p>
        </w:tc>
        <w:tc>
          <w:tcPr>
            <w:tcW w:w="100" w:type="dxa"/>
            <w:vAlign w:val="bottom"/>
          </w:tcPr>
          <w:p>
            <w:pPr>
              <w:spacing w:after="0"/>
              <w:rPr>
                <w:sz w:val="24"/>
                <w:szCs w:val="24"/>
                <w:color w:val="auto"/>
              </w:rPr>
            </w:pPr>
          </w:p>
        </w:tc>
        <w:tc>
          <w:tcPr>
            <w:tcW w:w="220" w:type="dxa"/>
            <w:vAlign w:val="bottom"/>
            <w:shd w:val="clear" w:color="auto" w:fill="DBDBDB"/>
          </w:tcPr>
          <w:p>
            <w:pPr>
              <w:jc w:val="right"/>
              <w:ind w:right="42"/>
              <w:spacing w:after="0"/>
              <w:rPr>
                <w:sz w:val="20"/>
                <w:szCs w:val="20"/>
                <w:color w:val="auto"/>
              </w:rPr>
            </w:pPr>
            <w:r>
              <w:rPr>
                <w:rFonts w:ascii="Arial" w:cs="Arial" w:eastAsia="Arial" w:hAnsi="Arial"/>
                <w:sz w:val="16"/>
                <w:szCs w:val="16"/>
                <w:color w:val="00497F"/>
                <w:w w:val="8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1,735.2</w:t>
            </w:r>
          </w:p>
        </w:tc>
        <w:tc>
          <w:tcPr>
            <w:tcW w:w="38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1,692.7</w:t>
            </w:r>
          </w:p>
        </w:tc>
      </w:tr>
      <w:tr>
        <w:trPr>
          <w:trHeight w:val="208"/>
        </w:trPr>
        <w:tc>
          <w:tcPr>
            <w:tcW w:w="5560" w:type="dxa"/>
            <w:vAlign w:val="bottom"/>
            <w:gridSpan w:val="2"/>
          </w:tcPr>
          <w:p>
            <w:pPr>
              <w:ind w:left="220"/>
              <w:spacing w:after="0"/>
              <w:rPr>
                <w:sz w:val="20"/>
                <w:szCs w:val="20"/>
                <w:color w:val="auto"/>
              </w:rPr>
            </w:pPr>
            <w:r>
              <w:rPr>
                <w:rFonts w:ascii="Arial" w:cs="Arial" w:eastAsia="Arial" w:hAnsi="Arial"/>
                <w:sz w:val="16"/>
                <w:szCs w:val="16"/>
                <w:color w:val="auto"/>
              </w:rPr>
              <w:t>Less: Purchases of property, plant and equipment</w:t>
            </w:r>
          </w:p>
        </w:tc>
        <w:tc>
          <w:tcPr>
            <w:tcW w:w="20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40.4</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00497F"/>
              </w:rPr>
              <w:t>132.5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109.9</w:t>
            </w:r>
          </w:p>
        </w:tc>
      </w:tr>
      <w:tr>
        <w:trPr>
          <w:trHeight w:val="221"/>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200" w:type="dxa"/>
            <w:vAlign w:val="bottom"/>
            <w:shd w:val="clear" w:color="auto" w:fill="DBDBDB"/>
          </w:tcPr>
          <w:p>
            <w:pPr>
              <w:jc w:val="right"/>
              <w:ind w:right="22"/>
              <w:spacing w:after="0"/>
              <w:rPr>
                <w:sz w:val="20"/>
                <w:szCs w:val="20"/>
                <w:color w:val="auto"/>
              </w:rPr>
            </w:pPr>
            <w:r>
              <w:rPr>
                <w:rFonts w:ascii="Arial" w:cs="Arial" w:eastAsia="Arial" w:hAnsi="Arial"/>
                <w:sz w:val="16"/>
                <w:szCs w:val="16"/>
                <w:color w:val="00497F"/>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600.4</w:t>
            </w:r>
          </w:p>
        </w:tc>
        <w:tc>
          <w:tcPr>
            <w:tcW w:w="38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1,226.3</w:t>
            </w:r>
          </w:p>
        </w:tc>
        <w:tc>
          <w:tcPr>
            <w:tcW w:w="100" w:type="dxa"/>
            <w:vAlign w:val="bottom"/>
          </w:tcPr>
          <w:p>
            <w:pPr>
              <w:spacing w:after="0"/>
              <w:rPr>
                <w:sz w:val="19"/>
                <w:szCs w:val="19"/>
                <w:color w:val="auto"/>
              </w:rPr>
            </w:pPr>
          </w:p>
        </w:tc>
        <w:tc>
          <w:tcPr>
            <w:tcW w:w="220" w:type="dxa"/>
            <w:vAlign w:val="bottom"/>
            <w:shd w:val="clear" w:color="auto" w:fill="DBDBDB"/>
          </w:tcPr>
          <w:p>
            <w:pPr>
              <w:jc w:val="right"/>
              <w:ind w:right="42"/>
              <w:spacing w:after="0"/>
              <w:rPr>
                <w:sz w:val="20"/>
                <w:szCs w:val="20"/>
                <w:color w:val="auto"/>
              </w:rPr>
            </w:pPr>
            <w:r>
              <w:rPr>
                <w:rFonts w:ascii="Arial" w:cs="Arial" w:eastAsia="Arial" w:hAnsi="Arial"/>
                <w:sz w:val="16"/>
                <w:szCs w:val="16"/>
                <w:color w:val="00497F"/>
                <w:w w:val="8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00497F"/>
              </w:rPr>
              <w:t>1,602.7</w:t>
            </w:r>
          </w:p>
        </w:tc>
        <w:tc>
          <w:tcPr>
            <w:tcW w:w="380" w:type="dxa"/>
            <w:vAlign w:val="bottom"/>
            <w:gridSpan w:val="2"/>
          </w:tcPr>
          <w:p>
            <w:pPr>
              <w:jc w:val="right"/>
              <w:ind w:right="10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1,582.8</w:t>
            </w:r>
          </w:p>
        </w:tc>
      </w:tr>
      <w:tr>
        <w:trPr>
          <w:trHeight w:val="20"/>
        </w:trPr>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447260"/>
        </w:rPr>
        <w:t>16</w:t>
      </w:r>
    </w:p>
    <w:p>
      <w:pPr>
        <w:sectPr>
          <w:pgSz w:w="11900" w:h="16838" w:orient="portrait"/>
          <w:cols w:equalWidth="0" w:num="1">
            <w:col w:w="11040"/>
          </w:cols>
          <w:pgMar w:left="320" w:top="1213" w:right="539" w:bottom="1440" w:gutter="0" w:footer="0" w:header="0"/>
        </w:sectPr>
      </w:pPr>
    </w:p>
    <w:bookmarkStart w:id="19" w:name="page20"/>
    <w:bookmarkEnd w:id="19"/>
    <w:p>
      <w:pPr>
        <w:ind w:left="4080"/>
        <w:spacing w:after="0"/>
        <w:rPr>
          <w:sz w:val="20"/>
          <w:szCs w:val="20"/>
          <w:color w:val="auto"/>
        </w:rPr>
      </w:pPr>
      <w:r>
        <w:rPr>
          <w:rFonts w:ascii="Arial" w:cs="Arial" w:eastAsia="Arial" w:hAnsi="Arial"/>
          <w:sz w:val="21"/>
          <w:szCs w:val="21"/>
          <w:b w:val="1"/>
          <w:bCs w:val="1"/>
          <w:color w:val="2573BA"/>
        </w:rPr>
        <w:t>Use of Non-GAAP Financial Measures</w:t>
      </w:r>
    </w:p>
    <w:p>
      <w:pPr>
        <w:spacing w:after="0" w:line="15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supplement our GAAP consolidated financial statements and GAAP financial measures with other financial measures, such as adjusted net income, adjusted diluted earnings per share, revenue growth at constant currency, which excludes the impact of changes in foreign exchange rates and hedging gains or losses, and free cash flow, which is defined as net cash flow from operations less capital expenditures. We believe that these and other Non-GAAP financial measures provide additional insight into the ongoing economics of our business and reflect how we manage our business internally, set operational goals and form the basis of our management incentive programs. Non-GAAP financial measures are in addition to, not a substitute for, or superior to, measures of financial performance prepared in accordance with GAAP.</w:t>
      </w:r>
    </w:p>
    <w:p>
      <w:pPr>
        <w:spacing w:after="0" w:line="122"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Our “Non-GAAP net income attributable to Biogen Inc.” and “Non-GAAP earnings per share - Diluted” financial measures exclude the following items from “GAAP net income attributable to Biogen Inc.” and “GAAP earnings per share - Diluted”: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1. Acquisitions and divestitures</w:t>
      </w:r>
    </w:p>
    <w:p>
      <w:pPr>
        <w:spacing w:after="0" w:line="5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exclude transaction, integration and certain other costs related to the acquisition and divestiture of businesses/commercial assets and items associated with the initial consolidation or deconsolidation of variable interest entities. These adjustments include, but are not limited to, the amortization of inventory fair value step-up, amortization and impairment of intangible assets, charges or credits from the fair value remeasurement of our contingent consideration obligations and losses on assets and liabilities held for sale.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 Restructuring, business transformation and other cost saving initiatives</w:t>
      </w:r>
    </w:p>
    <w:p>
      <w:pPr>
        <w:spacing w:after="0" w:line="50"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We exclude costs associated with our execution of certain strategies and initiatives to streamline operations, achieve targeted cost reductions, rationalize manufacturing facilities or refocus research and development activities. These costs may include employee separation costs, retention bonuses, facility closing/abandonment and exit costs, asset impairment charges or additional depreciation when the expected useful life of certain assets have been shortened due to changes in anticipated usage and other costs or credits that management believes do not have a direct correlation to our ongoing or future business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3. (Gain) loss on equity security investments</w:t>
      </w:r>
    </w:p>
    <w:p>
      <w:pPr>
        <w:spacing w:after="0" w:line="50"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color w:val="auto"/>
        </w:rPr>
        <w:t>We exclude unrealized and realized gains and losses related to our equity security investments as we do not believe that these components of income or expense have a direct correlation to our ongoing or future business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4. Other items</w:t>
      </w:r>
    </w:p>
    <w:p>
      <w:pPr>
        <w:spacing w:after="0" w:line="6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evaluate other items of income and expense on an individual basis and consider both the quantitative and qualitative aspects of the item, including (i) its size and nature, (ii) whether or not it relates to our ongoing business operations and (iii) whether or not we expect it to occur as part of our normal business on a regular basis. We also include an adjustment to reflect the related tax effect of all reconciling items within our reconciliation of our GAAP to Non-GAAP net income attributable to Biogen Inc. and earnings per share - diluted.</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447260"/>
        </w:rPr>
        <w:t>17</w:t>
      </w:r>
    </w:p>
    <w:sectPr>
      <w:pgSz w:w="11900" w:h="16838" w:orient="portrait"/>
      <w:cols w:equalWidth="0" w:num="1">
        <w:col w:w="11200"/>
      </w:cols>
      <w:pgMar w:left="320" w:top="116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4"/>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2026-10-28T05:19:18Z</dcterms:created>
  <dcterms:modified xsi:type="dcterms:W3CDTF">2026-10-28T05:19:18Z</dcterms:modified>
</cp:coreProperties>
</file>