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8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Washington, D.C. 20549</w:t>
      </w:r>
    </w:p>
    <w:p>
      <w:pPr>
        <w:jc w:val="center"/>
        <w:ind w:right="-459"/>
        <w:spacing w:after="0"/>
        <w:rPr>
          <w:sz w:val="20"/>
          <w:szCs w:val="20"/>
          <w:color w:val="auto"/>
        </w:rPr>
      </w:pPr>
      <w:r>
        <w:rPr>
          <w:rFonts w:ascii="Arial" w:cs="Arial" w:eastAsia="Arial" w:hAnsi="Arial"/>
          <w:sz w:val="24"/>
          <w:szCs w:val="24"/>
          <w:b w:val="1"/>
          <w:bCs w:val="1"/>
          <w:color w:val="auto"/>
        </w:rPr>
        <w:t>Form 10-K</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62"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3000" w:type="dxa"/>
            <w:vAlign w:val="bottom"/>
          </w:tcPr>
          <w:p>
            <w:pPr>
              <w:ind w:left="980"/>
              <w:spacing w:after="0"/>
              <w:rPr>
                <w:sz w:val="20"/>
                <w:szCs w:val="20"/>
                <w:color w:val="auto"/>
              </w:rPr>
            </w:pPr>
            <w:r>
              <w:rPr>
                <w:rFonts w:ascii="Arial" w:cs="Arial" w:eastAsia="Arial" w:hAnsi="Arial"/>
                <w:sz w:val="13"/>
                <w:szCs w:val="13"/>
                <w:b w:val="1"/>
                <w:bCs w:val="1"/>
                <w:color w:val="auto"/>
              </w:rPr>
              <w:t>For the transition period from</w:t>
            </w:r>
          </w:p>
        </w:tc>
        <w:tc>
          <w:tcPr>
            <w:tcW w:w="3720" w:type="dxa"/>
            <w:vAlign w:val="bottom"/>
          </w:tcPr>
          <w:p>
            <w:pPr>
              <w:spacing w:after="0"/>
              <w:rPr>
                <w:sz w:val="20"/>
                <w:szCs w:val="20"/>
                <w:color w:val="auto"/>
              </w:rPr>
            </w:pPr>
            <w:r>
              <w:rPr>
                <w:rFonts w:ascii="Arial" w:cs="Arial" w:eastAsia="Arial" w:hAnsi="Arial"/>
                <w:sz w:val="13"/>
                <w:szCs w:val="13"/>
                <w:b w:val="1"/>
                <w:bCs w:val="1"/>
                <w:color w:val="auto"/>
              </w:rPr>
              <w:t>to</w:t>
            </w:r>
          </w:p>
        </w:tc>
        <w:tc>
          <w:tcPr>
            <w:tcW w:w="3120" w:type="dxa"/>
            <w:vAlign w:val="bottom"/>
          </w:tcPr>
          <w:p>
            <w:pPr>
              <w:spacing w:after="0"/>
              <w:rPr>
                <w:sz w:val="14"/>
                <w:szCs w:val="14"/>
                <w:color w:val="auto"/>
              </w:rPr>
            </w:pPr>
          </w:p>
        </w:tc>
      </w:tr>
      <w:tr>
        <w:trPr>
          <w:trHeight w:val="182"/>
        </w:trPr>
        <w:tc>
          <w:tcPr>
            <w:tcW w:w="3000" w:type="dxa"/>
            <w:vAlign w:val="bottom"/>
          </w:tcPr>
          <w:p>
            <w:pPr>
              <w:spacing w:after="0"/>
              <w:rPr>
                <w:sz w:val="15"/>
                <w:szCs w:val="15"/>
                <w:color w:val="auto"/>
              </w:rPr>
            </w:pPr>
          </w:p>
        </w:tc>
        <w:tc>
          <w:tcPr>
            <w:tcW w:w="3720" w:type="dxa"/>
            <w:vAlign w:val="bottom"/>
          </w:tcPr>
          <w:p>
            <w:pPr>
              <w:jc w:val="center"/>
              <w:ind w:left="366"/>
              <w:spacing w:after="0"/>
              <w:rPr>
                <w:sz w:val="20"/>
                <w:szCs w:val="20"/>
                <w:color w:val="auto"/>
              </w:rPr>
            </w:pPr>
            <w:r>
              <w:rPr>
                <w:rFonts w:ascii="Arial" w:cs="Arial" w:eastAsia="Arial" w:hAnsi="Arial"/>
                <w:sz w:val="13"/>
                <w:szCs w:val="13"/>
                <w:b w:val="1"/>
                <w:bCs w:val="1"/>
                <w:color w:val="auto"/>
                <w:w w:val="90"/>
              </w:rPr>
              <w:t>Commission file number: 0-19311</w:t>
            </w:r>
          </w:p>
        </w:tc>
        <w:tc>
          <w:tcPr>
            <w:tcW w:w="3120" w:type="dxa"/>
            <w:vAlign w:val="bottom"/>
          </w:tcPr>
          <w:p>
            <w:pPr>
              <w:spacing w:after="0"/>
              <w:rPr>
                <w:sz w:val="15"/>
                <w:szCs w:val="15"/>
                <w:color w:val="auto"/>
              </w:rPr>
            </w:pPr>
          </w:p>
        </w:tc>
      </w:tr>
      <w:tr>
        <w:trPr>
          <w:trHeight w:val="382"/>
        </w:trPr>
        <w:tc>
          <w:tcPr>
            <w:tcW w:w="3000" w:type="dxa"/>
            <w:vAlign w:val="bottom"/>
          </w:tcPr>
          <w:p>
            <w:pPr>
              <w:spacing w:after="0"/>
              <w:rPr>
                <w:sz w:val="24"/>
                <w:szCs w:val="24"/>
                <w:color w:val="auto"/>
              </w:rPr>
            </w:pPr>
          </w:p>
        </w:tc>
        <w:tc>
          <w:tcPr>
            <w:tcW w:w="3720" w:type="dxa"/>
            <w:vAlign w:val="bottom"/>
          </w:tcPr>
          <w:p>
            <w:pPr>
              <w:jc w:val="center"/>
              <w:ind w:left="346"/>
              <w:spacing w:after="0"/>
              <w:rPr>
                <w:sz w:val="20"/>
                <w:szCs w:val="20"/>
                <w:color w:val="auto"/>
              </w:rPr>
            </w:pPr>
            <w:r>
              <w:rPr>
                <w:rFonts w:ascii="Arial" w:cs="Arial" w:eastAsia="Arial" w:hAnsi="Arial"/>
                <w:sz w:val="31"/>
                <w:szCs w:val="31"/>
                <w:b w:val="1"/>
                <w:bCs w:val="1"/>
                <w:color w:val="auto"/>
                <w:w w:val="91"/>
              </w:rPr>
              <w:t>Biogen Idec Inc.</w:t>
            </w:r>
          </w:p>
        </w:tc>
        <w:tc>
          <w:tcPr>
            <w:tcW w:w="3120" w:type="dxa"/>
            <w:vAlign w:val="bottom"/>
          </w:tcPr>
          <w:p>
            <w:pPr>
              <w:spacing w:after="0"/>
              <w:rPr>
                <w:sz w:val="24"/>
                <w:szCs w:val="24"/>
                <w:color w:val="auto"/>
              </w:rPr>
            </w:pPr>
          </w:p>
        </w:tc>
      </w:tr>
      <w:tr>
        <w:trPr>
          <w:trHeight w:val="131"/>
        </w:trPr>
        <w:tc>
          <w:tcPr>
            <w:tcW w:w="3000" w:type="dxa"/>
            <w:vAlign w:val="bottom"/>
          </w:tcPr>
          <w:p>
            <w:pPr>
              <w:spacing w:after="0"/>
              <w:rPr>
                <w:sz w:val="11"/>
                <w:szCs w:val="11"/>
                <w:color w:val="auto"/>
              </w:rPr>
            </w:pPr>
          </w:p>
        </w:tc>
        <w:tc>
          <w:tcPr>
            <w:tcW w:w="3720" w:type="dxa"/>
            <w:vAlign w:val="bottom"/>
          </w:tcPr>
          <w:p>
            <w:pPr>
              <w:jc w:val="center"/>
              <w:ind w:left="346"/>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120" w:type="dxa"/>
            <w:vAlign w:val="bottom"/>
          </w:tcPr>
          <w:p>
            <w:pPr>
              <w:spacing w:after="0"/>
              <w:rPr>
                <w:sz w:val="11"/>
                <w:szCs w:val="11"/>
                <w:color w:val="auto"/>
              </w:rPr>
            </w:pPr>
          </w:p>
        </w:tc>
      </w:tr>
      <w:tr>
        <w:trPr>
          <w:trHeight w:val="193"/>
        </w:trPr>
        <w:tc>
          <w:tcPr>
            <w:tcW w:w="3000" w:type="dxa"/>
            <w:vAlign w:val="bottom"/>
          </w:tcPr>
          <w:p>
            <w:pPr>
              <w:jc w:val="center"/>
              <w:ind w:left="1719"/>
              <w:spacing w:after="0"/>
              <w:rPr>
                <w:sz w:val="20"/>
                <w:szCs w:val="20"/>
                <w:color w:val="auto"/>
              </w:rPr>
            </w:pPr>
            <w:r>
              <w:rPr>
                <w:rFonts w:ascii="Arial" w:cs="Arial" w:eastAsia="Arial" w:hAnsi="Arial"/>
                <w:sz w:val="13"/>
                <w:szCs w:val="13"/>
                <w:b w:val="1"/>
                <w:bCs w:val="1"/>
                <w:color w:val="auto"/>
                <w:w w:val="94"/>
              </w:rPr>
              <w:t>Delaware</w:t>
            </w:r>
          </w:p>
        </w:tc>
        <w:tc>
          <w:tcPr>
            <w:tcW w:w="3720" w:type="dxa"/>
            <w:vAlign w:val="bottom"/>
          </w:tcPr>
          <w:p>
            <w:pPr>
              <w:spacing w:after="0"/>
              <w:rPr>
                <w:sz w:val="16"/>
                <w:szCs w:val="16"/>
                <w:color w:val="auto"/>
              </w:rPr>
            </w:pPr>
          </w:p>
        </w:tc>
        <w:tc>
          <w:tcPr>
            <w:tcW w:w="3120" w:type="dxa"/>
            <w:vAlign w:val="bottom"/>
          </w:tcPr>
          <w:p>
            <w:pPr>
              <w:jc w:val="right"/>
              <w:ind w:right="1641"/>
              <w:spacing w:after="0"/>
              <w:rPr>
                <w:sz w:val="20"/>
                <w:szCs w:val="20"/>
                <w:color w:val="auto"/>
              </w:rPr>
            </w:pPr>
            <w:r>
              <w:rPr>
                <w:rFonts w:ascii="Arial" w:cs="Arial" w:eastAsia="Arial" w:hAnsi="Arial"/>
                <w:sz w:val="13"/>
                <w:szCs w:val="13"/>
                <w:b w:val="1"/>
                <w:bCs w:val="1"/>
                <w:color w:val="auto"/>
              </w:rPr>
              <w:t>33-0112644</w:t>
            </w:r>
          </w:p>
        </w:tc>
      </w:tr>
      <w:tr>
        <w:trPr>
          <w:trHeight w:val="108"/>
        </w:trPr>
        <w:tc>
          <w:tcPr>
            <w:tcW w:w="3000" w:type="dxa"/>
            <w:vAlign w:val="bottom"/>
          </w:tcPr>
          <w:p>
            <w:pPr>
              <w:jc w:val="center"/>
              <w:ind w:left="1719"/>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720" w:type="dxa"/>
            <w:vAlign w:val="bottom"/>
          </w:tcPr>
          <w:p>
            <w:pPr>
              <w:spacing w:after="0"/>
              <w:rPr>
                <w:sz w:val="9"/>
                <w:szCs w:val="9"/>
                <w:color w:val="auto"/>
              </w:rPr>
            </w:pPr>
          </w:p>
        </w:tc>
        <w:tc>
          <w:tcPr>
            <w:tcW w:w="3120" w:type="dxa"/>
            <w:vAlign w:val="bottom"/>
          </w:tcPr>
          <w:p>
            <w:pPr>
              <w:jc w:val="center"/>
              <w:ind w:right="841"/>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6720" w:type="dxa"/>
            <w:vAlign w:val="bottom"/>
            <w:gridSpan w:val="2"/>
          </w:tcPr>
          <w:p>
            <w:pPr>
              <w:jc w:val="center"/>
              <w:ind w:right="1866"/>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3120" w:type="dxa"/>
            <w:vAlign w:val="bottom"/>
          </w:tcPr>
          <w:p>
            <w:pPr>
              <w:jc w:val="center"/>
              <w:ind w:right="861"/>
              <w:spacing w:after="0" w:line="108" w:lineRule="exact"/>
              <w:rPr>
                <w:sz w:val="20"/>
                <w:szCs w:val="20"/>
                <w:color w:val="auto"/>
              </w:rPr>
            </w:pPr>
            <w:r>
              <w:rPr>
                <w:rFonts w:ascii="Arial" w:cs="Arial" w:eastAsia="Arial" w:hAnsi="Arial"/>
                <w:sz w:val="10"/>
                <w:szCs w:val="10"/>
                <w:i w:val="1"/>
                <w:iCs w:val="1"/>
                <w:color w:val="auto"/>
                <w:w w:val="97"/>
              </w:rPr>
              <w:t>Identification No.)</w:t>
            </w:r>
          </w:p>
        </w:tc>
      </w:tr>
      <w:tr>
        <w:trPr>
          <w:trHeight w:val="157"/>
        </w:trPr>
        <w:tc>
          <w:tcPr>
            <w:tcW w:w="3000" w:type="dxa"/>
            <w:vAlign w:val="bottom"/>
          </w:tcPr>
          <w:p>
            <w:pPr>
              <w:jc w:val="center"/>
              <w:ind w:left="1699"/>
              <w:spacing w:after="0"/>
              <w:rPr>
                <w:sz w:val="20"/>
                <w:szCs w:val="20"/>
                <w:color w:val="auto"/>
              </w:rPr>
            </w:pPr>
            <w:r>
              <w:rPr>
                <w:rFonts w:ascii="Arial" w:cs="Arial" w:eastAsia="Arial" w:hAnsi="Arial"/>
                <w:sz w:val="13"/>
                <w:szCs w:val="13"/>
                <w:b w:val="1"/>
                <w:bCs w:val="1"/>
                <w:color w:val="auto"/>
                <w:w w:val="92"/>
              </w:rPr>
              <w:t>14 Cambridge Center,</w:t>
            </w:r>
          </w:p>
        </w:tc>
        <w:tc>
          <w:tcPr>
            <w:tcW w:w="3720" w:type="dxa"/>
            <w:vAlign w:val="bottom"/>
          </w:tcPr>
          <w:p>
            <w:pPr>
              <w:spacing w:after="0"/>
              <w:rPr>
                <w:sz w:val="13"/>
                <w:szCs w:val="13"/>
                <w:color w:val="auto"/>
              </w:rPr>
            </w:pPr>
          </w:p>
        </w:tc>
        <w:tc>
          <w:tcPr>
            <w:tcW w:w="3120" w:type="dxa"/>
            <w:vAlign w:val="bottom"/>
          </w:tcPr>
          <w:p>
            <w:pPr>
              <w:jc w:val="right"/>
              <w:ind w:right="1801"/>
              <w:spacing w:after="0"/>
              <w:rPr>
                <w:sz w:val="20"/>
                <w:szCs w:val="20"/>
                <w:color w:val="auto"/>
              </w:rPr>
            </w:pPr>
            <w:r>
              <w:rPr>
                <w:rFonts w:ascii="Arial" w:cs="Arial" w:eastAsia="Arial" w:hAnsi="Arial"/>
                <w:sz w:val="13"/>
                <w:szCs w:val="13"/>
                <w:b w:val="1"/>
                <w:bCs w:val="1"/>
                <w:color w:val="auto"/>
              </w:rPr>
              <w:t>02142</w:t>
            </w:r>
          </w:p>
        </w:tc>
      </w:tr>
      <w:tr>
        <w:trPr>
          <w:trHeight w:val="157"/>
        </w:trPr>
        <w:tc>
          <w:tcPr>
            <w:tcW w:w="6720" w:type="dxa"/>
            <w:vAlign w:val="bottom"/>
            <w:gridSpan w:val="2"/>
          </w:tcPr>
          <w:p>
            <w:pPr>
              <w:jc w:val="center"/>
              <w:ind w:right="1866"/>
              <w:spacing w:after="0"/>
              <w:rPr>
                <w:sz w:val="20"/>
                <w:szCs w:val="20"/>
                <w:color w:val="auto"/>
              </w:rPr>
            </w:pPr>
            <w:r>
              <w:rPr>
                <w:rFonts w:ascii="Arial" w:cs="Arial" w:eastAsia="Arial" w:hAnsi="Arial"/>
                <w:sz w:val="13"/>
                <w:szCs w:val="13"/>
                <w:b w:val="1"/>
                <w:bCs w:val="1"/>
                <w:color w:val="auto"/>
                <w:w w:val="89"/>
              </w:rPr>
              <w:t>Cambridge, Massachusetts</w:t>
            </w:r>
          </w:p>
        </w:tc>
        <w:tc>
          <w:tcPr>
            <w:tcW w:w="3120" w:type="dxa"/>
            <w:vAlign w:val="bottom"/>
          </w:tcPr>
          <w:p>
            <w:pPr>
              <w:jc w:val="center"/>
              <w:ind w:right="861"/>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6720" w:type="dxa"/>
            <w:vAlign w:val="bottom"/>
            <w:gridSpan w:val="2"/>
          </w:tcPr>
          <w:p>
            <w:pPr>
              <w:jc w:val="center"/>
              <w:ind w:right="1886"/>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120" w:type="dxa"/>
            <w:vAlign w:val="bottom"/>
          </w:tcPr>
          <w:p>
            <w:pPr>
              <w:spacing w:after="0"/>
              <w:rPr>
                <w:sz w:val="11"/>
                <w:szCs w:val="11"/>
                <w:color w:val="auto"/>
              </w:rPr>
            </w:pPr>
          </w:p>
        </w:tc>
      </w:tr>
      <w:tr>
        <w:trPr>
          <w:trHeight w:val="183"/>
        </w:trPr>
        <w:tc>
          <w:tcPr>
            <w:tcW w:w="3000" w:type="dxa"/>
            <w:vAlign w:val="bottom"/>
          </w:tcPr>
          <w:p>
            <w:pPr>
              <w:spacing w:after="0"/>
              <w:rPr>
                <w:sz w:val="15"/>
                <w:szCs w:val="15"/>
                <w:color w:val="auto"/>
              </w:rPr>
            </w:pPr>
          </w:p>
        </w:tc>
        <w:tc>
          <w:tcPr>
            <w:tcW w:w="3720" w:type="dxa"/>
            <w:vAlign w:val="bottom"/>
          </w:tcPr>
          <w:p>
            <w:pPr>
              <w:jc w:val="center"/>
              <w:ind w:left="366"/>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120" w:type="dxa"/>
            <w:vAlign w:val="bottom"/>
          </w:tcPr>
          <w:p>
            <w:pPr>
              <w:spacing w:after="0"/>
              <w:rPr>
                <w:sz w:val="15"/>
                <w:szCs w:val="15"/>
                <w:color w:val="auto"/>
              </w:rPr>
            </w:pPr>
          </w:p>
        </w:tc>
      </w:tr>
      <w:tr>
        <w:trPr>
          <w:trHeight w:val="157"/>
        </w:trPr>
        <w:tc>
          <w:tcPr>
            <w:tcW w:w="3000" w:type="dxa"/>
            <w:vAlign w:val="bottom"/>
          </w:tcPr>
          <w:p>
            <w:pPr>
              <w:spacing w:after="0"/>
              <w:rPr>
                <w:sz w:val="13"/>
                <w:szCs w:val="13"/>
                <w:color w:val="auto"/>
              </w:rPr>
            </w:pPr>
          </w:p>
        </w:tc>
        <w:tc>
          <w:tcPr>
            <w:tcW w:w="3720" w:type="dxa"/>
            <w:vAlign w:val="bottom"/>
          </w:tcPr>
          <w:p>
            <w:pPr>
              <w:jc w:val="center"/>
              <w:ind w:left="346"/>
              <w:spacing w:after="0"/>
              <w:rPr>
                <w:sz w:val="20"/>
                <w:szCs w:val="20"/>
                <w:color w:val="auto"/>
              </w:rPr>
            </w:pPr>
            <w:r>
              <w:rPr>
                <w:rFonts w:ascii="Arial" w:cs="Arial" w:eastAsia="Arial" w:hAnsi="Arial"/>
                <w:sz w:val="13"/>
                <w:szCs w:val="13"/>
                <w:b w:val="1"/>
                <w:bCs w:val="1"/>
                <w:color w:val="auto"/>
                <w:w w:val="92"/>
              </w:rPr>
              <w:t>(617) 679-2000</w:t>
            </w:r>
          </w:p>
        </w:tc>
        <w:tc>
          <w:tcPr>
            <w:tcW w:w="3120" w:type="dxa"/>
            <w:vAlign w:val="bottom"/>
          </w:tcPr>
          <w:p>
            <w:pPr>
              <w:spacing w:after="0"/>
              <w:rPr>
                <w:sz w:val="13"/>
                <w:szCs w:val="13"/>
                <w:color w:val="auto"/>
              </w:rPr>
            </w:pPr>
          </w:p>
        </w:tc>
      </w:tr>
      <w:tr>
        <w:trPr>
          <w:trHeight w:val="169"/>
        </w:trPr>
        <w:tc>
          <w:tcPr>
            <w:tcW w:w="3000" w:type="dxa"/>
            <w:vAlign w:val="bottom"/>
          </w:tcPr>
          <w:p>
            <w:pPr>
              <w:spacing w:after="0"/>
              <w:rPr>
                <w:sz w:val="14"/>
                <w:szCs w:val="14"/>
                <w:color w:val="auto"/>
              </w:rPr>
            </w:pPr>
          </w:p>
        </w:tc>
        <w:tc>
          <w:tcPr>
            <w:tcW w:w="3720" w:type="dxa"/>
            <w:vAlign w:val="bottom"/>
          </w:tcPr>
          <w:p>
            <w:pPr>
              <w:jc w:val="center"/>
              <w:ind w:left="366"/>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120" w:type="dxa"/>
            <w:vAlign w:val="bottom"/>
          </w:tcPr>
          <w:p>
            <w:pPr>
              <w:spacing w:after="0"/>
              <w:rPr>
                <w:sz w:val="14"/>
                <w:szCs w:val="14"/>
                <w:color w:val="auto"/>
              </w:rPr>
            </w:pPr>
          </w:p>
        </w:tc>
      </w:tr>
      <w:tr>
        <w:trPr>
          <w:trHeight w:val="218"/>
        </w:trPr>
        <w:tc>
          <w:tcPr>
            <w:tcW w:w="6720" w:type="dxa"/>
            <w:vAlign w:val="bottom"/>
            <w:gridSpan w:val="2"/>
          </w:tcPr>
          <w:p>
            <w:pPr>
              <w:ind w:left="23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120" w:type="dxa"/>
            <w:vAlign w:val="bottom"/>
          </w:tcPr>
          <w:p>
            <w:pPr>
              <w:ind w:left="108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193"/>
        </w:trPr>
        <w:tc>
          <w:tcPr>
            <w:tcW w:w="6720" w:type="dxa"/>
            <w:vAlign w:val="bottom"/>
            <w:gridSpan w:val="2"/>
          </w:tcPr>
          <w:p>
            <w:pPr>
              <w:jc w:val="center"/>
              <w:ind w:right="1986"/>
              <w:spacing w:after="0"/>
              <w:rPr>
                <w:sz w:val="20"/>
                <w:szCs w:val="20"/>
                <w:color w:val="auto"/>
              </w:rPr>
            </w:pPr>
            <w:r>
              <w:rPr>
                <w:rFonts w:ascii="Arial" w:cs="Arial" w:eastAsia="Arial" w:hAnsi="Arial"/>
                <w:sz w:val="13"/>
                <w:szCs w:val="13"/>
                <w:b w:val="1"/>
                <w:bCs w:val="1"/>
                <w:color w:val="auto"/>
                <w:w w:val="90"/>
              </w:rPr>
              <w:t>Common Stock, $0.0005 par value</w:t>
            </w:r>
          </w:p>
        </w:tc>
        <w:tc>
          <w:tcPr>
            <w:tcW w:w="3120" w:type="dxa"/>
            <w:vAlign w:val="bottom"/>
          </w:tcPr>
          <w:p>
            <w:pPr>
              <w:spacing w:after="0"/>
              <w:rPr>
                <w:sz w:val="16"/>
                <w:szCs w:val="16"/>
                <w:color w:val="auto"/>
              </w:rPr>
            </w:pPr>
          </w:p>
        </w:tc>
      </w:tr>
      <w:tr>
        <w:trPr>
          <w:trHeight w:val="169"/>
        </w:trPr>
        <w:tc>
          <w:tcPr>
            <w:tcW w:w="6720" w:type="dxa"/>
            <w:vAlign w:val="bottom"/>
            <w:gridSpan w:val="2"/>
          </w:tcPr>
          <w:p>
            <w:pPr>
              <w:jc w:val="center"/>
              <w:ind w:right="1986"/>
              <w:spacing w:after="0"/>
              <w:rPr>
                <w:sz w:val="20"/>
                <w:szCs w:val="20"/>
                <w:color w:val="auto"/>
              </w:rPr>
            </w:pPr>
            <w:r>
              <w:rPr>
                <w:rFonts w:ascii="Arial" w:cs="Arial" w:eastAsia="Arial" w:hAnsi="Arial"/>
                <w:sz w:val="13"/>
                <w:szCs w:val="13"/>
                <w:b w:val="1"/>
                <w:bCs w:val="1"/>
                <w:color w:val="auto"/>
                <w:w w:val="91"/>
              </w:rPr>
              <w:t>Series X Junior Participating Preferred Stock Purchase Rights</w:t>
            </w:r>
          </w:p>
        </w:tc>
        <w:tc>
          <w:tcPr>
            <w:tcW w:w="3120" w:type="dxa"/>
            <w:vAlign w:val="bottom"/>
          </w:tcPr>
          <w:p>
            <w:pPr>
              <w:jc w:val="center"/>
              <w:ind w:right="841"/>
              <w:spacing w:after="0"/>
              <w:rPr>
                <w:sz w:val="20"/>
                <w:szCs w:val="20"/>
                <w:color w:val="auto"/>
              </w:rPr>
            </w:pPr>
            <w:r>
              <w:rPr>
                <w:rFonts w:ascii="Arial" w:cs="Arial" w:eastAsia="Arial" w:hAnsi="Arial"/>
                <w:sz w:val="13"/>
                <w:szCs w:val="13"/>
                <w:b w:val="1"/>
                <w:bCs w:val="1"/>
                <w:color w:val="auto"/>
                <w:w w:val="92"/>
              </w:rPr>
              <w:t>The Nasdaq Global Select Market</w:t>
            </w:r>
          </w:p>
        </w:tc>
      </w:tr>
      <w:tr>
        <w:trPr>
          <w:trHeight w:val="195"/>
        </w:trPr>
        <w:tc>
          <w:tcPr>
            <w:tcW w:w="3000" w:type="dxa"/>
            <w:vAlign w:val="bottom"/>
          </w:tcPr>
          <w:p>
            <w:pPr>
              <w:spacing w:after="0"/>
              <w:rPr>
                <w:sz w:val="16"/>
                <w:szCs w:val="16"/>
                <w:color w:val="auto"/>
              </w:rPr>
            </w:pPr>
          </w:p>
        </w:tc>
        <w:tc>
          <w:tcPr>
            <w:tcW w:w="3720" w:type="dxa"/>
            <w:vAlign w:val="bottom"/>
          </w:tcPr>
          <w:p>
            <w:pPr>
              <w:jc w:val="center"/>
              <w:ind w:left="366"/>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120" w:type="dxa"/>
            <w:vAlign w:val="bottom"/>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3720" w:type="dxa"/>
            <w:vAlign w:val="bottom"/>
          </w:tcPr>
          <w:p>
            <w:pPr>
              <w:jc w:val="center"/>
              <w:ind w:left="346"/>
              <w:spacing w:after="0"/>
              <w:rPr>
                <w:sz w:val="20"/>
                <w:szCs w:val="20"/>
                <w:color w:val="auto"/>
              </w:rPr>
            </w:pPr>
            <w:r>
              <w:rPr>
                <w:rFonts w:ascii="Arial" w:cs="Arial" w:eastAsia="Arial" w:hAnsi="Arial"/>
                <w:sz w:val="13"/>
                <w:szCs w:val="13"/>
                <w:b w:val="1"/>
                <w:bCs w:val="1"/>
                <w:color w:val="auto"/>
                <w:w w:val="92"/>
              </w:rPr>
              <w:t>None</w:t>
            </w:r>
          </w:p>
        </w:tc>
        <w:tc>
          <w:tcPr>
            <w:tcW w:w="3120" w:type="dxa"/>
            <w:vAlign w:val="bottom"/>
          </w:tcPr>
          <w:p>
            <w:pPr>
              <w:spacing w:after="0"/>
              <w:rPr>
                <w:sz w:val="14"/>
                <w:szCs w:val="14"/>
                <w:color w:val="auto"/>
              </w:rPr>
            </w:pPr>
          </w:p>
        </w:tc>
      </w:tr>
      <w:tr>
        <w:trPr>
          <w:trHeight w:val="222"/>
        </w:trPr>
        <w:tc>
          <w:tcPr>
            <w:tcW w:w="672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3"/>
              </w:rPr>
              <w:t>☑</w:t>
            </w:r>
          </w:p>
        </w:tc>
        <w:tc>
          <w:tcPr>
            <w:tcW w:w="3120" w:type="dxa"/>
            <w:vAlign w:val="bottom"/>
          </w:tcPr>
          <w:p>
            <w:pPr>
              <w:spacing w:after="0"/>
              <w:rPr>
                <w:sz w:val="20"/>
                <w:szCs w:val="20"/>
                <w:color w:val="auto"/>
              </w:rPr>
            </w:pPr>
            <w:r>
              <w:rPr>
                <w:rFonts w:ascii="Arial" w:cs="Arial" w:eastAsia="Arial" w:hAnsi="Arial"/>
                <w:sz w:val="13"/>
                <w:szCs w:val="13"/>
                <w:color w:val="auto"/>
              </w:rPr>
              <w:t>No o</w:t>
            </w:r>
          </w:p>
        </w:tc>
      </w:tr>
      <w:tr>
        <w:trPr>
          <w:trHeight w:val="246"/>
        </w:trPr>
        <w:tc>
          <w:tcPr>
            <w:tcW w:w="6720" w:type="dxa"/>
            <w:vAlign w:val="bottom"/>
            <w:gridSpan w:val="2"/>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not required to file reports pursuant to Section 13 or 15(d) of the Act.. Yes o   No </w:t>
            </w:r>
            <w:r>
              <w:rPr>
                <w:rFonts w:ascii="MS PGothic" w:cs="MS PGothic" w:eastAsia="MS PGothic" w:hAnsi="MS PGothic"/>
                <w:sz w:val="13"/>
                <w:szCs w:val="13"/>
                <w:color w:val="auto"/>
                <w:w w:val="93"/>
              </w:rPr>
              <w:t>☑</w:t>
            </w:r>
          </w:p>
        </w:tc>
        <w:tc>
          <w:tcPr>
            <w:tcW w:w="3120" w:type="dxa"/>
            <w:vAlign w:val="bottom"/>
          </w:tcPr>
          <w:p>
            <w:pPr>
              <w:spacing w:after="0"/>
              <w:rPr>
                <w:sz w:val="21"/>
                <w:szCs w:val="21"/>
                <w:color w:val="auto"/>
              </w:rPr>
            </w:pPr>
          </w:p>
        </w:tc>
      </w:tr>
    </w:tbl>
    <w:p>
      <w:pPr>
        <w:spacing w:after="0" w:line="65" w:lineRule="exact"/>
        <w:rPr>
          <w:sz w:val="20"/>
          <w:szCs w:val="20"/>
          <w:color w:val="auto"/>
        </w:rPr>
      </w:pPr>
    </w:p>
    <w:p>
      <w:pPr>
        <w:ind w:left="3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32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definitions of “large accelerated filer,”</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165"/>
        </w:trPr>
        <w:tc>
          <w:tcPr>
            <w:tcW w:w="7700" w:type="dxa"/>
            <w:vAlign w:val="bottom"/>
            <w:gridSpan w:val="3"/>
          </w:tcPr>
          <w:p>
            <w:pPr>
              <w:spacing w:after="0"/>
              <w:rPr>
                <w:sz w:val="20"/>
                <w:szCs w:val="20"/>
                <w:color w:val="auto"/>
              </w:rPr>
            </w:pPr>
            <w:r>
              <w:rPr>
                <w:rFonts w:ascii="Arial" w:cs="Arial" w:eastAsia="Arial" w:hAnsi="Arial"/>
                <w:sz w:val="13"/>
                <w:szCs w:val="13"/>
                <w:color w:val="auto"/>
              </w:rPr>
              <w:t>“accelerated filer” and “smaller reporting company” in Rule 12b-2 of the Exchange Act. (Check one):</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620" w:type="dxa"/>
            <w:vAlign w:val="bottom"/>
            <w:vMerge w:val="restart"/>
          </w:tcPr>
          <w:p>
            <w:pPr>
              <w:ind w:left="7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2060" w:type="dxa"/>
            <w:vAlign w:val="bottom"/>
          </w:tcPr>
          <w:p>
            <w:pPr>
              <w:spacing w:after="0"/>
              <w:rPr>
                <w:sz w:val="20"/>
                <w:szCs w:val="20"/>
                <w:color w:val="auto"/>
              </w:rPr>
            </w:pPr>
          </w:p>
        </w:tc>
        <w:tc>
          <w:tcPr>
            <w:tcW w:w="3020" w:type="dxa"/>
            <w:vAlign w:val="bottom"/>
          </w:tcPr>
          <w:p>
            <w:pPr>
              <w:jc w:val="center"/>
              <w:ind w:left="394"/>
              <w:spacing w:after="0"/>
              <w:rPr>
                <w:sz w:val="20"/>
                <w:szCs w:val="20"/>
                <w:color w:val="auto"/>
              </w:rPr>
            </w:pPr>
            <w:r>
              <w:rPr>
                <w:rFonts w:ascii="Arial" w:cs="Arial" w:eastAsia="Arial" w:hAnsi="Arial"/>
                <w:sz w:val="13"/>
                <w:szCs w:val="13"/>
                <w:color w:val="auto"/>
                <w:w w:val="91"/>
              </w:rPr>
              <w:t>Non-accelerated filer o</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620" w:type="dxa"/>
            <w:vAlign w:val="bottom"/>
            <w:vMerge w:val="continue"/>
          </w:tcPr>
          <w:p>
            <w:pPr>
              <w:spacing w:after="0"/>
              <w:rPr>
                <w:sz w:val="15"/>
                <w:szCs w:val="15"/>
                <w:color w:val="auto"/>
              </w:rPr>
            </w:pPr>
          </w:p>
        </w:tc>
        <w:tc>
          <w:tcPr>
            <w:tcW w:w="2060" w:type="dxa"/>
            <w:vAlign w:val="bottom"/>
          </w:tcPr>
          <w:p>
            <w:pPr>
              <w:ind w:left="560"/>
              <w:spacing w:after="0"/>
              <w:rPr>
                <w:sz w:val="20"/>
                <w:szCs w:val="20"/>
                <w:color w:val="auto"/>
              </w:rPr>
            </w:pPr>
            <w:r>
              <w:rPr>
                <w:rFonts w:ascii="Arial" w:cs="Arial" w:eastAsia="Arial" w:hAnsi="Arial"/>
                <w:sz w:val="13"/>
                <w:szCs w:val="13"/>
                <w:color w:val="auto"/>
              </w:rPr>
              <w:t>Accelerated filer o</w:t>
            </w:r>
          </w:p>
        </w:tc>
        <w:tc>
          <w:tcPr>
            <w:tcW w:w="3020" w:type="dxa"/>
            <w:vAlign w:val="bottom"/>
          </w:tcPr>
          <w:p>
            <w:pPr>
              <w:jc w:val="center"/>
              <w:ind w:left="394"/>
              <w:spacing w:after="0"/>
              <w:rPr>
                <w:sz w:val="20"/>
                <w:szCs w:val="20"/>
                <w:color w:val="auto"/>
              </w:rPr>
            </w:pPr>
            <w:r>
              <w:rPr>
                <w:rFonts w:ascii="Arial" w:cs="Arial" w:eastAsia="Arial" w:hAnsi="Arial"/>
                <w:sz w:val="13"/>
                <w:szCs w:val="13"/>
                <w:color w:val="auto"/>
                <w:w w:val="93"/>
              </w:rPr>
              <w:t>(Do not check if a smaller reporting company)</w:t>
            </w:r>
          </w:p>
        </w:tc>
        <w:tc>
          <w:tcPr>
            <w:tcW w:w="2660" w:type="dxa"/>
            <w:vAlign w:val="bottom"/>
          </w:tcPr>
          <w:p>
            <w:pPr>
              <w:ind w:left="1140"/>
              <w:spacing w:after="0"/>
              <w:rPr>
                <w:sz w:val="20"/>
                <w:szCs w:val="20"/>
                <w:color w:val="auto"/>
              </w:rPr>
            </w:pPr>
            <w:r>
              <w:rPr>
                <w:rFonts w:ascii="Arial" w:cs="Arial" w:eastAsia="Arial" w:hAnsi="Arial"/>
                <w:sz w:val="13"/>
                <w:szCs w:val="13"/>
                <w:color w:val="auto"/>
                <w:w w:val="90"/>
              </w:rPr>
              <w:t>Smaller reporting company o</w:t>
            </w:r>
          </w:p>
        </w:tc>
        <w:tc>
          <w:tcPr>
            <w:tcW w:w="0" w:type="dxa"/>
            <w:vAlign w:val="bottom"/>
          </w:tcPr>
          <w:p>
            <w:pPr>
              <w:spacing w:after="0"/>
              <w:rPr>
                <w:sz w:val="1"/>
                <w:szCs w:val="1"/>
                <w:color w:val="auto"/>
              </w:rPr>
            </w:pPr>
          </w:p>
        </w:tc>
      </w:tr>
      <w:tr>
        <w:trPr>
          <w:trHeight w:val="246"/>
        </w:trPr>
        <w:tc>
          <w:tcPr>
            <w:tcW w:w="7700" w:type="dxa"/>
            <w:vAlign w:val="bottom"/>
            <w:gridSpan w:val="3"/>
          </w:tcPr>
          <w:p>
            <w:pPr>
              <w:ind w:left="320"/>
              <w:spacing w:after="0"/>
              <w:rPr>
                <w:sz w:val="20"/>
                <w:szCs w:val="20"/>
                <w:color w:val="auto"/>
              </w:rPr>
            </w:pPr>
            <w:r>
              <w:rPr>
                <w:rFonts w:ascii="Arial" w:cs="Arial" w:eastAsia="Arial" w:hAnsi="Arial"/>
                <w:sz w:val="13"/>
                <w:szCs w:val="13"/>
                <w:color w:val="auto"/>
                <w:w w:val="92"/>
              </w:rPr>
              <w:t>Indicate by check mark whether the registrant is a shell company (as defined in Rule 12b-2 of the Securities Exchange Act of 1934). Yes o</w:t>
            </w:r>
          </w:p>
        </w:tc>
        <w:tc>
          <w:tcPr>
            <w:tcW w:w="266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340" w:right="200" w:firstLine="324"/>
        <w:spacing w:after="0" w:line="371"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$18,378,524,103.</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8, 2008, the Registrant had 297,750,601 shares of Common Stock, $0.0005 par value, issued and outstanding.</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Portions of the definitive Proxy Statement for our 2008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85725</wp:posOffset>
            </wp:positionV>
            <wp:extent cx="684720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200660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127" w:right="6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20" w:type="dxa"/>
            <w:vAlign w:val="bottom"/>
            <w:gridSpan w:val="14"/>
          </w:tcPr>
          <w:p>
            <w:pPr>
              <w:jc w:val="center"/>
              <w:ind w:right="3900"/>
              <w:spacing w:after="0"/>
              <w:rPr>
                <w:sz w:val="20"/>
                <w:szCs w:val="20"/>
                <w:color w:val="auto"/>
              </w:rPr>
            </w:pPr>
            <w:r>
              <w:rPr>
                <w:rFonts w:ascii="Arial" w:cs="Arial" w:eastAsia="Arial" w:hAnsi="Arial"/>
                <w:sz w:val="13"/>
                <w:szCs w:val="13"/>
                <w:b w:val="1"/>
                <w:bCs w:val="1"/>
                <w:color w:val="auto"/>
              </w:rPr>
              <w:t>BIOGEN IDEC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20" w:type="dxa"/>
            <w:vAlign w:val="bottom"/>
            <w:gridSpan w:val="16"/>
          </w:tcPr>
          <w:p>
            <w:pPr>
              <w:jc w:val="center"/>
              <w:ind w:right="3520"/>
              <w:spacing w:after="0"/>
              <w:rPr>
                <w:sz w:val="20"/>
                <w:szCs w:val="20"/>
                <w:color w:val="auto"/>
              </w:rPr>
            </w:pPr>
            <w:r>
              <w:rPr>
                <w:rFonts w:ascii="Arial" w:cs="Arial" w:eastAsia="Arial" w:hAnsi="Arial"/>
                <w:sz w:val="13"/>
                <w:szCs w:val="13"/>
                <w:b w:val="1"/>
                <w:bCs w:val="1"/>
                <w:color w:val="auto"/>
              </w:rPr>
              <w:t>ANNUAL REPORT ON FORM 10-K</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20" w:type="dxa"/>
            <w:vAlign w:val="bottom"/>
            <w:gridSpan w:val="16"/>
          </w:tcPr>
          <w:p>
            <w:pPr>
              <w:jc w:val="center"/>
              <w:ind w:right="3500"/>
              <w:spacing w:after="0"/>
              <w:rPr>
                <w:sz w:val="20"/>
                <w:szCs w:val="20"/>
                <w:color w:val="auto"/>
              </w:rPr>
            </w:pPr>
            <w:r>
              <w:rPr>
                <w:rFonts w:ascii="Arial" w:cs="Arial" w:eastAsia="Arial" w:hAnsi="Arial"/>
                <w:sz w:val="13"/>
                <w:szCs w:val="13"/>
                <w:b w:val="1"/>
                <w:bCs w:val="1"/>
                <w:color w:val="auto"/>
                <w:w w:val="91"/>
              </w:rPr>
              <w:t>For the Year Ended December 31, 2007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6"/>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20" w:type="dxa"/>
            <w:vAlign w:val="bottom"/>
            <w:gridSpan w:val="14"/>
          </w:tcPr>
          <w:p>
            <w:pPr>
              <w:jc w:val="center"/>
              <w:ind w:right="3900"/>
              <w:spacing w:after="0"/>
              <w:rPr>
                <w:sz w:val="20"/>
                <w:szCs w:val="20"/>
                <w:color w:val="auto"/>
              </w:rPr>
            </w:pPr>
            <w:r>
              <w:rPr>
                <w:rFonts w:ascii="Arial" w:cs="Arial" w:eastAsia="Arial" w:hAnsi="Arial"/>
                <w:sz w:val="13"/>
                <w:szCs w:val="13"/>
                <w:b w:val="1"/>
                <w:bCs w:val="1"/>
                <w:color w:val="auto"/>
                <w:w w:val="99"/>
              </w:rPr>
              <w:t>TABLE OF CONTENTS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9"/>
          </w:tcPr>
          <w:p>
            <w:pPr>
              <w:jc w:val="center"/>
              <w:ind w:right="446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880" w:type="dxa"/>
            <w:vAlign w:val="bottom"/>
            <w:gridSpan w:val="4"/>
          </w:tcPr>
          <w:p>
            <w:pPr>
              <w:spacing w:after="0"/>
              <w:rPr>
                <w:sz w:val="11"/>
                <w:szCs w:val="11"/>
                <w:color w:val="auto"/>
              </w:rPr>
            </w:pPr>
          </w:p>
        </w:tc>
        <w:tc>
          <w:tcPr>
            <w:tcW w:w="480" w:type="dxa"/>
            <w:vAlign w:val="bottom"/>
            <w:tcBorders>
              <w:bottom w:val="single" w:sz="8" w:color="0000EE"/>
            </w:tcBorders>
          </w:tcPr>
          <w:p>
            <w:pPr>
              <w:spacing w:after="0" w:line="138" w:lineRule="exact"/>
              <w:rPr>
                <w:rFonts w:ascii="Arial" w:cs="Arial" w:eastAsia="Arial" w:hAnsi="Arial"/>
                <w:sz w:val="13"/>
                <w:szCs w:val="13"/>
                <w:color w:val="0000EE"/>
                <w:w w:val="87"/>
              </w:rPr>
            </w:pPr>
            <w:hyperlink w:anchor="page4">
              <w:r>
                <w:rPr>
                  <w:rFonts w:ascii="Arial" w:cs="Arial" w:eastAsia="Arial" w:hAnsi="Arial"/>
                  <w:sz w:val="13"/>
                  <w:szCs w:val="13"/>
                  <w:color w:val="0000EE"/>
                  <w:w w:val="87"/>
                </w:rPr>
                <w:t>Business</w:t>
              </w:r>
            </w:hyperlink>
          </w:p>
        </w:tc>
        <w:tc>
          <w:tcPr>
            <w:tcW w:w="3040" w:type="dxa"/>
            <w:vAlign w:val="bottom"/>
            <w:gridSpan w:val="27"/>
          </w:tcPr>
          <w:p>
            <w:pPr>
              <w:spacing w:after="0"/>
              <w:rPr>
                <w:sz w:val="11"/>
                <w:szCs w:val="11"/>
                <w:color w:val="auto"/>
              </w:rPr>
            </w:pPr>
          </w:p>
        </w:tc>
        <w:tc>
          <w:tcPr>
            <w:tcW w:w="420" w:type="dxa"/>
            <w:vAlign w:val="bottom"/>
            <w:tcBorders>
              <w:top w:val="single" w:sz="8" w:color="0000EE"/>
            </w:tcBorders>
          </w:tcPr>
          <w:p>
            <w:pPr>
              <w:spacing w:after="0"/>
              <w:rPr>
                <w:sz w:val="11"/>
                <w:szCs w:val="11"/>
                <w:color w:val="auto"/>
              </w:rPr>
            </w:pPr>
          </w:p>
        </w:tc>
        <w:tc>
          <w:tcPr>
            <w:tcW w:w="4460" w:type="dxa"/>
            <w:vAlign w:val="bottom"/>
            <w:gridSpan w:val="8"/>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Overview</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580" w:type="dxa"/>
            <w:vAlign w:val="bottom"/>
            <w:tcBorders>
              <w:bottom w:val="single" w:sz="8" w:color="0000EE"/>
            </w:tcBorders>
            <w:gridSpan w:val="21"/>
          </w:tcPr>
          <w:p>
            <w:pPr>
              <w:spacing w:after="0" w:line="138" w:lineRule="exact"/>
              <w:rPr>
                <w:rFonts w:ascii="Arial" w:cs="Arial" w:eastAsia="Arial" w:hAnsi="Arial"/>
                <w:sz w:val="13"/>
                <w:szCs w:val="13"/>
                <w:color w:val="0000EE"/>
                <w:w w:val="89"/>
              </w:rPr>
            </w:pPr>
            <w:hyperlink w:anchor="page6">
              <w:r>
                <w:rPr>
                  <w:rFonts w:ascii="Arial" w:cs="Arial" w:eastAsia="Arial" w:hAnsi="Arial"/>
                  <w:sz w:val="13"/>
                  <w:szCs w:val="13"/>
                  <w:color w:val="0000EE"/>
                  <w:w w:val="89"/>
                </w:rPr>
                <w:t>Our Products and Late-Stage Product Candidates</w:t>
              </w:r>
            </w:hyperlink>
          </w:p>
        </w:tc>
        <w:tc>
          <w:tcPr>
            <w:tcW w:w="5820" w:type="dxa"/>
            <w:vAlign w:val="bottom"/>
            <w:gridSpan w:val="16"/>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20" w:type="dxa"/>
            <w:vAlign w:val="bottom"/>
            <w:tcBorders>
              <w:bottom w:val="single" w:sz="8" w:color="0000EE"/>
            </w:tcBorders>
            <w:gridSpan w:val="14"/>
          </w:tcPr>
          <w:p>
            <w:pPr>
              <w:spacing w:after="0" w:line="138" w:lineRule="exact"/>
              <w:rPr>
                <w:rFonts w:ascii="Arial" w:cs="Arial" w:eastAsia="Arial" w:hAnsi="Arial"/>
                <w:sz w:val="13"/>
                <w:szCs w:val="13"/>
                <w:color w:val="0000EE"/>
                <w:w w:val="91"/>
              </w:rPr>
            </w:pPr>
            <w:hyperlink w:anchor="page14">
              <w:r>
                <w:rPr>
                  <w:rFonts w:ascii="Arial" w:cs="Arial" w:eastAsia="Arial" w:hAnsi="Arial"/>
                  <w:sz w:val="13"/>
                  <w:szCs w:val="13"/>
                  <w:color w:val="0000EE"/>
                  <w:w w:val="91"/>
                </w:rPr>
                <w:t>Products We No Longer Sell</w:t>
              </w:r>
            </w:hyperlink>
          </w:p>
        </w:tc>
        <w:tc>
          <w:tcPr>
            <w:tcW w:w="6880" w:type="dxa"/>
            <w:vAlign w:val="bottom"/>
            <w:gridSpan w:val="23"/>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11</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Our Other Research and Development Programs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Borders>
              <w:top w:val="single" w:sz="8" w:color="0000EE"/>
              <w:bottom w:val="single" w:sz="8" w:color="0000EE"/>
            </w:tcBorders>
            <w:gridSpan w:val="15"/>
          </w:tcPr>
          <w:p>
            <w:pPr>
              <w:spacing w:after="0" w:line="138" w:lineRule="exact"/>
              <w:rPr>
                <w:rFonts w:ascii="Arial" w:cs="Arial" w:eastAsia="Arial" w:hAnsi="Arial"/>
                <w:sz w:val="13"/>
                <w:szCs w:val="13"/>
                <w:color w:val="0000EE"/>
                <w:w w:val="88"/>
              </w:rPr>
            </w:pPr>
            <w:hyperlink w:anchor="page16">
              <w:r>
                <w:rPr>
                  <w:rFonts w:ascii="Arial" w:cs="Arial" w:eastAsia="Arial" w:hAnsi="Arial"/>
                  <w:sz w:val="13"/>
                  <w:szCs w:val="13"/>
                  <w:color w:val="0000EE"/>
                  <w:w w:val="88"/>
                </w:rPr>
                <w:t>Research and Development Costs</w:t>
              </w:r>
            </w:hyperlink>
          </w:p>
        </w:tc>
        <w:tc>
          <w:tcPr>
            <w:tcW w:w="760" w:type="dxa"/>
            <w:vAlign w:val="bottom"/>
            <w:tcBorders>
              <w:top w:val="single" w:sz="8" w:color="0000EE"/>
            </w:tcBorders>
            <w:gridSpan w:val="5"/>
          </w:tcPr>
          <w:p>
            <w:pPr>
              <w:spacing w:after="0"/>
              <w:rPr>
                <w:sz w:val="11"/>
                <w:szCs w:val="11"/>
                <w:color w:val="auto"/>
              </w:rPr>
            </w:pPr>
          </w:p>
        </w:tc>
        <w:tc>
          <w:tcPr>
            <w:tcW w:w="5860" w:type="dxa"/>
            <w:vAlign w:val="bottom"/>
            <w:gridSpan w:val="17"/>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16">
              <w:r>
                <w:rPr>
                  <w:rFonts w:ascii="Arial" w:cs="Arial" w:eastAsia="Arial" w:hAnsi="Arial"/>
                  <w:sz w:val="13"/>
                  <w:szCs w:val="13"/>
                  <w:color w:val="0000EE"/>
                  <w:w w:val="90"/>
                </w:rPr>
                <w:t>Principal Licensed Products</w:t>
              </w:r>
            </w:hyperlink>
          </w:p>
        </w:tc>
        <w:tc>
          <w:tcPr>
            <w:tcW w:w="6920" w:type="dxa"/>
            <w:vAlign w:val="bottom"/>
            <w:gridSpan w:val="25"/>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40" w:type="dxa"/>
            <w:vAlign w:val="bottom"/>
            <w:tcBorders>
              <w:bottom w:val="single" w:sz="8" w:color="0000EE"/>
            </w:tcBorders>
            <w:gridSpan w:val="17"/>
          </w:tcPr>
          <w:p>
            <w:pPr>
              <w:spacing w:after="0" w:line="138" w:lineRule="exact"/>
              <w:rPr>
                <w:rFonts w:ascii="Arial" w:cs="Arial" w:eastAsia="Arial" w:hAnsi="Arial"/>
                <w:sz w:val="13"/>
                <w:szCs w:val="13"/>
                <w:color w:val="0000EE"/>
                <w:w w:val="90"/>
              </w:rPr>
            </w:pPr>
            <w:hyperlink w:anchor="page17">
              <w:r>
                <w:rPr>
                  <w:rFonts w:ascii="Arial" w:cs="Arial" w:eastAsia="Arial" w:hAnsi="Arial"/>
                  <w:sz w:val="13"/>
                  <w:szCs w:val="13"/>
                  <w:color w:val="0000EE"/>
                  <w:w w:val="90"/>
                </w:rPr>
                <w:t>Patents and Other Proprietary Rights</w:t>
              </w:r>
            </w:hyperlink>
          </w:p>
        </w:tc>
        <w:tc>
          <w:tcPr>
            <w:tcW w:w="6460" w:type="dxa"/>
            <w:vAlign w:val="bottom"/>
            <w:gridSpan w:val="20"/>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Sales, Marketing and Distribution</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16</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tcBorders>
              <w:top w:val="single" w:sz="8" w:color="0000EE"/>
            </w:tcBorders>
            <w:gridSpan w:val="1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Competition</w:t>
              </w:r>
            </w:hyperlink>
          </w:p>
        </w:tc>
        <w:tc>
          <w:tcPr>
            <w:tcW w:w="6620" w:type="dxa"/>
            <w:vAlign w:val="bottom"/>
            <w:gridSpan w:val="22"/>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Regulatory</w:t>
              </w:r>
            </w:hyperlink>
          </w:p>
        </w:tc>
        <w:tc>
          <w:tcPr>
            <w:tcW w:w="7740" w:type="dxa"/>
            <w:vAlign w:val="bottom"/>
            <w:gridSpan w:val="32"/>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19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Manufacturing and Raw Materials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Our Employees</w:t>
              </w:r>
            </w:hyperlink>
          </w:p>
        </w:tc>
        <w:tc>
          <w:tcPr>
            <w:tcW w:w="6600" w:type="dxa"/>
            <w:vAlign w:val="bottom"/>
            <w:gridSpan w:val="21"/>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Our Executive Officers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26</w:t>
            </w:r>
          </w:p>
        </w:tc>
      </w:tr>
      <w:tr>
        <w:trPr>
          <w:trHeight w:val="137"/>
        </w:trPr>
        <w:tc>
          <w:tcPr>
            <w:tcW w:w="480" w:type="dxa"/>
            <w:vAlign w:val="bottom"/>
            <w:gridSpan w:val="4"/>
          </w:tcPr>
          <w:p>
            <w:pPr>
              <w:spacing w:after="0" w:line="138" w:lineRule="exact"/>
              <w:rPr>
                <w:rFonts w:ascii="Arial" w:cs="Arial" w:eastAsia="Arial" w:hAnsi="Arial"/>
                <w:sz w:val="13"/>
                <w:szCs w:val="13"/>
                <w:color w:val="0000EE"/>
                <w:w w:val="90"/>
              </w:rPr>
            </w:pPr>
            <w:hyperlink w:anchor="page32">
              <w:r>
                <w:rPr>
                  <w:rFonts w:ascii="Arial" w:cs="Arial" w:eastAsia="Arial" w:hAnsi="Arial"/>
                  <w:sz w:val="13"/>
                  <w:szCs w:val="13"/>
                  <w:color w:val="0000EE"/>
                  <w:w w:val="90"/>
                </w:rPr>
                <w:t>Item 1A.</w:t>
              </w:r>
            </w:hyperlink>
          </w:p>
        </w:tc>
        <w:tc>
          <w:tcPr>
            <w:tcW w:w="780" w:type="dxa"/>
            <w:vAlign w:val="bottom"/>
            <w:gridSpan w:val="2"/>
          </w:tcPr>
          <w:p>
            <w:pPr>
              <w:spacing w:after="0"/>
              <w:rPr>
                <w:sz w:val="11"/>
                <w:szCs w:val="11"/>
                <w:color w:val="auto"/>
              </w:rPr>
            </w:pPr>
          </w:p>
        </w:tc>
        <w:tc>
          <w:tcPr>
            <w:tcW w:w="128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32">
              <w:r>
                <w:rPr>
                  <w:rFonts w:ascii="Arial" w:cs="Arial" w:eastAsia="Arial" w:hAnsi="Arial"/>
                  <w:sz w:val="13"/>
                  <w:szCs w:val="13"/>
                  <w:color w:val="0000EE"/>
                </w:rPr>
                <w:t>Risk Factors</w:t>
              </w:r>
            </w:hyperlink>
          </w:p>
        </w:tc>
        <w:tc>
          <w:tcPr>
            <w:tcW w:w="7120" w:type="dxa"/>
            <w:vAlign w:val="bottom"/>
            <w:gridSpan w:val="28"/>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80" w:type="dxa"/>
            <w:vAlign w:val="bottom"/>
            <w:gridSpan w:val="4"/>
          </w:tcPr>
          <w:p>
            <w:pPr>
              <w:spacing w:after="0" w:line="138" w:lineRule="exact"/>
              <w:rPr>
                <w:rFonts w:ascii="Arial" w:cs="Arial" w:eastAsia="Arial" w:hAnsi="Arial"/>
                <w:sz w:val="13"/>
                <w:szCs w:val="13"/>
                <w:color w:val="0000EE"/>
                <w:w w:val="90"/>
              </w:rPr>
            </w:pPr>
            <w:hyperlink w:anchor="page42">
              <w:r>
                <w:rPr>
                  <w:rFonts w:ascii="Arial" w:cs="Arial" w:eastAsia="Arial" w:hAnsi="Arial"/>
                  <w:sz w:val="13"/>
                  <w:szCs w:val="13"/>
                  <w:color w:val="0000EE"/>
                  <w:w w:val="90"/>
                </w:rPr>
                <w:t>Item 1B.</w:t>
              </w:r>
            </w:hyperlink>
          </w:p>
        </w:tc>
        <w:tc>
          <w:tcPr>
            <w:tcW w:w="780" w:type="dxa"/>
            <w:vAlign w:val="bottom"/>
            <w:gridSpan w:val="2"/>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Unresolved Staff Comments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39</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Item 2.</w:t>
              </w:r>
            </w:hyperlink>
          </w:p>
        </w:tc>
        <w:tc>
          <w:tcPr>
            <w:tcW w:w="100" w:type="dxa"/>
            <w:vAlign w:val="bottom"/>
            <w:tcBorders>
              <w:top w:val="single" w:sz="8" w:color="0000EE"/>
            </w:tcBorders>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5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43">
              <w:r>
                <w:rPr>
                  <w:rFonts w:ascii="Arial" w:cs="Arial" w:eastAsia="Arial" w:hAnsi="Arial"/>
                  <w:sz w:val="13"/>
                  <w:szCs w:val="13"/>
                  <w:color w:val="0000EE"/>
                  <w:w w:val="87"/>
                </w:rPr>
                <w:t>Properties</w:t>
              </w:r>
            </w:hyperlink>
          </w:p>
        </w:tc>
        <w:tc>
          <w:tcPr>
            <w:tcW w:w="960" w:type="dxa"/>
            <w:vAlign w:val="bottom"/>
            <w:tcBorders>
              <w:top w:val="single" w:sz="8" w:color="0000EE"/>
            </w:tcBorders>
            <w:gridSpan w:val="10"/>
          </w:tcPr>
          <w:p>
            <w:pPr>
              <w:spacing w:after="0"/>
              <w:rPr>
                <w:sz w:val="11"/>
                <w:szCs w:val="11"/>
                <w:color w:val="auto"/>
              </w:rPr>
            </w:pPr>
          </w:p>
        </w:tc>
        <w:tc>
          <w:tcPr>
            <w:tcW w:w="6900" w:type="dxa"/>
            <w:vAlign w:val="bottom"/>
            <w:gridSpan w:val="24"/>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40</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3">
              <w:r>
                <w:rPr>
                  <w:rFonts w:ascii="Arial" w:cs="Arial" w:eastAsia="Arial" w:hAnsi="Arial"/>
                  <w:sz w:val="13"/>
                  <w:szCs w:val="13"/>
                  <w:color w:val="0000EE"/>
                  <w:w w:val="90"/>
                </w:rPr>
                <w:t>Item 3.</w:t>
              </w:r>
            </w:hyperlink>
          </w:p>
        </w:tc>
        <w:tc>
          <w:tcPr>
            <w:tcW w:w="880" w:type="dxa"/>
            <w:vAlign w:val="bottom"/>
            <w:gridSpan w:val="4"/>
          </w:tcPr>
          <w:p>
            <w:pPr>
              <w:spacing w:after="0"/>
              <w:rPr>
                <w:sz w:val="11"/>
                <w:szCs w:val="11"/>
                <w:color w:val="auto"/>
              </w:rPr>
            </w:pPr>
          </w:p>
        </w:tc>
        <w:tc>
          <w:tcPr>
            <w:tcW w:w="980" w:type="dxa"/>
            <w:vAlign w:val="bottom"/>
            <w:tcBorders>
              <w:bottom w:val="single" w:sz="8" w:color="0000EE"/>
            </w:tcBorders>
            <w:gridSpan w:val="8"/>
          </w:tcPr>
          <w:p>
            <w:pPr>
              <w:spacing w:after="0" w:line="138" w:lineRule="exact"/>
              <w:rPr>
                <w:rFonts w:ascii="Arial" w:cs="Arial" w:eastAsia="Arial" w:hAnsi="Arial"/>
                <w:sz w:val="13"/>
                <w:szCs w:val="13"/>
                <w:color w:val="0000EE"/>
                <w:w w:val="89"/>
              </w:rPr>
            </w:pPr>
            <w:hyperlink w:anchor="page43">
              <w:r>
                <w:rPr>
                  <w:rFonts w:ascii="Arial" w:cs="Arial" w:eastAsia="Arial" w:hAnsi="Arial"/>
                  <w:sz w:val="13"/>
                  <w:szCs w:val="13"/>
                  <w:color w:val="0000EE"/>
                  <w:w w:val="89"/>
                </w:rPr>
                <w:t>Legal Proceedings</w:t>
              </w:r>
            </w:hyperlink>
          </w:p>
        </w:tc>
        <w:tc>
          <w:tcPr>
            <w:tcW w:w="7420" w:type="dxa"/>
            <w:vAlign w:val="bottom"/>
            <w:gridSpan w:val="29"/>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40</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Item 4.</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Submission of Matters to a Vote of Security Holders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43</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47">
              <w:r>
                <w:rPr>
                  <w:rFonts w:ascii="Arial" w:cs="Arial" w:eastAsia="Arial" w:hAnsi="Arial"/>
                  <w:sz w:val="13"/>
                  <w:szCs w:val="13"/>
                  <w:b w:val="1"/>
                  <w:bCs w:val="1"/>
                  <w:color w:val="0000EE"/>
                </w:rPr>
                <w:t>PART II</w:t>
              </w:r>
            </w:hyperlink>
          </w:p>
        </w:tc>
        <w:tc>
          <w:tcPr>
            <w:tcW w:w="4420" w:type="dxa"/>
            <w:vAlign w:val="bottom"/>
            <w:gridSpan w:val="7"/>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47">
              <w:r>
                <w:rPr>
                  <w:rFonts w:ascii="Arial" w:cs="Arial" w:eastAsia="Arial" w:hAnsi="Arial"/>
                  <w:sz w:val="13"/>
                  <w:szCs w:val="13"/>
                  <w:color w:val="0000EE"/>
                  <w:w w:val="90"/>
                </w:rPr>
                <w:t>Item 5.</w:t>
              </w:r>
            </w:hyperlink>
          </w:p>
        </w:tc>
        <w:tc>
          <w:tcPr>
            <w:tcW w:w="880" w:type="dxa"/>
            <w:vAlign w:val="bottom"/>
            <w:gridSpan w:val="4"/>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Market for Registrant’s Common Equity, Related Stockholder Matters and Issuer Purchases of Equity Securities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44</w:t>
            </w:r>
          </w:p>
        </w:tc>
      </w:tr>
      <w:tr>
        <w:trPr>
          <w:trHeight w:val="137"/>
        </w:trPr>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Item 6.</w:t>
              </w:r>
            </w:hyperlink>
          </w:p>
        </w:tc>
        <w:tc>
          <w:tcPr>
            <w:tcW w:w="880" w:type="dxa"/>
            <w:vAlign w:val="bottom"/>
            <w:gridSpan w:val="4"/>
          </w:tcPr>
          <w:p>
            <w:pPr>
              <w:spacing w:after="0"/>
              <w:rPr>
                <w:sz w:val="11"/>
                <w:szCs w:val="11"/>
                <w:color w:val="auto"/>
              </w:rPr>
            </w:pPr>
          </w:p>
        </w:tc>
        <w:tc>
          <w:tcPr>
            <w:tcW w:w="1980" w:type="dxa"/>
            <w:vAlign w:val="bottom"/>
            <w:tcBorders>
              <w:top w:val="single" w:sz="8" w:color="0000EE"/>
              <w:bottom w:val="single" w:sz="8" w:color="0000EE"/>
            </w:tcBorders>
            <w:gridSpan w:val="18"/>
          </w:tcPr>
          <w:p>
            <w:pPr>
              <w:spacing w:after="0" w:line="138"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Selected Consolidated Financial Data</w:t>
              </w:r>
            </w:hyperlink>
          </w:p>
        </w:tc>
        <w:tc>
          <w:tcPr>
            <w:tcW w:w="3900" w:type="dxa"/>
            <w:vAlign w:val="bottom"/>
            <w:tcBorders>
              <w:top w:val="single" w:sz="8" w:color="0000EE"/>
            </w:tcBorders>
            <w:gridSpan w:val="18"/>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46</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50">
              <w:r>
                <w:rPr>
                  <w:rFonts w:ascii="Arial" w:cs="Arial" w:eastAsia="Arial" w:hAnsi="Arial"/>
                  <w:sz w:val="13"/>
                  <w:szCs w:val="13"/>
                  <w:color w:val="0000EE"/>
                  <w:w w:val="90"/>
                </w:rPr>
                <w:t>Item 7.</w:t>
              </w:r>
            </w:hyperlink>
          </w:p>
        </w:tc>
        <w:tc>
          <w:tcPr>
            <w:tcW w:w="880" w:type="dxa"/>
            <w:vAlign w:val="bottom"/>
            <w:gridSpan w:val="4"/>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Management’s Discussion and Analysis of Financial Condition and Results of Operations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47</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8"/>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75">
              <w:r>
                <w:rPr>
                  <w:rFonts w:ascii="Arial" w:cs="Arial" w:eastAsia="Arial" w:hAnsi="Arial"/>
                  <w:sz w:val="13"/>
                  <w:szCs w:val="13"/>
                  <w:color w:val="0000EE"/>
                  <w:w w:val="90"/>
                </w:rPr>
                <w:t>Item 7A.</w:t>
              </w:r>
            </w:hyperlink>
          </w:p>
        </w:tc>
        <w:tc>
          <w:tcPr>
            <w:tcW w:w="780" w:type="dxa"/>
            <w:vAlign w:val="bottom"/>
            <w:gridSpan w:val="2"/>
          </w:tcPr>
          <w:p>
            <w:pPr>
              <w:spacing w:after="0"/>
              <w:rPr>
                <w:sz w:val="11"/>
                <w:szCs w:val="11"/>
                <w:color w:val="auto"/>
              </w:rPr>
            </w:pPr>
          </w:p>
        </w:tc>
        <w:tc>
          <w:tcPr>
            <w:tcW w:w="3180" w:type="dxa"/>
            <w:vAlign w:val="bottom"/>
            <w:tcBorders>
              <w:bottom w:val="single" w:sz="8" w:color="0000EE"/>
            </w:tcBorders>
            <w:gridSpan w:val="25"/>
          </w:tcPr>
          <w:p>
            <w:pPr>
              <w:spacing w:after="0" w:line="138" w:lineRule="exact"/>
              <w:rPr>
                <w:rFonts w:ascii="Arial" w:cs="Arial" w:eastAsia="Arial" w:hAnsi="Arial"/>
                <w:sz w:val="13"/>
                <w:szCs w:val="13"/>
                <w:color w:val="0000EE"/>
                <w:w w:val="92"/>
              </w:rPr>
            </w:pPr>
            <w:hyperlink w:anchor="page75">
              <w:r>
                <w:rPr>
                  <w:rFonts w:ascii="Arial" w:cs="Arial" w:eastAsia="Arial" w:hAnsi="Arial"/>
                  <w:sz w:val="13"/>
                  <w:szCs w:val="13"/>
                  <w:color w:val="0000EE"/>
                  <w:w w:val="92"/>
                </w:rPr>
                <w:t>Quantitative and Qualitative Disclosures About Market Risk</w:t>
              </w:r>
            </w:hyperlink>
          </w:p>
        </w:tc>
        <w:tc>
          <w:tcPr>
            <w:tcW w:w="5220" w:type="dxa"/>
            <w:vAlign w:val="bottom"/>
            <w:gridSpan w:val="12"/>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72</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75">
              <w:r>
                <w:rPr>
                  <w:rFonts w:ascii="Arial" w:cs="Arial" w:eastAsia="Arial" w:hAnsi="Arial"/>
                  <w:sz w:val="13"/>
                  <w:szCs w:val="13"/>
                  <w:color w:val="0000EE"/>
                  <w:w w:val="90"/>
                </w:rPr>
                <w:t>Item 8.</w:t>
              </w:r>
            </w:hyperlink>
          </w:p>
        </w:tc>
        <w:tc>
          <w:tcPr>
            <w:tcW w:w="880" w:type="dxa"/>
            <w:vAlign w:val="bottom"/>
            <w:gridSpan w:val="4"/>
          </w:tcPr>
          <w:p>
            <w:pPr>
              <w:spacing w:after="0"/>
              <w:rPr>
                <w:sz w:val="11"/>
                <w:szCs w:val="11"/>
                <w:color w:val="auto"/>
              </w:rPr>
            </w:pPr>
          </w:p>
        </w:tc>
        <w:tc>
          <w:tcPr>
            <w:tcW w:w="3160" w:type="dxa"/>
            <w:vAlign w:val="bottom"/>
            <w:tcBorders>
              <w:bottom w:val="single" w:sz="8" w:color="0000EE"/>
            </w:tcBorders>
            <w:gridSpan w:val="24"/>
          </w:tcPr>
          <w:p>
            <w:pPr>
              <w:spacing w:after="0" w:line="138" w:lineRule="exact"/>
              <w:rPr>
                <w:rFonts w:ascii="Arial" w:cs="Arial" w:eastAsia="Arial" w:hAnsi="Arial"/>
                <w:sz w:val="13"/>
                <w:szCs w:val="13"/>
                <w:color w:val="0000EE"/>
                <w:w w:val="90"/>
              </w:rPr>
            </w:pPr>
            <w:hyperlink w:anchor="page75">
              <w:r>
                <w:rPr>
                  <w:rFonts w:ascii="Arial" w:cs="Arial" w:eastAsia="Arial" w:hAnsi="Arial"/>
                  <w:sz w:val="13"/>
                  <w:szCs w:val="13"/>
                  <w:color w:val="0000EE"/>
                  <w:w w:val="90"/>
                </w:rPr>
                <w:t>Consolidated Financial Statements and Supplementary Data</w:t>
              </w:r>
            </w:hyperlink>
          </w:p>
        </w:tc>
        <w:tc>
          <w:tcPr>
            <w:tcW w:w="5240" w:type="dxa"/>
            <w:vAlign w:val="bottom"/>
            <w:gridSpan w:val="13"/>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72</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75">
              <w:r>
                <w:rPr>
                  <w:rFonts w:ascii="Arial" w:cs="Arial" w:eastAsia="Arial" w:hAnsi="Arial"/>
                  <w:sz w:val="13"/>
                  <w:szCs w:val="13"/>
                  <w:color w:val="0000EE"/>
                  <w:w w:val="90"/>
                </w:rPr>
                <w:t>Item 9.</w:t>
              </w:r>
            </w:hyperlink>
          </w:p>
        </w:tc>
        <w:tc>
          <w:tcPr>
            <w:tcW w:w="880" w:type="dxa"/>
            <w:vAlign w:val="bottom"/>
            <w:gridSpan w:val="4"/>
          </w:tcPr>
          <w:p>
            <w:pPr>
              <w:spacing w:after="0"/>
              <w:rPr>
                <w:sz w:val="11"/>
                <w:szCs w:val="11"/>
                <w:color w:val="auto"/>
              </w:rPr>
            </w:pPr>
          </w:p>
        </w:tc>
        <w:tc>
          <w:tcPr>
            <w:tcW w:w="8400" w:type="dxa"/>
            <w:vAlign w:val="bottom"/>
            <w:gridSpan w:val="37"/>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Changes in and Disagreements with Accountants on Accounting and Financial Disclosure</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8"/>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4"/>
          </w:tcPr>
          <w:p>
            <w:pPr>
              <w:spacing w:after="0" w:line="138" w:lineRule="exact"/>
              <w:rPr>
                <w:rFonts w:ascii="Arial" w:cs="Arial" w:eastAsia="Arial" w:hAnsi="Arial"/>
                <w:sz w:val="13"/>
                <w:szCs w:val="13"/>
                <w:color w:val="0000EE"/>
                <w:w w:val="90"/>
              </w:rPr>
            </w:pPr>
            <w:hyperlink w:anchor="page75">
              <w:r>
                <w:rPr>
                  <w:rFonts w:ascii="Arial" w:cs="Arial" w:eastAsia="Arial" w:hAnsi="Arial"/>
                  <w:sz w:val="13"/>
                  <w:szCs w:val="13"/>
                  <w:color w:val="0000EE"/>
                  <w:w w:val="90"/>
                </w:rPr>
                <w:t>Item 9A.</w:t>
              </w:r>
            </w:hyperlink>
          </w:p>
        </w:tc>
        <w:tc>
          <w:tcPr>
            <w:tcW w:w="780" w:type="dxa"/>
            <w:vAlign w:val="bottom"/>
            <w:gridSpan w:val="2"/>
          </w:tcPr>
          <w:p>
            <w:pPr>
              <w:spacing w:after="0"/>
              <w:rPr>
                <w:sz w:val="11"/>
                <w:szCs w:val="11"/>
                <w:color w:val="auto"/>
              </w:rPr>
            </w:pPr>
          </w:p>
        </w:tc>
        <w:tc>
          <w:tcPr>
            <w:tcW w:w="1300" w:type="dxa"/>
            <w:vAlign w:val="bottom"/>
            <w:tcBorders>
              <w:bottom w:val="single" w:sz="8" w:color="0000EE"/>
            </w:tcBorders>
            <w:gridSpan w:val="10"/>
          </w:tcPr>
          <w:p>
            <w:pPr>
              <w:spacing w:after="0" w:line="138" w:lineRule="exact"/>
              <w:rPr>
                <w:rFonts w:ascii="Arial" w:cs="Arial" w:eastAsia="Arial" w:hAnsi="Arial"/>
                <w:sz w:val="13"/>
                <w:szCs w:val="13"/>
                <w:color w:val="0000EE"/>
                <w:w w:val="88"/>
              </w:rPr>
            </w:pPr>
            <w:hyperlink w:anchor="page75">
              <w:r>
                <w:rPr>
                  <w:rFonts w:ascii="Arial" w:cs="Arial" w:eastAsia="Arial" w:hAnsi="Arial"/>
                  <w:sz w:val="13"/>
                  <w:szCs w:val="13"/>
                  <w:color w:val="0000EE"/>
                  <w:w w:val="88"/>
                </w:rPr>
                <w:t>Controls and Procedures</w:t>
              </w:r>
            </w:hyperlink>
          </w:p>
        </w:tc>
        <w:tc>
          <w:tcPr>
            <w:tcW w:w="7100" w:type="dxa"/>
            <w:vAlign w:val="bottom"/>
            <w:gridSpan w:val="27"/>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72</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Item 9B.</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Other Information</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72</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76">
              <w:r>
                <w:rPr>
                  <w:rFonts w:ascii="Arial" w:cs="Arial" w:eastAsia="Arial" w:hAnsi="Arial"/>
                  <w:sz w:val="13"/>
                  <w:szCs w:val="13"/>
                  <w:b w:val="1"/>
                  <w:bCs w:val="1"/>
                  <w:color w:val="0000EE"/>
                </w:rPr>
                <w:t>PART III</w:t>
              </w:r>
            </w:hyperlink>
          </w:p>
        </w:tc>
        <w:tc>
          <w:tcPr>
            <w:tcW w:w="4380" w:type="dxa"/>
            <w:vAlign w:val="bottom"/>
            <w:gridSpan w:val="5"/>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Item 10.</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Directors, Executive Officers and Corporate Governance</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73</w:t>
            </w:r>
          </w:p>
        </w:tc>
      </w:tr>
      <w:tr>
        <w:trPr>
          <w:trHeight w:val="137"/>
        </w:trPr>
        <w:tc>
          <w:tcPr>
            <w:tcW w:w="44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76">
              <w:r>
                <w:rPr>
                  <w:rFonts w:ascii="Arial" w:cs="Arial" w:eastAsia="Arial" w:hAnsi="Arial"/>
                  <w:sz w:val="13"/>
                  <w:szCs w:val="13"/>
                  <w:color w:val="0000EE"/>
                  <w:w w:val="89"/>
                </w:rPr>
                <w:t>Item 11.</w:t>
              </w:r>
            </w:hyperlink>
          </w:p>
        </w:tc>
        <w:tc>
          <w:tcPr>
            <w:tcW w:w="820" w:type="dxa"/>
            <w:vAlign w:val="bottom"/>
            <w:gridSpan w:val="3"/>
          </w:tcPr>
          <w:p>
            <w:pPr>
              <w:spacing w:after="0"/>
              <w:rPr>
                <w:sz w:val="11"/>
                <w:szCs w:val="11"/>
                <w:color w:val="auto"/>
              </w:rPr>
            </w:pPr>
          </w:p>
        </w:tc>
        <w:tc>
          <w:tcPr>
            <w:tcW w:w="132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0"/>
              </w:rPr>
            </w:pPr>
            <w:hyperlink w:anchor="page76">
              <w:r>
                <w:rPr>
                  <w:rFonts w:ascii="Arial" w:cs="Arial" w:eastAsia="Arial" w:hAnsi="Arial"/>
                  <w:sz w:val="13"/>
                  <w:szCs w:val="13"/>
                  <w:color w:val="0000EE"/>
                  <w:w w:val="90"/>
                </w:rPr>
                <w:t>Executive Compensation</w:t>
              </w:r>
            </w:hyperlink>
          </w:p>
        </w:tc>
        <w:tc>
          <w:tcPr>
            <w:tcW w:w="1660" w:type="dxa"/>
            <w:vAlign w:val="bottom"/>
            <w:tcBorders>
              <w:top w:val="single" w:sz="8" w:color="0000EE"/>
            </w:tcBorders>
            <w:gridSpan w:val="12"/>
          </w:tcPr>
          <w:p>
            <w:pPr>
              <w:spacing w:after="0"/>
              <w:rPr>
                <w:sz w:val="11"/>
                <w:szCs w:val="11"/>
                <w:color w:val="auto"/>
              </w:rPr>
            </w:pPr>
          </w:p>
        </w:tc>
        <w:tc>
          <w:tcPr>
            <w:tcW w:w="5420" w:type="dxa"/>
            <w:vAlign w:val="bottom"/>
            <w:gridSpan w:val="14"/>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73</w:t>
            </w: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Item 12.</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Security Ownership of Certain Beneficial Owners and Management and Related Stockholder Matters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73</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840" w:type="dxa"/>
            <w:vAlign w:val="bottom"/>
            <w:tcBorders>
              <w:right w:val="single" w:sz="8" w:color="0000EE"/>
            </w:tcBorders>
            <w:gridSpan w:val="10"/>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Item 13.</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Certain Relationships and Related Transactions, and Director Independence</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73</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840" w:type="dxa"/>
            <w:vAlign w:val="bottom"/>
            <w:tcBorders>
              <w:right w:val="single" w:sz="8" w:color="0000EE"/>
            </w:tcBorders>
            <w:gridSpan w:val="10"/>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Item 14.</w:t>
              </w:r>
            </w:hyperlink>
          </w:p>
        </w:tc>
        <w:tc>
          <w:tcPr>
            <w:tcW w:w="8400" w:type="dxa"/>
            <w:vAlign w:val="bottom"/>
            <w:gridSpan w:val="37"/>
          </w:tcPr>
          <w:p>
            <w:pPr>
              <w:spacing w:after="0" w:line="138" w:lineRule="exact"/>
              <w:rPr>
                <w:rFonts w:ascii="Arial" w:cs="Arial" w:eastAsia="Arial" w:hAnsi="Arial"/>
                <w:sz w:val="13"/>
                <w:szCs w:val="13"/>
                <w:color w:val="0000EE"/>
              </w:rPr>
            </w:pPr>
            <w:hyperlink w:anchor="page76">
              <w:r>
                <w:rPr>
                  <w:rFonts w:ascii="Arial" w:cs="Arial" w:eastAsia="Arial" w:hAnsi="Arial"/>
                  <w:sz w:val="13"/>
                  <w:szCs w:val="13"/>
                  <w:color w:val="0000EE"/>
                </w:rPr>
                <w:t>Principal Accountant Fees and Services</w:t>
              </w:r>
            </w:hyperlink>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73</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20" w:type="dxa"/>
            <w:vAlign w:val="bottom"/>
            <w:gridSpan w:val="11"/>
          </w:tcPr>
          <w:p>
            <w:pPr>
              <w:jc w:val="center"/>
              <w:ind w:right="4400"/>
              <w:spacing w:after="0"/>
              <w:rPr>
                <w:rFonts w:ascii="Arial" w:cs="Arial" w:eastAsia="Arial" w:hAnsi="Arial"/>
                <w:sz w:val="13"/>
                <w:szCs w:val="13"/>
                <w:b w:val="1"/>
                <w:bCs w:val="1"/>
                <w:color w:val="0000EE"/>
              </w:rPr>
            </w:pPr>
            <w:hyperlink w:anchor="page77">
              <w:r>
                <w:rPr>
                  <w:rFonts w:ascii="Arial" w:cs="Arial" w:eastAsia="Arial" w:hAnsi="Arial"/>
                  <w:sz w:val="13"/>
                  <w:szCs w:val="13"/>
                  <w:b w:val="1"/>
                  <w:bCs w:val="1"/>
                  <w:color w:val="0000EE"/>
                </w:rPr>
                <w:t>PART IV</w:t>
              </w:r>
            </w:hyperlink>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Item 15.</w:t>
              </w:r>
            </w:hyperlink>
          </w:p>
        </w:tc>
        <w:tc>
          <w:tcPr>
            <w:tcW w:w="3500" w:type="dxa"/>
            <w:vAlign w:val="bottom"/>
            <w:gridSpan w:val="27"/>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00" w:type="dxa"/>
            <w:vAlign w:val="bottom"/>
            <w:gridSpan w:val="6"/>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74</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1260" w:type="dxa"/>
            <w:vAlign w:val="bottom"/>
            <w:gridSpan w:val="6"/>
          </w:tcPr>
          <w:p>
            <w:pPr>
              <w:spacing w:after="0" w:line="138" w:lineRule="exact"/>
              <w:rPr>
                <w:rFonts w:ascii="Arial" w:cs="Arial" w:eastAsia="Arial" w:hAnsi="Arial"/>
                <w:sz w:val="13"/>
                <w:szCs w:val="13"/>
                <w:color w:val="0000EE"/>
              </w:rPr>
            </w:pPr>
            <w:hyperlink w:anchor="page82">
              <w:r>
                <w:rPr>
                  <w:rFonts w:ascii="Arial" w:cs="Arial" w:eastAsia="Arial" w:hAnsi="Arial"/>
                  <w:sz w:val="13"/>
                  <w:szCs w:val="13"/>
                  <w:color w:val="0000EE"/>
                </w:rPr>
                <w:t>Signatures</w:t>
              </w:r>
            </w:hyperlink>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79</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120" w:type="dxa"/>
            <w:vAlign w:val="bottom"/>
            <w:gridSpan w:val="2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7"/>
        </w:trPr>
        <w:tc>
          <w:tcPr>
            <w:tcW w:w="9660" w:type="dxa"/>
            <w:vAlign w:val="bottom"/>
            <w:gridSpan w:val="43"/>
          </w:tcPr>
          <w:p>
            <w:pPr>
              <w:spacing w:after="0" w:line="138" w:lineRule="exact"/>
              <w:rPr>
                <w:rFonts w:ascii="Arial" w:cs="Arial" w:eastAsia="Arial" w:hAnsi="Arial"/>
                <w:sz w:val="13"/>
                <w:szCs w:val="13"/>
                <w:color w:val="0000EE"/>
              </w:rPr>
            </w:pPr>
            <w:hyperlink w:anchor="page84">
              <w:r>
                <w:rPr>
                  <w:rFonts w:ascii="Arial" w:cs="Arial" w:eastAsia="Arial" w:hAnsi="Arial"/>
                  <w:sz w:val="13"/>
                  <w:szCs w:val="13"/>
                  <w:color w:val="0000EE"/>
                </w:rPr>
                <w:t>Consolidated Financial Statements</w:t>
              </w:r>
            </w:hyperlink>
          </w:p>
        </w:tc>
        <w:tc>
          <w:tcPr>
            <w:tcW w:w="100" w:type="dxa"/>
            <w:vAlign w:val="bottom"/>
          </w:tcPr>
          <w:p>
            <w:pPr>
              <w:spacing w:after="0"/>
              <w:rPr>
                <w:sz w:val="11"/>
                <w:szCs w:val="11"/>
                <w:color w:val="auto"/>
              </w:rPr>
            </w:pPr>
          </w:p>
        </w:tc>
        <w:tc>
          <w:tcPr>
            <w:tcW w:w="220" w:type="dxa"/>
            <w:vAlign w:val="bottom"/>
            <w:gridSpan w:val="2"/>
          </w:tcPr>
          <w:p>
            <w:pPr>
              <w:jc w:val="right"/>
              <w:ind w:right="40"/>
              <w:spacing w:after="0" w:line="138" w:lineRule="exact"/>
              <w:rPr>
                <w:rFonts w:ascii="Arial" w:cs="Arial" w:eastAsia="Arial" w:hAnsi="Arial"/>
                <w:sz w:val="13"/>
                <w:szCs w:val="13"/>
                <w:color w:val="0000EE"/>
                <w:w w:val="81"/>
              </w:rPr>
            </w:pPr>
            <w:hyperlink w:anchor="page84">
              <w:r>
                <w:rPr>
                  <w:rFonts w:ascii="Arial" w:cs="Arial" w:eastAsia="Arial" w:hAnsi="Arial"/>
                  <w:sz w:val="13"/>
                  <w:szCs w:val="13"/>
                  <w:color w:val="0000EE"/>
                  <w:w w:val="81"/>
                </w:rPr>
                <w:t>F-1</w:t>
              </w:r>
            </w:hyperlink>
          </w:p>
        </w:tc>
      </w:tr>
      <w:tr>
        <w:trPr>
          <w:trHeight w:val="20"/>
        </w:trPr>
        <w:tc>
          <w:tcPr>
            <w:tcW w:w="40" w:type="dxa"/>
            <w:vAlign w:val="bottom"/>
            <w:shd w:val="clear" w:color="auto" w:fill="0000EE"/>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120" w:type="dxa"/>
            <w:vAlign w:val="bottom"/>
            <w:gridSpan w:val="2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1"/>
        </w:trPr>
        <w:tc>
          <w:tcPr>
            <w:tcW w:w="9660" w:type="dxa"/>
            <w:vAlign w:val="bottom"/>
            <w:gridSpan w:val="43"/>
          </w:tcPr>
          <w:p>
            <w:pPr>
              <w:spacing w:after="0"/>
              <w:rPr>
                <w:sz w:val="20"/>
                <w:szCs w:val="20"/>
                <w:color w:val="auto"/>
              </w:rPr>
            </w:pPr>
            <w:r>
              <w:rPr>
                <w:rFonts w:ascii="Arial" w:cs="Arial" w:eastAsia="Arial" w:hAnsi="Arial"/>
                <w:sz w:val="13"/>
                <w:szCs w:val="13"/>
                <w:color w:val="auto"/>
              </w:rPr>
              <w:t>In this report, “Biogen Idec,” “we,” “us” and “our” refer to Biogen Idec Inc.</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40" w:type="dxa"/>
            <w:vAlign w:val="bottom"/>
          </w:tcPr>
          <w:p>
            <w:pPr>
              <w:spacing w:after="0"/>
              <w:rPr>
                <w:sz w:val="11"/>
                <w:szCs w:val="11"/>
                <w:color w:val="auto"/>
              </w:rPr>
            </w:pPr>
          </w:p>
        </w:tc>
        <w:tc>
          <w:tcPr>
            <w:tcW w:w="9620" w:type="dxa"/>
            <w:vAlign w:val="bottom"/>
            <w:gridSpan w:val="42"/>
          </w:tcPr>
          <w:p>
            <w:pPr>
              <w:spacing w:after="0" w:line="134" w:lineRule="exact"/>
              <w:rPr>
                <w:sz w:val="20"/>
                <w:szCs w:val="20"/>
                <w:color w:val="auto"/>
              </w:rPr>
            </w:pPr>
            <w:r>
              <w:rPr>
                <w:rFonts w:ascii="Arial" w:cs="Arial" w:eastAsia="Arial" w:hAnsi="Arial"/>
                <w:sz w:val="13"/>
                <w:szCs w:val="13"/>
                <w:color w:val="0000EE"/>
              </w:rPr>
              <w:t>Ex-10.22 1985 Non-Qualified Stock Option Plan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Ex-10.33 Board of Directors - Annual Retainer Summary Sheet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Ex-10.45 Amend. No.1 to 2006 Non-employee Directors Equity Plan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Ex-10.49 Letter regarding employement arrangement of Paul J. Clancy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Ex-10.50 Letter regarding employement arrangement of Robert Hamm</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Ex-10.51 Consulting Agreement, dated December 18, 2007</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Ex-10.52 Executive Severance Policy - Executive Vice President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Ex-10.53 Executive Severance Policy - International Executive Vice President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Ex-10.54 Executive Severance Policy - Senior Vice President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Ex-10.55 Supplemental Savings Plan as amended and restated</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Ex-10.56 Voluntary Board of Directors Savings Plan</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Ex-21.1 Subsidiaries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 Consent of PricewaterhouseCoopers LLP</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Section 302 Certification of CEO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Section 302 Certification of CFO</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Section 906 Certification of CEO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Biogen Idec creates new standards of care in therapeutic areas with high unmet medical needs. Biogen Idec is a global leader in the development, manufacturing, and commercialization of innovative therapies. Patients in more than 90 countries benefit from Biogen Idec’s significant products that address diseases such as multiple sclerosis, lymphoma and rheumatoid arthritis. We currently have four products: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AVONEX</w:t>
      </w:r>
      <w:r>
        <w:rPr>
          <w:rFonts w:ascii="Arial" w:cs="Arial" w:eastAsia="Arial" w:hAnsi="Arial"/>
          <w:sz w:val="11"/>
          <w:szCs w:val="11"/>
          <w:i w:val="1"/>
          <w:iCs w:val="1"/>
          <w:color w:val="auto"/>
        </w:rPr>
        <w:t>®</w:t>
      </w:r>
      <w:r>
        <w:rPr>
          <w:rFonts w:ascii="Arial" w:cs="Arial" w:eastAsia="Arial" w:hAnsi="Arial"/>
          <w:sz w:val="13"/>
          <w:szCs w:val="13"/>
          <w:i w:val="1"/>
          <w:iCs w:val="1"/>
          <w:color w:val="auto"/>
        </w:rPr>
        <w:t xml:space="preserve"> (interferon beta-1a)</w:t>
      </w:r>
    </w:p>
    <w:p>
      <w:pPr>
        <w:spacing w:after="0" w:line="9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AVONEX is approved worldwide for the treatment of relapsing forms of multiple sclerosis, or MS, and is the most prescribed therapeutic product in MS worldwide. Globally over 135,000 patients use AVONEX.</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RITUXAN</w:t>
      </w:r>
      <w:r>
        <w:rPr>
          <w:rFonts w:ascii="Arial" w:cs="Arial" w:eastAsia="Arial" w:hAnsi="Arial"/>
          <w:sz w:val="11"/>
          <w:szCs w:val="11"/>
          <w:i w:val="1"/>
          <w:iCs w:val="1"/>
          <w:color w:val="auto"/>
        </w:rPr>
        <w:t>®</w:t>
      </w:r>
      <w:r>
        <w:rPr>
          <w:rFonts w:ascii="Arial" w:cs="Arial" w:eastAsia="Arial" w:hAnsi="Arial"/>
          <w:sz w:val="13"/>
          <w:szCs w:val="13"/>
          <w:i w:val="1"/>
          <w:iCs w:val="1"/>
          <w:color w:val="auto"/>
        </w:rPr>
        <w:t xml:space="preserve"> (rituximab)</w:t>
      </w:r>
    </w:p>
    <w:p>
      <w:pPr>
        <w:spacing w:after="0" w:line="9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RITUXAN is approved worldwide for the treatment of relapsed or refractory low-grade or follicular, CD20-positive, B-cell non-Hodgkin’s lymphomas, or B-cell NHLs. The U.S. Food and Drug Administration, or FDA, has also approved RITUXAN for (1) the treatment of patients with previously untreated diffuse, large B-cell NHL in combination with anthracycline-based chemotherapy regimens, (2) treatment of patients with previously-untreated follicular NHL in combination with CVP (cyclophosphamide, vincristine and prednisone) chemotherapy, and (3) the treatment of patients with non-progressing (including stable disease) low grade B-cell NHL following first-line treatment with CVP chemotherapy. We believe that RITUXAN is the second highest-selling oncology therapeutic in the United States and has had more than 1,000,000 patient exposures worldwide across all indications. In addition, RITUXAN, in combination with methotrexate, is also approved for reducing signs and symptoms and to slow the progression of structural damage in adult patients with moderately-to-severely active rheumatoid arthritis, or RA, who have had an inadequate response to one or more tumor necrosis factor, or TNF, antagonist therapies. We are working with Genentech and Roche on the development of RITUXAN in additional oncology, neurology and immunology indications.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RITUXAN is the trade name for the compound rituximab in the U.S., Canada and Japan. MabThera is the trade name for rituximab in the European Union, or EU. In this Annual Report, we refer to rituximab, RITUXAN, and MabThera collectively as RITUXAN, except where we have otherwise indicated.</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TYSABRI</w:t>
      </w:r>
      <w:r>
        <w:rPr>
          <w:rFonts w:ascii="Arial" w:cs="Arial" w:eastAsia="Arial" w:hAnsi="Arial"/>
          <w:sz w:val="11"/>
          <w:szCs w:val="11"/>
          <w:i w:val="1"/>
          <w:iCs w:val="1"/>
          <w:color w:val="auto"/>
        </w:rPr>
        <w:t>®</w:t>
      </w:r>
      <w:r>
        <w:rPr>
          <w:rFonts w:ascii="Arial" w:cs="Arial" w:eastAsia="Arial" w:hAnsi="Arial"/>
          <w:sz w:val="13"/>
          <w:szCs w:val="13"/>
          <w:i w:val="1"/>
          <w:iCs w:val="1"/>
          <w:color w:val="auto"/>
        </w:rPr>
        <w:t xml:space="preserve"> (natalizumab)</w:t>
      </w:r>
    </w:p>
    <w:p>
      <w:pPr>
        <w:spacing w:after="0" w:line="9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TYSABRI is approved for the treatment of relapsing forms of MS in the U.S. and other countries, and in the U.S. for inducing and maintaining clinical response and remission in adult patients with moderately to severely active Crohn’s disease, or CD, with evidence of inflammation who have had an inadequate response to, or are unable to tolerate, conventional CD therapies and inhibitors of TNF-alpha. Under the terms of a collaboration agreement with Elan Corporation plc, or Elan, we are solely responsible for the manufacture of TYSABRI, and we collaborate with Elan on the product’s marketing, commercial distribution and on-going development activities. The collaboration agreement with Elan is designed to effect an equal sharing of profits and losses generated by the activities of the collaboration between Elan and us.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FUMADERM</w:t>
      </w:r>
      <w:r>
        <w:rPr>
          <w:rFonts w:ascii="Arial" w:cs="Arial" w:eastAsia="Arial" w:hAnsi="Arial"/>
          <w:sz w:val="11"/>
          <w:szCs w:val="11"/>
          <w:i w:val="1"/>
          <w:iCs w:val="1"/>
          <w:color w:val="auto"/>
        </w:rPr>
        <w:t>®</w:t>
      </w:r>
      <w:r>
        <w:rPr>
          <w:rFonts w:ascii="Arial" w:cs="Arial" w:eastAsia="Arial" w:hAnsi="Arial"/>
          <w:sz w:val="13"/>
          <w:szCs w:val="13"/>
          <w:i w:val="1"/>
          <w:iCs w:val="1"/>
          <w:color w:val="auto"/>
        </w:rPr>
        <w:t xml:space="preserve"> (dimethylfumarate and monoethylfumarate salts)</w:t>
      </w:r>
    </w:p>
    <w:p>
      <w:pPr>
        <w:spacing w:after="0" w:line="98"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FUMADERM was acquired with the purchase of Fumapharm AG, or Fumapharm, in June 2006. In December 2006, we acquired the right to distribute FUMADERM in Germany from Fumedica effective May 1, 2007. FUMADERM acts as an immunomodulator and has been approved in Germany for the treatment of severe psoriasis since 1994.</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Revenue and Programs</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 2007, we recorded product revenues from sales of </w:t>
      </w:r>
      <w:r>
        <w:rPr>
          <w:rFonts w:ascii="Arial" w:cs="Arial" w:eastAsia="Arial" w:hAnsi="Arial"/>
          <w:sz w:val="13"/>
          <w:szCs w:val="13"/>
          <w:i w:val="1"/>
          <w:iCs w:val="1"/>
          <w:color w:val="auto"/>
        </w:rPr>
        <w:t>ZEVALIN</w:t>
      </w:r>
      <w:r>
        <w:rPr>
          <w:rFonts w:ascii="Arial" w:cs="Arial" w:eastAsia="Arial" w:hAnsi="Arial"/>
          <w:sz w:val="11"/>
          <w:szCs w:val="11"/>
          <w:color w:val="auto"/>
        </w:rPr>
        <w:t>®</w:t>
      </w:r>
      <w:r>
        <w:rPr>
          <w:rFonts w:ascii="Arial" w:cs="Arial" w:eastAsia="Arial" w:hAnsi="Arial"/>
          <w:sz w:val="13"/>
          <w:szCs w:val="13"/>
          <w:color w:val="auto"/>
        </w:rPr>
        <w:t xml:space="preserve"> </w:t>
      </w:r>
      <w:r>
        <w:rPr>
          <w:rFonts w:ascii="Arial" w:cs="Arial" w:eastAsia="Arial" w:hAnsi="Arial"/>
          <w:sz w:val="13"/>
          <w:szCs w:val="13"/>
          <w:i w:val="1"/>
          <w:iCs w:val="1"/>
          <w:color w:val="auto"/>
        </w:rPr>
        <w:t>(ibritumomab tiuxetan)</w:t>
      </w:r>
      <w:r>
        <w:rPr>
          <w:rFonts w:ascii="Arial" w:cs="Arial" w:eastAsia="Arial" w:hAnsi="Arial"/>
          <w:sz w:val="13"/>
          <w:szCs w:val="13"/>
          <w:color w:val="auto"/>
        </w:rPr>
        <w:t xml:space="preserve"> prior to our sale of U.S. rights to this product line in December 2007.</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receive royalty revenues on sales by our licensees of a number of products covered under patents that we control. In addition, we have a pipeline of research and development products in our core therapeutic areas and in other areas of interest.</w:t>
      </w:r>
    </w:p>
    <w:p>
      <w:pPr>
        <w:spacing w:after="0" w:line="59"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devote significant resources to research and development programs and external business and corporate development efforts. We intend to focus our research and development efforts on finding novel therapeutics in areas of high unmet medical need, both within our current focus areas of oncology, neurology, immunology and cardiology as well as in new therapeutic areas. Our current late stage efforts include our work with Genentech and Roche on the development of RITUXAN in additional oncology indications, RA, MS and lupus and the co-development of additional anti-CD20 antibody products including the humanized anti-CD20 antibody (ocrelizumab), which is in Phase 3 studies in rheumatoid arthritis and systemic lupus erythematosus; BG-12 for relapsing forms of MS in Phase 3; galiximab for NHL in Phase 3; and lumiliximab for chronic lymphocytic leukemia, or CLL, in Phase 2/3; and lixivaptan for acute hyponatremia, currently initiating Phase 3 clinical studies.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Available Information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We are a Delaware corporation with principal executive offices located at 14 Cambridge Center, Cambridge, Massachusetts 02142. Our telephone number is (617) 679-2000 and our website address is www.biogenidec.com. We make available free of charge through the Investor Relations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or the SEC. We include our website address in this Annual Report on Form 10-K only as an inactive textual reference and do not intend it to be an active link to our website. You may read and copy materials we file with the SEC at the SEC’s Public Reference Room at 450 Fifth Street, N.W., Washington, D.C. 20549. You may get information on the operation of the Public Reference Room by calling the SEC at 1-800-SEC-0330. The SEC maintains an Internet site that contains reports, proxy and information statements, and other information regarding issuers that file electronically with the SEC at </w:t>
      </w:r>
      <w:r>
        <w:rPr>
          <w:rFonts w:ascii="Arial" w:cs="Arial" w:eastAsia="Arial" w:hAnsi="Arial"/>
          <w:sz w:val="12"/>
          <w:szCs w:val="12"/>
          <w:u w:val="single" w:color="auto"/>
          <w:color w:val="auto"/>
        </w:rPr>
        <w:t>www.sec.gov.</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 and Late-Stage Product Candidates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products are targeted to address a variety of key medical needs in the areas of oncology, neurology, immunology and cardiology. Our marketed products and late stage product candidates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20" w:type="dxa"/>
            <w:vAlign w:val="bottom"/>
            <w:vMerge w:val="restart"/>
          </w:tcPr>
          <w:p>
            <w:pPr>
              <w:spacing w:after="0"/>
              <w:rPr>
                <w:sz w:val="20"/>
                <w:szCs w:val="20"/>
                <w:color w:val="auto"/>
              </w:rPr>
            </w:pPr>
            <w:r>
              <w:rPr>
                <w:rFonts w:ascii="Arial" w:cs="Arial" w:eastAsia="Arial" w:hAnsi="Arial"/>
                <w:sz w:val="10"/>
                <w:szCs w:val="10"/>
                <w:b w:val="1"/>
                <w:bCs w:val="1"/>
                <w:color w:val="auto"/>
              </w:rPr>
              <w:t>Product</w:t>
            </w: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80" w:type="dxa"/>
            <w:vAlign w:val="bottom"/>
          </w:tcPr>
          <w:p>
            <w:pPr>
              <w:ind w:left="740"/>
              <w:spacing w:after="0"/>
              <w:rPr>
                <w:sz w:val="20"/>
                <w:szCs w:val="20"/>
                <w:color w:val="auto"/>
              </w:rPr>
            </w:pPr>
            <w:r>
              <w:rPr>
                <w:rFonts w:ascii="Arial" w:cs="Arial" w:eastAsia="Arial" w:hAnsi="Arial"/>
                <w:sz w:val="10"/>
                <w:szCs w:val="10"/>
                <w:b w:val="1"/>
                <w:bCs w:val="1"/>
                <w:color w:val="auto"/>
              </w:rPr>
              <w:t>Development and/or</w:t>
            </w:r>
          </w:p>
        </w:tc>
        <w:tc>
          <w:tcPr>
            <w:tcW w:w="0" w:type="dxa"/>
            <w:vAlign w:val="bottom"/>
          </w:tcPr>
          <w:p>
            <w:pPr>
              <w:spacing w:after="0"/>
              <w:rPr>
                <w:sz w:val="1"/>
                <w:szCs w:val="1"/>
                <w:color w:val="auto"/>
              </w:rPr>
            </w:pPr>
          </w:p>
        </w:tc>
      </w:tr>
      <w:tr>
        <w:trPr>
          <w:trHeight w:val="125"/>
        </w:trPr>
        <w:tc>
          <w:tcPr>
            <w:tcW w:w="2420" w:type="dxa"/>
            <w:vAlign w:val="bottom"/>
            <w:vMerge w:val="continue"/>
          </w:tcPr>
          <w:p>
            <w:pPr>
              <w:spacing w:after="0"/>
              <w:rPr>
                <w:sz w:val="10"/>
                <w:szCs w:val="10"/>
                <w:color w:val="auto"/>
              </w:rPr>
            </w:pPr>
          </w:p>
        </w:tc>
        <w:tc>
          <w:tcPr>
            <w:tcW w:w="2400" w:type="dxa"/>
            <w:vAlign w:val="bottom"/>
            <w:tcBorders>
              <w:bottom w:val="single" w:sz="8" w:color="auto"/>
            </w:tcBorders>
          </w:tcPr>
          <w:p>
            <w:pPr>
              <w:ind w:left="760"/>
              <w:spacing w:after="0"/>
              <w:rPr>
                <w:sz w:val="20"/>
                <w:szCs w:val="20"/>
                <w:color w:val="auto"/>
              </w:rPr>
            </w:pPr>
            <w:r>
              <w:rPr>
                <w:rFonts w:ascii="Arial" w:cs="Arial" w:eastAsia="Arial" w:hAnsi="Arial"/>
                <w:sz w:val="10"/>
                <w:szCs w:val="10"/>
                <w:b w:val="1"/>
                <w:bCs w:val="1"/>
                <w:color w:val="auto"/>
              </w:rPr>
              <w:t>Product Indications</w:t>
            </w:r>
          </w:p>
        </w:tc>
        <w:tc>
          <w:tcPr>
            <w:tcW w:w="180" w:type="dxa"/>
            <w:vAlign w:val="bottom"/>
          </w:tcPr>
          <w:p>
            <w:pPr>
              <w:spacing w:after="0"/>
              <w:rPr>
                <w:sz w:val="10"/>
                <w:szCs w:val="10"/>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238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Marketing Collaborators</w:t>
            </w:r>
          </w:p>
        </w:tc>
        <w:tc>
          <w:tcPr>
            <w:tcW w:w="0" w:type="dxa"/>
            <w:vAlign w:val="bottom"/>
          </w:tcPr>
          <w:p>
            <w:pPr>
              <w:spacing w:after="0"/>
              <w:rPr>
                <w:sz w:val="1"/>
                <w:szCs w:val="1"/>
                <w:color w:val="auto"/>
              </w:rPr>
            </w:pPr>
          </w:p>
        </w:tc>
      </w:tr>
      <w:tr>
        <w:trPr>
          <w:trHeight w:val="29"/>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4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AVONEX</w:t>
            </w: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Relapsing forms of MS</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Approved — numerous countries worldwide</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05"/>
        </w:trPr>
        <w:tc>
          <w:tcPr>
            <w:tcW w:w="242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RITUXAN</w:t>
            </w:r>
          </w:p>
        </w:tc>
        <w:tc>
          <w:tcPr>
            <w:tcW w:w="2400" w:type="dxa"/>
            <w:vAlign w:val="bottom"/>
          </w:tcPr>
          <w:p>
            <w:pPr>
              <w:spacing w:after="0" w:line="105" w:lineRule="exact"/>
              <w:rPr>
                <w:sz w:val="20"/>
                <w:szCs w:val="20"/>
                <w:color w:val="auto"/>
              </w:rPr>
            </w:pPr>
            <w:r>
              <w:rPr>
                <w:rFonts w:ascii="Arial" w:cs="Arial" w:eastAsia="Arial" w:hAnsi="Arial"/>
                <w:sz w:val="10"/>
                <w:szCs w:val="10"/>
                <w:color w:val="auto"/>
              </w:rPr>
              <w:t>Certain B-cell NHLs</w:t>
            </w:r>
          </w:p>
        </w:tc>
        <w:tc>
          <w:tcPr>
            <w:tcW w:w="180" w:type="dxa"/>
            <w:vAlign w:val="bottom"/>
          </w:tcPr>
          <w:p>
            <w:pPr>
              <w:spacing w:after="0"/>
              <w:rPr>
                <w:sz w:val="9"/>
                <w:szCs w:val="9"/>
                <w:color w:val="auto"/>
              </w:rPr>
            </w:pPr>
          </w:p>
        </w:tc>
        <w:tc>
          <w:tcPr>
            <w:tcW w:w="2400" w:type="dxa"/>
            <w:vAlign w:val="bottom"/>
          </w:tcPr>
          <w:p>
            <w:pPr>
              <w:ind w:left="20"/>
              <w:spacing w:after="0" w:line="105" w:lineRule="exact"/>
              <w:rPr>
                <w:sz w:val="20"/>
                <w:szCs w:val="20"/>
                <w:color w:val="auto"/>
              </w:rPr>
            </w:pPr>
            <w:r>
              <w:rPr>
                <w:rFonts w:ascii="Arial" w:cs="Arial" w:eastAsia="Arial" w:hAnsi="Arial"/>
                <w:sz w:val="10"/>
                <w:szCs w:val="10"/>
                <w:color w:val="auto"/>
              </w:rPr>
              <w:t>Approved — numerous countries worldwide</w:t>
            </w:r>
          </w:p>
        </w:tc>
        <w:tc>
          <w:tcPr>
            <w:tcW w:w="200" w:type="dxa"/>
            <w:vAlign w:val="bottom"/>
          </w:tcPr>
          <w:p>
            <w:pPr>
              <w:spacing w:after="0"/>
              <w:rPr>
                <w:sz w:val="9"/>
                <w:szCs w:val="9"/>
                <w:color w:val="auto"/>
              </w:rPr>
            </w:pPr>
          </w:p>
        </w:tc>
        <w:tc>
          <w:tcPr>
            <w:tcW w:w="2380" w:type="dxa"/>
            <w:vAlign w:val="bottom"/>
          </w:tcPr>
          <w:p>
            <w:pPr>
              <w:spacing w:after="0" w:line="105" w:lineRule="exact"/>
              <w:rPr>
                <w:sz w:val="20"/>
                <w:szCs w:val="20"/>
                <w:color w:val="auto"/>
              </w:rPr>
            </w:pPr>
            <w:r>
              <w:rPr>
                <w:rFonts w:ascii="Arial" w:cs="Arial" w:eastAsia="Arial" w:hAnsi="Arial"/>
                <w:sz w:val="10"/>
                <w:szCs w:val="10"/>
                <w:i w:val="1"/>
                <w:iCs w:val="1"/>
                <w:color w:val="auto"/>
              </w:rPr>
              <w:t>All RITUXAN Indications:</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line="108" w:lineRule="exact"/>
              <w:rPr>
                <w:sz w:val="20"/>
                <w:szCs w:val="20"/>
                <w:color w:val="auto"/>
              </w:rPr>
            </w:pPr>
            <w:r>
              <w:rPr>
                <w:rFonts w:ascii="Arial" w:cs="Arial" w:eastAsia="Arial" w:hAnsi="Arial"/>
                <w:sz w:val="10"/>
                <w:szCs w:val="10"/>
                <w:color w:val="auto"/>
              </w:rPr>
              <w:t>U.S. — Genentech</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80" w:type="dxa"/>
            <w:vAlign w:val="bottom"/>
          </w:tcPr>
          <w:p>
            <w:pPr>
              <w:spacing w:after="0" w:line="108" w:lineRule="exact"/>
              <w:rPr>
                <w:sz w:val="20"/>
                <w:szCs w:val="20"/>
                <w:color w:val="auto"/>
              </w:rPr>
            </w:pPr>
            <w:r>
              <w:rPr>
                <w:rFonts w:ascii="Arial" w:cs="Arial" w:eastAsia="Arial" w:hAnsi="Arial"/>
                <w:sz w:val="10"/>
                <w:szCs w:val="10"/>
                <w:color w:val="auto"/>
                <w:w w:val="92"/>
              </w:rPr>
              <w:t>Japan — Roche and Zenyaku Outside U.S. and Japan —</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Roche</w:t>
            </w:r>
          </w:p>
        </w:tc>
        <w:tc>
          <w:tcPr>
            <w:tcW w:w="0" w:type="dxa"/>
            <w:vAlign w:val="bottom"/>
          </w:tcPr>
          <w:p>
            <w:pPr>
              <w:spacing w:after="0"/>
              <w:rPr>
                <w:sz w:val="1"/>
                <w:szCs w:val="1"/>
                <w:color w:val="auto"/>
              </w:rPr>
            </w:pPr>
          </w:p>
        </w:tc>
      </w:tr>
      <w:tr>
        <w:trPr>
          <w:trHeight w:val="113"/>
        </w:trPr>
        <w:tc>
          <w:tcPr>
            <w:tcW w:w="2420" w:type="dxa"/>
            <w:vAlign w:val="bottom"/>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Rheumatoid arthritis</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w w:val="98"/>
              </w:rPr>
              <w:t>Approved — U.S. for anti-TNF-inadequate responders</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Phase 3 — DMARD inadequate responders</w:t>
            </w: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13"/>
        </w:trPr>
        <w:tc>
          <w:tcPr>
            <w:tcW w:w="2420" w:type="dxa"/>
            <w:vAlign w:val="bottom"/>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Relapsed CLL</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Lupus</w:t>
            </w:r>
          </w:p>
        </w:tc>
        <w:tc>
          <w:tcPr>
            <w:tcW w:w="1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Phase 2/3</w:t>
            </w:r>
          </w:p>
        </w:tc>
        <w:tc>
          <w:tcPr>
            <w:tcW w:w="2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Genentech</w:t>
            </w: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rPr>
                <w:sz w:val="8"/>
                <w:szCs w:val="8"/>
                <w:color w:val="auto"/>
              </w:rPr>
            </w:pPr>
          </w:p>
        </w:tc>
        <w:tc>
          <w:tcPr>
            <w:tcW w:w="24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MS</w:t>
            </w:r>
          </w:p>
        </w:tc>
        <w:tc>
          <w:tcPr>
            <w:tcW w:w="180" w:type="dxa"/>
            <w:vAlign w:val="bottom"/>
            <w:shd w:val="clear" w:color="auto" w:fill="CCEEFF"/>
          </w:tcPr>
          <w:p>
            <w:pPr>
              <w:spacing w:after="0"/>
              <w:rPr>
                <w:sz w:val="8"/>
                <w:szCs w:val="8"/>
                <w:color w:val="auto"/>
              </w:rPr>
            </w:pPr>
          </w:p>
        </w:tc>
        <w:tc>
          <w:tcPr>
            <w:tcW w:w="240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Phase 2/3</w:t>
            </w:r>
          </w:p>
        </w:tc>
        <w:tc>
          <w:tcPr>
            <w:tcW w:w="2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See above, except for PPMS indication which is only</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Genentech</w:t>
            </w:r>
          </w:p>
        </w:tc>
        <w:tc>
          <w:tcPr>
            <w:tcW w:w="0" w:type="dxa"/>
            <w:vAlign w:val="bottom"/>
          </w:tcPr>
          <w:p>
            <w:pPr>
              <w:spacing w:after="0"/>
              <w:rPr>
                <w:sz w:val="1"/>
                <w:szCs w:val="1"/>
                <w:color w:val="auto"/>
              </w:rPr>
            </w:pPr>
          </w:p>
        </w:tc>
      </w:tr>
      <w:tr>
        <w:trPr>
          <w:trHeight w:val="105"/>
        </w:trPr>
        <w:tc>
          <w:tcPr>
            <w:tcW w:w="242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TYSABRI</w:t>
            </w:r>
          </w:p>
        </w:tc>
        <w:tc>
          <w:tcPr>
            <w:tcW w:w="2400" w:type="dxa"/>
            <w:vAlign w:val="bottom"/>
          </w:tcPr>
          <w:p>
            <w:pPr>
              <w:spacing w:after="0" w:line="105" w:lineRule="exact"/>
              <w:rPr>
                <w:sz w:val="20"/>
                <w:szCs w:val="20"/>
                <w:color w:val="auto"/>
              </w:rPr>
            </w:pPr>
            <w:r>
              <w:rPr>
                <w:rFonts w:ascii="Arial" w:cs="Arial" w:eastAsia="Arial" w:hAnsi="Arial"/>
                <w:sz w:val="10"/>
                <w:szCs w:val="10"/>
                <w:color w:val="auto"/>
              </w:rPr>
              <w:t>Relapsing forms of MS</w:t>
            </w:r>
          </w:p>
        </w:tc>
        <w:tc>
          <w:tcPr>
            <w:tcW w:w="180" w:type="dxa"/>
            <w:vAlign w:val="bottom"/>
          </w:tcPr>
          <w:p>
            <w:pPr>
              <w:spacing w:after="0"/>
              <w:rPr>
                <w:sz w:val="9"/>
                <w:szCs w:val="9"/>
                <w:color w:val="auto"/>
              </w:rPr>
            </w:pPr>
          </w:p>
        </w:tc>
        <w:tc>
          <w:tcPr>
            <w:tcW w:w="2400" w:type="dxa"/>
            <w:vAlign w:val="bottom"/>
          </w:tcPr>
          <w:p>
            <w:pPr>
              <w:ind w:left="20"/>
              <w:spacing w:after="0" w:line="105" w:lineRule="exact"/>
              <w:rPr>
                <w:sz w:val="20"/>
                <w:szCs w:val="20"/>
                <w:color w:val="auto"/>
              </w:rPr>
            </w:pPr>
            <w:r>
              <w:rPr>
                <w:rFonts w:ascii="Arial" w:cs="Arial" w:eastAsia="Arial" w:hAnsi="Arial"/>
                <w:sz w:val="10"/>
                <w:szCs w:val="10"/>
                <w:color w:val="auto"/>
                <w:w w:val="98"/>
              </w:rPr>
              <w:t>Approved — U.S., EU Switzerland, Canada, Australia,</w:t>
            </w:r>
          </w:p>
        </w:tc>
        <w:tc>
          <w:tcPr>
            <w:tcW w:w="200" w:type="dxa"/>
            <w:vAlign w:val="bottom"/>
          </w:tcPr>
          <w:p>
            <w:pPr>
              <w:spacing w:after="0"/>
              <w:rPr>
                <w:sz w:val="9"/>
                <w:szCs w:val="9"/>
                <w:color w:val="auto"/>
              </w:rPr>
            </w:pPr>
          </w:p>
        </w:tc>
        <w:tc>
          <w:tcPr>
            <w:tcW w:w="2380" w:type="dxa"/>
            <w:vAlign w:val="bottom"/>
          </w:tcPr>
          <w:p>
            <w:pPr>
              <w:spacing w:after="0" w:line="105" w:lineRule="exact"/>
              <w:rPr>
                <w:sz w:val="20"/>
                <w:szCs w:val="20"/>
                <w:color w:val="auto"/>
              </w:rPr>
            </w:pPr>
            <w:r>
              <w:rPr>
                <w:rFonts w:ascii="Arial" w:cs="Arial" w:eastAsia="Arial" w:hAnsi="Arial"/>
                <w:sz w:val="10"/>
                <w:szCs w:val="10"/>
                <w:color w:val="auto"/>
              </w:rPr>
              <w:t>Elan</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New Zealand and Israel</w:t>
            </w:r>
          </w:p>
        </w:tc>
        <w:tc>
          <w:tcPr>
            <w:tcW w:w="2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20" w:type="dxa"/>
            <w:vAlign w:val="bottom"/>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Crohn’s disease</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Approved — U.S.</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27"/>
        </w:trPr>
        <w:tc>
          <w:tcPr>
            <w:tcW w:w="2420" w:type="dxa"/>
            <w:vAlign w:val="bottom"/>
          </w:tcPr>
          <w:p>
            <w:pPr>
              <w:spacing w:after="0"/>
              <w:rPr>
                <w:sz w:val="20"/>
                <w:szCs w:val="20"/>
                <w:color w:val="auto"/>
              </w:rPr>
            </w:pPr>
            <w:r>
              <w:rPr>
                <w:rFonts w:ascii="Arial" w:cs="Arial" w:eastAsia="Arial" w:hAnsi="Arial"/>
                <w:sz w:val="10"/>
                <w:szCs w:val="10"/>
                <w:b w:val="1"/>
                <w:bCs w:val="1"/>
                <w:i w:val="1"/>
                <w:iCs w:val="1"/>
                <w:color w:val="auto"/>
              </w:rPr>
              <w:t>FUMADERM</w:t>
            </w:r>
          </w:p>
        </w:tc>
        <w:tc>
          <w:tcPr>
            <w:tcW w:w="2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Severe psoriasis</w:t>
            </w: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Approved — Germany</w:t>
            </w:r>
          </w:p>
        </w:tc>
        <w:tc>
          <w:tcPr>
            <w:tcW w:w="2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Almirall</w:t>
            </w:r>
          </w:p>
        </w:tc>
        <w:tc>
          <w:tcPr>
            <w:tcW w:w="0" w:type="dxa"/>
            <w:vAlign w:val="bottom"/>
          </w:tcPr>
          <w:p>
            <w:pPr>
              <w:spacing w:after="0"/>
              <w:rPr>
                <w:sz w:val="1"/>
                <w:szCs w:val="1"/>
                <w:color w:val="auto"/>
              </w:rPr>
            </w:pPr>
          </w:p>
        </w:tc>
      </w:tr>
      <w:tr>
        <w:trPr>
          <w:trHeight w:val="108"/>
        </w:trPr>
        <w:tc>
          <w:tcPr>
            <w:tcW w:w="24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i w:val="1"/>
                <w:iCs w:val="1"/>
                <w:color w:val="auto"/>
              </w:rPr>
              <w:t>BG-12</w:t>
            </w: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MS</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05"/>
        </w:trPr>
        <w:tc>
          <w:tcPr>
            <w:tcW w:w="242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Anti-CD80 MAb/</w:t>
            </w:r>
          </w:p>
        </w:tc>
        <w:tc>
          <w:tcPr>
            <w:tcW w:w="2400" w:type="dxa"/>
            <w:vAlign w:val="bottom"/>
          </w:tcPr>
          <w:p>
            <w:pPr>
              <w:spacing w:after="0" w:line="105" w:lineRule="exact"/>
              <w:rPr>
                <w:sz w:val="20"/>
                <w:szCs w:val="20"/>
                <w:color w:val="auto"/>
              </w:rPr>
            </w:pPr>
            <w:r>
              <w:rPr>
                <w:rFonts w:ascii="Arial" w:cs="Arial" w:eastAsia="Arial" w:hAnsi="Arial"/>
                <w:sz w:val="10"/>
                <w:szCs w:val="10"/>
                <w:color w:val="auto"/>
              </w:rPr>
              <w:t>Relapsed or refractory NHL</w:t>
            </w:r>
          </w:p>
        </w:tc>
        <w:tc>
          <w:tcPr>
            <w:tcW w:w="180" w:type="dxa"/>
            <w:vAlign w:val="bottom"/>
          </w:tcPr>
          <w:p>
            <w:pPr>
              <w:spacing w:after="0"/>
              <w:rPr>
                <w:sz w:val="9"/>
                <w:szCs w:val="9"/>
                <w:color w:val="auto"/>
              </w:rPr>
            </w:pPr>
          </w:p>
        </w:tc>
        <w:tc>
          <w:tcPr>
            <w:tcW w:w="2400" w:type="dxa"/>
            <w:vAlign w:val="bottom"/>
          </w:tcPr>
          <w:p>
            <w:pPr>
              <w:ind w:left="20"/>
              <w:spacing w:after="0" w:line="105" w:lineRule="exact"/>
              <w:rPr>
                <w:sz w:val="20"/>
                <w:szCs w:val="20"/>
                <w:color w:val="auto"/>
              </w:rPr>
            </w:pPr>
            <w:r>
              <w:rPr>
                <w:rFonts w:ascii="Arial" w:cs="Arial" w:eastAsia="Arial" w:hAnsi="Arial"/>
                <w:sz w:val="10"/>
                <w:szCs w:val="10"/>
                <w:color w:val="auto"/>
              </w:rPr>
              <w:t>Phase 3</w:t>
            </w:r>
          </w:p>
        </w:tc>
        <w:tc>
          <w:tcPr>
            <w:tcW w:w="200" w:type="dxa"/>
            <w:vAlign w:val="bottom"/>
          </w:tcPr>
          <w:p>
            <w:pPr>
              <w:spacing w:after="0"/>
              <w:rPr>
                <w:sz w:val="9"/>
                <w:szCs w:val="9"/>
                <w:color w:val="auto"/>
              </w:rPr>
            </w:pPr>
          </w:p>
        </w:tc>
        <w:tc>
          <w:tcPr>
            <w:tcW w:w="2380" w:type="dxa"/>
            <w:vAlign w:val="bottom"/>
          </w:tcPr>
          <w:p>
            <w:pPr>
              <w:spacing w:after="0" w:line="105"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20"/>
                <w:szCs w:val="20"/>
                <w:color w:val="auto"/>
              </w:rPr>
            </w:pPr>
            <w:r>
              <w:rPr>
                <w:rFonts w:ascii="Arial" w:cs="Arial" w:eastAsia="Arial" w:hAnsi="Arial"/>
                <w:sz w:val="10"/>
                <w:szCs w:val="10"/>
                <w:b w:val="1"/>
                <w:bCs w:val="1"/>
                <w:i w:val="1"/>
                <w:iCs w:val="1"/>
                <w:color w:val="auto"/>
              </w:rPr>
              <w:t>galiximab</w:t>
            </w:r>
          </w:p>
        </w:tc>
        <w:tc>
          <w:tcPr>
            <w:tcW w:w="2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i w:val="1"/>
                <w:iCs w:val="1"/>
                <w:color w:val="auto"/>
              </w:rPr>
              <w:t>Anti-CD23 MAb/</w:t>
            </w:r>
          </w:p>
        </w:tc>
        <w:tc>
          <w:tcPr>
            <w:tcW w:w="24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Relapsed or refractory chronic lymphocytic leukemia</w:t>
            </w:r>
          </w:p>
        </w:tc>
        <w:tc>
          <w:tcPr>
            <w:tcW w:w="180" w:type="dxa"/>
            <w:vAlign w:val="bottom"/>
            <w:shd w:val="clear" w:color="auto" w:fill="CCEEFF"/>
          </w:tcPr>
          <w:p>
            <w:pPr>
              <w:spacing w:after="0"/>
              <w:rPr>
                <w:sz w:val="8"/>
                <w:szCs w:val="8"/>
                <w:color w:val="auto"/>
              </w:rPr>
            </w:pPr>
          </w:p>
        </w:tc>
        <w:tc>
          <w:tcPr>
            <w:tcW w:w="240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Phase 2/3</w:t>
            </w:r>
          </w:p>
        </w:tc>
        <w:tc>
          <w:tcPr>
            <w:tcW w:w="200" w:type="dxa"/>
            <w:vAlign w:val="bottom"/>
            <w:shd w:val="clear" w:color="auto" w:fill="CCEEFF"/>
          </w:tcPr>
          <w:p>
            <w:pPr>
              <w:spacing w:after="0"/>
              <w:rPr>
                <w:sz w:val="8"/>
                <w:szCs w:val="8"/>
                <w:color w:val="auto"/>
              </w:rPr>
            </w:pPr>
          </w:p>
        </w:tc>
        <w:tc>
          <w:tcPr>
            <w:tcW w:w="23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None</w:t>
            </w:r>
          </w:p>
        </w:tc>
        <w:tc>
          <w:tcPr>
            <w:tcW w:w="0" w:type="dxa"/>
            <w:vAlign w:val="bottom"/>
          </w:tcPr>
          <w:p>
            <w:pPr>
              <w:spacing w:after="0"/>
              <w:rPr>
                <w:sz w:val="1"/>
                <w:szCs w:val="1"/>
                <w:color w:val="auto"/>
              </w:rPr>
            </w:pPr>
          </w:p>
        </w:tc>
      </w:tr>
      <w:tr>
        <w:trPr>
          <w:trHeight w:val="121"/>
        </w:trPr>
        <w:tc>
          <w:tcPr>
            <w:tcW w:w="2420" w:type="dxa"/>
            <w:vAlign w:val="bottom"/>
            <w:shd w:val="clear" w:color="auto" w:fill="CCEEFF"/>
          </w:tcPr>
          <w:p>
            <w:pPr>
              <w:spacing w:after="0"/>
              <w:rPr>
                <w:sz w:val="20"/>
                <w:szCs w:val="20"/>
                <w:color w:val="auto"/>
              </w:rPr>
            </w:pPr>
            <w:r>
              <w:rPr>
                <w:rFonts w:ascii="Arial" w:cs="Arial" w:eastAsia="Arial" w:hAnsi="Arial"/>
                <w:sz w:val="10"/>
                <w:szCs w:val="10"/>
                <w:b w:val="1"/>
                <w:bCs w:val="1"/>
                <w:i w:val="1"/>
                <w:iCs w:val="1"/>
                <w:color w:val="auto"/>
              </w:rPr>
              <w:t>lumiliximab</w:t>
            </w: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3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line="105" w:lineRule="exact"/>
              <w:rPr>
                <w:sz w:val="20"/>
                <w:szCs w:val="20"/>
                <w:color w:val="auto"/>
              </w:rPr>
            </w:pPr>
            <w:r>
              <w:rPr>
                <w:rFonts w:ascii="Arial" w:cs="Arial" w:eastAsia="Arial" w:hAnsi="Arial"/>
                <w:sz w:val="10"/>
                <w:szCs w:val="10"/>
                <w:b w:val="1"/>
                <w:bCs w:val="1"/>
                <w:i w:val="1"/>
                <w:iCs w:val="1"/>
                <w:color w:val="auto"/>
              </w:rPr>
              <w:t>Humanized Anti-CD20</w:t>
            </w:r>
          </w:p>
        </w:tc>
        <w:tc>
          <w:tcPr>
            <w:tcW w:w="2400" w:type="dxa"/>
            <w:vAlign w:val="bottom"/>
          </w:tcPr>
          <w:p>
            <w:pPr>
              <w:spacing w:after="0" w:line="105" w:lineRule="exact"/>
              <w:rPr>
                <w:sz w:val="20"/>
                <w:szCs w:val="20"/>
                <w:color w:val="auto"/>
              </w:rPr>
            </w:pPr>
            <w:r>
              <w:rPr>
                <w:rFonts w:ascii="Arial" w:cs="Arial" w:eastAsia="Arial" w:hAnsi="Arial"/>
                <w:sz w:val="10"/>
                <w:szCs w:val="10"/>
                <w:color w:val="auto"/>
              </w:rPr>
              <w:t>Rheumatoid Arthritis</w:t>
            </w:r>
          </w:p>
        </w:tc>
        <w:tc>
          <w:tcPr>
            <w:tcW w:w="180" w:type="dxa"/>
            <w:vAlign w:val="bottom"/>
          </w:tcPr>
          <w:p>
            <w:pPr>
              <w:spacing w:after="0"/>
              <w:rPr>
                <w:sz w:val="9"/>
                <w:szCs w:val="9"/>
                <w:color w:val="auto"/>
              </w:rPr>
            </w:pPr>
          </w:p>
        </w:tc>
        <w:tc>
          <w:tcPr>
            <w:tcW w:w="2400" w:type="dxa"/>
            <w:vAlign w:val="bottom"/>
          </w:tcPr>
          <w:p>
            <w:pPr>
              <w:ind w:left="20"/>
              <w:spacing w:after="0" w:line="105" w:lineRule="exact"/>
              <w:rPr>
                <w:sz w:val="20"/>
                <w:szCs w:val="20"/>
                <w:color w:val="auto"/>
              </w:rPr>
            </w:pPr>
            <w:r>
              <w:rPr>
                <w:rFonts w:ascii="Arial" w:cs="Arial" w:eastAsia="Arial" w:hAnsi="Arial"/>
                <w:sz w:val="10"/>
                <w:szCs w:val="10"/>
                <w:color w:val="auto"/>
              </w:rPr>
              <w:t>Phase 3</w:t>
            </w:r>
          </w:p>
        </w:tc>
        <w:tc>
          <w:tcPr>
            <w:tcW w:w="200" w:type="dxa"/>
            <w:vAlign w:val="bottom"/>
          </w:tcPr>
          <w:p>
            <w:pPr>
              <w:spacing w:after="0"/>
              <w:rPr>
                <w:sz w:val="9"/>
                <w:szCs w:val="9"/>
                <w:color w:val="auto"/>
              </w:rPr>
            </w:pPr>
          </w:p>
        </w:tc>
        <w:tc>
          <w:tcPr>
            <w:tcW w:w="2380" w:type="dxa"/>
            <w:vAlign w:val="bottom"/>
          </w:tcPr>
          <w:p>
            <w:pPr>
              <w:spacing w:after="0" w:line="105" w:lineRule="exact"/>
              <w:rPr>
                <w:sz w:val="20"/>
                <w:szCs w:val="20"/>
                <w:color w:val="auto"/>
              </w:rPr>
            </w:pPr>
            <w:r>
              <w:rPr>
                <w:rFonts w:ascii="Arial" w:cs="Arial" w:eastAsia="Arial" w:hAnsi="Arial"/>
                <w:sz w:val="10"/>
                <w:szCs w:val="10"/>
                <w:color w:val="auto"/>
              </w:rPr>
              <w:t>U.S. — Genentech Japan — Roche and Zenyaku</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20"/>
                <w:szCs w:val="20"/>
                <w:color w:val="auto"/>
              </w:rPr>
            </w:pPr>
            <w:r>
              <w:rPr>
                <w:rFonts w:ascii="Arial" w:cs="Arial" w:eastAsia="Arial" w:hAnsi="Arial"/>
                <w:sz w:val="10"/>
                <w:szCs w:val="10"/>
                <w:b w:val="1"/>
                <w:bCs w:val="1"/>
                <w:i w:val="1"/>
                <w:iCs w:val="1"/>
                <w:color w:val="auto"/>
              </w:rPr>
              <w:t>MAb/Ocrelizumab</w:t>
            </w:r>
          </w:p>
        </w:tc>
        <w:tc>
          <w:tcPr>
            <w:tcW w:w="2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Outside U.S. and Japan — Roche</w:t>
            </w:r>
          </w:p>
        </w:tc>
        <w:tc>
          <w:tcPr>
            <w:tcW w:w="0" w:type="dxa"/>
            <w:vAlign w:val="bottom"/>
          </w:tcPr>
          <w:p>
            <w:pPr>
              <w:spacing w:after="0"/>
              <w:rPr>
                <w:sz w:val="1"/>
                <w:szCs w:val="1"/>
                <w:color w:val="auto"/>
              </w:rPr>
            </w:pPr>
          </w:p>
        </w:tc>
      </w:tr>
      <w:tr>
        <w:trPr>
          <w:trHeight w:val="108"/>
        </w:trPr>
        <w:tc>
          <w:tcPr>
            <w:tcW w:w="2420" w:type="dxa"/>
            <w:vAlign w:val="bottom"/>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Systemic Lupus Erythematosus</w:t>
            </w:r>
          </w:p>
        </w:tc>
        <w:tc>
          <w:tcPr>
            <w:tcW w:w="180" w:type="dxa"/>
            <w:vAlign w:val="bottom"/>
            <w:tcBorders>
              <w:bottom w:val="single" w:sz="8" w:color="auto"/>
            </w:tcBorders>
            <w:shd w:val="clear" w:color="auto" w:fill="CCEEFF"/>
          </w:tcPr>
          <w:p>
            <w:pPr>
              <w:spacing w:after="0"/>
              <w:rPr>
                <w:sz w:val="9"/>
                <w:szCs w:val="9"/>
                <w:color w:val="auto"/>
              </w:rPr>
            </w:pPr>
          </w:p>
        </w:tc>
        <w:tc>
          <w:tcPr>
            <w:tcW w:w="2400" w:type="dxa"/>
            <w:vAlign w:val="bottom"/>
            <w:tcBorders>
              <w:bottom w:val="single" w:sz="8" w:color="auto"/>
            </w:tcBorders>
            <w:shd w:val="clear" w:color="auto" w:fill="CCEEFF"/>
          </w:tcPr>
          <w:p>
            <w:pPr>
              <w:ind w:left="20"/>
              <w:spacing w:after="0" w:line="108" w:lineRule="exact"/>
              <w:rPr>
                <w:sz w:val="20"/>
                <w:szCs w:val="20"/>
                <w:color w:val="auto"/>
              </w:rPr>
            </w:pPr>
            <w:r>
              <w:rPr>
                <w:rFonts w:ascii="Arial" w:cs="Arial" w:eastAsia="Arial" w:hAnsi="Arial"/>
                <w:sz w:val="10"/>
                <w:szCs w:val="10"/>
                <w:color w:val="auto"/>
              </w:rPr>
              <w:t>Phase 3</w:t>
            </w:r>
          </w:p>
        </w:tc>
        <w:tc>
          <w:tcPr>
            <w:tcW w:w="200" w:type="dxa"/>
            <w:vAlign w:val="bottom"/>
            <w:tcBorders>
              <w:bottom w:val="single" w:sz="8" w:color="auto"/>
            </w:tcBorders>
            <w:shd w:val="clear" w:color="auto" w:fill="CCEEFF"/>
          </w:tcPr>
          <w:p>
            <w:pPr>
              <w:spacing w:after="0"/>
              <w:rPr>
                <w:sz w:val="9"/>
                <w:szCs w:val="9"/>
                <w:color w:val="auto"/>
              </w:rPr>
            </w:pPr>
          </w:p>
        </w:tc>
        <w:tc>
          <w:tcPr>
            <w:tcW w:w="23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See above</w:t>
            </w:r>
          </w:p>
        </w:tc>
        <w:tc>
          <w:tcPr>
            <w:tcW w:w="0" w:type="dxa"/>
            <w:vAlign w:val="bottom"/>
          </w:tcPr>
          <w:p>
            <w:pPr>
              <w:spacing w:after="0"/>
              <w:rPr>
                <w:sz w:val="1"/>
                <w:szCs w:val="1"/>
                <w:color w:val="auto"/>
              </w:rPr>
            </w:pPr>
          </w:p>
        </w:tc>
      </w:tr>
      <w:tr>
        <w:trPr>
          <w:trHeight w:val="131"/>
        </w:trPr>
        <w:tc>
          <w:tcPr>
            <w:tcW w:w="2420" w:type="dxa"/>
            <w:vAlign w:val="bottom"/>
          </w:tcPr>
          <w:p>
            <w:pPr>
              <w:spacing w:after="0"/>
              <w:rPr>
                <w:sz w:val="20"/>
                <w:szCs w:val="20"/>
                <w:color w:val="auto"/>
              </w:rPr>
            </w:pPr>
            <w:r>
              <w:rPr>
                <w:rFonts w:ascii="Arial" w:cs="Arial" w:eastAsia="Arial" w:hAnsi="Arial"/>
                <w:sz w:val="10"/>
                <w:szCs w:val="10"/>
                <w:b w:val="1"/>
                <w:bCs w:val="1"/>
                <w:i w:val="1"/>
                <w:iCs w:val="1"/>
                <w:color w:val="auto"/>
              </w:rPr>
              <w:t>Lixivaptan</w:t>
            </w:r>
          </w:p>
        </w:tc>
        <w:tc>
          <w:tcPr>
            <w:tcW w:w="2400" w:type="dxa"/>
            <w:vAlign w:val="bottom"/>
          </w:tcPr>
          <w:p>
            <w:pPr>
              <w:spacing w:after="0"/>
              <w:rPr>
                <w:sz w:val="20"/>
                <w:szCs w:val="20"/>
                <w:color w:val="auto"/>
              </w:rPr>
            </w:pPr>
            <w:r>
              <w:rPr>
                <w:rFonts w:ascii="Arial" w:cs="Arial" w:eastAsia="Arial" w:hAnsi="Arial"/>
                <w:sz w:val="10"/>
                <w:szCs w:val="10"/>
                <w:color w:val="auto"/>
              </w:rPr>
              <w:t>Acute Hyponatremia</w:t>
            </w:r>
          </w:p>
        </w:tc>
        <w:tc>
          <w:tcPr>
            <w:tcW w:w="180" w:type="dxa"/>
            <w:vAlign w:val="bottom"/>
          </w:tcPr>
          <w:p>
            <w:pPr>
              <w:spacing w:after="0"/>
              <w:rPr>
                <w:sz w:val="11"/>
                <w:szCs w:val="11"/>
                <w:color w:val="auto"/>
              </w:rPr>
            </w:pPr>
          </w:p>
        </w:tc>
        <w:tc>
          <w:tcPr>
            <w:tcW w:w="2400" w:type="dxa"/>
            <w:vAlign w:val="bottom"/>
          </w:tcPr>
          <w:p>
            <w:pPr>
              <w:ind w:left="20"/>
              <w:spacing w:after="0"/>
              <w:rPr>
                <w:sz w:val="20"/>
                <w:szCs w:val="20"/>
                <w:color w:val="auto"/>
              </w:rPr>
            </w:pPr>
            <w:r>
              <w:rPr>
                <w:rFonts w:ascii="Arial" w:cs="Arial" w:eastAsia="Arial" w:hAnsi="Arial"/>
                <w:sz w:val="10"/>
                <w:szCs w:val="10"/>
                <w:color w:val="auto"/>
              </w:rPr>
              <w:t>Phase 3 — planned</w:t>
            </w:r>
          </w:p>
        </w:tc>
        <w:tc>
          <w:tcPr>
            <w:tcW w:w="200" w:type="dxa"/>
            <w:vAlign w:val="bottom"/>
          </w:tcPr>
          <w:p>
            <w:pPr>
              <w:spacing w:after="0"/>
              <w:rPr>
                <w:sz w:val="11"/>
                <w:szCs w:val="11"/>
                <w:color w:val="auto"/>
              </w:rPr>
            </w:pPr>
          </w:p>
        </w:tc>
        <w:tc>
          <w:tcPr>
            <w:tcW w:w="2380" w:type="dxa"/>
            <w:vAlign w:val="bottom"/>
          </w:tcPr>
          <w:p>
            <w:pPr>
              <w:spacing w:after="0"/>
              <w:rPr>
                <w:sz w:val="20"/>
                <w:szCs w:val="20"/>
                <w:color w:val="auto"/>
              </w:rPr>
            </w:pPr>
            <w:r>
              <w:rPr>
                <w:rFonts w:ascii="Arial" w:cs="Arial" w:eastAsia="Arial" w:hAnsi="Arial"/>
                <w:sz w:val="10"/>
                <w:szCs w:val="10"/>
                <w:color w:val="auto"/>
              </w:rPr>
              <w:t>Cardiokine Biopharma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-1967865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Approved Indications and Ongoing Development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currently market and sell AVONEX worldwide for the treatment of relapsing forms of MS. In 2007, sales of AVONEX generated worldwide revenues of $1,867.8 million as compared to worldwide revenues of $1,706.7 million in 2006.</w:t>
      </w:r>
    </w:p>
    <w:p>
      <w:pPr>
        <w:spacing w:after="0" w:line="59"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 AVONEX is a recombinant form of a protein produced in the body by fibroblast cells in response to viral infection. AVONEX has been shown in clinical trials in relapsing forms of MS both to slow the accumulation of disability and to reduce the frequency of flare-ups. AVONEX is approved to treat relapsing forms of MS, including patients with a first clinical episode and MRI features consistent with MS. We began selling AVONEX in the U.S. in 1996, and in the EU in 1997. AVONEX is on the market in over 70 countries. Based on data from an independent third party research organization, information from our distributors and internal analysis, we believe that AVONEX is the most prescribed therapeutic product for the treatment of MS worldwide. Globally over 135,000 patients use AVONEX.</w:t>
      </w:r>
    </w:p>
    <w:p>
      <w:pPr>
        <w:spacing w:after="0" w:line="58"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We continue to work to expand the data available about AVONEX and MS treatments. In October 2007, we presented at the Congress of the European Committee for Treatment and Research of Multiple Sclerosis, or ECTRIMS, in Prague, Czech Republic, on the final results from a worldwide comparative study (QUASIMS) of the efficacy and tolerability of interferon-beta products for the treatment of relapsing multiple sclerosis. This retrospective, observational study presented at ECTRIMS involved 7,542 MS patients. This geographically diverse</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group from a range of clinical practice settings is the largest cohort of patients with relapsing remitting MS, or RRMS, that has been studied to evaluate and compare patient outcomes with interferon beta. The effects of all currently available interferon beta treatments were similar over 2 years in patients with RRMS. Even in patients with higher baseline annualized relapse rates or expanded disability status scale scores, there was no clear benefit of one interferon over another. This is in contrast to two earlier studies suggesting there were differences in efficacy between certain interferon beta formulations and dosing regimens (the Independent Comparison of Interferon (INCOMIN) and Evidence of Interferon Dose-Response and European — North American Comparative Efficacy (EVIDENCE) trials). Of the treatments studied, however, AVONEX requires the least frequent administration.</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also extended the Controlled High Risk AVONEX Multiple Sclerosis Prevention Study In Ongoing Neurological Surveillance, or CHAMPIONS. CHAMPIONS was originally designed to determine whether the effect of early treatment with AVONEX in delaying relapses and reducing the accumulation of MS brain lesions could be sustained for up to five years. The study results showed that AVONEX altered the long-term course of MS in patients who began treatment immediately after their initial MS attack compared to initiation of treatment more than two years after onset of symptoms. The five-year study extension is intended to determine if the effects of early treatment with AVONEX can be sustained for up to ten years. We also continue to support Phase 4 investigator-run studies evaluating AVONEX in combination with other therapies.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RITUXAN is approved worldwide for the treatment of relapsed or refractory low-grade or follicular, CD20-positive, B-cell NHLs, which comprise approximately half of the B-cell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NHLs diagnosed in the U.S. In the U.S., RITUXAN is approved for NHL with the following label indications:</w:t>
      </w:r>
    </w:p>
    <w:p>
      <w:pPr>
        <w:spacing w:after="0" w:line="89"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treatment of patients with relapsed or refractory, low-grade or follicular, CD20-positive, B-cell NHL as a single agent;</w:t>
      </w:r>
    </w:p>
    <w:p>
      <w:pPr>
        <w:spacing w:after="0" w:line="86"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treatment of patients with previously untreated diffuse large B-cell, CD20-positive, NHL, or DLBCL, in combination with CHOP (cyclophosphamide, doxorubicin, vincristine and prednisone) or other anthracycline-based chemotherapy regimens;</w:t>
      </w:r>
    </w:p>
    <w:p>
      <w:pPr>
        <w:spacing w:after="0" w:line="49" w:lineRule="exact"/>
        <w:rPr>
          <w:rFonts w:ascii="Arial" w:cs="Arial" w:eastAsia="Arial" w:hAnsi="Arial"/>
          <w:sz w:val="13"/>
          <w:szCs w:val="13"/>
          <w:color w:val="auto"/>
        </w:rPr>
      </w:pPr>
    </w:p>
    <w:p>
      <w:pPr>
        <w:ind w:left="1280" w:right="74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treatment of patients with previously untreated follicular, CD20-positive, B-cell NHL in combination with CVP (cyclophosphamide, vincristine and prednisone) chemotherapy;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treatment of patients with non-progressing (including stable disease), low grade CD20-positive, B-cell NHL, as a single agent, after first line CVP chemotherapy.</w:t>
      </w:r>
    </w:p>
    <w:p>
      <w:pPr>
        <w:spacing w:after="0" w:line="10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addition, RITUXAN, in combination with methotrexate, is also approved for reducing signs and symptoms and to slow the progression of structural damage in adult patients with moderately-to-severely active rheumatoid arthritis, or RA, who have had an inadequate response to one or more TNF antagonist therapies.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interest in RITUXAN is recognized as revenue from unconsolidated joint business, and is made up of three components:</w:t>
      </w:r>
    </w:p>
    <w:p>
      <w:pPr>
        <w:spacing w:after="0" w:line="96" w:lineRule="exact"/>
        <w:rPr>
          <w:sz w:val="20"/>
          <w:szCs w:val="20"/>
          <w:color w:val="auto"/>
        </w:rPr>
      </w:pPr>
    </w:p>
    <w:p>
      <w:pPr>
        <w:ind w:left="1280" w:right="2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copromote RITUXAN in the U.S. in collaboration with Genentech. All U.S. sales of RITUXAN are recognized by Genentech, and we record our share of the pretax copromotion profits on a quarterly basis. In 2007, RITUXAN generated U.S. net sales of $2.3 billion, of which we recorded $616.8 million as our share of copromotion profits, as compared to U.S. net sales of $2.1 billion in 2006, of which we recorded $555.8 million as our share of copromotion profits;</w:t>
      </w:r>
    </w:p>
    <w:p>
      <w:pPr>
        <w:spacing w:after="0" w:line="57"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Roche sells RITUXAN outside the U.S., except in Japan where it co-markets RITUXAN in collaboration with Zenyaku Kogyo Co. Ltd., or Zenyaku. We received royalties through Genentech on sales of RITUXAN outside of the U.S. of $250.8 million in 2007 as compared to $194.0 million in 2006;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Finally, we receive reimbursement from Genentech for our selling and development expenses.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the U.S., we share responsibility with Genentech for continued development. Such continued development includes conducting supportive research and post-approval clinical studies and seeking potential approval for additional indications. Genentech provides the support functions for the commercialization of RITUXAN in the U.S. and has worldwide manufacturing responsibilities. See “Sales, Marketing and Distribution — RITUXAN” and “Manufacturing and Raw Materials.” We also have the right to collaborate with Genentech on the development of</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other humanized anti-CD20 antibodies targeting B-cell disorders for a broad range of indications, and to copromote with Genentech any new products resulting from such development in the U.S. The most advanced such humanized anti-CD20 antibody under development, ocrelizumab, is in Phase 3 trials in rheumatoid arthritis and systemic lupus erythematosus. We are currently in arbitration with Genentech as to whether Genentech has the right to develop collaboration products, including the second-generation humanized anti-CD20 molecule, without our approval. See “Item 3 — Legal Proceedings” for a description of that arbitration. Our agreement with Genentech provides that the successful development and commercialization of new anti-CD20 product candidates in our collaboration (which also includes RITUXAN) will decrease our participation in the operating profits from the collaboration (including as to RITUXAN). See Consolidated Financial Statements Note 16, Unconsolidated Joint Business Arrangement.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RITUXAN in Oncology</w:t>
      </w:r>
    </w:p>
    <w:p>
      <w:pPr>
        <w:spacing w:after="0" w:line="96"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We believe that RITUXAN is the second-highest-selling oncology therapeutic in the United States and has had more than 1,000,000 patient exposures worldwide across all indications. RITUXAN is generally administered as outpatient therapy by personnel trained in administering chemotherapies or biologics. RITUXAN is unique in the treatment of B-cell NHLs due to its specificity for the antigen CD20, which is expressed only on the surface of normal B-cells and malignant B-cells. Stem cells (including B-cell progenitors or precursor B-cells) in bone marrow lack the CD20 antigen. This allows healthy B-cells to regenerate after treatment with RITUXAN and to return to normal levels within several months. RITUXAN’s mechanism of action, in part, utilizes the body’s own immune system as compared to conventional lymphoma therapies.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an effort to identify additional applications for RITUXAN, we, in conjunction with Genentech and Roche, continue to support RITUXAN post-marketing studies. We, along with Genentech and Roche, are conducting a multi-center global Phase 3 registrational study known as REACH in patients with relapsed chronic lymphocytic leukemia, or CLL, comparing the use of fludarabine, cyclophosphamide and RITUXAN together, known as FCR, versus fludarabine and cyclophosphamide alone. Enrollment for this study was completed in the third quarter of 2007. We, along with Genentech and Roche, are also conducting a trial known as PRIMA that is evaluating the added efficacy of RITUXAN maintenance therapy after previously untreated follicular non-Hodgkin’s lymphoma patients are given a combination of chemotherapy and RITUXAN. To date, the added benefit of RITUXAN has only been evaluated in relapsed patients. PRIMA completed enrollment in 2007. Additional clinical studies are ongoing in other B-cell malignancies such as lymphoproliferative disorders associated with solid organ transplant therapies, relapsed aggressive non-Hodgkin’s lymphoma and mantle cell non-Hodgkin’s lymphoma.</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RITUXAN in RA</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RITUXAN, in combination with methotrexate, is approved for reducing signs and symptoms and to slow the progression of structural damage in adult patients with moderately-to-severely active rheumatoid arthritis who have had an inadequate response to one or more TNF antagonist therapies. We, along with Genentech and Roche, initiated a Phase 3 clinical study of RITUXAN in RA patients who are inadequate responders to disease-modifying anti-rheumatic drugs, or DMARDs, in 2006. In January 2008 we announced that the study, known as SERENE, met its primary endpoint of a significantly greater proportion of RITUXAN-treated patients achieving an American College of Rheumatology (ACR) 20 response (the proportion of patients who achieve at least 20% improvement) at week 24, compared to placebo. In this study patients who received either 500 mg or 1000 mg of RITUXAN as a single treatment course of two infusions in combination with a stable dose of methotrexate displayed a statistically significant improvement in symptoms compared to patients who received placebo in combination with methotrexate. Although the study was not designed to compare the RITUXAN doses, the efficacy of the two doses appeared to be similiar. Further analyses of the data are ongoing and will be submitted for presentation at an upcoming medical meeting. In 2007 we received positive results from the Phase 3 study known as SUNRISE, investigating the controlled re-treatment of patients who are inadequate responders to TNF therapies. Patients who were not in remission at 24 weeks following administration of a course of RITUXAN were randomized to receive either a second course of RITUXAN or placebo. The primary endpoint, the proportion of retreated patients with an ACR 20 response at Week 48 relative to baseline, was achieved with significantly more patients achieving an ACR 20 with RITUXAN retreatment compared to placebo. Genentech and Biogen Idec will continue to analyze the study results and we anticipate presenting the results at an upcoming meeting in 2008.</w:t>
      </w: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RITUXAN in Other Immunology Indications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Based primarily on results from the studies of RITUXAN in RA, as well as other small investigator-sponsored studies in various autoimmune-mediated diseases, we, along with Genentech, are conducting a Phase 3 clinical study of RITUXAN in primary progressive MS, or PPMS, and a registrational program in systemic lupus erythematosus, or SLE, comprised of a Phase 3 study in lupus nephritis and a Phase 2/3 study in a general SLE population. We anticipate reporting results from the PPMS and SLE studies in the first half of 2008. Enrollment in the Lupus Nephritis study is still ongoing. In August 2006, we and Genentech announced that a Phase 2 study of RITUXAN in relapsing-remitting MS met its primary endpoint. Results were presented at the American Academy of Neurology annual meeting in May 2007. The study of 104 patients showed a statistically significant reduction in the total number of gadolinium enhancing T1 lesions observed on serial MRI scans of the brain at weeks 12, 16, 20 and 24 in the RITUXAN-treated group compared to placebo. At week 24, the total cumulative mean number of gadolinium lesions per patient was reduced by 91%, to 0.5 in the RITUXAN-treated group from 5.5 in the placebo group (p0.001). In addition, the proportion of patients with relapses over 24 weeks in the RITUXAN-treated arm was 14.5% compared to 34.3% in the placebo arm (58% relative reduction) (p=0.02). The result of statistical testing is often defined in terms of a “p-value,” with a level of 0.05 or less considered to be a statistically significant difference, which means the result is unlikely due to chance.</w:t>
      </w:r>
    </w:p>
    <w:p>
      <w:pPr>
        <w:spacing w:after="0" w:line="6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2006, we and Genentech issued a dear healthcare provider letter informing healthcare providers that two cases of progressive multifocal leukoencephalopathy, or PML, a rare and frequently fatal demyelinating disease of the central nervous system, resulting in death were reported in patients receiving RITUXAN for treatment of SLE, an indication where RITUXAN is not approved for treatment. The prescribing information for RITUXAN has been updated to reflect these reports.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TYSABRI is approved for the treatment of relapsing forms of MS. On June 5, 2006, we and Elan announced the FDA’s approval of the supplemental Biologics License Application, or sBLA, for the reintroduction of TYSABRI as a monotherapy treatment for relapsing forms of MS to slow the progression of disability and reduce the frequency of clinical relapses. On June 29, 2006, we and Elan announced that the European Medicines Agency, or EMEA, had approved TYSABRI as a similar treatment. TYSABRI is also approved for MS in Switzerland, Canada, Australia, New Zealand and Israel.</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TYSABRI was initially approved by the FDA in November 2004 to treat relapsing forms of MS to reduce the frequency of clinical relapses. In February 2005, in consultation with the FDA, we and Elan voluntarily suspended the marketing and commercial distribution of TYSABRI based on reports of cases of PML in patients treated with TYSABRI in clinical studies. In consideration of these events, TYSABRI is marketed under risk management or minimization plans as agreed with local regulatory authorities. In the U.S., TYSABRI was reintroduced with a risk minimization action plan, or RiskMAP, known as the TYSABRI Outreach: Unified Commitment to Health, or TOUCH, Prescribing Program, a rigorous system intended to educate physicians and patients about the risks involved and assure appropriate use of the product.</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late December 2007, more than 21,000 patients were on commercial and clinical TYSABRI therapy worldwide. As of mid-December 2007, up to 30,900 patients had been treated with TYSABRI cumulatively in the combined clinical trial and post-marketing settings. There have been no new cases of PML since relaunch in the U.S. and launch internationally in July 2006.</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On January 14, 2008, we and Elan announced the FDA’s approval of the sBLA for use of TYSABRI for inducing and maintaining clinical response and remission in adult patients with moderately to severely active Crohn’s disease, or CD, with evidence of inflammation who have had an inadequate response to, or are unable to tolerate, conventional CD therapies and inhibitors of TNF-alpha. TYSABRI will be available for the treatment of CD upon the completion of key implementation activities related to the approved risk management plan. We anticipate TYSABRI will be available to Crohn’s patients by the end of the first quarter of 2008.</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FDA granted approval based on its review of overall safety data and the results of three randomized, double-blind, placebo-controlled, multi-center trials of TYSABRI assessing the safety and efficacy as both an induction and maintenance therapy — ENCORE (Efficacy of Natalizumab in Crohn’s Disease Response and Remission), ENACT-1 (Efficacy of Natalizumab as Active Crohn’s Therapy) and ENACT-2 (Evaluation of</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Natalizumab As Continuous Therapy). The approval contains labeling and a risk management plan, both of which are similar to those approved for the MS indication. One of the confirmed cases of PML was in a patient who was in a clinical study of TYSABRI in Crohn’s disease.</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September 2004, Elan submitted a Marketing Authorisation Application, or MAA, to the EMEA for approval of TYSABRI as a treatment for Crohn’s disease. A committee of the EMEA adopted a negative recommendation in November 2007. The European Commission affirmed the committee’s decision in the first quarter of 2008, which means that Crohn’s disease will not be included in our label for TYSABRI in the EU.</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TYSABRI binds to adhesion molecules on the immune cell surface known as alpha-4 integrin. Adhesion molecules on the surface of the immune cells play an important role in the migration of the immune cells in the inflammatory process. Research suggests that by binding to alpha-4 integrin, TYSABRI prevents immune cells from migrating from the bloodstream into tissue where they can cause inflammation and potentially damage nerve fibers and their insulation.</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Under the terms of the collaboration, we are solely responsible for the manufacture of TYSABRI, and we collaborate with Elan on the product’s marketing, commercial distribution and ongoing development activities. The collaboration agreement with Elan is designed to effect an equal sharing of profits and losses generated by the activities of the collaboration between Elan and us. Under our agreement with Elan, however, in the event that sales of TYSABRI exceed specified thresholds, Elan is required to make milestone payments to us in order to continue sharing equally in the collaboration’s results.</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the U.S., we sell TYSABRI to Elan who sells the product to third party distributors. Elan and we co-market the product. The sales price to Elan in the U.S. is set at the beginning of each quarterly period to effect an approximate equal sharing of the gross margin between Elan and us. In addition, both parties share equally in the operating costs, which include research and development, selling, general and administrative expenses and other similar costs. Sales of TYSABRI to Elan are reported as revenues and are recognized upon Elan’s shipment of the product to third party distributors, at which time all revenue recognition criteria have been met. As of December 31, 2007 and 2006, we had deferred revenue of $9.0 and $5.0 million, respectively, for shipments to Elan that remained in Elan’s ending inventory. Elan’s reimbursement of TYSABRI operating costs is reflected as a reduction of the respective costs within our consolidated statement of income.</w:t>
      </w:r>
    </w:p>
    <w:p>
      <w:pPr>
        <w:spacing w:after="0" w:line="72"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For sales outside of the U.S., we are responsible for distributing TYSABRI to customers and are primarily responsible for all operating activities. We and Elan share equally in the operating results of TYSABRI outside the U.S. Sales of TYSABRI are reported as revenue and are recognized at the time of product delivery to our customer, at which time all revenue recognition criteria have been met. Payments to or from Elan for their share of the collaboration operating losses relating to sales outside the U.S. are reflected in the collaboration profit (loss) sharing line in our consolidated statement of income. For 2007 and 2006, we provided and received net payments of $14.1 million and ($9.7) million, respectively, related to reimbursements made in connection with this arrangement.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July 2006, we began to ship TYSABRI in both the United States and Europe. In 2007, we recorded sales of TYSABRI in the U.S. and Europe of $104.4 million and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$125.5 million, respectively. In 2006, we recorded sales of TYSABRI in the U.S. and Europe relating to current activity of $11.9 million and $10.0 million, respectively. Prior to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suspension of TYSABRI in 2005, we shipped product to Elan in the U.S. and recognized revenue in accordance with the policy described above. As a result of the suspension of TYSABRI,</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 deferred $14.0 million in revenue from Elan as of March 31, 2005 related to TYSABRI product that remained in Elan’s ending inventory. This amount was paid by Elan during 2005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was subsequently recognized as revenue during 2006, when the uncertainty about the ultimate disposition of the product was eliminated.</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PHASE 3 Studies of TYSABRI in MS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Prior to the suspension of dosing in clinical studies of TYSABRI we, along with Elan, completed the AFFIRM study and the SENTINEL study. The AFFIRM study was designed to evaluate the ability of natalizumab to slow the progression of disability in MS and reduce the rate of clinical relapses. The SENTINEL study was designed to evaluate the effect of the combination of natalizumab and AVONEX compared to treatment with AVONEX alone in slowing progression of disability and reducing the rate of clinical relapses. Both studies were two-year studies which had protocols that included a one-year analysis of the data.</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AFFIRM study</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one-year data from the AFFIRM study showed that TYSABRI reduced the rate of clinical relapses by 66% relative to placebo, the primary endpoint at one year. AFFIRM also met all one-year secondary endpoints, including MRI measures. In the TYSABRI treated group, 60% of patients developed no new or newly enlarging T2 hyperintense lesions compared to 22% of placebo treated patients. On the one-year MRI scan, 96% of TYSABRI treated patients had no gadolinium-enhancing lesions compared to 68% of placebo treated patients. The proportion of patients who remained relapse free was 76% in the TYSABRI treated group compared to 53% in the placebo treated group. In February 2005, we and Elan announced that the AFFIRM study also achieved the two-year primary endpoint of slowing the progression of disability in patients with relapsing forms of MS. In the TYSABRI treated group, there was a 42% reduction in the risk of disability progression relative to placebo, and a 67% reduction in the rate of clinical relapses over two years relative to placebo which was sustained and consistent with the one-year results. Other efficacy data, including MRI measures, were similar to the one-year results.</w:t>
      </w:r>
    </w:p>
    <w:p>
      <w:pPr>
        <w:spacing w:after="0" w:line="58"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In May 2007 at the annual meeting of the American Academy of Neurology in Boston, we presented extension study data that showed that TYSABRI has a sustained treatment effect on clinical relapses and the risk of disability progression in MS patients treated for up to three years. Patients who participated in the Phase 3 TYSABRI program (including the AFFIRM trial) were eligible to enroll in an open-label extension study that evaluated the therapy’s long-term effects. In the intent-to-treat analysis, the annualized relapse rate for patients treated with TYSABRI over the three-year period was 0.23, translating into an average of one relapse every 4.3 years. The relapse rate also continued to remain low over the three-year treatment period with TYSABRI: 0.27 during the first year; 0.20 during the second year; and 0.15 during the third year (based on 531 patients who entered the extension study, which includes approximately 250 patients with nearly three years of continuous therapy). In addition, TYSABRI also decreased the cumulative probability of disability progression sustained for six months compared to placebo. The estimated proportion of patients who had 24-week sustained disability progression at two years was 11% in patients treated with TYSABRI compared to 23% in patients treated with placebo, a 54% relative reduction. This effect was maintained in patients treated with TYSABRI for up to three years with 13% showing 24-week sustained disability progression.</w:t>
      </w:r>
    </w:p>
    <w:p>
      <w:pPr>
        <w:spacing w:after="0" w:line="4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October 2007 at the 23rd Congress of ECTRIMS in Prague, Czech Republic, we presented a poster on a post hoc analysis of the Phase 3 AFFIRM study. The study data suggest the proportion of disease-free patients over two years was significantly higher in the TYSABRI-treated group compared with the placebo group, as determined based upon both clinical and MRI criteria. Using clinical and MRI disease-free criteria combined, the most stringent definition of disease free, 36.7% of TYSABRI-treated patients had no relapses, disability progression or MRI activity compared with 7.2% of placebo patients (p0.0001). In the clinical analysis, 64.3% of TYSABRI-treated patients vs. 38.9% placebo-treated patients (p0.0001) were disease free or without relapses and disability progression. Using MRI measures, 57.7% of TYSABRI-treated patients vs. 14.2% placebo-treated patients (p0.0001) were disease free, or without gadolinium-enhancing lesions and new or enlarging T2-hyperintense lesions.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SENTINEL study</w:t>
      </w:r>
    </w:p>
    <w:p>
      <w:pPr>
        <w:spacing w:after="0" w:line="96"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The one-year data from the SENTINEL combination study also showed that the study achieved its one-year primary endpoint. The addition of TYSABRI to AVONEX resulted in a 54% reduction in the rate of clinical relapses over the effect of AVONEX alone. SENTINEL also met all secondary endpoints, including MRI measures. In the group treated with TYSABRI plus AVONEX, 67% of the patients developed no new or newly enlarging T2 hyperintense lesions compared to 40% in the AVONEX plus placebo group. On the one-year MRI scan, 96% of TYSABRI plus AVONEX-treated patients had no gadolinium-enhancing lesions compared to 76% of AVONEX plus placebo treated patients. The proportion of patients who remained relapse free was 67% in the TYSABRI plus AVONEX-treated group compared to 46% in the AVONEX plus placebo-treated group. In the TYSABRI-treated group, 60% of patients developed no new or newly enlarging T2 hyperintense lesions compared to 22% of placebo treated patients. On the one-year MRI scan, 96% of TYSABRI treated patients had no gadolinium-enhancing lesions compared to 68% of placebo treated patients. In July 2005, we and Elan announced that the SENTINEL study also achieved the two-year primary endpoint of slowing the progression of disability in patients with relapsing forms of MS. The addition of TYSABRI to AVONEX resulted in a 24% reduction in the risk of disability progression compared to the effect of AVONEX alone, and a 56% reduction in the rate of clinical relapses over two</w:t>
      </w: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years compared to that provided by AVONEX alone. Other efficacy data, including MRI measures, were similar to the one-year results.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Phase 3 Studies of TYSABRI in Crohn’s Disease</w:t>
      </w:r>
    </w:p>
    <w:p>
      <w:pPr>
        <w:spacing w:after="0" w:line="96"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We, along with Elan, have completed three Phase 3 studies of TYSABRI in Crohn’s disease, a chronic and progressive inflammatory disease of the gastrointestinal tract, which commonly affects both men and women. The three completed Phase 3 studies are known as ENACT-2 (Evaluation of Natalizumab as Continuous Therapy-2), ENACT-1 (Evaluation of Natalizumab as Continuous Therapy-1), and ENCORE (Efficacy of Natalizumab for Crohn’s Disease Response and Remission).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ENACT-1/ENACT-2</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ENACT-2, 339 patients who were responders in ENACT-1, the Phase 3 induction study, were re-randomized to one of two treatment groups, TYSABRI or placebo, both administered monthly for a total of 12 months. In ENACT-1, the primary endpoint of “response,” as defined by a 70-point decrease in the Crohn’s Disease Activity Index, or CDAI, at week 10, was not met. In ENACT-2, the primary endpoint, which was met, was maintenance of response through six additional months of therapy. A loss of response was defined as a greater than 70 point increase in CDAI score and a total CDAI score above 220 or any rescue intervention. Through month six, there was a significant treatment difference of greater than 30% in favor of patients taking TYSABRI compared to those taking placebo. Twelve-month data from ENACT-2 showed a sustained and clinically significant response throughout 12 months of extended TYSABRI infusion therapy, confirming findings in patients who had previously shown a sustained response throughout six months. Maintenance of response was defined by a CDAI score of less than 220, and less than 70-point increase from baseline, in the absence of rescue intervention throughout the study. Response was maintained by 54% of patients treated with natalizumab compared to 20% of those treated with placebo (p0.001). In addition, 39% of patients on TYSABRI maintained clinical remission during the study period, versus 15% of those on placebo (p0.001). By the end of month six, 58% of patients treated with TYSABRI who had previously been treated with corticosteroids were able to withdraw from steroid therapy compared to 28% of placebo-treated patients.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The ENCORE study</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 June 2005, we and Elan announced that ENCORE, the second Phase 3 induction trial of TYSABRI for the treatment of moderately to severely active Crohn’s disease in patients with evidence of active inflammation, met the primary endpoint of clinical response as defined by a 70-point decrease in baseline CDAI score at both weeks 8 and 12. The study also met all of its secondary endpoints, including clinical remission at both weeks 8 and 12. Clinical remission was defined as achieving a CDAI score of equal to or less than 150 at weeks 8 and 12. At the time of the TYSABRI suspension, all ENCORE study patients had completed dosing based on the study protocol and collection of data and analysis followed.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 in Oncology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plan to initiate a Phase 1/2 study of TYSABRI in multiple myeloma in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FUMADERM (dimethylfumarate and monoethylfumarate salts) was acquired with the purchase of Fumapharm in June 2006. In December 2006, we acquired the right to distribute FUMADERM in Germany from Fumedica effective May 1, 2007. FUMADERM acts as an immunomodulator and is approved in Germany for the treatment of severe psoriasis. In 2007 and 2006, sales of FUMADERM in Germany totaled $21.5 million and $9.5 million, respectively, which we recorded from the date of acquisition of Fumapharm. The product has been in commercial use in Germany for approximately eleven years and is the most prescribed oral systemic treatment for severe psoriasis in Germany.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Late-Stage Product Candidates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BG-12</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BG-12, an oral fumarate derivative, is an immunomodulatory with a novel mechanism of action with a combination of neuroprotective and anti-inflammatory properties. We acquired BG-12 with the purchase of</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40"/>
        <w:spacing w:after="0" w:line="264" w:lineRule="auto"/>
        <w:rPr>
          <w:sz w:val="20"/>
          <w:szCs w:val="20"/>
          <w:color w:val="auto"/>
        </w:rPr>
      </w:pPr>
      <w:r>
        <w:rPr>
          <w:rFonts w:ascii="Arial" w:cs="Arial" w:eastAsia="Arial" w:hAnsi="Arial"/>
          <w:sz w:val="13"/>
          <w:szCs w:val="13"/>
          <w:color w:val="auto"/>
        </w:rPr>
        <w:t>Fumapharm in June 2006. We completed a Phase 2b clinical study of BG-12 in patients with relapsing-remitting MS in October 2005. In January 2006, we announced that this study had achieved its primary efficacy endpoint. Based on the results of the Phase 2 study, we announced that we initiated a Phase 3 program of BG-12 in relapsing remitting MS in January 2007. Fumapharm has also completed a small Phase 3 study in Germany of BG-12 in psoriasis.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Galiximab/(ANTI-CD80 Antibody)</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CD80 antigen is expressed on the surface of follicular and other lymphoma cells, and is also known as B7.1. In the fourth quarter of 2005, we completed a Phase 2a study designed to evaluate the anti-tumor activity of an anti-CD80 antibody, galiximab, that we developed using our Primatized</w:t>
      </w:r>
      <w:r>
        <w:rPr>
          <w:rFonts w:ascii="Arial" w:cs="Arial" w:eastAsia="Arial" w:hAnsi="Arial"/>
          <w:sz w:val="11"/>
          <w:szCs w:val="11"/>
          <w:color w:val="auto"/>
        </w:rPr>
        <w:t>®</w:t>
      </w:r>
      <w:r>
        <w:rPr>
          <w:rFonts w:ascii="Arial" w:cs="Arial" w:eastAsia="Arial" w:hAnsi="Arial"/>
          <w:sz w:val="13"/>
          <w:szCs w:val="13"/>
          <w:color w:val="auto"/>
        </w:rPr>
        <w:t xml:space="preserve"> antibody technology in patients with relapsed non-Hodgkin’s lymphoma simultaneously receiving rituximab. In this study, the combination of the two antibodies was well tolerated, with observation of clinical responses in patients treated with higher doses. Based on the results of the Phase 2a study, we announced that we initiated a Phase 3 study of the antibody in relapsed non-Hodgkin’s lymphoma in combination with RITUXAN in January 2007. We anticipate initial data from a Cancer and Leukemia Group B trial using RITUXAN and galiximab combination therapy in previously untreated subjects with follicular non-Hodgkin’s lymphoma in 2008.</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Lumiliximab/(ANTI-CD23 Antibody)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2"/>
          <w:szCs w:val="12"/>
          <w:color w:val="auto"/>
        </w:rPr>
        <w:t>The CD23 antigen is expressed on the surface of mature B-cells and other immune system cells, and is also known as Fc epsilon RII. We have completed a Phase 2a study designed to evaluate the anti-tumor activity of an anti-CD23 antibody that we developed using our Primatized</w:t>
      </w:r>
      <w:r>
        <w:rPr>
          <w:rFonts w:ascii="Arial" w:cs="Arial" w:eastAsia="Arial" w:hAnsi="Arial"/>
          <w:sz w:val="11"/>
          <w:szCs w:val="11"/>
          <w:color w:val="auto"/>
        </w:rPr>
        <w:t>®</w:t>
      </w:r>
      <w:r>
        <w:rPr>
          <w:rFonts w:ascii="Arial" w:cs="Arial" w:eastAsia="Arial" w:hAnsi="Arial"/>
          <w:sz w:val="12"/>
          <w:szCs w:val="12"/>
          <w:color w:val="auto"/>
        </w:rPr>
        <w:t xml:space="preserve"> antibody technology when administered in combination with FCR, a standard chemotherapy, in patients with relapsed chronic lymphocytic leukemia, or CLL. In this study, the combination of lumiliximab with FCR was well tolerated, with observation of a high proportion of clinical complete responses in patients. Based on the results of the Phase 2a study, we announced that we initiated a Phase </w:t>
      </w:r>
      <w:r>
        <w:rPr>
          <w:rFonts w:ascii="Arial" w:cs="Arial" w:eastAsia="Arial" w:hAnsi="Arial"/>
          <w:sz w:val="17"/>
          <w:szCs w:val="17"/>
          <w:color w:val="auto"/>
          <w:vertAlign w:val="superscript"/>
        </w:rPr>
        <w:t>2</w:t>
      </w:r>
      <w:r>
        <w:rPr>
          <w:rFonts w:ascii="Arial" w:cs="Arial" w:eastAsia="Arial" w:hAnsi="Arial"/>
          <w:sz w:val="12"/>
          <w:szCs w:val="12"/>
          <w:color w:val="auto"/>
        </w:rPr>
        <w:t>/</w:t>
      </w:r>
      <w:r>
        <w:rPr>
          <w:rFonts w:ascii="Arial" w:cs="Arial" w:eastAsia="Arial" w:hAnsi="Arial"/>
          <w:sz w:val="9"/>
          <w:szCs w:val="9"/>
          <w:color w:val="auto"/>
        </w:rPr>
        <w:t>3</w:t>
      </w:r>
      <w:r>
        <w:rPr>
          <w:rFonts w:ascii="Arial" w:cs="Arial" w:eastAsia="Arial" w:hAnsi="Arial"/>
          <w:sz w:val="12"/>
          <w:szCs w:val="12"/>
          <w:color w:val="auto"/>
        </w:rPr>
        <w:t xml:space="preserve"> study evaluating lumiximab plus FCR versus FCR alone in relapsed or refractory CLL in January 2007, which could lead to approval of the antibody if the study meets its endpoints.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Ocrelizumab/(Humanized ANTI-CD20 Antibody)</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The second generation anti-CD20 (ocrelizumab) is a humanized monoclonal antibody directed against the CD20 surface antigen on human B-cells, the same antigen that RITUXAN targets. Anti-CD20 antibodies work by binding to a particular protein (the CD20 antigen) on the surface of normal and malignant B-cells. From there, they recruit the body’s natural defenses to attack and kill the marked B-cells. Genentech, with which we collaborate on this product candidate, initiated three Phase 3 studies of ocrelizumab in rheumatoid arthritis in 2007, each targeting a separate patient group: those currently not on methotrexate, methotrexate inadequate responders and TNF inadequate responders. Genentech also initiated a Phase 3 study of ocrelizumab in SLE in the fourth quarter of 2007. We are currently in arbitration with Genentech as to whether Genentech has the right to develop collaboration products, including the second-generation humanized anti-CD20 molecule, without our approval. See “Item 3 — Legal Proceedings” for a description of that arbitration.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Lixivaptan</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Lixivaptan is an oral compound for the potential treatment of hyponatremia. Cardiokine Biopharma LLC, with which we entered a collaboration in 2007, is planning a Phase 3 study of lixivaptan in congestive heart failure patients. Lixivaptan is a highly potent, non-peptide, selective V2 vasopressin receptor antagonist. It antagonizes the action of vasopressin (also known as antidiuretic hormone, ADH) on the V2 receptors in the kidney-collecting duct, causing water to be excreted from the kidney, without affecting sodium or other electrolytes. Based on this mechanism of action, lixivaptan shows promise in the treatment of disease states associated with water retention and electrolyte imbalance, including hyponatremia, which is the most common electrolyte disorder in clinical practice. Hyponatremia is recognized as an independent contributor to negative patient outcomes in many chronic diseases, most notably congestive heart failure, as well as cirrhosis and syndrome of inappropriate anti-diuretic hormone.</w:t>
      </w:r>
    </w:p>
    <w:p>
      <w:pPr>
        <w:spacing w:after="0" w:line="72"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Pursuant to our 2007 collaboration, we made a $50 million upfront payment to Cardiokine Biopharma LLC and will make up to $170 million in additional milestone payments for successful development and global commercialization of lixivaptan, as well as royalties on commercial sales. We will be responsible for the global commercialization of lixivaptan, and Cardiokine Biopharma LLC has an option for limited copromotion in the United States.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We No Longer Sell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ZEVALIN</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December 2007, we sold the U.S. marketing, sales, manufacturing and development rights for ZEVALIN to Cell Therapeutics, Inc., or CTI, for an upfront purchase price of $10.0 million and up to an additional $20.0 million in milestone payments. In addition, we also will receive royalty payments on future sales of ZEVALIN. As part of the overall arrangement, we have entered into a contract with CTI to supply ZEVALIN product through 2014 and a related services and security agreement under which CTI has agreed to reimburse us for costs incurred in an ongoing randomized clinical trial for ZEVALIN with respect to aggressive non-Hodgkin’s lymphoma. The $10.0 million upfront payment will be recognized in our consolidated statement of income over the term of the supply agreement. The royalty payments and proceeds from the supply contract are not expected to be significant.</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ZEVALIN therapeutic regimen is a radioimmunotherapy and part of a regimen that is approved for the treatment of patients with relapsed or refractory low-grade, or follicular, B-cell NHL, including patients with RITUXAN relapsed or refractory NHL. The current label also includes transformed B-cell NHL although we have asked the FDA to remove that indication as we found the post-marketing commitment studies necessary for that indication to not be feasible. ZEVALIN is approved in the EU for the treatment of adult patients with CD20-positive follicular B-cell NHL who are refractory to or have relapsed following RITUXAN therapy.</w:t>
      </w:r>
    </w:p>
    <w:p>
      <w:pPr>
        <w:spacing w:after="0" w:line="70"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In 2007, sales of ZEVALIN in the U.S. generated revenues of $13.9 million, until we sold all U.S. rights in the product in December 2007 to CTI, as compared to revenues of</w:t>
      </w:r>
    </w:p>
    <w:p>
      <w:pPr>
        <w:spacing w:after="0" w:line="15"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$16.4 million in 2006. We will continue to sell ZEVALIN to Bayer Schering Pharma AG for distribution in the EU, and receive royalty revenues from Schering AG on sales of ZEVALIN in the EU. Rest of world product sales for ZEVALIN in 2007 and 2006 were $3.0 and $1.4 million, respectively.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AMEVIVE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sold all rights in AMEVIVE to Astellas Pharma US, Inc., or Astellas, in the second quarter of 2006. AMEVIVE is approved in the U.S. and other countries for the treatment of adult patients with moderate-to-severe chronic plaque psoriasis who are candidates for systemic therapy or phototherapy. Under the terms of the agreement with Astellas, we will continue to manufacture AMEVIVE and supply product to Astellas for a period of up to 11 years. Under the terms of the supply agreement, we charge Astellas fixed amounts based on volume. Such amounts will be recognized as corporate partner revenue and are not expected to be significant.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Other Research and Development Programs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intend to continue to commit significant resources to research and development opportunities. We intend to focus our research and development efforts on finding novel therapeutics in areas of high unmet medical need. Our core focus areas are in oncology, neurology, immunology and cardiology, but our research and development efforts extend to additional therapeutic areas such as, for example, hemophilia. Our preclinical and early stage product candidates are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w w:val="95"/>
              </w:rPr>
              <w:t>Development and/or</w:t>
            </w:r>
          </w:p>
        </w:tc>
        <w:tc>
          <w:tcPr>
            <w:tcW w:w="0" w:type="dxa"/>
            <w:vAlign w:val="bottom"/>
          </w:tcPr>
          <w:p>
            <w:pPr>
              <w:spacing w:after="0"/>
              <w:rPr>
                <w:sz w:val="1"/>
                <w:szCs w:val="1"/>
                <w:color w:val="auto"/>
              </w:rPr>
            </w:pPr>
          </w:p>
        </w:tc>
      </w:tr>
      <w:tr>
        <w:trPr>
          <w:trHeight w:val="118"/>
        </w:trPr>
        <w:tc>
          <w:tcPr>
            <w:tcW w:w="1700" w:type="dxa"/>
            <w:vAlign w:val="bottom"/>
            <w:vMerge w:val="restart"/>
          </w:tcPr>
          <w:p>
            <w:pPr>
              <w:spacing w:after="0"/>
              <w:rPr>
                <w:sz w:val="20"/>
                <w:szCs w:val="20"/>
                <w:color w:val="auto"/>
              </w:rPr>
            </w:pPr>
            <w:r>
              <w:rPr>
                <w:rFonts w:ascii="Arial" w:cs="Arial" w:eastAsia="Arial" w:hAnsi="Arial"/>
                <w:sz w:val="10"/>
                <w:szCs w:val="10"/>
                <w:b w:val="1"/>
                <w:bCs w:val="1"/>
                <w:color w:val="auto"/>
              </w:rPr>
              <w:t>Therapeutic Area</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Pr>
          <w:p>
            <w:pPr>
              <w:jc w:val="center"/>
              <w:spacing w:after="0"/>
              <w:rPr>
                <w:sz w:val="20"/>
                <w:szCs w:val="20"/>
                <w:color w:val="auto"/>
              </w:rPr>
            </w:pPr>
            <w:r>
              <w:rPr>
                <w:rFonts w:ascii="Arial" w:cs="Arial" w:eastAsia="Arial" w:hAnsi="Arial"/>
                <w:sz w:val="10"/>
                <w:szCs w:val="10"/>
                <w:b w:val="1"/>
                <w:bCs w:val="1"/>
                <w:color w:val="auto"/>
              </w:rPr>
              <w:t>Marketing</w:t>
            </w:r>
          </w:p>
        </w:tc>
        <w:tc>
          <w:tcPr>
            <w:tcW w:w="0" w:type="dxa"/>
            <w:vAlign w:val="bottom"/>
          </w:tcPr>
          <w:p>
            <w:pPr>
              <w:spacing w:after="0"/>
              <w:rPr>
                <w:sz w:val="1"/>
                <w:szCs w:val="1"/>
                <w:color w:val="auto"/>
              </w:rPr>
            </w:pPr>
          </w:p>
        </w:tc>
      </w:tr>
      <w:tr>
        <w:trPr>
          <w:trHeight w:val="125"/>
        </w:trPr>
        <w:tc>
          <w:tcPr>
            <w:tcW w:w="1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Product Candidate</w:t>
            </w:r>
          </w:p>
        </w:tc>
        <w:tc>
          <w:tcPr>
            <w:tcW w:w="200" w:type="dxa"/>
            <w:vAlign w:val="bottom"/>
          </w:tcPr>
          <w:p>
            <w:pPr>
              <w:spacing w:after="0"/>
              <w:rPr>
                <w:sz w:val="10"/>
                <w:szCs w:val="10"/>
                <w:color w:val="auto"/>
              </w:rPr>
            </w:pPr>
          </w:p>
        </w:tc>
        <w:tc>
          <w:tcPr>
            <w:tcW w:w="1900" w:type="dxa"/>
            <w:vAlign w:val="bottom"/>
            <w:tcBorders>
              <w:bottom w:val="single" w:sz="8" w:color="auto"/>
            </w:tcBorders>
          </w:tcPr>
          <w:p>
            <w:pPr>
              <w:ind w:left="720"/>
              <w:spacing w:after="0"/>
              <w:rPr>
                <w:sz w:val="20"/>
                <w:szCs w:val="20"/>
                <w:color w:val="auto"/>
              </w:rPr>
            </w:pPr>
            <w:r>
              <w:rPr>
                <w:rFonts w:ascii="Arial" w:cs="Arial" w:eastAsia="Arial" w:hAnsi="Arial"/>
                <w:sz w:val="10"/>
                <w:szCs w:val="10"/>
                <w:b w:val="1"/>
                <w:bCs w:val="1"/>
                <w:color w:val="auto"/>
              </w:rPr>
              <w:t>Indication</w:t>
            </w:r>
          </w:p>
        </w:tc>
        <w:tc>
          <w:tcPr>
            <w:tcW w:w="200" w:type="dxa"/>
            <w:vAlign w:val="bottom"/>
          </w:tcPr>
          <w:p>
            <w:pPr>
              <w:spacing w:after="0"/>
              <w:rPr>
                <w:sz w:val="10"/>
                <w:szCs w:val="10"/>
                <w:color w:val="auto"/>
              </w:rPr>
            </w:pPr>
          </w:p>
        </w:tc>
        <w:tc>
          <w:tcPr>
            <w:tcW w:w="188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Collaborators</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7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Oncology</w:t>
            </w:r>
          </w:p>
        </w:tc>
        <w:tc>
          <w:tcPr>
            <w:tcW w:w="120" w:type="dxa"/>
            <w:vAlign w:val="bottom"/>
            <w:shd w:val="clear" w:color="auto" w:fill="CCEEFF"/>
          </w:tcPr>
          <w:p>
            <w:pPr>
              <w:spacing w:after="0"/>
              <w:rPr>
                <w:sz w:val="8"/>
                <w:szCs w:val="8"/>
                <w:color w:val="auto"/>
              </w:rPr>
            </w:pPr>
          </w:p>
        </w:tc>
        <w:tc>
          <w:tcPr>
            <w:tcW w:w="19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Volociximab (M200)</w:t>
            </w:r>
          </w:p>
        </w:tc>
        <w:tc>
          <w:tcPr>
            <w:tcW w:w="2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Solid Tumors</w:t>
            </w:r>
          </w:p>
        </w:tc>
        <w:tc>
          <w:tcPr>
            <w:tcW w:w="200" w:type="dxa"/>
            <w:vAlign w:val="bottom"/>
            <w:shd w:val="clear" w:color="auto" w:fill="CCEEFF"/>
          </w:tcPr>
          <w:p>
            <w:pPr>
              <w:spacing w:after="0"/>
              <w:rPr>
                <w:sz w:val="8"/>
                <w:szCs w:val="8"/>
                <w:color w:val="auto"/>
              </w:rPr>
            </w:pPr>
          </w:p>
        </w:tc>
        <w:tc>
          <w:tcPr>
            <w:tcW w:w="18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Phase 2 in ovarian cancer</w:t>
            </w:r>
          </w:p>
        </w:tc>
        <w:tc>
          <w:tcPr>
            <w:tcW w:w="200" w:type="dxa"/>
            <w:vAlign w:val="bottom"/>
            <w:shd w:val="clear" w:color="auto" w:fill="CCEEFF"/>
          </w:tcPr>
          <w:p>
            <w:pPr>
              <w:spacing w:after="0"/>
              <w:rPr>
                <w:sz w:val="8"/>
                <w:szCs w:val="8"/>
                <w:color w:val="auto"/>
              </w:rPr>
            </w:pPr>
          </w:p>
        </w:tc>
        <w:tc>
          <w:tcPr>
            <w:tcW w:w="18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PDL BioPharma</w:t>
            </w: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Phase 1 planned in non small cell lung</w:t>
            </w:r>
          </w:p>
        </w:tc>
        <w:tc>
          <w:tcPr>
            <w:tcW w:w="20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cancer</w:t>
            </w:r>
          </w:p>
        </w:tc>
        <w:tc>
          <w:tcPr>
            <w:tcW w:w="2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line="100" w:lineRule="exact"/>
              <w:rPr>
                <w:sz w:val="20"/>
                <w:szCs w:val="20"/>
                <w:color w:val="auto"/>
              </w:rPr>
            </w:pPr>
            <w:r>
              <w:rPr>
                <w:rFonts w:ascii="Arial" w:cs="Arial" w:eastAsia="Arial" w:hAnsi="Arial"/>
                <w:sz w:val="10"/>
                <w:szCs w:val="10"/>
                <w:color w:val="auto"/>
              </w:rPr>
              <w:t>CNF2024</w:t>
            </w:r>
          </w:p>
        </w:tc>
        <w:tc>
          <w:tcPr>
            <w:tcW w:w="200" w:type="dxa"/>
            <w:vAlign w:val="bottom"/>
          </w:tcPr>
          <w:p>
            <w:pPr>
              <w:spacing w:after="0"/>
              <w:rPr>
                <w:sz w:val="8"/>
                <w:szCs w:val="8"/>
                <w:color w:val="auto"/>
              </w:rPr>
            </w:pPr>
          </w:p>
        </w:tc>
        <w:tc>
          <w:tcPr>
            <w:tcW w:w="1900" w:type="dxa"/>
            <w:vAlign w:val="bottom"/>
          </w:tcPr>
          <w:p>
            <w:pPr>
              <w:spacing w:after="0" w:line="100" w:lineRule="exact"/>
              <w:rPr>
                <w:sz w:val="20"/>
                <w:szCs w:val="20"/>
                <w:color w:val="auto"/>
              </w:rPr>
            </w:pPr>
            <w:r>
              <w:rPr>
                <w:rFonts w:ascii="Arial" w:cs="Arial" w:eastAsia="Arial" w:hAnsi="Arial"/>
                <w:sz w:val="10"/>
                <w:szCs w:val="10"/>
                <w:color w:val="auto"/>
              </w:rPr>
              <w:t>Solid Tumors</w:t>
            </w:r>
          </w:p>
        </w:tc>
        <w:tc>
          <w:tcPr>
            <w:tcW w:w="200" w:type="dxa"/>
            <w:vAlign w:val="bottom"/>
          </w:tcPr>
          <w:p>
            <w:pPr>
              <w:spacing w:after="0"/>
              <w:rPr>
                <w:sz w:val="8"/>
                <w:szCs w:val="8"/>
                <w:color w:val="auto"/>
              </w:rPr>
            </w:pPr>
          </w:p>
        </w:tc>
        <w:tc>
          <w:tcPr>
            <w:tcW w:w="1880" w:type="dxa"/>
            <w:vAlign w:val="bottom"/>
          </w:tcPr>
          <w:p>
            <w:pPr>
              <w:spacing w:after="0" w:line="100" w:lineRule="exact"/>
              <w:rPr>
                <w:sz w:val="20"/>
                <w:szCs w:val="20"/>
                <w:color w:val="auto"/>
              </w:rPr>
            </w:pPr>
            <w:r>
              <w:rPr>
                <w:rFonts w:ascii="Arial" w:cs="Arial" w:eastAsia="Arial" w:hAnsi="Arial"/>
                <w:sz w:val="10"/>
                <w:szCs w:val="10"/>
                <w:color w:val="auto"/>
                <w:w w:val="94"/>
              </w:rPr>
              <w:t>Early Phase 2 in GI stromal tumors planned;</w:t>
            </w:r>
          </w:p>
        </w:tc>
        <w:tc>
          <w:tcPr>
            <w:tcW w:w="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80" w:type="dxa"/>
            <w:vAlign w:val="bottom"/>
          </w:tcPr>
          <w:p>
            <w:pPr>
              <w:spacing w:after="0" w:line="108" w:lineRule="exact"/>
              <w:rPr>
                <w:sz w:val="20"/>
                <w:szCs w:val="20"/>
                <w:color w:val="auto"/>
              </w:rPr>
            </w:pPr>
            <w:r>
              <w:rPr>
                <w:rFonts w:ascii="Arial" w:cs="Arial" w:eastAsia="Arial" w:hAnsi="Arial"/>
                <w:sz w:val="10"/>
                <w:szCs w:val="10"/>
                <w:color w:val="auto"/>
              </w:rPr>
              <w:t>Phase 1 studies in other solid tumors</w:t>
            </w:r>
          </w:p>
        </w:tc>
        <w:tc>
          <w:tcPr>
            <w:tcW w:w="2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ongoing</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Natalizumab</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Multiple Myeloma</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 planned</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Elan</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RAF (BIIB024)</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Sunesis Pharmaceuticals</w:t>
            </w: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CNF3647</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 IGF-1R</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1 planned</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Anti CRIPTO</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Solid Tumors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700" w:type="dxa"/>
            <w:vAlign w:val="bottom"/>
          </w:tcPr>
          <w:p>
            <w:pPr>
              <w:spacing w:after="0"/>
              <w:rPr>
                <w:sz w:val="20"/>
                <w:szCs w:val="20"/>
                <w:color w:val="auto"/>
              </w:rPr>
            </w:pPr>
            <w:r>
              <w:rPr>
                <w:rFonts w:ascii="Arial" w:cs="Arial" w:eastAsia="Arial" w:hAnsi="Arial"/>
                <w:sz w:val="10"/>
                <w:szCs w:val="10"/>
                <w:color w:val="auto"/>
              </w:rPr>
              <w:t>Neurology</w:t>
            </w:r>
          </w:p>
        </w:tc>
        <w:tc>
          <w:tcPr>
            <w:tcW w:w="120" w:type="dxa"/>
            <w:vAlign w:val="bottom"/>
          </w:tcPr>
          <w:p>
            <w:pPr>
              <w:spacing w:after="0"/>
              <w:rPr>
                <w:sz w:val="11"/>
                <w:szCs w:val="1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Daclizumab</w:t>
            </w: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Multiple Sclerosis</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PDL BioPharma</w:t>
            </w: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CDP-323</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Multiple Sclerosis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UCB</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BIIB014</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Early-stage Parkinson’s Disease</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2a</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Vernalis</w:t>
            </w: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Late-stage Parkinson’s Disease</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2a</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Neublastin</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Neuropathic Pain</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Autoimmune and Inflammatory</w:t>
            </w:r>
          </w:p>
        </w:tc>
        <w:tc>
          <w:tcPr>
            <w:tcW w:w="120" w:type="dxa"/>
            <w:vAlign w:val="bottom"/>
            <w:shd w:val="clear" w:color="auto" w:fill="CCEEFF"/>
          </w:tcPr>
          <w:p>
            <w:pPr>
              <w:spacing w:after="0"/>
              <w:rPr>
                <w:sz w:val="8"/>
                <w:szCs w:val="8"/>
                <w:color w:val="auto"/>
              </w:rPr>
            </w:pPr>
          </w:p>
        </w:tc>
        <w:tc>
          <w:tcPr>
            <w:tcW w:w="19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Baminercept-alfa, or LTβR-Fc or BG9924</w:t>
            </w:r>
          </w:p>
        </w:tc>
        <w:tc>
          <w:tcPr>
            <w:tcW w:w="200" w:type="dxa"/>
            <w:vAlign w:val="bottom"/>
            <w:shd w:val="clear" w:color="auto" w:fill="CCEEFF"/>
          </w:tcPr>
          <w:p>
            <w:pPr>
              <w:spacing w:after="0"/>
              <w:rPr>
                <w:sz w:val="8"/>
                <w:szCs w:val="8"/>
                <w:color w:val="auto"/>
              </w:rPr>
            </w:pPr>
          </w:p>
        </w:tc>
        <w:tc>
          <w:tcPr>
            <w:tcW w:w="190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Rheumatoid arthritis</w:t>
            </w:r>
          </w:p>
        </w:tc>
        <w:tc>
          <w:tcPr>
            <w:tcW w:w="200" w:type="dxa"/>
            <w:vAlign w:val="bottom"/>
            <w:shd w:val="clear" w:color="auto" w:fill="CCEEFF"/>
          </w:tcPr>
          <w:p>
            <w:pPr>
              <w:spacing w:after="0"/>
              <w:rPr>
                <w:sz w:val="8"/>
                <w:szCs w:val="8"/>
                <w:color w:val="auto"/>
              </w:rPr>
            </w:pPr>
          </w:p>
        </w:tc>
        <w:tc>
          <w:tcPr>
            <w:tcW w:w="18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Phase 2b in DMARD IR</w:t>
            </w:r>
          </w:p>
        </w:tc>
        <w:tc>
          <w:tcPr>
            <w:tcW w:w="20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Diseases</w:t>
            </w:r>
          </w:p>
        </w:tc>
        <w:tc>
          <w:tcPr>
            <w:tcW w:w="120" w:type="dxa"/>
            <w:vAlign w:val="bottom"/>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9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2b in TNF IR</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Anti-TWEAK</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Rheumatoid arthritis</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anti-CD40L Fab</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Systemetic Lupus Erythematosus</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Preclinical</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UCB</w:t>
            </w:r>
          </w:p>
        </w:tc>
        <w:tc>
          <w:tcPr>
            <w:tcW w:w="0" w:type="dxa"/>
            <w:vAlign w:val="bottom"/>
          </w:tcPr>
          <w:p>
            <w:pPr>
              <w:spacing w:after="0"/>
              <w:rPr>
                <w:sz w:val="1"/>
                <w:szCs w:val="1"/>
                <w:color w:val="auto"/>
              </w:rPr>
            </w:pPr>
          </w:p>
        </w:tc>
      </w:tr>
      <w:tr>
        <w:trPr>
          <w:trHeight w:val="108"/>
        </w:trPr>
        <w:tc>
          <w:tcPr>
            <w:tcW w:w="1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Cardiovascular</w:t>
            </w:r>
          </w:p>
        </w:tc>
        <w:tc>
          <w:tcPr>
            <w:tcW w:w="120" w:type="dxa"/>
            <w:vAlign w:val="bottom"/>
            <w:shd w:val="clear" w:color="auto" w:fill="CCEEFF"/>
          </w:tcPr>
          <w:p>
            <w:pPr>
              <w:spacing w:after="0"/>
              <w:rPr>
                <w:sz w:val="9"/>
                <w:szCs w:val="9"/>
                <w:color w:val="auto"/>
              </w:rPr>
            </w:pPr>
          </w:p>
        </w:tc>
        <w:tc>
          <w:tcPr>
            <w:tcW w:w="19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ADENTRI</w:t>
            </w:r>
            <w:r>
              <w:rPr>
                <w:rFonts w:ascii="Arial" w:cs="Arial" w:eastAsia="Arial" w:hAnsi="Arial"/>
                <w:sz w:val="8"/>
                <w:szCs w:val="8"/>
                <w:color w:val="auto"/>
              </w:rPr>
              <w:t>®</w:t>
            </w:r>
            <w:r>
              <w:rPr>
                <w:rFonts w:ascii="Arial" w:cs="Arial" w:eastAsia="Arial" w:hAnsi="Arial"/>
                <w:sz w:val="10"/>
                <w:szCs w:val="10"/>
                <w:color w:val="auto"/>
              </w:rPr>
              <w:t>, or BG9928</w:t>
            </w:r>
          </w:p>
        </w:tc>
        <w:tc>
          <w:tcPr>
            <w:tcW w:w="200" w:type="dxa"/>
            <w:vAlign w:val="bottom"/>
            <w:shd w:val="clear" w:color="auto" w:fill="CCEEFF"/>
          </w:tcPr>
          <w:p>
            <w:pPr>
              <w:spacing w:after="0"/>
              <w:rPr>
                <w:sz w:val="9"/>
                <w:szCs w:val="9"/>
                <w:color w:val="auto"/>
              </w:rPr>
            </w:pPr>
          </w:p>
        </w:tc>
        <w:tc>
          <w:tcPr>
            <w:tcW w:w="19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Chronic congestive heart failure</w:t>
            </w:r>
          </w:p>
        </w:tc>
        <w:tc>
          <w:tcPr>
            <w:tcW w:w="200" w:type="dxa"/>
            <w:vAlign w:val="bottom"/>
            <w:shd w:val="clear" w:color="auto" w:fill="CCEEFF"/>
          </w:tcPr>
          <w:p>
            <w:pPr>
              <w:spacing w:after="0"/>
              <w:rPr>
                <w:sz w:val="9"/>
                <w:szCs w:val="9"/>
                <w:color w:val="auto"/>
              </w:rPr>
            </w:pPr>
          </w:p>
        </w:tc>
        <w:tc>
          <w:tcPr>
            <w:tcW w:w="1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Phase 2 planned</w:t>
            </w:r>
          </w:p>
        </w:tc>
        <w:tc>
          <w:tcPr>
            <w:tcW w:w="200" w:type="dxa"/>
            <w:vAlign w:val="bottom"/>
            <w:shd w:val="clear" w:color="auto" w:fill="CCEEFF"/>
          </w:tcPr>
          <w:p>
            <w:pPr>
              <w:spacing w:after="0"/>
              <w:rPr>
                <w:sz w:val="9"/>
                <w:szCs w:val="9"/>
                <w:color w:val="auto"/>
              </w:rPr>
            </w:pPr>
          </w:p>
        </w:tc>
        <w:tc>
          <w:tcPr>
            <w:tcW w:w="1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Acute decompensating congestive failure</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3 planned</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Aviptadil</w:t>
            </w:r>
          </w:p>
        </w:tc>
        <w:tc>
          <w:tcPr>
            <w:tcW w:w="2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Pulmonary arterial hypertension</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Phase 2 planned</w:t>
            </w:r>
          </w:p>
        </w:tc>
        <w:tc>
          <w:tcPr>
            <w:tcW w:w="2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mondo Biotech</w:t>
            </w:r>
          </w:p>
        </w:tc>
        <w:tc>
          <w:tcPr>
            <w:tcW w:w="0" w:type="dxa"/>
            <w:vAlign w:val="bottom"/>
          </w:tcPr>
          <w:p>
            <w:pPr>
              <w:spacing w:after="0"/>
              <w:rPr>
                <w:sz w:val="1"/>
                <w:szCs w:val="1"/>
                <w:color w:val="auto"/>
              </w:rPr>
            </w:pPr>
          </w:p>
        </w:tc>
      </w:tr>
      <w:tr>
        <w:trPr>
          <w:trHeight w:val="113"/>
        </w:trPr>
        <w:tc>
          <w:tcPr>
            <w:tcW w:w="1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Emerging Therapeutic Areas</w:t>
            </w:r>
          </w:p>
        </w:tc>
        <w:tc>
          <w:tcPr>
            <w:tcW w:w="120" w:type="dxa"/>
            <w:vAlign w:val="bottom"/>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Long acting rFactor IX</w:t>
            </w:r>
          </w:p>
        </w:tc>
        <w:tc>
          <w:tcPr>
            <w:tcW w:w="200" w:type="dxa"/>
            <w:vAlign w:val="bottom"/>
            <w:tcBorders>
              <w:bottom w:val="single" w:sz="8" w:color="auto"/>
            </w:tcBorders>
            <w:shd w:val="clear" w:color="auto" w:fill="CCEEFF"/>
          </w:tcPr>
          <w:p>
            <w:pPr>
              <w:spacing w:after="0"/>
              <w:rPr>
                <w:sz w:val="9"/>
                <w:szCs w:val="9"/>
                <w:color w:val="auto"/>
              </w:rPr>
            </w:pPr>
          </w:p>
        </w:tc>
        <w:tc>
          <w:tcPr>
            <w:tcW w:w="190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Hemophilia</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Phase 1/2a planned</w:t>
            </w:r>
          </w:p>
        </w:tc>
        <w:tc>
          <w:tcPr>
            <w:tcW w:w="200" w:type="dxa"/>
            <w:vAlign w:val="bottom"/>
            <w:tcBorders>
              <w:bottom w:val="single" w:sz="8" w:color="auto"/>
            </w:tcBorders>
            <w:shd w:val="clear" w:color="auto" w:fill="CCEEFF"/>
          </w:tcPr>
          <w:p>
            <w:pPr>
              <w:spacing w:after="0"/>
              <w:rPr>
                <w:sz w:val="9"/>
                <w:szCs w:val="9"/>
                <w:color w:val="auto"/>
              </w:rPr>
            </w:pPr>
          </w:p>
        </w:tc>
        <w:tc>
          <w:tcPr>
            <w:tcW w:w="1880" w:type="dxa"/>
            <w:vAlign w:val="bottom"/>
            <w:tcBorders>
              <w:bottom w:val="single" w:sz="8" w:color="auto"/>
            </w:tcBorders>
            <w:shd w:val="clear" w:color="auto" w:fill="CCEEFF"/>
          </w:tcPr>
          <w:p>
            <w:pPr>
              <w:spacing w:after="0" w:line="108" w:lineRule="exact"/>
              <w:rPr>
                <w:sz w:val="20"/>
                <w:szCs w:val="20"/>
                <w:color w:val="auto"/>
              </w:rPr>
            </w:pPr>
            <w:r>
              <w:rPr>
                <w:rFonts w:ascii="Arial" w:cs="Arial" w:eastAsia="Arial" w:hAnsi="Arial"/>
                <w:sz w:val="10"/>
                <w:szCs w:val="10"/>
                <w:color w:val="auto"/>
              </w:rPr>
              <w:t>Biovitrum</w:t>
            </w: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Long acting rFactor VIII</w:t>
            </w:r>
          </w:p>
        </w:tc>
        <w:tc>
          <w:tcPr>
            <w:tcW w:w="20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Hemophilia</w:t>
            </w:r>
          </w:p>
        </w:tc>
        <w:tc>
          <w:tcPr>
            <w:tcW w:w="200" w:type="dxa"/>
            <w:vAlign w:val="bottom"/>
          </w:tcPr>
          <w:p>
            <w:pPr>
              <w:spacing w:after="0"/>
              <w:rPr>
                <w:sz w:val="10"/>
                <w:szCs w:val="10"/>
                <w:color w:val="auto"/>
              </w:rPr>
            </w:pPr>
          </w:p>
        </w:tc>
        <w:tc>
          <w:tcPr>
            <w:tcW w:w="1880" w:type="dxa"/>
            <w:vAlign w:val="bottom"/>
          </w:tcPr>
          <w:p>
            <w:pPr>
              <w:spacing w:after="0"/>
              <w:rPr>
                <w:sz w:val="20"/>
                <w:szCs w:val="20"/>
                <w:color w:val="auto"/>
              </w:rPr>
            </w:pPr>
            <w:r>
              <w:rPr>
                <w:rFonts w:ascii="Arial" w:cs="Arial" w:eastAsia="Arial" w:hAnsi="Arial"/>
                <w:sz w:val="10"/>
                <w:szCs w:val="10"/>
                <w:color w:val="auto"/>
              </w:rPr>
              <w:t>Preclinical</w:t>
            </w:r>
          </w:p>
        </w:tc>
        <w:tc>
          <w:tcPr>
            <w:tcW w:w="200" w:type="dxa"/>
            <w:vAlign w:val="bottom"/>
          </w:tcPr>
          <w:p>
            <w:pPr>
              <w:spacing w:after="0"/>
              <w:rPr>
                <w:sz w:val="10"/>
                <w:szCs w:val="10"/>
                <w:color w:val="auto"/>
              </w:rPr>
            </w:pPr>
          </w:p>
        </w:tc>
        <w:tc>
          <w:tcPr>
            <w:tcW w:w="1880" w:type="dxa"/>
            <w:vAlign w:val="bottom"/>
          </w:tcPr>
          <w:p>
            <w:pPr>
              <w:spacing w:after="0"/>
              <w:rPr>
                <w:sz w:val="20"/>
                <w:szCs w:val="20"/>
                <w:color w:val="auto"/>
              </w:rPr>
            </w:pPr>
            <w:r>
              <w:rPr>
                <w:rFonts w:ascii="Arial" w:cs="Arial" w:eastAsia="Arial" w:hAnsi="Arial"/>
                <w:sz w:val="10"/>
                <w:szCs w:val="10"/>
                <w:color w:val="auto"/>
              </w:rPr>
              <w:t>Biovitrum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-2179955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Oncology</w:t>
      </w:r>
    </w:p>
    <w:p>
      <w:pPr>
        <w:spacing w:after="0" w:line="96" w:lineRule="exact"/>
        <w:rPr>
          <w:sz w:val="20"/>
          <w:szCs w:val="20"/>
          <w:color w:val="auto"/>
        </w:rPr>
      </w:pPr>
    </w:p>
    <w:p>
      <w:pPr>
        <w:jc w:val="both"/>
        <w:ind w:left="1280" w:right="8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Volociximab (M200), a chimeric monoclonal antibody directed against alpha5 beta1 integrin, shown to inhibit the formation of new blood vessels necessary for tumor growth, in collaboration with PDL BioPharma, Inc., or PDL. We are conducting Phase 2 studies of volociximab in ovarian cancer and PDL is conducting a Phase 2 study of volociximab in non-small cell lung cancer. We and PDL outlicensed ophthalmic rights to volociximab to Ophthotech, Inc. in January 2008;</w:t>
      </w:r>
    </w:p>
    <w:p>
      <w:pPr>
        <w:spacing w:after="0" w:line="57"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CNF2024, a totally synthetic, orally bioavailable heat shock protein 90 inhibitor, acquired with the purchase of Conforma Therapeutics Corporation, or Conforma, and a follow-on small molecule, CNF3647, directed against the same target but formulated for intravenous delivery. We are planning an early Phase 2 study of CNF 2024 in gastrointestinal stromal tumors and have ongoing Phase 1 studies in other solid tumors;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collaboration with Sunesis Pharmaceuticals, RAF, or BIIB024, a small molecule pan-RAF kinase inhibitor formulated for oral delivery and directed against solid tumors;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Anti IGF-1R, or BIIB022, a human monoclonal antibody blocking IGF-1R signaling of Akt and/or RAS/RAF pathway intended for use in IGF-1 sensitive solid tumors for inhibition of tumor cell survival and/or proliferation;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maytansinoid-conjugated monoclonal antibody directed against CRIPTO, a novel cell surface signaling molecule that is over-expressed in solid tumors;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Neurology</w:t>
      </w:r>
    </w:p>
    <w:p>
      <w:pPr>
        <w:spacing w:after="0" w:line="96" w:lineRule="exact"/>
        <w:rPr>
          <w:sz w:val="20"/>
          <w:szCs w:val="20"/>
          <w:color w:val="auto"/>
        </w:rPr>
      </w:pPr>
    </w:p>
    <w:p>
      <w:pPr>
        <w:jc w:val="both"/>
        <w:ind w:left="1280" w:right="120" w:hanging="190"/>
        <w:spacing w:after="0" w:line="264"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collaboration with PDL, daclizumab, a humanized monoclonal antibody that binds to the IL-2 receptor on activated T cells, inhibiting the cascade of pro-inflammatory events contributing to organ transplant rejection and autoimmune and related diseases. One Phase 2 trial of daclizumab in combination with Interferon-β in MS (the CHOICE study) is complete. A second Phase 2 trial of daclizumab as monotherapy in MS (the SELECT study) is being planned;</w:t>
      </w:r>
    </w:p>
    <w:p>
      <w:pPr>
        <w:spacing w:after="0" w:line="57"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collaboration with UCB S.A., or UCB, CDP323, an orally active small molecule alpha-4 integrin inhibitor, which entered a Phase 2 study in relapsing-remitting MS in June 2007;</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collaboration with Vernalis plc, BIIB014, formerly V2006, the lead compound in Vernalis’ adenosine A2A receptor antagonist program, which targets Parkinson’s disease and other central nervous system disorders. We are conducting Phase 2a studies of BIIB014 in early and late-stage Parkinson’s disease;</w:t>
      </w:r>
    </w:p>
    <w:p>
      <w:pPr>
        <w:spacing w:after="0" w:line="49"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Neublastin, a protein therapeutic in-licensed from NS Gene A/S, that appears to maintain the viability and physiology of peripheral sensory neurons. Neublastin has shown activity in animal models of neuropathic pain;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Autoimmune and Inflammatory Diseases</w:t>
      </w:r>
    </w:p>
    <w:p>
      <w:pPr>
        <w:spacing w:after="0" w:line="96" w:lineRule="exact"/>
        <w:rPr>
          <w:sz w:val="20"/>
          <w:szCs w:val="20"/>
          <w:color w:val="auto"/>
        </w:rPr>
      </w:pPr>
    </w:p>
    <w:p>
      <w:pPr>
        <w:ind w:left="12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Baminercept-alfa, or LTβR-Fc or BG9924, a soluble form of the lymphotoxin beta receptor, which targets RA and other autoimmune diseases. We are conducting Phase 2b studies of this receptor in rheumatoid arthritis;</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Anti-TWEAK, a neutralizing monoclonal antibody directed against cytokine tumor necrosis factor-like weak inducer of apoptosis, or cell death, which we believe will be beneficial in rheumatoid arthritis;</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 collaboration with UCB, anti-CD40L Fab, a humanized anti-CD40L fragment antigen binding portion of an antibody, or Fab, which we believe will diminish pathogenic B cell activities in lupus;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Cardiovascular</w:t>
      </w:r>
    </w:p>
    <w:p>
      <w:pPr>
        <w:spacing w:after="0" w:line="96" w:lineRule="exact"/>
        <w:rPr>
          <w:sz w:val="20"/>
          <w:szCs w:val="20"/>
          <w:color w:val="auto"/>
        </w:rPr>
      </w:pPr>
    </w:p>
    <w:p>
      <w:pPr>
        <w:ind w:left="1280" w:right="100" w:hanging="190"/>
        <w:spacing w:after="0" w:line="276" w:lineRule="auto"/>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ADENTRI, or BG9928, an adenosine receptor antagonist for congestive heart failure. We are planning a Phase 2 trial in chronic congestive heart failure with an oral formulation and a Phase 3 trial for acute decompensating congestive heart failure with an IV formulation;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Aviptadil, a peptide hormone in-licensed from mondoBIOTECH AG, or mondo, for pulmonary arterial hypertension. Mondo is planning a Phase 2 study of Aviptadil for us;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Emerging Therapeutic Areas</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long acting rFactor IX fusion protein acquired with the purchase of Syntonix Pharmaceuticals Inc., or Syntonix, for hemophilia B;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 long acting rFactor VIII fusion protein acquired with the purchase of Syntonix for hemophilia A.</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Costs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For the years ended December 31, 2007, 2006, and 2005, our research and development costs were $925.2 million, $718.4 million, and $747.7 million, respectively. Additionally, in 2007, we incurred $84.2 million in charges associated with acquired in-process research and development in connection with the acquisition of Syntonix and our collaborations with Cardiokine Biopharma LLC and Neurimmune SubOne AG.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Licensed Products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described above, we receive royalties on sales of RITUXAN outside the U.S. as part of our collaboration with Genentech and royalties on sales of ZEVALIN outside the U.S. from Bayer Schering Pharma AG and will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receive royalties on U.S. sales of ZEVALIN from CTI. We also receive royalties from sales by our licensees of a number of other products covered under patents that we control. For example:</w:t>
      </w:r>
    </w:p>
    <w:p>
      <w:pPr>
        <w:spacing w:after="0" w:line="59" w:lineRule="exact"/>
        <w:rPr>
          <w:sz w:val="20"/>
          <w:szCs w:val="20"/>
          <w:color w:val="auto"/>
        </w:rPr>
      </w:pPr>
    </w:p>
    <w:p>
      <w:pPr>
        <w:ind w:left="1280" w:hanging="190"/>
        <w:spacing w:after="0" w:line="257"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receive royalties from Schering-Plough Corporation, or Schering-Plough, on sales of its alpha interferon products in the U.S. under an exclusive license to our alpha interferon patents and patent applications. Schering-Plough sells its INTRON</w:t>
      </w:r>
      <w:r>
        <w:rPr>
          <w:rFonts w:ascii="Arial" w:cs="Arial" w:eastAsia="Arial" w:hAnsi="Arial"/>
          <w:sz w:val="11"/>
          <w:szCs w:val="11"/>
          <w:color w:val="auto"/>
        </w:rPr>
        <w:t>®</w:t>
      </w:r>
      <w:r>
        <w:rPr>
          <w:rFonts w:ascii="Arial" w:cs="Arial" w:eastAsia="Arial" w:hAnsi="Arial"/>
          <w:sz w:val="13"/>
          <w:szCs w:val="13"/>
          <w:color w:val="auto"/>
        </w:rPr>
        <w:t xml:space="preserve"> A (interferon alfa-2b) brand of alpha interferon in the U.S. for a number of indications, including the treatment of chronic hepatitis B and hepatitis C. Schering-Plough also sells other alpha interferon products for the treatment of hepatitis C, including REBETRON</w:t>
      </w:r>
      <w:r>
        <w:rPr>
          <w:rFonts w:ascii="Arial" w:cs="Arial" w:eastAsia="Arial" w:hAnsi="Arial"/>
          <w:sz w:val="11"/>
          <w:szCs w:val="11"/>
          <w:color w:val="auto"/>
        </w:rPr>
        <w:t>®</w:t>
      </w:r>
      <w:r>
        <w:rPr>
          <w:rFonts w:ascii="Arial" w:cs="Arial" w:eastAsia="Arial" w:hAnsi="Arial"/>
          <w:sz w:val="13"/>
          <w:szCs w:val="13"/>
          <w:color w:val="auto"/>
        </w:rPr>
        <w:t xml:space="preserve"> Combination Therapy containing INTRON A and REBETOL</w:t>
      </w:r>
      <w:r>
        <w:rPr>
          <w:rFonts w:ascii="Arial" w:cs="Arial" w:eastAsia="Arial" w:hAnsi="Arial"/>
          <w:sz w:val="11"/>
          <w:szCs w:val="11"/>
          <w:color w:val="auto"/>
        </w:rPr>
        <w:t>®</w:t>
      </w:r>
      <w:r>
        <w:rPr>
          <w:rFonts w:ascii="Arial" w:cs="Arial" w:eastAsia="Arial" w:hAnsi="Arial"/>
          <w:sz w:val="13"/>
          <w:szCs w:val="13"/>
          <w:color w:val="auto"/>
        </w:rPr>
        <w:t xml:space="preserve"> (ribavirin, USP), PEG-INTRON</w:t>
      </w:r>
      <w:r>
        <w:rPr>
          <w:rFonts w:ascii="Arial" w:cs="Arial" w:eastAsia="Arial" w:hAnsi="Arial"/>
          <w:sz w:val="11"/>
          <w:szCs w:val="11"/>
          <w:color w:val="auto"/>
        </w:rPr>
        <w:t>®</w:t>
      </w:r>
      <w:r>
        <w:rPr>
          <w:rFonts w:ascii="Arial" w:cs="Arial" w:eastAsia="Arial" w:hAnsi="Arial"/>
          <w:sz w:val="13"/>
          <w:szCs w:val="13"/>
          <w:color w:val="auto"/>
        </w:rPr>
        <w:t xml:space="preserve"> (peginterferon alfa-2b), a pegylated form of alpha interferon, and PEG-INTRON in combination with REBETOL. For a discussion of the length of royalty obligations of Schering-Plough, see “Patents and Other Proprietary Rights — Recombinant Alpha Interferon.”</w:t>
      </w:r>
    </w:p>
    <w:p>
      <w:pPr>
        <w:spacing w:after="0" w:line="61" w:lineRule="exact"/>
        <w:rPr>
          <w:rFonts w:ascii="Arial" w:cs="Arial" w:eastAsia="Arial" w:hAnsi="Arial"/>
          <w:sz w:val="13"/>
          <w:szCs w:val="13"/>
          <w:color w:val="auto"/>
        </w:rPr>
      </w:pPr>
    </w:p>
    <w:p>
      <w:pPr>
        <w:ind w:left="1280" w:right="80" w:hanging="190"/>
        <w:spacing w:after="0" w:line="282"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hold several patents related to hepatitis B antigens produced by genetic engineering techniques. See “Patents and Other Proprietary Rights — Recombinant Hepatitis B Antigens.” These antigens are used in recombinant hepatitis B vaccines and in diagnostic test kits used to detect hepatitis B infection. We receive royalties from sales of hepatitis B vaccines in several countries, including the U.S., from GlaxoSmithKline plc, or GlaxoSmithKline, and Merck and Co. Inc., or Merck. We have also licensed our proprietary hepatitis B rights, on an antigen-by-antigen and nonexclusive basis, to several diagnostic kit manufacturers, including Abbott Laboratories, the major worldwide marketer of hepatitis B diagnostic kits. For a discussion of the length of the royalty obligation of GlaxoSmithKline and Merck on sales of hepatitis B vaccines and the obligation of our other licensees on sales of hepatitis B-related diagnostic products, see “Patents and Other Proprietary Rights — Recombinant Hepatitis B Antigens.”</w:t>
      </w:r>
    </w:p>
    <w:p>
      <w:pPr>
        <w:spacing w:after="0" w:line="47" w:lineRule="exact"/>
        <w:rPr>
          <w:rFonts w:ascii="Arial" w:cs="Arial" w:eastAsia="Arial" w:hAnsi="Arial"/>
          <w:sz w:val="12"/>
          <w:szCs w:val="12"/>
          <w:color w:val="auto"/>
        </w:rPr>
      </w:pPr>
    </w:p>
    <w:p>
      <w:pPr>
        <w:ind w:left="1280" w:right="60" w:hanging="190"/>
        <w:spacing w:after="0" w:line="323"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also receive ongoing royalties on sales of ANGIOMAX</w:t>
      </w:r>
      <w:r>
        <w:rPr>
          <w:rFonts w:ascii="Arial" w:cs="Arial" w:eastAsia="Arial" w:hAnsi="Arial"/>
          <w:sz w:val="10"/>
          <w:szCs w:val="10"/>
          <w:color w:val="auto"/>
        </w:rPr>
        <w:t>®</w:t>
      </w:r>
      <w:r>
        <w:rPr>
          <w:rFonts w:ascii="Arial" w:cs="Arial" w:eastAsia="Arial" w:hAnsi="Arial"/>
          <w:sz w:val="12"/>
          <w:szCs w:val="12"/>
          <w:color w:val="auto"/>
        </w:rPr>
        <w:t xml:space="preserve"> (bivalirudin) by The Medicines Company, or TMC. TMC sells ANGIOMAX in the U.S., Europe, Canada and Latin America for use as an anticoagulant in combination with aspirin in patients with unstable angina undergoing percutaneous transluminal coronary angioplasty.</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Other Proprietary Rights</w:t>
      </w:r>
    </w:p>
    <w:p>
      <w:pPr>
        <w:spacing w:after="0" w:line="10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have filed numerous patent applications in the U.S.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There is no certainty that our existing patents or others, if obtained, will afford us substantial protection or commercial benefit. Similarly, there is no assurance that our pending patent applications or patent applications licensed from third parties will ultimately be granted as patents or that those patents that have been issued or are issued in the future will stand if they are challenged in court.</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U.S. and foreign countries are distinct and decisions as to patenting, validity of patents and infringement of patents may be resolved differently in different countries. In general, we try to obtain licenses to third party patents, which we deem necessary or desirable for the manufacture, use and sale of our products. We are currently unable to assess the extent to which we may wish to or may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market our products.</w:t>
      </w:r>
    </w:p>
    <w:p>
      <w:pPr>
        <w:spacing w:after="0" w:line="7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0" w:lineRule="auto"/>
        <w:rPr>
          <w:sz w:val="20"/>
          <w:szCs w:val="20"/>
          <w:color w:val="auto"/>
        </w:rPr>
      </w:pPr>
      <w:r>
        <w:rPr>
          <w:rFonts w:ascii="Arial" w:cs="Arial" w:eastAsia="Arial" w:hAnsi="Arial"/>
          <w:sz w:val="13"/>
          <w:szCs w:val="13"/>
          <w:color w:val="auto"/>
        </w:rPr>
        <w:t>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There has been, and we expect that there may continue to be, significant litigation in the industry regarding patents and other intellectual property rights. We expect that litigation may be necessary in some instances to determine the validity and scope of certain of our proprietary rights. Conversely, litigation may be necessary in some instances to determine the validity, scope and/or noninfringement of certain patent rights claimed by third parties to be pertinent to the manufacture, use or sale of our products. Intellectual property litigation could therefore create business uncertainty and consume substantial financial and human resources. Ultimately, the outcome of such litigation could adversely affect the validity and scope of our patent or other proprietary rights, or, conversely, hinder our ability to market our products. See “Item 3 — Legal Proceedings” for a description of our patent litigation.</w:t>
      </w:r>
    </w:p>
    <w:p>
      <w:pPr>
        <w:spacing w:after="0" w:line="5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trademarks RITUXAN and AVONEX are important to us and are generally covered by trademark applications or registrations owned or controlled by us in the U.S. Patent and Trademark Office and in other countries. We employ other trademarks in the conduct of our business under license by third parties, for example, we utilize the mark TYSABRI under license from Elan.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Beta Interferon</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Third parties have pending patent applications or issued patents in the U.S., Europe and other countries with claims to key intermediates in the production of beta interferon. These are known as the Taniguchi patents. Third parties also have pending patent applications or issued patents with claims to beta interferon itself. These are known as the Roche patents and the Rentschler patents, respectively. We have obtained non-exclusive rights in various countries of the world, including the U.S., Japan and Europe, to manufacture, use and sell AVONEX, our brand of recombinant beta interferon, under the Taniguchi, Roche and Rentschler issued patents. The last of the Taniguchi patents expire in the U.S. in May 2013 and have expired already in other countries of the world. The Roche patents expire in the U.S. in May 2008 and also have generally expired elsewhere in the world. The Rentschler EU patent expires in July 2012.</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and Anti-CD20 Antibodies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have several issued U.S. patents and U.S. patent applications, and numerous corresponding foreign counterparts directed to anti-CD20 antibody technology, including RITUXAN. We have also been granted patents covering RITUXAN by the European and Japanese Patent Offices. In the U.S. our principal patents covering the drugs or their uses expire between 2015 and 2018. With regard to the rest of the world, our principal patents covering the drug products expire in 2013 subject to potential patent term extensions in countries where such extensions are available. Our recently-granted patent in certain European countries claiming the treatment with anti-CD20 antibodies of certain auto-immune indications, including rheumatoid arthritis, has been opposed by numerous third parties. This opposition proceeding is likely to be protracted and its outcome is uncertain at this time.</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Genentech, our collaborative partner for RITUXAN, has secured an exclusive license to five U.S. patents and counterpart U.S. and foreign patent applications assigned to Xoma Corporation that relate to chimeric antibodies against the CD20 antigen. These patents expire between 2007 and 2014. Genentech has granted us a non-exclusive sublicense to make, have made, use and sell RITUXAN under these patents and patent applications. We, along with Genentech, share the cost of any royalties due to Xoma in the Genentech/Biogen Idec copromotion territory on sales of RITUXAN. In addition, we and our collaborator, Genentech, have filed numerous patent applications directed to anti-CD20 antibodies and their uses to treat various diseases. These pending patent applications have the potential of issuing as patents in the U.S. and abroad covering anti-CD20 antibody molecules for periods beyond that stated above for RITUXAN.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Alpha Interferon</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In 1979, we granted an exclusive worldwide license to Schering-Plough under our alpha interferon patents. Most of our alpha interferon patents have since expired, including expiration of patents in the U.S., Japan and all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countries of Europe. Schering-Plough pays us royalty payments on U.S. sales of alpha interferon products under an interference settlement entered into in 1998. Under the terms of the interference settlement, Schering-Plough agreed to pay us royalties under certain patents to be issued to Roche and Genentech in consideration of our assignment to Schering-Plough of the alpha interferon patent application that had been the subject of a settled interference with respect to a Roche/Genentech patent. Schering-Plough entered into an agreement with Roche as part of settlement of the interference. The first of the Roche/Genentech patents was issued on November 19, 2002 and has a seventeen-year term. In 2007, we received notice that our pending patent application in Canada was allowable and paid the issue fee. We expect the patent to issue in 2008. Upon issuance of the patent, Schering-Plough will be obligated to pay us royalties on sales of alpha interferon products in Canada until expiration of the patent in 2025.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Recombinant Hepatitis B Antigens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have obtained numerous patents in countries around the world, including in the U.S. and in European countries, covering the recombinant production of hepatitis B surface, core and “e” antigens. We have licensed our recombinant hepatitis B antigen patent rights to manufacturers and marketers of hepatitis B vaccines and diagnostic test kits, and receive royalties on sales of the vaccines and test kits by our licensees. See “Principal Licensed Products.” The obligation of GlaxoSmithKline and Merck to pay royalties on sales of hepatitis B vaccines and the obligation of our other licensees under our hepatitis B patents to pay royalties on sales of diagnostic products will terminate upon expiration of our hepatitis B patents in each licensed country. Following the conclusion of a successful interference proceeding in the U.S., we were granted patents in the U.S. expiring in 2018. These patents claim hepatitis B virus polypeptides and vaccines and diagnostics containing such polypeptides. Our European hepatitis B patents expired at the end of 1999 and have also since expired in those countries in which we have obtained supplementary protection certificates. See “Item 3 — Legal Proceedings” for a description of our litigation with Classen Immunotherapies, Inc.</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are developing TYSABRI in collaboration with Elan. TYSABRI is presently claimed in a number of pending patent applications and issued patents held by both companies in the U.S. and abroad. These patent applications and patents cover the protein, DNA encoding the protein, manufacturing methods and pharmaceutical compositions, as well as various methods of treatment using the product. In the U.S. the principal patents covering the product and methods of manufacturing the product generally expire between 2014 and 2020, subject to any available patent term extensions. In the remainder of the world patents on the product and methods of manufacturing the product generally expire between 2014 and 2016, subject to any supplemental protection certificates that may be obtained. Both companies have method of treatment patents for a variety of indications including the treatment of MS and Crohn’s disease and treatments of inflammation. These patents expire in the U.S. generally between 2012 and 2020 and outside the U.S. generally between 2012 and 2016, subject to any available patent term extensions and/or supplemental protection certificates extending such terms.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Secrets and Confidential Know-How</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also rely upon unpatented trade secrets, and we cannot assure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scientists whose research we sponsor and other advisers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In the case of our employees, the agreement provides that all inventions conceived by such employees shall be our exclusive property. These agreements may not provide meaningful protection or adequate remedies for our trade secrets in the event of unauthorized use or disclosure of such information.</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Marketing and Distribution</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sales and marketing efforts are generally focused on specialist physicians in private practice or at major medical centers. We utilize common pharmaceutical company practices to market our products and to educate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physicians, including sales representatives calling on individual physicians, advertisements, professional symposia, direct mail, selling initiatives, public relations and other methods. We provide customer service and other related programs for our products, such as disease and product-specific websites, insurance research services and order, delivery and fulfillment services. We have also established programs in the U.S., which provide qualified uninsured or underinsured patients with commercial products at no charge. Specifics concerning the sales, marketing and distribution of each of our commercialized products are as follows: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continue to focus our marketing and sales activities on maximizing the potential of AVONEX in the U.S. and the EU in the face of increased competition. In the U.S., Canada, Brazil, Australia, Japan and most of the major countries of the EU, we use our own sales forces and marketing groups to market and sell AVONEX. In these countries, we distribute AVONEX principally through wholesale distributors of pharmaceutical products, mail order specialty distributors or shipping service providers. In countries outside the U.S., Canada, Brazil, Australia and the major countries of the EU, we sell AVONEX to distribution partners who are then responsible for most marketing and distribution activities.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party principally responsible for marketing TYSABRI depends upon the indication. For multiple sclerosis, we have the lead and we use our own sales force and marketing group to market TYSABRI in the U.S. and Europe. Elan has the lead in Crohn’s disease and uses their sales force and marketing group to market TYSABRI in the U.S. Elan distributes TYSABRI in the U.S. and we distribute TYSABRI in Europe.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market and sell RITUXAN in the U.S. in collaboration with Genentech. We, along with Genentech, have sales and marketing staffs dedicated to RITUXAN. Sales efforts for RITUXAN as a treatment for B-cell NHLs are focused on hematologists and medical oncologists in private practice, at community hospitals and at major medical centers in the U.S. Sales efforts for RITUXAN as a treatment for RA are focused on rheumatologists in private practice, at community hospitals and at major medical centers in the U.S.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Most B-cell NHLs are treated today in community-based group oncology practices. RITUXAN fits well into the community practice, as generally no special equipment, training or licensing is required for its administration or for management of treatment-related side effects.</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RITUXAN is generally sold to wholesalers and specialty distributors and directly to hospital pharmacies. Genentech provides marketing support services for RITUXAN including customer service, order entry, shipping, billing, insurance verification assistance, managed care sales support, medical information and sales training. Under our agreement with Genentech, all U.S. sales of RITUXAN are recognized by Genentech and we record our share of the pretax copromotion profits on a quarterly basis.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FUMADERM has been approved in Germany since 1994 for the treatment of severe psoriasis. FUMADERM is produced by Fumapharm, which we acquired in June 2006. In December 2006, we acquired the right to distribute FUMADERM in Germany from Fumedica effective May 1, 2007. Fumedica continued to distribute the product until that time. Effective May 1, 2007, we began to promote FUMADERM in Germany through Almirall, a third party service provider.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December 2007, we sold the U.S. marketing, sales manufacturing and development rights to CTI. Under the terms of the sale, we have entered a contract with CTI to supply ZEVALIN product through 2014. In the EU, we sell ZEVALIN to Bayer Schering Pharma AG, our exclusive licensee for ZEVALIN outside the U.S.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AMEVIVE</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sold the rights in AMEVIVE to Astellas Pharma US, Inc. in the second quarter of 2006. Under the terms of the sale agreement with Astellas, we will continue to manufacture AMEVIVE and supply product to Astellas for a period of up to 11 years.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Competition in the biotechnology and pharmaceutical industries is intense and comes from many and varied sources. We do not believe that any of the industry leaders can be considered dominant in view of the rapid technological change in the industry. We experience significant competition from specialized biotechnology firms in the U.S., the EU and elsewhere and from many large pharmaceutical, chemical and other companies. Certain of these companies have substantially greater financial, marketing, research and development and human resources than we do. Most large pharmaceutical and biotechnology companies have considerable experience in undertaking clinical trials and in obtaining regulatory approval to market pharmaceutical products.</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believe that competition and leadership in the industry will be based on managerial and technological superiority and establishing proprietary positions through research and development. Leadership in the industry may also be influenced significantly by patents and other forms of protection of proprietary information. A key aspect of such competition is recruiting and retaining qualified scientists and technicians. We believe that we have been successful in attracting skilled and experienced scientific personnel.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Competition among products approved for sale may be based, among other things, on patent position, product efficacy, safety, convenience, reliability, availability and price. Many of our competitors are working to develop products similar to those that we are developing. The timing of the entry of a new pharmaceutical product into the market can be an important factor in determining the product’s eventual success and profitability. Early entry may have important advantages in gaining product acceptance and market share. Moreover, under the Orphan Drug Act, the FDA is prevented for a period of seven years from approving more than one application for the “same” product for the same indication in certain diseases with limited patient populations, unless a later product is considered clinically superior. The EU has similar laws and other jurisdictions have or are considering such laws. Accordingly, the relative speed with which we can develop products, complete the testing and approval process and supply commercial quantities of the product to the market will have an important impact on our competitive position.</w:t>
      </w:r>
    </w:p>
    <w:p>
      <w:pPr>
        <w:spacing w:after="0" w:line="73"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After a patent expiry for a product, an abbreviated process exists for approval of small molecule drugs in the U.S. that are comparable to existing products, also known as generics. In Europe, the EMEA has issued guidelines for approval, and the first biosimilars, or follow-on large molecule drugs, have been approved. It is possible that legislative and regulatory bodies in the U.S. may provide a similar abbreviated process for comparable biologic products. See “Regulatory — Regulation of Pharmaceuticals — Biosimilars.”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 AND TYSABRI</w:t>
      </w:r>
    </w:p>
    <w:p>
      <w:pPr>
        <w:spacing w:after="0" w:line="96"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AVONEX, which generated $1.9 billion of worldwide revenues in 2007, and TYSABRI, which generated $230 million of worldwide revenues for us in 2007, both compete primarily with three other products:</w:t>
      </w:r>
    </w:p>
    <w:p>
      <w:pPr>
        <w:spacing w:after="0" w:line="59" w:lineRule="exact"/>
        <w:rPr>
          <w:sz w:val="20"/>
          <w:szCs w:val="20"/>
          <w:color w:val="auto"/>
        </w:rPr>
      </w:pPr>
    </w:p>
    <w:p>
      <w:pPr>
        <w:ind w:left="1280" w:right="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REBIF (</w:t>
      </w:r>
      <w:r>
        <w:rPr>
          <w:rFonts w:ascii="Arial" w:cs="Arial" w:eastAsia="Arial" w:hAnsi="Arial"/>
          <w:sz w:val="13"/>
          <w:szCs w:val="13"/>
          <w:i w:val="1"/>
          <w:iCs w:val="1"/>
          <w:color w:val="auto"/>
        </w:rPr>
        <w:t>interferon-beta-1a</w:t>
      </w:r>
      <w:r>
        <w:rPr>
          <w:rFonts w:ascii="Arial" w:cs="Arial" w:eastAsia="Arial" w:hAnsi="Arial"/>
          <w:sz w:val="13"/>
          <w:szCs w:val="13"/>
          <w:color w:val="auto"/>
        </w:rPr>
        <w:t>), which is copromoted by EMD Serono (a subsidiary of Merck Serono) and Pfizer in the U.S. and sold by Merck Serono in Europe. REBIF generated worldwide revenues of approximately $1.5 billion in 2006.</w:t>
      </w:r>
    </w:p>
    <w:p>
      <w:pPr>
        <w:spacing w:after="0" w:line="49" w:lineRule="exact"/>
        <w:rPr>
          <w:rFonts w:ascii="Arial" w:cs="Arial" w:eastAsia="Arial" w:hAnsi="Arial"/>
          <w:sz w:val="13"/>
          <w:szCs w:val="13"/>
          <w:color w:val="auto"/>
        </w:rPr>
      </w:pPr>
    </w:p>
    <w:p>
      <w:pPr>
        <w:ind w:left="1280" w:right="20" w:hanging="190"/>
        <w:spacing w:after="0" w:line="320"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BETASERON (</w:t>
      </w:r>
      <w:r>
        <w:rPr>
          <w:rFonts w:ascii="Arial" w:cs="Arial" w:eastAsia="Arial" w:hAnsi="Arial"/>
          <w:sz w:val="12"/>
          <w:szCs w:val="12"/>
          <w:i w:val="1"/>
          <w:iCs w:val="1"/>
          <w:color w:val="auto"/>
        </w:rPr>
        <w:t>interferon-beta-1b</w:t>
      </w:r>
      <w:r>
        <w:rPr>
          <w:rFonts w:ascii="Arial" w:cs="Arial" w:eastAsia="Arial" w:hAnsi="Arial"/>
          <w:sz w:val="12"/>
          <w:szCs w:val="12"/>
          <w:color w:val="auto"/>
        </w:rPr>
        <w:t>), sold by Bayer Healthcare Pharmaceuticals (the U.S. pharmaceuticals affiliate of Bayer Schering Pharma AG) in the U.S. and sold under the name BETAFERON</w:t>
      </w:r>
      <w:r>
        <w:rPr>
          <w:rFonts w:ascii="Arial" w:cs="Arial" w:eastAsia="Arial" w:hAnsi="Arial"/>
          <w:sz w:val="10"/>
          <w:szCs w:val="10"/>
          <w:color w:val="auto"/>
        </w:rPr>
        <w:t>®</w:t>
      </w:r>
      <w:r>
        <w:rPr>
          <w:rFonts w:ascii="Arial" w:cs="Arial" w:eastAsia="Arial" w:hAnsi="Arial"/>
          <w:sz w:val="12"/>
          <w:szCs w:val="12"/>
          <w:color w:val="auto"/>
        </w:rPr>
        <w:t xml:space="preserve"> by Bayer Schering Pharma AG in the EU. BETASERON and BETAFERON together generated worldwide revenues of approximately $1.2 billion in 2006.</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COPAXONE (</w:t>
      </w:r>
      <w:r>
        <w:rPr>
          <w:rFonts w:ascii="Arial" w:cs="Arial" w:eastAsia="Arial" w:hAnsi="Arial"/>
          <w:sz w:val="13"/>
          <w:szCs w:val="13"/>
          <w:i w:val="1"/>
          <w:iCs w:val="1"/>
          <w:color w:val="auto"/>
        </w:rPr>
        <w:t>glatiramer acetate</w:t>
      </w:r>
      <w:r>
        <w:rPr>
          <w:rFonts w:ascii="Arial" w:cs="Arial" w:eastAsia="Arial" w:hAnsi="Arial"/>
          <w:sz w:val="13"/>
          <w:szCs w:val="13"/>
          <w:color w:val="auto"/>
        </w:rPr>
        <w:t>), sold by Teva Neuroscience, Inc., or Teva, in the U.S. and copromoted by Teva and Sanofi-Aventis in Europe. COPAXONE generated worldwide revenues of approximately $1.4 billion in 2006.</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Along with us, a number of companies are working to develop products to treat MS that may in the future compete with AVONEX and TYSABRI. Some of our current competitors are also working to develop alternative formulations for delivery of their products, which may in the future compete with AVONEX and TYSABRI.</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AVONEX and TYSABRI also face competition from off-label uses of drugs approved for other indications.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B-CELL NHLs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 number of other companies, including us, are working to develop products to treat B-cell NHLs and other forms of non-Hodgkin’s lymphoma that may ultimately compete with RITUXAN. Other potential competitors include Campath</w:t>
      </w:r>
      <w:r>
        <w:rPr>
          <w:rFonts w:ascii="Arial" w:cs="Arial" w:eastAsia="Arial" w:hAnsi="Arial"/>
          <w:sz w:val="11"/>
          <w:szCs w:val="11"/>
          <w:color w:val="auto"/>
        </w:rPr>
        <w:t>®</w:t>
      </w:r>
      <w:r>
        <w:rPr>
          <w:rFonts w:ascii="Arial" w:cs="Arial" w:eastAsia="Arial" w:hAnsi="Arial"/>
          <w:sz w:val="13"/>
          <w:szCs w:val="13"/>
          <w:color w:val="auto"/>
        </w:rPr>
        <w:t xml:space="preserve"> (Berlex, Inc.), which is indicated for B-cell chronic lymphocytic leukemia (an unapproved use of RITUXAN), Velcade</w:t>
      </w:r>
      <w:r>
        <w:rPr>
          <w:rFonts w:ascii="Arial" w:cs="Arial" w:eastAsia="Arial" w:hAnsi="Arial"/>
          <w:sz w:val="11"/>
          <w:szCs w:val="11"/>
          <w:color w:val="auto"/>
        </w:rPr>
        <w:t>®</w:t>
      </w:r>
      <w:r>
        <w:rPr>
          <w:rFonts w:ascii="Arial" w:cs="Arial" w:eastAsia="Arial" w:hAnsi="Arial"/>
          <w:sz w:val="13"/>
          <w:szCs w:val="13"/>
          <w:color w:val="auto"/>
        </w:rPr>
        <w:t xml:space="preserve"> (Millennium Pharmaceuticals, Inc.) which is indicated for multiple myeloma (an unapproved use of RITUXAN), Trianda</w:t>
      </w:r>
      <w:r>
        <w:rPr>
          <w:rFonts w:ascii="Arial" w:cs="Arial" w:eastAsia="Arial" w:hAnsi="Arial"/>
          <w:sz w:val="11"/>
          <w:szCs w:val="11"/>
          <w:color w:val="auto"/>
        </w:rPr>
        <w:t>®</w:t>
      </w:r>
      <w:r>
        <w:rPr>
          <w:rFonts w:ascii="Arial" w:cs="Arial" w:eastAsia="Arial" w:hAnsi="Arial"/>
          <w:sz w:val="13"/>
          <w:szCs w:val="13"/>
          <w:color w:val="auto"/>
        </w:rPr>
        <w:t xml:space="preserve"> (Cephalon), and HuMax-CD20 (GenMab), which is in late-stage development for refractory CLL and NHL. In addition to the foregoing products, we are aware of other anti-CD20 molecules in development that, if successfully developed and registered, may compete with RITUXAN.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RITUXAN IN RA</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RITUXAN, in combination with methotrexate, is approved for reducing signs and symptoms and to slow the progression of structural damage in adult patients with moderately-to-severely active RA who have had an inadequate response to one or more TNF antagonist therapies. RITUXAN will compete with several different types of therapies in the RA market, including:</w:t>
      </w:r>
    </w:p>
    <w:p>
      <w:pPr>
        <w:spacing w:after="0" w:line="6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traditional therapies for RA, including disease-modifying anti-rheumatic drugs, such as steroids, methotrexate and cyclosporine, and pain relievers such as acetaminophen;</w:t>
      </w:r>
    </w:p>
    <w:p>
      <w:pPr>
        <w:spacing w:after="0" w:line="95" w:lineRule="exact"/>
        <w:rPr>
          <w:rFonts w:ascii="Arial" w:cs="Arial" w:eastAsia="Arial" w:hAnsi="Arial"/>
          <w:sz w:val="12"/>
          <w:szCs w:val="12"/>
          <w:color w:val="auto"/>
        </w:rPr>
      </w:pPr>
    </w:p>
    <w:p>
      <w:pPr>
        <w:ind w:left="1280" w:right="40" w:hanging="190"/>
        <w:spacing w:after="0" w:line="280"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anti-TNF therapies, such as REMICADE</w:t>
      </w:r>
      <w:r>
        <w:rPr>
          <w:rFonts w:ascii="Arial" w:cs="Arial" w:eastAsia="Arial" w:hAnsi="Arial"/>
          <w:sz w:val="11"/>
          <w:szCs w:val="11"/>
          <w:color w:val="auto"/>
        </w:rPr>
        <w:t>®</w:t>
      </w:r>
      <w:r>
        <w:rPr>
          <w:rFonts w:ascii="Arial" w:cs="Arial" w:eastAsia="Arial" w:hAnsi="Arial"/>
          <w:sz w:val="13"/>
          <w:szCs w:val="13"/>
          <w:color w:val="auto"/>
        </w:rPr>
        <w:t xml:space="preserve"> (infliximab), a drug sold worldwide by Centocor, Inc., a subsidiary of Johnson &amp; Johnson, HUMIRA</w:t>
      </w:r>
      <w:r>
        <w:rPr>
          <w:rFonts w:ascii="Arial" w:cs="Arial" w:eastAsia="Arial" w:hAnsi="Arial"/>
          <w:sz w:val="11"/>
          <w:szCs w:val="11"/>
          <w:color w:val="auto"/>
        </w:rPr>
        <w:t>®</w:t>
      </w:r>
      <w:r>
        <w:rPr>
          <w:rFonts w:ascii="Arial" w:cs="Arial" w:eastAsia="Arial" w:hAnsi="Arial"/>
          <w:sz w:val="13"/>
          <w:szCs w:val="13"/>
          <w:color w:val="auto"/>
        </w:rPr>
        <w:t xml:space="preserve"> (adalimumab), a drug sold by Abbott Laboratories, and ENBREL</w:t>
      </w:r>
      <w:r>
        <w:rPr>
          <w:rFonts w:ascii="Arial" w:cs="Arial" w:eastAsia="Arial" w:hAnsi="Arial"/>
          <w:sz w:val="11"/>
          <w:szCs w:val="11"/>
          <w:color w:val="auto"/>
        </w:rPr>
        <w:t>®</w:t>
      </w:r>
      <w:r>
        <w:rPr>
          <w:rFonts w:ascii="Arial" w:cs="Arial" w:eastAsia="Arial" w:hAnsi="Arial"/>
          <w:sz w:val="13"/>
          <w:szCs w:val="13"/>
          <w:color w:val="auto"/>
        </w:rPr>
        <w:t xml:space="preserve"> (etanercept), a drug sold by Amgen, Inc. and Wyeth Pharmaceuticals, Inc.;</w:t>
      </w:r>
    </w:p>
    <w:p>
      <w:pPr>
        <w:spacing w:after="0" w:line="44"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ORENCIA</w:t>
      </w:r>
      <w:r>
        <w:rPr>
          <w:rFonts w:ascii="Arial" w:cs="Arial" w:eastAsia="Arial" w:hAnsi="Arial"/>
          <w:sz w:val="10"/>
          <w:szCs w:val="10"/>
          <w:color w:val="auto"/>
        </w:rPr>
        <w:t>®</w:t>
      </w:r>
      <w:r>
        <w:rPr>
          <w:rFonts w:ascii="Arial" w:cs="Arial" w:eastAsia="Arial" w:hAnsi="Arial"/>
          <w:sz w:val="12"/>
          <w:szCs w:val="12"/>
          <w:color w:val="auto"/>
        </w:rPr>
        <w:t xml:space="preserve"> (abatacept), a drug developed by Bristol-Myers Squibb Company, which was approved by the FDA to treat moderate-to-severe RA in December 2005;</w:t>
      </w:r>
    </w:p>
    <w:p>
      <w:pPr>
        <w:spacing w:after="0" w:line="100" w:lineRule="exact"/>
        <w:rPr>
          <w:rFonts w:ascii="Arial" w:cs="Arial" w:eastAsia="Arial" w:hAnsi="Arial"/>
          <w:sz w:val="12"/>
          <w:szCs w:val="12"/>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drugs in late-stage development for RA;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drugs approved for other indications that are used to treat RA.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a number of other companies, including us, are working to develop products to treat RA that may ultimately compete with RITUXAN in the RA marketplace.</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current and contemplated activities and the products and processes that will result from such activities are subject to substantial government regulation.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of Pharmaceuticals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Before new pharmaceutical products may be sold in the U.S. and other countries, clinical trials of the products must be conducted and the results submitted to appropriate regulatory agencies for approval. Clinical trial programs must establish efficacy, determine an appropriate dose and regimen, and define the conditions for safe use, a high-risk process that requires stepwise clinical studies in which the candidate product must successfully meet predetermined endpoints. The results of the preclinical and clinical testing of a product are then submitted to the FDA in the form of a Biologics License Application, or BLA, or a New Drug Application, or NDA. In response to a BLA or NDA, the FDA may grant marketing approval, request additional information or deny the application if it determines the application does not provide an adequate basis for approval. Similar submissions are required by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authorities in other jurisdictions who independently assess the product and may reach the same or different conclusions. The receipt of regulatory approval often takes a number of years, involving the expenditure of substantial resources and depends on a number of factors, including the severity of the disease in question, the availability of alternative treatments and the risks and benefits demonstrated in clinical trials. On occasion, regulatory authorities may require larger or additional studies, leading to unanticipated delay or expense. Even after initial FDA approval or approvals from other regulatory agencies have been obtained, further clinical trials may be required to provide additional data on safety and effectiveness and are required to gain clearance for the use of a product as a treatment for indications other than those initially approved. The FDA may grant “accelerated approval” status to products that treat serious or life-threatening illnesses and that provide meaningful therapeutic benefits to patients over existing treatments, but accelerated approval status does not ensure that FDA will ultimately approve the product. Under this pathway, the FDA may approve a product based on surrogate endpoints, or clinical endpoints other than survival or irreversible morbidity, or when the product is shown to be effective but can be safely used only if access to or distribution of the product is restricted. When approval is based on surrogate endpoints or clinical endpoints other than survival or morbidity, the sponsor will be required to conduct additional clinical studies to verify and describe clinical benefit. When accelerated approval requires restricted use or distribution, the sponsor may be required to establish rigorous systems to assure use of the product under safe conditions. These systems are usually referred to as Risk Minimization Action Plans, or RiskMAPs, or Risk Evaluation and Mitigation Strategies, or REMS. In addition, for all products approved under accelerated approval, sponsors must submit all copies of its promotional materials, including advertisements, to the FDA at least thirty days prior to their initial dissemination. The FDA may also withdraw approval under accelerated approval after a hearing if, for instance, post-marketing studies fail to verify any clinical benefit or it becomes clear that restrictions on the distribution of the product are inadequate to ensure its safe use. The BLA for TYSABRI in MS was initially approved under the accelerated approval pathway based on surrogate endpoints. A stringent restricted distribution program was also imposed.</w:t>
      </w:r>
    </w:p>
    <w:p>
      <w:pPr>
        <w:spacing w:after="0" w:line="61"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supplemental BLA for TYSABRI for second-line treatment of Crohn’s disease was approved by FDA on January 14, 2008. This product will be subject to the same stringent distribution restrictions as TYSABRI for MS.</w:t>
      </w:r>
    </w:p>
    <w:p>
      <w:pPr>
        <w:spacing w:after="0" w:line="5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cannot be certain that the FDA will approve any products for the proposed indications whether under accelerated approval or another pathway. If the FDA approves products or new indications, the agency may require us to conduct additional post-marketing studies. If we fail to conduct the required studies or otherwise fail to comply with the conditions of accelerated approval, the FDA may take action to seek to withdraw that approval. Legislation has recently been passed in the U.S. to also provide the FDA with additional powers of sanction regarding non-completion of or non-compliance with certain post-marketing commitments, including RiskMAPs/REMS. In Europe, the EMEA has new powers of sanction for non-completion of post-marketing commitments. These range from a fine of 10% of global revenue to removal of the product from the market.</w:t>
      </w:r>
    </w:p>
    <w:p>
      <w:pPr>
        <w:spacing w:after="0" w:line="55"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Regulatory authorities track information on side effects and adverse events reported during clinical studies and after marketing approval. Non-compliance with FDA safety reporting requirements may result in FDA regulatory action that may include civil action or criminal penalties. Side effects or adverse events that are reported during clinical trials can delay, impede, or prevent marketing approval. Similarly, adverse events that are reported after marketing approval can result in additional limitations being placed on the product’s use and, potentially, withdrawal or suspension of the product from the market. For example, in February 2005, in consultation with the FDA, we and Elan voluntarily suspended the marketing and commercial distribution of TYSABRI, and informed physicians that they should suspend dosing of TYSABRI until further notification. In addition, we suspended dosing in clinical studies of TYSABRI in MS, Crohn’s disease and RA. These decisions were based on reports of two cases of PML, a rare and frequently fatal, demyelinating disease of the central nervous system, that occurred in patients treated with TYSABRI in clinical studies. See “Our Products and Late Stage Product Candidates — Approved Indications and Ongoing Development — TYSABRI.” Any adverse event, either before or after marketing approval, could result in product liability claims against us. See the sections of “Item 1A — Risk Factors” entitled “Our near terms success depends on the market acceptance and successful sales growth of TYSABRI” and “Pending and future product liability claims may adversely affect our business and our reputation.”</w:t>
      </w:r>
    </w:p>
    <w:p>
      <w:pPr>
        <w:spacing w:after="0" w:line="6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Furthermore, recently enacted legislation provides the FDA with expanded authority over drug products after approval. This legislation enhances the FDA’s authority with respect to post-marketing safety surveillance,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including, among other things, the authority to require additional post-approval studies or clinical trials and mandate label changes as a result of safety findings. These requirements may affect our ability to maintain marketing approval of our products or require us to make significant expenditures to obtain or maintain such approvals.</w:t>
      </w:r>
    </w:p>
    <w:p>
      <w:pPr>
        <w:spacing w:after="0" w:line="59"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If we seek to make certain changes to an approved product, such as adding a new indication, making certain manufacturing changes, or changing manufacturers or suppliers of certain ingredients or components, we will need review and approval of regulatory authorities, including FDA and EMEA, before the changes can be implemented.</w:t>
      </w:r>
    </w:p>
    <w:p>
      <w:pPr>
        <w:spacing w:after="0" w:line="3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i w:val="1"/>
          <w:iCs w:val="1"/>
          <w:color w:val="auto"/>
        </w:rPr>
        <w:t xml:space="preserve">Orphan Drug Act. </w:t>
      </w:r>
      <w:r>
        <w:rPr>
          <w:rFonts w:ascii="Arial" w:cs="Arial" w:eastAsia="Arial" w:hAnsi="Arial"/>
          <w:sz w:val="12"/>
          <w:szCs w:val="12"/>
          <w:color w:val="auto"/>
        </w:rPr>
        <w:t>Under the U.S. Orphan Drug Act, the FDA may grant orphan drug designation to drugs intended to treat a “rare disease or condition,” which generally is a disease</w:t>
      </w:r>
      <w:r>
        <w:rPr>
          <w:rFonts w:ascii="Arial" w:cs="Arial" w:eastAsia="Arial" w:hAnsi="Arial"/>
          <w:sz w:val="12"/>
          <w:szCs w:val="12"/>
          <w:i w:val="1"/>
          <w:iCs w:val="1"/>
          <w:color w:val="auto"/>
        </w:rPr>
        <w:t xml:space="preserve"> </w:t>
      </w:r>
      <w:r>
        <w:rPr>
          <w:rFonts w:ascii="Arial" w:cs="Arial" w:eastAsia="Arial" w:hAnsi="Arial"/>
          <w:sz w:val="12"/>
          <w:szCs w:val="12"/>
          <w:color w:val="auto"/>
        </w:rPr>
        <w:t>or condition that affects fewer than 200,000 individuals in the U.S. Orphan drug designation must be requested before submitting a BLA or NDA. After the FDA grants orphan drug designation, the generic identity of the therapeutic agent and its potential orphan use are publicly disclosed by the FDA. Orphan drug designation does not convey any advantage in, or shorten the duration of, the regulatory review and approval process.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Biosimilars. </w:t>
      </w:r>
      <w:r>
        <w:rPr>
          <w:rFonts w:ascii="Arial" w:cs="Arial" w:eastAsia="Arial" w:hAnsi="Arial"/>
          <w:sz w:val="13"/>
          <w:szCs w:val="13"/>
          <w:color w:val="auto"/>
        </w:rPr>
        <w:t>Most of our marketed products, including AVONEX, RITUXAN and TYSABRI, are licensed under the Public Health Service Act as biological products. Unlike small</w:t>
      </w:r>
      <w:r>
        <w:rPr>
          <w:rFonts w:ascii="Arial" w:cs="Arial" w:eastAsia="Arial" w:hAnsi="Arial"/>
          <w:sz w:val="13"/>
          <w:szCs w:val="13"/>
          <w:i w:val="1"/>
          <w:iCs w:val="1"/>
          <w:color w:val="auto"/>
        </w:rPr>
        <w:t xml:space="preserve"> </w:t>
      </w:r>
      <w:r>
        <w:rPr>
          <w:rFonts w:ascii="Arial" w:cs="Arial" w:eastAsia="Arial" w:hAnsi="Arial"/>
          <w:sz w:val="13"/>
          <w:szCs w:val="13"/>
          <w:color w:val="auto"/>
        </w:rPr>
        <w:t>molecule drugs, which are subject to the generic drug provisions (Hatch-Waxman Act) of the U.S. Food, Drug, and Cosmetic Act, as described below, there currently is no process in the U.S. for the submission or approval of biological products based upon abbreviated data packages or a showing of sameness to another approved product. There is public dialogue at FDA and in the Congress, however, regarding the scientific and statutory basis upon which such products, known as biosimilars or follow-on biologics, could be approved and marketed in the U.S. We cannot be certain when, or if, Congress will create a statutory pathway for the approval of biosimilars. We cannot predict what impact, if any, the approval of biosimilars would have on the sales of our products.</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Europe, however, the EMEA has issued guidelines for approval of biological products through an abbreviated pathway, and the first biosimilars have been approved. If a biosimilar version of one of our products were approved in Europe, it could have a negative effect on sales of that product.</w:t>
      </w:r>
    </w:p>
    <w:p>
      <w:pPr>
        <w:spacing w:after="0" w:line="59"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Small molecule generics. </w:t>
      </w:r>
      <w:r>
        <w:rPr>
          <w:rFonts w:ascii="Arial" w:cs="Arial" w:eastAsia="Arial" w:hAnsi="Arial"/>
          <w:sz w:val="11"/>
          <w:szCs w:val="11"/>
          <w:color w:val="auto"/>
        </w:rPr>
        <w:t>We are developing small molecule products. If development is successful, these products may be approved as drugs under the U.S. Food, Drug, and</w:t>
      </w:r>
      <w:r>
        <w:rPr>
          <w:rFonts w:ascii="Arial" w:cs="Arial" w:eastAsia="Arial" w:hAnsi="Arial"/>
          <w:sz w:val="11"/>
          <w:szCs w:val="11"/>
          <w:i w:val="1"/>
          <w:iCs w:val="1"/>
          <w:color w:val="auto"/>
        </w:rPr>
        <w:t xml:space="preserve"> </w:t>
      </w:r>
      <w:r>
        <w:rPr>
          <w:rFonts w:ascii="Arial" w:cs="Arial" w:eastAsia="Arial" w:hAnsi="Arial"/>
          <w:sz w:val="11"/>
          <w:szCs w:val="11"/>
          <w:color w:val="auto"/>
        </w:rPr>
        <w:t>Cosmetic Act. Under the Drug Price Competition and Patent Term Restoration Act of 1984, also known as the Hatch-Waxman Act, Congress created two pathways for FDA review and approval of “generic” versions of pioneer small molecule drug products. The first is the abbreviated new drug application, or ANDA, a type of application in which approval is based on a showing of “sameness” to an already approved drug product. An ANDA need not contain full reports of safety and effectiveness, but rather must demonstrate that a proposed product is “the same as” a reference brand-name product. An ANDA applicant is also required to demonstrate the “bioequivalence” of its product to the reference product. The second pathway is a 505(b)</w:t>
      </w:r>
    </w:p>
    <w:p>
      <w:pPr>
        <w:spacing w:after="0" w:line="1" w:lineRule="exact"/>
        <w:rPr>
          <w:sz w:val="20"/>
          <w:szCs w:val="20"/>
          <w:color w:val="auto"/>
        </w:rPr>
      </w:pPr>
    </w:p>
    <w:p>
      <w:pPr>
        <w:jc w:val="both"/>
        <w:ind w:left="680" w:right="40" w:firstLine="7"/>
        <w:spacing w:after="0" w:line="258" w:lineRule="auto"/>
        <w:tabs>
          <w:tab w:leader="none" w:pos="865"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application, or an NDA in which one or more of the investigations relied upon by the applicant for approval was not conducted by or for the applicant and for which the applicant has not obtained a right of reference or use from the person by or for whom the investigation was conducted. A 505(b)(2) applicant must provide the FDA with any additional clinical data necessary to demonstrate the safety and effectiveness of the product with the proposed change(s).</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Hatch-Waxman Act also provides for the restoration of a portion of the patent term lost during small molecule product development. In addition, the statute establishes a complex set of processes for notifying sponsors of pioneer products of ANDA and 505(b)(2) applications that may infringe patents and to permit sponsors of pioneer drugs an opportunity to pursue patent litigation prior to FDA approval of the generic product. The Hatch-Waxman Act also awards non-patent marketing exclusivities to qualifying pioneer drug products. For example, the first applicant to gain approval of an NDA for a product that contains an active ingredient not found in any other approved product is awarded five years of “new chemical entity” marketing exclusivity. Where this exclusivity is awarded, the FDA is prohibited , with some exception, from accepting any ANDAs or 505(b)(2) applications during</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the five-year period. The Hatch-Waxman Act also provides three years of marketing exclusivity for the approval of NDAs, 505(b)(2) applications, and supplements, where those applications contain the results of new clinical investigations (other than bioavailability studies) essential to the FDA’s approval of the applications. Three-year exclusivity prohibits the final FDA approval of ANDAs or 505(b)(2) applications for products with the specific changes associated with those clinical investigations. It does not necessarily prohibit the FDA from approving an ANDA or 505(b)(2) application for a product containing the same active ingredient. For example, if clinical investigations supported a new indication, three-year exclusivity would not block FDA approval of an ANDA or 505(b)(2) application for a product where the new indication has been carved out or omitted from the label.</w:t>
      </w:r>
    </w:p>
    <w:p>
      <w:pPr>
        <w:spacing w:after="0" w:line="55"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Good manufacturing practices. </w:t>
      </w:r>
      <w:r>
        <w:rPr>
          <w:rFonts w:ascii="Arial" w:cs="Arial" w:eastAsia="Arial" w:hAnsi="Arial"/>
          <w:sz w:val="13"/>
          <w:szCs w:val="13"/>
          <w:color w:val="auto"/>
        </w:rPr>
        <w:t>The FDA, the EMEA and other regulatory agencies regulate and inspect equipment, facilities, and processes used in the manufacturing of</w:t>
      </w:r>
      <w:r>
        <w:rPr>
          <w:rFonts w:ascii="Arial" w:cs="Arial" w:eastAsia="Arial" w:hAnsi="Arial"/>
          <w:sz w:val="13"/>
          <w:szCs w:val="13"/>
          <w:i w:val="1"/>
          <w:iCs w:val="1"/>
          <w:color w:val="auto"/>
        </w:rPr>
        <w:t xml:space="preserve"> </w:t>
      </w:r>
      <w:r>
        <w:rPr>
          <w:rFonts w:ascii="Arial" w:cs="Arial" w:eastAsia="Arial" w:hAnsi="Arial"/>
          <w:sz w:val="13"/>
          <w:szCs w:val="13"/>
          <w:color w:val="auto"/>
        </w:rPr>
        <w:t>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or cGMP, and product-specific regulations enforced by the FDA following product approval. The FDA, the EMEA and other regulatory agencies also conduct regular,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73"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In addition, the FDA regulates all advertising and promotion activities for products under its jurisdiction both prior to and after approval. A company can make only those claims relating to safety and efficacy that are approved by the FDA. Physicians may prescribe legally available drugs for uses that are not described in the drug’s labeling and that differ from those tested by us and approved by the FDA. Such off-label uses are common across medical specialties, and often reflect a physician’s belief that the off-label use is the best treatment for the patients.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Regulation Outside the U.S.</w:t>
      </w:r>
    </w:p>
    <w:p>
      <w:pPr>
        <w:spacing w:after="0" w:line="96"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In the EU, Canada, and Australia, regulatory requirements and approval processes are similar in principle to those in the U.S. depending on the type of drug for which approval is sought. There are currently three potential tracks for marketing approval in EU countries: mutual recognition, decentralized procedures, and centralized procedures. These review mechanisms may ultimately lead to approval in all EU countries, but each method grants all participating countries some decision-making authority in product approval.</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 Marketing and Product Pricing</w:t>
      </w:r>
    </w:p>
    <w:p>
      <w:pPr>
        <w:spacing w:after="0" w:line="96"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In the U.S., the federal government regularly considers reforming health care coverage and costs. For example, reforms to Medicare have reduced the reimbursement rates for many of our products. Effective January 1, 2005, Medicare pays physicians and suppliers that furnish our products under a payment methodology using average sales price, or ASP, information. Manufacturers, including us, are required to provide ASP information to the Centers for Medicare and Medicaid Services on a quarterly basis. The manufacturer submitted information is used to compute Medicare payment rates, which are set at ASP plus 6 percent, updated quarterly. There is a mechanism for comparison of such payment rates to widely available market prices, which could cause further decreases in Medicare payment rates, although this mechanism has yet to be utilized. Effective January 1, 2006, Medicare began to use the same ASP plus 6 percent payment methodology to determine Medicare rates paid for products furnished by hospital outpatient departments. As of January 1, 2008, the reimbursement rate in the hospital outpatient setting will be ASP plus 5 percent. If a manufacturer is found to have made a misrepresentation in the reporting of ASP, the statute provides for civil monetary penalties of up to $10,000 for each misrepresentation and for each day in which the misrepresentation was applied.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Another payment reform is the addition of an expanded prescription drug benefit for all Medicare beneficiaries known as Medicare Part D. This is a voluntary benefit that is being implemented through private plans under contractual arrangements with the federal government. Like pharmaceutical coverage through private health insurance, Part D plans establish formularies that govern the drugs and biologicals that will be offered and the out- of-pocket obligations for such products. In addition, plans are expected to negotiate discounts from drug manufacturers and pass on some of those savings to Medicare beneficiaries.</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Future legislation or regulatory actions implementing recent or future legislation may have a significant effect on our business. Our ability to successfully commercialize products may depend in part on the extent to which reimbursement for the costs of our products and related treatments will be available in the U.S. and worldwide from government health administration authorities, private health insurers and other organizations. Substantial uncertainty exists as to the reimbursement status of newly approved health care products by third party payors.</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We also participate in the Medicaid rebate program established by the Omnibus Budget Reconciliation Act of 1990, and under multiple subsequent amendments of that law. Sections 6001, 6002, and 6003 of the Deficit Reduction Act of 2005, or DRA, made significant changes to the Medicaid prescription drug provisions of the Social Security Act. These changes include, but are not limited to, revising the definition of average manufacturer price, or AMP, establishing an obligation to report AMP on a monthly basis, in addition to a quarterly basis, establishing a new formula for calculating Federal upper limits, or FULs, requiring rebates for certain physician-administered drugs, and clarifying rebate liability for authorized generic drugs. Under the Medicaid rebate program, we pay a rebate for each unit of product reimbursed by Medicaid. The amount of the rebate for each product is set by law as the larger of, 15.1% of AMP or the difference between AMP and the best price available from us to any commercial or non-governmental customer. The rebate amount must be adjusted upward where the AMP for a product’s first full quarter of sales, when adjusted for increases in the CPI-U, or Consumer Price Index — Urban, exceeds the AMP for the current quarter with the upward adjustment equal to the excess amount. The rebate amount is required to be recomputed each quarter based on our report of current AMP and best price for each of our products to the Centers for Medicare and Medicaid Services. The terms of our participation in the program imposes a requirement for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in the amount not to exceed $100,000 per item of false information in addition to other penalties available to the government.</w:t>
      </w:r>
    </w:p>
    <w:p>
      <w:pPr>
        <w:spacing w:after="0" w:line="65"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availability of federal funds to pay for our products under the Medicaid and Medicare Part B programs requires that we extend discounts under the 340B/PHS drug pricing program. The 340B/PHS drug pricing program extends discounts to a variety of community health clinics and other entities that receive health services grants from the PHS, as well as hospitals that serve a disproportionate share of poor Medicare beneficiaries.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also make our products available for purchase by authorized users of the Federal Supply Schedule, or FSS, of the General Services Administration pursuant to our FSS contract with the Department of Veterans Affairs. Under the Veterans Health Care Act of 1992, or the VHC Act, we are required to offer deeply discounted FSS contract pricing to four Federal agencies — the Department of Veterans Affairs, the Department of Defense, the Coast Guard and the Public Health Service (including the Indian Health Service) — for federal funding to be made available for reimbursement of any of our products under the Medicaid program and for our products to be eligible to be purchased by those four Federal agencies and certain Federal grantees. FSS pricing to those four Federal agencies must be equal to or less than the “Federal Ceiling Price,” which is, at a minimum, 24% off the Non-Federal Average Manufacturer Price, or “Non-FAMP”, for the prior fiscal year. In addition, if we are found to have knowingly submitted false information to the government, the VHC provides for civil monetary penalties of not to exceed $100,000 per false item of information in addition to other penalties available to the government.</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are also subject to various federal and state laws pertaining to health 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and the absence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guidance in the form of regulations and very few court decisions addressing industry practices, it is possible that our practices might be challenged under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 care programs (including Medicare and Medicaid). If the government were to allege or convict us of violating these laws, our business could be harmed. In addition, there is an ability for private individuals to bring similar actions. See the section of “Item 1A — Risk Factors” entitled “If we fail to comply with the extensive legal and regulatory requirements affecting the healthcare industry, we could face increased costs, penalties and a loss of business.” For a description of litigation in this area in which we are currently involved, see “Item 3 — Legal Proceedings.”</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activities could be subject to challenge for the reasons discussed above and due to the broad scope of these laws and the increasing attention being given to them by law enforcement authorities. Further, there are an increasing number of state laws that require manufacturers to make reports to states on pricing and marketing information. Many of these laws contain ambiguities as to what is required to comply with the laws. Given the lack of clarity in laws and their implementation, our reporting actions could be subject to the penalty provisions of the pertinent state authorities.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Regulations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Foreign Corrupt Practices Act. </w:t>
      </w:r>
      <w:r>
        <w:rPr>
          <w:rFonts w:ascii="Arial" w:cs="Arial" w:eastAsia="Arial" w:hAnsi="Arial"/>
          <w:sz w:val="13"/>
          <w:szCs w:val="13"/>
          <w:color w:val="auto"/>
        </w:rPr>
        <w:t>We are also subject to the U.S. Foreign Corrupt Practices Act which prohibits corporations and individuals from paying, offering to pay, or</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67"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i w:val="1"/>
          <w:iCs w:val="1"/>
          <w:color w:val="auto"/>
        </w:rPr>
        <w:t xml:space="preserve">NIH Guidelines. </w:t>
      </w:r>
      <w:r>
        <w:rPr>
          <w:rFonts w:ascii="Arial" w:cs="Arial" w:eastAsia="Arial" w:hAnsi="Arial"/>
          <w:sz w:val="12"/>
          <w:szCs w:val="12"/>
          <w:color w:val="auto"/>
        </w:rPr>
        <w:t>We conduct relevant research at all of our research facilities in the U.S. in compliance with the current U.S. National Institutes of Health Guidelines for Research</w:t>
      </w:r>
      <w:r>
        <w:rPr>
          <w:rFonts w:ascii="Arial" w:cs="Arial" w:eastAsia="Arial" w:hAnsi="Arial"/>
          <w:sz w:val="12"/>
          <w:szCs w:val="12"/>
          <w:i w:val="1"/>
          <w:iCs w:val="1"/>
          <w:color w:val="auto"/>
        </w:rPr>
        <w:t xml:space="preserve"> </w:t>
      </w:r>
      <w:r>
        <w:rPr>
          <w:rFonts w:ascii="Arial" w:cs="Arial" w:eastAsia="Arial" w:hAnsi="Arial"/>
          <w:sz w:val="12"/>
          <w:szCs w:val="12"/>
          <w:color w:val="auto"/>
        </w:rPr>
        <w:t>Involving Recombinant DNA Molecules, or the NIH Guidelines, and all other applicable federal and state regulations. By local ordinance, we are required to, among other things, comply with the NIH Guidelines in relation to our facilities in Cambridge, Massachusetts, and San Diego, California, and are required to operate pursuant to certain permits.</w:t>
      </w:r>
    </w:p>
    <w:p>
      <w:pPr>
        <w:spacing w:after="0" w:line="5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Other Laws. </w:t>
      </w:r>
      <w:r>
        <w:rPr>
          <w:rFonts w:ascii="Arial" w:cs="Arial" w:eastAsia="Arial" w:hAnsi="Arial"/>
          <w:sz w:val="12"/>
          <w:szCs w:val="12"/>
          <w:color w:val="auto"/>
        </w:rPr>
        <w:t>Our present and future business has been and will continue to be subject to various other laws and regulations. Various laws, regulations and recommendations relating</w:t>
      </w:r>
      <w:r>
        <w:rPr>
          <w:rFonts w:ascii="Arial" w:cs="Arial" w:eastAsia="Arial" w:hAnsi="Arial"/>
          <w:sz w:val="12"/>
          <w:szCs w:val="12"/>
          <w:i w:val="1"/>
          <w:iCs w:val="1"/>
          <w:color w:val="auto"/>
        </w:rPr>
        <w:t xml:space="preserve"> </w:t>
      </w:r>
      <w:r>
        <w:rPr>
          <w:rFonts w:ascii="Arial" w:cs="Arial" w:eastAsia="Arial" w:hAnsi="Arial"/>
          <w:sz w:val="12"/>
          <w:szCs w:val="12"/>
          <w:color w:val="auto"/>
        </w:rPr>
        <w:t>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supranational antitrust regulatory control, the effect of which also cannot be predicted. The extent of government regulation, which might result from future legislation or administrative action, cannot accurately be predicted.</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Raw Materials</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currently produce all of our bulk AVONEX, as well as AMEVIVE on a contract basis for Astellas, at our manufacturing facilities located in Research Triangle Park, North Carolina and Cambridge, Massachusetts. We currently produce TYSABRI at our Research Triangle Park facility. We supply the commercial requirements of the antibody for ZEVALIN on a contract basis for Cell Therapeutics, Inc. We have moved the manufacturing of ZEVALIN to our manufacturing facilities in Cambridge, Massachusetts and are awaiting FDA approval of the production of the antibody at that facility. Genentech is responsible for all worldwide manufacturing activities for bulk RITUXAN and has sourced the manufacturing of certain bulk RITUXAN requirements to an independent third party. We manufacture clinical products in Research Triangle Park, North Carolina and Cambridge, Massachusetts. We use a third party to manufacture the active pharmaceutical ingredient of FUMADERM and another third party to further process that to produce the FUMADERM pill.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are constructing a large-scale biologic manufacturing facility in Hillerod, Denmark to be used to manufacture TYSABRI and other products in our pipeline. The first phase is complete and included the construction of an administrative building, a laboratory, a labeling and packaging facility and a facility to provide utilities to the Hillerod campus. The administrative building was in use in 2006, and the label and packaging facility and lab facility were placed into service in the first quarter of 2007. In addition, a large-scale manufacturing facility was partially constructed during this phase and major equipment was installed. The utilities facility has been in partial use since the first quarter of 2007. The second phase of the project, which we commenced in January 2007, involves the completion and fit out of the large-scale manufacturing facility and construction of a warehouse. The utilities facility is expected to be in full use upon completion of the second phase. The large scale manufacturing facility is expected to be ready for commercial production in 2009. See “Item 1A — Risk Factors” entitled “We have made a significant investment in constructing a manufacturing facility the success of which depends upon the completion and licensing of the facility and continued demand for our products.”</w:t>
      </w:r>
    </w:p>
    <w:p>
      <w:pPr>
        <w:spacing w:after="0" w:line="7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source all of our fill-finish and the majority of final product storage operations for our products, along with a substantial part of our packaging operations, to a concentrated group of third party contractors. Many of the raw materials and supplies required for the production of AVONEX, TYSABRI, ZEVALIN and AMEVIVE are available from various suppliers in quantities adequate to meet our needs. However, due to the unique nature of the production of our products, we do have several single source providers of raw materials. We make efforts to qualify new vendors and to develop contingency plans so that production is not impacted by short-term issues associated with single source providers. Each of our third party service providers, suppliers and manufacturers are subject to continuing inspection by the FDA or comparable agencies in other jurisdictions. Any delay, interruption or other issues that arise in the manufacture, fill-finish, packaging, or storage of our products, including as a result of a failure of our facilities or the facilities or operations of third parties to pass any regulatory agency inspection, could significantly impair our ability to sell our products. See the sections of “Item 1A — Risk Factors” entitled “Problems with manufacturing or with inventory planning could result in our inability to deliver products, inventory shortages or surpluses, product recalls and increased costs”, “We rely on third parties to provide services in connection with the manufacture of our products and, in some instances, the manufacture of the product itself,” and “If we fail to meet the stringent requirements of governmental regulation in the manufacture of our products, we could incur substantial remedial costs and a reduction in sales.”</w:t>
      </w:r>
    </w:p>
    <w:p>
      <w:pPr>
        <w:spacing w:after="0" w:line="63"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We believe that our existing manufacturing facilities and outside sources will allow us to meet our near-term and long-term manufacturing needs for our current commercial products and our other products currently in clinical trials. Our existing licensed manufacturing facilities operate under multiple licenses from the FDA, regulatory authorities in the EU and other regulatory authorities. For a discussion of risks related to our ability to meet our manufacturing needs for our commercial products and our other products currently in clinical trials, see the sections of “Item 1A — Risk Factors” entitled “Problems with manufacturing or with inventory planning could result in our inability to deliver products, inventory shortages or surpluses, product recalls and increased costs”, “We rely on third parties to provide services in connection with the manufacture of our products and, in some instances, the manufacture of the product itself,” and “If we fail to meet the stringent requirements of governmental regulation in the manufacture of our products, we could incur substantial remedial costs and a reduction in sales.”</w:t>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 manufacturing facilities and outside sources may be required to meet our long-term research, development and commercial production needs.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had approximately 4,300 employees.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list of our executive officers, their ages as of February 14, 2008 and their principal positions.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0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96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80" w:type="dxa"/>
            <w:vAlign w:val="bottom"/>
          </w:tcPr>
          <w:p>
            <w:pPr>
              <w:ind w:left="252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30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4980" w:type="dxa"/>
            <w:vAlign w:val="bottom"/>
          </w:tcPr>
          <w:p>
            <w:pPr>
              <w:spacing w:after="0"/>
              <w:rPr>
                <w:sz w:val="4"/>
                <w:szCs w:val="4"/>
                <w:color w:val="auto"/>
              </w:rPr>
            </w:pP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James C. Mullen</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and President</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Cecil B. Pickett, Ph.D.</w:t>
            </w:r>
          </w:p>
        </w:tc>
        <w:tc>
          <w:tcPr>
            <w:tcW w:w="1960" w:type="dxa"/>
            <w:vAlign w:val="bottom"/>
          </w:tcPr>
          <w:p>
            <w:pPr>
              <w:jc w:val="right"/>
              <w:ind w:right="136"/>
              <w:spacing w:after="0"/>
              <w:rPr>
                <w:sz w:val="20"/>
                <w:szCs w:val="20"/>
                <w:color w:val="auto"/>
              </w:rPr>
            </w:pPr>
            <w:r>
              <w:rPr>
                <w:rFonts w:ascii="Arial" w:cs="Arial" w:eastAsia="Arial" w:hAnsi="Arial"/>
                <w:sz w:val="13"/>
                <w:szCs w:val="13"/>
                <w:color w:val="auto"/>
              </w:rPr>
              <w:t>62</w:t>
            </w:r>
          </w:p>
        </w:tc>
        <w:tc>
          <w:tcPr>
            <w:tcW w:w="4980" w:type="dxa"/>
            <w:vAlign w:val="bottom"/>
          </w:tcPr>
          <w:p>
            <w:pPr>
              <w:ind w:left="100"/>
              <w:spacing w:after="0"/>
              <w:rPr>
                <w:sz w:val="20"/>
                <w:szCs w:val="20"/>
                <w:color w:val="auto"/>
              </w:rPr>
            </w:pPr>
            <w:r>
              <w:rPr>
                <w:rFonts w:ascii="Arial" w:cs="Arial" w:eastAsia="Arial" w:hAnsi="Arial"/>
                <w:sz w:val="13"/>
                <w:szCs w:val="13"/>
                <w:color w:val="auto"/>
              </w:rPr>
              <w:t>President, Research and Development</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Paul J. Clancy</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46</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Finance and Chief Financial Officer</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Susan H. Alexander, Esq.</w:t>
            </w:r>
          </w:p>
        </w:tc>
        <w:tc>
          <w:tcPr>
            <w:tcW w:w="1960" w:type="dxa"/>
            <w:vAlign w:val="bottom"/>
          </w:tcPr>
          <w:p>
            <w:pPr>
              <w:jc w:val="right"/>
              <w:ind w:right="136"/>
              <w:spacing w:after="0"/>
              <w:rPr>
                <w:sz w:val="20"/>
                <w:szCs w:val="20"/>
                <w:color w:val="auto"/>
              </w:rPr>
            </w:pPr>
            <w:r>
              <w:rPr>
                <w:rFonts w:ascii="Arial" w:cs="Arial" w:eastAsia="Arial" w:hAnsi="Arial"/>
                <w:sz w:val="13"/>
                <w:szCs w:val="13"/>
                <w:color w:val="auto"/>
              </w:rPr>
              <w:t>51</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General Counsel and Corporate Secretary</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John M. Dunn, Esq.</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55</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New Ventures</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Robert A. Hamm</w:t>
            </w:r>
          </w:p>
        </w:tc>
        <w:tc>
          <w:tcPr>
            <w:tcW w:w="1960" w:type="dxa"/>
            <w:vAlign w:val="bottom"/>
          </w:tcPr>
          <w:p>
            <w:pPr>
              <w:jc w:val="right"/>
              <w:ind w:right="136"/>
              <w:spacing w:after="0"/>
              <w:rPr>
                <w:sz w:val="20"/>
                <w:szCs w:val="20"/>
                <w:color w:val="auto"/>
              </w:rPr>
            </w:pPr>
            <w:r>
              <w:rPr>
                <w:rFonts w:ascii="Arial" w:cs="Arial" w:eastAsia="Arial" w:hAnsi="Arial"/>
                <w:sz w:val="13"/>
                <w:szCs w:val="13"/>
                <w:color w:val="auto"/>
              </w:rPr>
              <w:t>56</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Pharmaceutical Operations &amp; Technology</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Hans Peter Hasler</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52</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Global Neurology, Head of International</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Faheem Hasnain</w:t>
            </w:r>
          </w:p>
        </w:tc>
        <w:tc>
          <w:tcPr>
            <w:tcW w:w="1960" w:type="dxa"/>
            <w:vAlign w:val="bottom"/>
          </w:tcPr>
          <w:p>
            <w:pPr>
              <w:jc w:val="right"/>
              <w:ind w:right="136"/>
              <w:spacing w:after="0"/>
              <w:rPr>
                <w:sz w:val="20"/>
                <w:szCs w:val="20"/>
                <w:color w:val="auto"/>
              </w:rPr>
            </w:pPr>
            <w:r>
              <w:rPr>
                <w:rFonts w:ascii="Arial" w:cs="Arial" w:eastAsia="Arial" w:hAnsi="Arial"/>
                <w:sz w:val="13"/>
                <w:szCs w:val="13"/>
                <w:color w:val="auto"/>
              </w:rPr>
              <w:t>49</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Oncology/Rheumatology Strategic Business Unit</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Michael F. MacLean</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42</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Senior Vice President, Chief Accounting Officer and Controller</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Craig Eric Schneier, Ph.D.</w:t>
            </w:r>
          </w:p>
        </w:tc>
        <w:tc>
          <w:tcPr>
            <w:tcW w:w="1960" w:type="dxa"/>
            <w:vAlign w:val="bottom"/>
          </w:tcPr>
          <w:p>
            <w:pPr>
              <w:jc w:val="right"/>
              <w:ind w:right="136"/>
              <w:spacing w:after="0"/>
              <w:rPr>
                <w:sz w:val="20"/>
                <w:szCs w:val="20"/>
                <w:color w:val="auto"/>
              </w:rPr>
            </w:pPr>
            <w:r>
              <w:rPr>
                <w:rFonts w:ascii="Arial" w:cs="Arial" w:eastAsia="Arial" w:hAnsi="Arial"/>
                <w:sz w:val="13"/>
                <w:szCs w:val="13"/>
                <w:color w:val="auto"/>
              </w:rPr>
              <w:t>60</w:t>
            </w:r>
          </w:p>
        </w:tc>
        <w:tc>
          <w:tcPr>
            <w:tcW w:w="4980" w:type="dxa"/>
            <w:vAlign w:val="bottom"/>
          </w:tcPr>
          <w:p>
            <w:pPr>
              <w:ind w:left="100"/>
              <w:spacing w:after="0"/>
              <w:rPr>
                <w:sz w:val="20"/>
                <w:szCs w:val="20"/>
                <w:color w:val="auto"/>
              </w:rPr>
            </w:pPr>
            <w:r>
              <w:rPr>
                <w:rFonts w:ascii="Arial" w:cs="Arial" w:eastAsia="Arial" w:hAnsi="Arial"/>
                <w:sz w:val="13"/>
                <w:szCs w:val="13"/>
                <w:color w:val="auto"/>
              </w:rPr>
              <w:t>Executive Vice President, Human Resources, Public Affairs and Communications</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Mark C. Wiggins</w:t>
            </w:r>
          </w:p>
        </w:tc>
        <w:tc>
          <w:tcPr>
            <w:tcW w:w="1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52</w:t>
            </w:r>
          </w:p>
        </w:tc>
        <w:tc>
          <w:tcPr>
            <w:tcW w:w="4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Corporate and Business Development</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Reference to “our” or “us” in the following descriptions of the background of our executive officers include Biogen Idec and IDEC Pharmaceuticals Corporation.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James C. Mullen </w:t>
      </w:r>
      <w:r>
        <w:rPr>
          <w:rFonts w:ascii="Arial" w:cs="Arial" w:eastAsia="Arial" w:hAnsi="Arial"/>
          <w:sz w:val="13"/>
          <w:szCs w:val="13"/>
          <w:color w:val="auto"/>
        </w:rPr>
        <w:t>is our Chief Executive Officer and President and is a director, and has served in these positions since the merger of Biogen, Inc. and IDEC Pharmaceuticals</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or the merger, in November 2003. Mr. Mullen was formerly Chairman of the Board and Chief Executive Officer of Biogen, Inc. He was named Chairman of the Board of Directors of Biogen, Inc. in July 2002, after being named President and Chief Executive Officer of Biogen, Inc. in June 2000. Mr. Mullen joined Biogen, Inc. in 1989 as Director, Facilities and Engineering. He was named Biogen, Inc.’s Vice President, Operations, in 1992. From 1996 to 1999, Mr. Mullen served as Vice President, International, with responsibility for building all Biogen, Inc. operations outside North America. From 1984 to 1988, Mr. Mullen held various positions at SmithKline Beckman Corporation (now GlaxoSmithKline plc). Mr. Mullen is a member of the board of directors and executive committee of the Biotechnology Industry Organization, or BIO, and is a former chairman of the board of BIO. Mr. Mullen is also a director of PerkinElmer, Inc.</w:t>
      </w:r>
    </w:p>
    <w:p>
      <w:pPr>
        <w:spacing w:after="0" w:line="73"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Cecil B. Pickett Ph.D. </w:t>
      </w:r>
      <w:r>
        <w:rPr>
          <w:rFonts w:ascii="Arial" w:cs="Arial" w:eastAsia="Arial" w:hAnsi="Arial"/>
          <w:sz w:val="12"/>
          <w:szCs w:val="12"/>
          <w:color w:val="auto"/>
        </w:rPr>
        <w:t>is our President, Research and Development and has served in that position since September 2006 and has served as one of our directors since September 2006.</w:t>
      </w:r>
      <w:r>
        <w:rPr>
          <w:rFonts w:ascii="Arial" w:cs="Arial" w:eastAsia="Arial" w:hAnsi="Arial"/>
          <w:sz w:val="12"/>
          <w:szCs w:val="12"/>
          <w:i w:val="1"/>
          <w:iCs w:val="1"/>
          <w:color w:val="auto"/>
        </w:rPr>
        <w:t xml:space="preserve"> </w:t>
      </w:r>
      <w:r>
        <w:rPr>
          <w:rFonts w:ascii="Arial" w:cs="Arial" w:eastAsia="Arial" w:hAnsi="Arial"/>
          <w:sz w:val="12"/>
          <w:szCs w:val="12"/>
          <w:color w:val="auto"/>
        </w:rPr>
        <w:t>Prior to joining Biogen Idec, he was President, Schering-Plough Research Institute from March 2002 to September 2006, and before that he was Executive VP of Discovery Research at Schering-Plough Corporation from September 1993 to March 2002. Mr. Pickett is a member of the Institute of Medicine of the National Academy of Sciences.</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Paul J. Clancy </w:t>
      </w:r>
      <w:r>
        <w:rPr>
          <w:rFonts w:ascii="Arial" w:cs="Arial" w:eastAsia="Arial" w:hAnsi="Arial"/>
          <w:sz w:val="13"/>
          <w:szCs w:val="13"/>
          <w:color w:val="auto"/>
        </w:rPr>
        <w:t>is our Executive Vice President, Finance and Chief Financial Officer and has served in that position since August 2007. Mr. Clancy joined Biogen Idec in 2001, and</w:t>
      </w:r>
      <w:r>
        <w:rPr>
          <w:rFonts w:ascii="Arial" w:cs="Arial" w:eastAsia="Arial" w:hAnsi="Arial"/>
          <w:sz w:val="13"/>
          <w:szCs w:val="13"/>
          <w:i w:val="1"/>
          <w:iCs w:val="1"/>
          <w:color w:val="auto"/>
        </w:rPr>
        <w:t xml:space="preserve"> </w:t>
      </w:r>
      <w:r>
        <w:rPr>
          <w:rFonts w:ascii="Arial" w:cs="Arial" w:eastAsia="Arial" w:hAnsi="Arial"/>
          <w:sz w:val="13"/>
          <w:szCs w:val="13"/>
          <w:color w:val="auto"/>
        </w:rPr>
        <w:t>has held several senior executive positions, including Vice President of Business Planning, Portfolio Management and U.S. Marketing, and Senior Vice President of Finance with responsibilities for leading the Treasury, Tax, Investor Relations and Business Planning groups. Prior to joining Biogen Idec, he spent 13 years at PepsiCo, serving in a range of financial and general management positions.</w:t>
      </w:r>
    </w:p>
    <w:p>
      <w:pPr>
        <w:spacing w:after="0" w:line="7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i w:val="1"/>
          <w:iCs w:val="1"/>
          <w:color w:val="auto"/>
        </w:rPr>
        <w:t xml:space="preserve">Susan H. Alexander </w:t>
      </w:r>
      <w:r>
        <w:rPr>
          <w:rFonts w:ascii="Arial" w:cs="Arial" w:eastAsia="Arial" w:hAnsi="Arial"/>
          <w:sz w:val="12"/>
          <w:szCs w:val="12"/>
          <w:color w:val="auto"/>
        </w:rPr>
        <w:t>is our Executive Vice President, General Counsel and Corporate Secretary and has served in these positions since January 2006. Prior to that, Ms. Alexander</w:t>
      </w:r>
      <w:r>
        <w:rPr>
          <w:rFonts w:ascii="Arial" w:cs="Arial" w:eastAsia="Arial" w:hAnsi="Arial"/>
          <w:sz w:val="12"/>
          <w:szCs w:val="12"/>
          <w:i w:val="1"/>
          <w:iCs w:val="1"/>
          <w:color w:val="auto"/>
        </w:rPr>
        <w:t xml:space="preserve"> </w:t>
      </w:r>
      <w:r>
        <w:rPr>
          <w:rFonts w:ascii="Arial" w:cs="Arial" w:eastAsia="Arial" w:hAnsi="Arial"/>
          <w:sz w:val="12"/>
          <w:szCs w:val="12"/>
          <w:color w:val="auto"/>
        </w:rPr>
        <w:t>served as the Senior Vice President, General Counsel and Corporate Secretary of PAREXEL International Corporation, since September 2003. From June 2001</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to September 2003, Ms. Alexander served as General Counsel of IONA Technologies. Prior to that, Ms. Alexander served as Counsel at Cabot Corporation from January 1995 to May 2001.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Prior to that, Ms. Alexander was a partner of the law firms of Hinckley, Allen &amp; Snyder and Fine &amp; Ambrogne.</w:t>
      </w:r>
    </w:p>
    <w:p>
      <w:pPr>
        <w:spacing w:after="0" w:line="8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John M. Dunn </w:t>
      </w:r>
      <w:r>
        <w:rPr>
          <w:rFonts w:ascii="Arial" w:cs="Arial" w:eastAsia="Arial" w:hAnsi="Arial"/>
          <w:sz w:val="13"/>
          <w:szCs w:val="13"/>
          <w:color w:val="auto"/>
        </w:rPr>
        <w:t>is our Executive Vice President, New Ventures and has served in that position since the merger in November 2003. Mr. Dunn was our Senior Vice President, Legal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General Counsel from January 2002 to November 2003. Prior to that, he was a partner at the law firm of Pillsbury Winthrop LLP specializing in corporate and business representation of public and private companies.</w:t>
      </w:r>
    </w:p>
    <w:p>
      <w:pPr>
        <w:spacing w:after="0" w:line="67"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i w:val="1"/>
          <w:iCs w:val="1"/>
          <w:color w:val="auto"/>
        </w:rPr>
        <w:t xml:space="preserve">Robert A. Hamm </w:t>
      </w:r>
      <w:r>
        <w:rPr>
          <w:rFonts w:ascii="Arial" w:cs="Arial" w:eastAsia="Arial" w:hAnsi="Arial"/>
          <w:sz w:val="12"/>
          <w:szCs w:val="12"/>
          <w:color w:val="auto"/>
        </w:rPr>
        <w:t>is our Executive Vice President, Pharmaceutical Operations &amp; Technology, and has served in that position since October 2007. Previously, Mr. Hamm served as</w:t>
      </w:r>
      <w:r>
        <w:rPr>
          <w:rFonts w:ascii="Arial" w:cs="Arial" w:eastAsia="Arial" w:hAnsi="Arial"/>
          <w:sz w:val="12"/>
          <w:szCs w:val="12"/>
          <w:i w:val="1"/>
          <w:iCs w:val="1"/>
          <w:color w:val="auto"/>
        </w:rPr>
        <w:t xml:space="preserve"> </w:t>
      </w:r>
      <w:r>
        <w:rPr>
          <w:rFonts w:ascii="Arial" w:cs="Arial" w:eastAsia="Arial" w:hAnsi="Arial"/>
          <w:sz w:val="12"/>
          <w:szCs w:val="12"/>
          <w:color w:val="auto"/>
        </w:rPr>
        <w:t>Senior Vice President, Neurology Strategic Business Unit from January 2006 to October 2007; Senior Vice President, Immunology Business Unit from the merger in November 2003 until January 2006; and in the same capacity with Biogen, Inc. from November 2002 to November 2003. Before that, he served as Senior Vice President — Europe, Africa, Canada and Middle East from October 2001 to November 2002. Prior to that, Mr. Hamm served as Vice President — Sales and Marketing of Biogen, Inc. from October 2000 to October 2001. Mr. Hamm previously served as Vice President — Manufacturing from June 1999 to October 2000, Director, Northern Europe and Distributors from November 1996 until June 1999 and Associate Director, Logistics from April 1994 until November 1996. From 1987 until April 1994, Mr. Hamm held a variety of management positions at Syntex Laboratories Corporation, including Director of Operations and New Product Planning, and Manager of Materials, Logistics and Contract Manufacturing. Mr. Hamm is a director of Inhibitex, Inc.</w:t>
      </w:r>
    </w:p>
    <w:p>
      <w:pPr>
        <w:spacing w:after="0" w:line="5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Hans Peter Hasler </w:t>
      </w:r>
      <w:r>
        <w:rPr>
          <w:rFonts w:ascii="Arial" w:cs="Arial" w:eastAsia="Arial" w:hAnsi="Arial"/>
          <w:sz w:val="13"/>
          <w:szCs w:val="13"/>
          <w:color w:val="auto"/>
        </w:rPr>
        <w:t>has served as our Executive Vice President, Global Neurology, Head of International since October 2007 and has managed our international business since the</w:t>
      </w:r>
      <w:r>
        <w:rPr>
          <w:rFonts w:ascii="Arial" w:cs="Arial" w:eastAsia="Arial" w:hAnsi="Arial"/>
          <w:sz w:val="13"/>
          <w:szCs w:val="13"/>
          <w:i w:val="1"/>
          <w:iCs w:val="1"/>
          <w:color w:val="auto"/>
        </w:rPr>
        <w:t xml:space="preserve"> </w:t>
      </w:r>
      <w:r>
        <w:rPr>
          <w:rFonts w:ascii="Arial" w:cs="Arial" w:eastAsia="Arial" w:hAnsi="Arial"/>
          <w:sz w:val="13"/>
          <w:szCs w:val="13"/>
          <w:color w:val="auto"/>
        </w:rPr>
        <w:t>merger. He previously served as Senior Vice President, Head of International from November 2003 to October 2007. He served as Executive Vice President — International of Biogen, Inc. from July 2003 until the merger, and joined Biogen, Inc as Executive Vice President — Commercial Operations in August 2001. Mr. Hasler joined Biogen, Inc. from Wyeth-Ayerst Pharmaceuticals, Inc., an affiliate of American Home Products, Inc. (AHP), where he served as Senior Vice President, Head of Global Strategic Marketing from 1998 to 2001. Mr. Hasler was a member of the Wyeth/AHP Executive Committee and was chairman of the Commercial Council. From 1993 to 1998, Mr. Hasler served in a variety of senior management capacities for Wyeth-Ayerst Pharmaceuticals, including Managing Director of Wyeth Group, Germany, and General Manager of AHP/Wyeth in Switzerland and Central Eastern Europe. Prior to joining Wyeth-Ayerst Pharmaceuticals, Mr. Hasler served as the Head of Pharma Division at Abbott AG. Mr. Hasler is a member of the Board of Directors of Orexo AB and Santhera Pharmaceuticals.</w:t>
      </w:r>
    </w:p>
    <w:p>
      <w:pPr>
        <w:spacing w:after="0" w:line="7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Faheem Hasnain </w:t>
      </w:r>
      <w:r>
        <w:rPr>
          <w:rFonts w:ascii="Arial" w:cs="Arial" w:eastAsia="Arial" w:hAnsi="Arial"/>
          <w:sz w:val="12"/>
          <w:szCs w:val="12"/>
          <w:color w:val="auto"/>
        </w:rPr>
        <w:t>has served as our Executive Vice President, Oncology/Rheumatology Strategic Business Unit since October 2007. Prior to that, Mr. Hasnain served as Senior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Oncology Rheumatology Strategic Business Unit from February 2007 to October 2007 and as Senior Vice President, Oncology Strategic Business Unit from October 2004 to February 2007. Prior to that, Mr. Hasnain served as President, Oncology Therapeutics Network at Bristol-Myers Squibb from March 2002 to September 2004. From January 2001 to February 2002, Mr. Hasnain served as Vice President, Global eBusiness at GlaxoSmithKline and prior to 2000 served in key commercial and entrepreneurial roles within GlaxoSmithKline and its predecessor organizations, spanning global eBusiness, international commercial operations, sales and marketing.</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Michael F. MacLean </w:t>
      </w:r>
      <w:r>
        <w:rPr>
          <w:rFonts w:ascii="Arial" w:cs="Arial" w:eastAsia="Arial" w:hAnsi="Arial"/>
          <w:sz w:val="13"/>
          <w:szCs w:val="13"/>
          <w:color w:val="auto"/>
        </w:rPr>
        <w:t>is our Senior Vice President, Chief Accounting Officer and Controller and has served in that position since December 2006. Mr. MacLean joined us in October</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Senior Vice President. Prior to joining us, Mr. MacLean was a managing director of Huron Consulting, where he provided support regarding financial reporting to management and boards of directors of Fortune 500 companies. From June 2002 to October 2005, Mr. MacLean was a partner at KPMG and he was a partner of Arthur Andersen LLP from September 1999 to May 2002.</w:t>
      </w:r>
    </w:p>
    <w:p>
      <w:pPr>
        <w:spacing w:after="0" w:line="7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Craig Eric Schneier, Ph.D. </w:t>
      </w:r>
      <w:r>
        <w:rPr>
          <w:rFonts w:ascii="Arial" w:cs="Arial" w:eastAsia="Arial" w:hAnsi="Arial"/>
          <w:sz w:val="12"/>
          <w:szCs w:val="12"/>
          <w:color w:val="auto"/>
        </w:rPr>
        <w:t>is our Executive Vice President, Human Resources, Public Affairs and Communications and has served in that position since October 2007. Prior to that</w:t>
      </w:r>
      <w:r>
        <w:rPr>
          <w:rFonts w:ascii="Arial" w:cs="Arial" w:eastAsia="Arial" w:hAnsi="Arial"/>
          <w:sz w:val="12"/>
          <w:szCs w:val="12"/>
          <w:i w:val="1"/>
          <w:iCs w:val="1"/>
          <w:color w:val="auto"/>
        </w:rPr>
        <w:t xml:space="preserve"> </w:t>
      </w:r>
      <w:r>
        <w:rPr>
          <w:rFonts w:ascii="Arial" w:cs="Arial" w:eastAsia="Arial" w:hAnsi="Arial"/>
          <w:sz w:val="12"/>
          <w:szCs w:val="12"/>
          <w:color w:val="auto"/>
        </w:rPr>
        <w:t>he was Executive Vice President, Human Resources from November 2003 to October 2007. Dr. Schneier served as Executive Vice President, Human Resources of Biogen, Inc., a position he held from January 2003 until the merger. He joined Biogen, Inc. in 2001 as Senior Vice President, Strategic Organization Design and Effectiveness, after having served as an external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80"/>
        <w:spacing w:after="0" w:line="296" w:lineRule="auto"/>
        <w:rPr>
          <w:sz w:val="20"/>
          <w:szCs w:val="20"/>
          <w:color w:val="auto"/>
        </w:rPr>
      </w:pPr>
      <w:r>
        <w:rPr>
          <w:rFonts w:ascii="Arial" w:cs="Arial" w:eastAsia="Arial" w:hAnsi="Arial"/>
          <w:sz w:val="12"/>
          <w:szCs w:val="12"/>
          <w:color w:val="auto"/>
        </w:rPr>
        <w:t>consultant to us for eight years. Prior to joining Biogen, Inc., Dr. Schneier was president of his own management consulting firm in Princeton, NJ, where he provided consulting services to over 70 of the Fortune 100 companies, as well as several of the largest European and Asian firms. Dr. Schneier held a tenured professorship at the University of Maryland’s Smith School of Business and has held teaching positions at the business schools of the University of Michigan, Columbia University, and at the Tuck School of Business, Dartmouth College.</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Mark C. Wiggins </w:t>
      </w:r>
      <w:r>
        <w:rPr>
          <w:rFonts w:ascii="Arial" w:cs="Arial" w:eastAsia="Arial" w:hAnsi="Arial"/>
          <w:sz w:val="12"/>
          <w:szCs w:val="12"/>
          <w:color w:val="auto"/>
        </w:rPr>
        <w:t>is our Executive Vice President, Corporate and Business Development and has served in that capacity since July 2004. Prior to that, Mr. Wiggins served as our</w:t>
      </w:r>
      <w:r>
        <w:rPr>
          <w:rFonts w:ascii="Arial" w:cs="Arial" w:eastAsia="Arial" w:hAnsi="Arial"/>
          <w:sz w:val="12"/>
          <w:szCs w:val="12"/>
          <w:i w:val="1"/>
          <w:iCs w:val="1"/>
          <w:color w:val="auto"/>
        </w:rPr>
        <w:t xml:space="preserve"> </w:t>
      </w:r>
      <w:r>
        <w:rPr>
          <w:rFonts w:ascii="Arial" w:cs="Arial" w:eastAsia="Arial" w:hAnsi="Arial"/>
          <w:sz w:val="12"/>
          <w:szCs w:val="12"/>
          <w:color w:val="auto"/>
        </w:rPr>
        <w:t>Senior Vice President, Business Development from November 2003 to July 2004, Vice President of Marketing and Business Development from November 2000 to November 2003, and Vice President of Business Development from May 1998 to November 2000. From 1996 to 1998, he was Vice President of Business Development and Marketing for Hybridon. From 1986 to 1996 he held various positions of increasing responsibility at Schering-Plough Corporation, including Director of Business Development.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substantially dependent on revenues from our two principal products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current and future revenues depend substantially upon continued sales of our two principal products, AVONEX and RITUXAN, which represented approximately 88% of our total revenues in 2007. Any significant negative developments relating to these two products, such as safety or efficacy issues, the introduction or greater acceptance of competing products (including greater than anticipated substitution of TYSABRI for AVONEX) or adverse regulatory or legislative developments, would have a material adverse effect on our results of operations. Although we have developed and continue to develop additional products for commercial introduction, we expect to be substantially dependent on sales from these two products for many years. A decline in sales from either of these two products would adversely affect our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near-term success depends on the market acceptance and successful sales growth of TYSABRI</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 substantial portion of our growth in the near-term is dependent on anticipated sales of TYSABRI. TYSABRI is expected to diversify our product offerings and revenues, and to drive additional revenue growth over the next several years. If we are not successful in growing sales of TYSABRI, that would result in a significant reduction in diversification and expected revenues, and adversely affect our business.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Achievement of anticipated sales growth of TYSABRI will depend upon its acceptance by the medical community and patients, which cannot be certain given the significant restrictions on use and the significant safety warnings in the label. Additional cases of the known side effect PML at a higher rate than indicated in the prescribing information, or the occurrence of other unexpected side effects could harm acceptance and limit TYSABRI sales. Any significant lack of acceptance of TYSABRI by the medical community or patients would materially and adversely affect our growth and our plans for the future.</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a relatively new entrant to a maturing MS market, TYSABRI sales may be more sensitive to additional new competing products. A number of such products are expected to be approved for use in MS in the coming years. If these products have a similar or more attractive overall profile in terms of efficacy, convenience and safety, future sales of TYSABRI could be limited.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could be negatively affected as a result of a threatened proxy fight and other actions of activist shareholders</w:t>
      </w:r>
    </w:p>
    <w:p>
      <w:pPr>
        <w:spacing w:after="0" w:line="96"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We recently received a notice from Icahn Partners and certain of its affiliates nominating three individuals for election to our Board of Directors at the 2008 annual meeting and proposing to amend our bylaws to set the number of directors at twelve. If a proxy contest results from this notice, our business could be adversely affected because:</w:t>
      </w:r>
    </w:p>
    <w:p>
      <w:pPr>
        <w:spacing w:after="0" w:line="35" w:lineRule="exact"/>
        <w:rPr>
          <w:sz w:val="20"/>
          <w:szCs w:val="20"/>
          <w:color w:val="auto"/>
        </w:rPr>
      </w:pPr>
    </w:p>
    <w:p>
      <w:pPr>
        <w:ind w:left="1280" w:right="16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Responding to proxy contests and other actions by activist shareholders can be costly and time-consuming, disrupting our operations and diverting the attention of management and our employees;</w:t>
      </w:r>
    </w:p>
    <w:p>
      <w:pPr>
        <w:spacing w:after="0" w:line="49"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Perceived uncertainties as to our future direction may result in the loss of potential acquisitions, collaborations or in-licensing opportunities, and may make it more difficult to retain business partners;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If individuals are elected to our board of directors with a specific agenda, it may adversely affect our ability to effectively and timely implement our strategic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actions could cause our stock price to experience periods of volatility.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long-term success depends upon the successful development and commercialization of other products from our research and development activities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long-term viability and growth will depend upon the successful development and commercialization of other products from our research and development activities. Product development and commercialization are very expensive and involve a high degree of risk. Only a small number of research and development programs result in the commercialization of a product. Success in early stage clinical trials or preclinical work does not ensure that later stage or larger scale clinical trials will be successful. Even if later stage clinical trials are successful, the risk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remains that unexpected concerns may arise from additional data or analysis or that obstacles may arise or issues may be identified in connection with review of clinical data with regulatory authorities or that regulatory authorities may disagree with our view of the data or require additional data or information or additional studies.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Conducting clinical trials is a complex, time-consuming and expensive process. Our ability to complete our clinical trials in a timely fashion depends in large part on a number of key factors including protocol design, regulatory and institutional review board approval, the rate of patient enrollment in clinical trials, and compliance with extensive current good clinical practice requirements. We have recently opened clinical sites and are enrolling patients in a number of new countries where our experience is more limited, and we are in many cases using the services of third-party contract clinical trial providers. If we fail to adequately manage the design, execution and regulatory aspects of our large, complex and diverse clinical trials, our studies and ultimately our regulatory approvals may be delayed or we may fail to gain approval for our product candidates altogether.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safety events can negatively affect our assets, product sales, operations and products in development</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Even after we receive marketing approval for a product, adverse event reports may have a negative impact on our commercialization efforts. Our voluntary withdrawal of TYSABRI from the market in February 2005 following reports of cases of PML resulted in a significant reduction in expected revenues as well as significant expense and management time required to address the legal and regulatory issues arising from the withdrawal, including revised labeling and enhanced risk management programs. Later discovery of safety issues with our products that were not known at the time of their approval by the FDA could cause product liability events, additional regulatory scrutiny and requirements for additional labeling, withdrawal of products from the market and the imposition of fines or criminal penalties. Any of these actions could result in, among other things, material write-offs of inventory and impairments of intangible assets, goodwill and fixed assets.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effectively, our business and market position would suffer</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greater financial and other resources and other technological or competitive advantages. We cannot be certain that one or more of our competitors will not receive patent protection that dominates, blocks or adversely affects our product development or business, will not benefit from significantly greater sales and marketing capabilities, or will not develop products that are accepted more widely than ours. The introduction of alternatives to our products that offer advantages in efficacy, safety or ease of use could negatively affect our revenues and reduce the value of our product development efforts. In addition, potential governmental action in the future could provide a means for competition from developers of follow-on biologics, which could compete on price and differentiation with products that we now or could in the future market.</w:t>
      </w:r>
    </w:p>
    <w:p>
      <w:pPr>
        <w:spacing w:after="0" w:line="5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addition to competing directly with products that are marketed by substantial pharmaceutical competitors, AVONEX, RITUXAN and TYSABRI also face competition from off-label uses of drugs approved for other indications. Some of our current competitors are also working to develop alternative formulations for delivery of their products, which may in the future compete with ours.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We depend on collaborators for both product and royalty revenue and the clinical development of future collaboration products, which are outside of our full control</w:t>
      </w:r>
    </w:p>
    <w:p>
      <w:pPr>
        <w:spacing w:after="0" w:line="7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Collaborations between companies on products or programs are a common business practice in the biotechnology industry. Out-licensing typically allows a partner to collect up front payments and future milestone payments, share the costs of clinical development and risk of failure at various points, and access sales and marketing infrastructure and expertise in exchange for certain financial rights to the product or program going to the in-licensing partner. In addition, the obligation of in-licensees to pay royalties or share profits generally terminates upon expiration of the related patents. We have a number of collaborators and partners, and have both in-licensed and out-licensed several products and programs. These collaborations include several risks:</w:t>
      </w:r>
    </w:p>
    <w:p>
      <w:pPr>
        <w:spacing w:after="0" w:line="42" w:lineRule="exact"/>
        <w:rPr>
          <w:sz w:val="20"/>
          <w:szCs w:val="20"/>
          <w:color w:val="auto"/>
        </w:rPr>
      </w:pPr>
    </w:p>
    <w:p>
      <w:pPr>
        <w:ind w:left="1280" w:hanging="190"/>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are not fully in control of the royalty or profit sharing revenues we receive from collaborators, and we cannot be certain of the timing or potential impact of factors including patent expirations, pricing or health care reforms, other legal and regulatory developments, failure of our partners to comply with applicable laws and regulatory requirements, the introduction of competitive products, and new indication approvals which may affect the sales of collaboration products;</w:t>
      </w:r>
    </w:p>
    <w:p>
      <w:pPr>
        <w:spacing w:after="0" w:line="27"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where we copromote and co-market products with our collaboration partners, any failure on their part to comply with applicable laws in the sale and marketing of our products could have an adverse effect on our revenues as well as involve us in possible legal proceedings; and</w:t>
      </w:r>
    </w:p>
    <w:p>
      <w:pPr>
        <w:spacing w:after="0" w:line="1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collaborations often require the parties to cooperate, and failure to do so effectively could have an impact on product sales by our collaborators and partners, as well as an impact on the clinical development of shared products or programs under joint control.</w:t>
      </w:r>
    </w:p>
    <w:p>
      <w:pPr>
        <w:spacing w:after="0" w:line="3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addition, the successful development and commercialization of new anti-CD20 product candidates in our collaboration with Genentech (which also includes RITUXAN) will decrease our participation in the operating profits from the collaboration (including as to RITUXAN).</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depend, to a significant extent, on reimbursement from third party payors and a reduction in the extent of reimbursement could negatively affect our product sales and revenue</w:t>
      </w:r>
    </w:p>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Sales of our products are dependent, in large part, on the availability and extent of reimbursement from government health administration authorities, private health insurers and other organizations. U.S. and foreign government regulations mandating price controls and limitations on patient access to our products impact our business and our future results could be adversely affected by changes in such regulations.</w:t>
      </w:r>
    </w:p>
    <w:p>
      <w:pPr>
        <w:spacing w:after="0" w:line="47"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In the U.S., at both the federal and state levels, the government regularly proposes legislation to reform healthcare and its cost, any of which may impact our ability to successfully commercialize our products. In the last few years, there have been a number of legislative changes that have affected the reimbursement for our products, including, but not limited to, the Medicare Prescription Drug Improvement and Modernization Act of 2003 and most recently, the Deficit Reduction Act of 2005. The Deficit Reduction Act made significant changes to the Medicaid prescription drug provisions of the Social Security Act, including changes that impose the monthly reporting of price information and that may have an impact on the Medicaid rebates we pay. In addition, states may more aggressively seek Medicaid rebates as a result of legislation enacted in 2006, which rebate activity could adversely affect our results of operations.</w:t>
      </w:r>
    </w:p>
    <w:p>
      <w:pPr>
        <w:spacing w:after="0" w:line="42"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color w:val="auto"/>
        </w:rPr>
        <w:t>Pricing pressures in the U.S. may increase as a result of the Medicare Prescription Drug Improvement and Modernization Act of 2003. Managed care organizations as well as Medicaid and other government health administration authorities continue to seek price discounts. Government efforts to reduce Medicaid expenses may continue to increase the use of managed care organizations. This may result in managed care organizations influencing prescription decisions for a larger segment of the population and a corresponding constraint on prices and reimbursement for our products. In addition, some states have implemented and other states are considering price controls or patient-access constraints under the Medicaid program and some states are considering price-control regimes that would apply to broader segments of their populations that are not Medicaid eligible. Other matters also could be the subject of</w:t>
      </w:r>
    </w:p>
    <w:p>
      <w:pPr>
        <w:spacing w:after="0" w:line="1"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U.S. federal or state legislative or regulatory action that could adversely affect our business, including the importation of prescription drugs that are marketed outside the U.S. and sold at lower prices as a result of drug price limitations imposed by the governments of various foreign countries.</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encounter similar regulatory and legislative issues in most other countries. In the EU and some other international markets, the government provides health care at low cost to consumers and regulates pharmaceutical prices, patient eligibility or reimbursement levels to control costs for the government-sponsored health care system. This international patchwork of price regulations may lead to inconsistent prices. Within the EU and other countries, some third party trade in our products occurs from markets with lower prices thereby undermining our sales in some markets with higher prices. Additionally, certain countries reference the prices in other countries where our products are marketed. Thus, inability to secure adequate prices in a particular country may also impair our ability to obtain acceptable prices in existing and potential new markets. This may create the opportunity for the third party cross border trade previously mentioned or our decision not to sell the product thus affecting our geographic expansion plans.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13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If we do not successfully execute our strategy of growth through the acquisition, partnering and in-licensing of products, technologies or companies, our future performance could be adversely affected</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addition to the expansion of our pipeline through spending on internal development projects, we plan to grow through external growth opportunities, which include the acquisition, partnering and in-licensing of products, technologies and companies or the entry into strategic alliances and collaborations. If we are unable to complete or manage these external growth opportunities successfully, we will not be able to grow our business in the way that we currently expect. The availability of high quality opportunities is limited and we are not certain that we will be able to identify suitable candidates or complete transactions on terms that are acceptable to us. In addition, even if we are able to successfully identify and complete acquisitions, we may not be able to integrate them or take full advantage of them and therefore may not realize the benefits that we expect. If we are unsuccessful in our external growth program, we may not be able to grow our business significantly and we may incur asset impairment charges as a result of acquisitions that are not successful.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is subject to extensive governmental regulation and oversight and changes in laws could adversely affect our revenues and profitability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business is in a highly regulated industry. As a result, governmental actions may adversely affect our business, operations or financial condition, including:</w:t>
      </w:r>
    </w:p>
    <w:p>
      <w:pPr>
        <w:spacing w:after="0" w:line="96" w:lineRule="exact"/>
        <w:rPr>
          <w:sz w:val="20"/>
          <w:szCs w:val="20"/>
          <w:color w:val="auto"/>
        </w:rPr>
      </w:pPr>
    </w:p>
    <w:p>
      <w:pPr>
        <w:ind w:left="1280" w:right="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new laws, regulations or judicial decisions, or new interpretations of existing laws, regulations or decisions, related to health care availability, method of delivery and payment for health care products and services;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FDA and foreign regulatory approval processes that may delay or prevent the approval of new products and result in lost market opportunity;</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FDA and foreign regulations that may require additional safety monitoring after the introduction of our products to market, which could increase our costs of doing business and adversely affect the future permitted uses of approved products;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new laws, regulations and judicial decisions affecting pricing or marketing;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tax laws relating to our operations.</w:t>
      </w:r>
    </w:p>
    <w:p>
      <w:pPr>
        <w:spacing w:after="0" w:line="96" w:lineRule="exact"/>
        <w:rPr>
          <w:sz w:val="20"/>
          <w:szCs w:val="20"/>
          <w:color w:val="auto"/>
        </w:rPr>
      </w:pPr>
    </w:p>
    <w:p>
      <w:pPr>
        <w:jc w:val="both"/>
        <w:ind w:left="680" w:right="160" w:firstLine="399"/>
        <w:spacing w:after="0" w:line="289" w:lineRule="auto"/>
        <w:rPr>
          <w:sz w:val="20"/>
          <w:szCs w:val="20"/>
          <w:color w:val="auto"/>
        </w:rPr>
      </w:pPr>
      <w:r>
        <w:rPr>
          <w:rFonts w:ascii="Arial" w:cs="Arial" w:eastAsia="Arial" w:hAnsi="Arial"/>
          <w:sz w:val="12"/>
          <w:szCs w:val="12"/>
          <w:color w:val="auto"/>
        </w:rPr>
        <w:t>The enactment in the U.S. of the Medicare Prescription Drug Improvement and Modernization Act of 2003, possible legislation which could ease the entry of competing follow-on biologics in the marketplace, and importation of lower-cost competing drugs from other jurisdictions are examples of changes and possible changes in laws that could adversely affect our business. In addition, the Food and Drug Administration Amendments Act of 2007 included new authorization for the FDA to require post-market safety monitoring, along with a clinical trials registry, and expanded authority for FDA to impose civil monetary penalties on companies that fail to meet certain commitments.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comply with the extensive legal and regulatory requirements affecting the healthcare industry, we could face increased costs, penalties and a loss of business</w:t>
      </w:r>
    </w:p>
    <w:p>
      <w:pPr>
        <w:spacing w:after="0" w:line="108"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Our activities, including the sale and marketing of our products, are subject to extensive government regulation and oversight both in the U.S. and in foreign jurisdictions. Pharmaceutical and biotechnology companies have been the target of lawsuits and investigations alleging violations of government regulation, including claims asserting submission of incorrect pricing information, impermissible off-label promotion of pharmaceutical products, causing false claims to be submitted for government reimbursement as well as antitrust violations, or other violations related to environmental matters. Violations of governmental regulation may be punishable by criminal and civil sanctions, including fines and civil monetary penalties and exclusion from participation in government programs.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7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federal Medicare/Medicaid anti-kickback law prohibits payments intended to induce any entity either to purchase, order, or arrange for or recommend the purchase of healthcare products or services paid for under federal health care programs. There are similar laws in a number of states. These laws constrain the sales, marketing and other promotional activities of manufacturers of drugs and biologics, such as us, by limiting the kinds of financial arrangements, including sales programs, with hospitals, physicians, and other potential purchasers of drugs and biologics. Other federal and state laws generally prohibit individuals or entities from knowingly presenting, or causing to be presented, claims for payment from federal health care programs, including Medicare, Medicaid, or other third party payors that are false or fraudulent, or are for items or services that were not provided as claimed. Anti-kickback and false claims laws prescribe civil and criminal penalties for noncompliance that can be substantial, including the possibility of exclusion from federal healthcare programs (including Medicare and Medicaid).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Problems with manufacturing or with inventory planning could result in our inability to deliver products, inventory shortages or surpluses, product recalls and increased costs</w:t>
      </w:r>
    </w:p>
    <w:p>
      <w:pPr>
        <w:spacing w:after="0" w:line="11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manufacture and expect to continue to manufacture our own commercial requirements of bulk AVONEX and TYSABRI. Our products are difficult to manufacture and problems in our manufacturing processes can occur. Our inability to successfully manufacture bulk product and to obtain and maintain regulatory approvals of our manufacturing facilities would harm our ability to produce timely sufficient quantities of commercial supplies of AVONEX and TYSABRI to meet demand. Problems with manufacturing processes could result in product defects or manufacturing failures that could require us to delay shipment of products or recall or withdraw products previously shipped, which could result in inventory write-offs and impair our ability to expand into new markets or supply products in existing markets. In the past, we have had to write down and incur other charges and expenses for products that failed to meet specifications. Similar charges may occur in the future. In addition, lower than expected demand for our products, including suspension of sales, or a change in product mix may result in less than optimal utilization of our manufacturing facilities and lower inventory turnover, which could result in abnormal manufacturing variance charges, facility impairment charges and charges for excess and obsolete inventory.</w:t>
      </w:r>
    </w:p>
    <w:p>
      <w:pPr>
        <w:spacing w:after="0" w:line="76" w:lineRule="exact"/>
        <w:rPr>
          <w:sz w:val="20"/>
          <w:szCs w:val="20"/>
          <w:color w:val="auto"/>
        </w:rPr>
      </w:pPr>
    </w:p>
    <w:p>
      <w:pPr>
        <w:jc w:val="both"/>
        <w:ind w:left="680" w:right="240" w:firstLine="399"/>
        <w:spacing w:after="0" w:line="289" w:lineRule="auto"/>
        <w:rPr>
          <w:sz w:val="20"/>
          <w:szCs w:val="20"/>
          <w:color w:val="auto"/>
        </w:rPr>
      </w:pPr>
      <w:r>
        <w:rPr>
          <w:rFonts w:ascii="Arial" w:cs="Arial" w:eastAsia="Arial" w:hAnsi="Arial"/>
          <w:sz w:val="12"/>
          <w:szCs w:val="12"/>
          <w:color w:val="auto"/>
        </w:rPr>
        <w:t>We rely solely on our manufacturing facility in Research Triangle Park, North Carolina, or RTP, for the production of TYSABRI. We plan on applying to the FDA and EMEA for approval of a production process, known as a second generation high-titer process, which yields much higher concentrations of TYSABRI than the process we currently use. If we do not obtain approval for that process, to meet anticipated demand for TYSABRI, we would need to increase our capital spending to add capacity at our RTP manufacturing facility and at the Hillerod, Denmark facility we are completing. Such an increase in capital spending would affect our business, cash position and results of operations.</w:t>
      </w:r>
    </w:p>
    <w:p>
      <w:pPr>
        <w:spacing w:after="0" w:line="53"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If we cannot produce sufficient commercial requirements of bulk product to meet demand, we would need to rely on third party contract manufacturers, of which there are only a limited number capable of manufacturing bulk products of the type we require. We cannot be certain that we could reach agreement on reasonable terms, if at all,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89" w:lineRule="auto"/>
        <w:rPr>
          <w:sz w:val="20"/>
          <w:szCs w:val="20"/>
          <w:color w:val="auto"/>
        </w:rPr>
      </w:pPr>
      <w:r>
        <w:rPr>
          <w:rFonts w:ascii="Arial" w:cs="Arial" w:eastAsia="Arial" w:hAnsi="Arial"/>
          <w:sz w:val="12"/>
          <w:szCs w:val="12"/>
          <w:color w:val="auto"/>
        </w:rPr>
        <w:t>with those manufacturers. Even if we were to reach agreement, the transition of the manufacturing process to a third party to enable commercial supplies could take a significant amount of time. Our ability to supply products in sufficient capacity to meet demand is also dependent upon third party contractors to fill-finish, package and store such products. Any prolonged interruption in the operations of our existing manufacturing facilities could result in cancellations of shipments or loss of product in the process of being manufactured. Because our manufacturing processes are highly complex and are subject to a lengthy FDA approval process, alternative qualified production capacity may not be available on a timely basis or at all.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parties to provide services in connection with the manufacture of our products and, in some instances, the manufacture of the product itself</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We rely on Genentech for all RITUXAN manufacturing. Genentech relies on a third party to manufacture certain bulk RITUXAN requirements. If Genentech or any third party upon which it relies does not manufacture or fill-finish RITUXAN in sufficient quantities and on a timely and cost-effective basis, or if Genentech or any third party does not obtain and maintain all required manufacturing approvals, our business could be harmed.</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also source all of our fill-finish and the majority of our final product storage operations, along with a substantial portion of our packaging operations of the components used with our products, to a concentrated group of third party contractors. The manufacture of products and product components, fill-finish, packaging and storage of our products require successful coordination among us and multiple third party providers. Our inability to coordinate these efforts, the lack of capacity available at a third party contractor or any other problems with the operations of these third party contractors could require us to delay shipment of saleable products, recall products previously shipped or impair our ability to supply products at all. This could increase our costs, cause us to lose revenue or market share, diminish our profitability and damage our reputation. Any third party we use to fill-finish, package or store our products to be sold in the U.S. must be licensed by the FDA. As a result, alternative third party providers may not be readily available on a timely basis.</w:t>
      </w:r>
    </w:p>
    <w:p>
      <w:pPr>
        <w:spacing w:after="0" w:line="59"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Due to the unique nature of the production of our products, there are several single source providers of raw materials. We make every effort to qualify new vendors and to develop contingency plans so that production is not impacted by short-term issues associated with single source providers. Nonetheless, our business could be materially impacted by long term or chronic issues associated with single source providers.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meet the stringent requirements of governmental regulation in the manufacture of our products, we could incur substantial remedial costs and a reduction in sales</w:t>
      </w:r>
    </w:p>
    <w:p>
      <w:pPr>
        <w:spacing w:after="0" w:line="11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and our third party providers are generally required to maintain compliance with current Good Manufacturing Practice, or cGMP, and are subject to inspections by the FDA or comparable agencies in other jurisdictions to confirm such compliance. Any changes of suppliers or modifications of methods of manufacturing require amending our application to the FDA and acceptance of the change by the FDA prior to release of product to the marketplace. Our inability, or the inability of our third party service providers, to demonstrate ongoing cGMP compliance could require us to withdraw or recall product and interrupt commercial supply of our products.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This non-compliance could increase our costs, cause us to lose revenue or market share and damage our reputation.</w:t>
      </w:r>
    </w:p>
    <w:p>
      <w:pPr>
        <w:spacing w:after="0" w:line="138" w:lineRule="exact"/>
        <w:rPr>
          <w:sz w:val="20"/>
          <w:szCs w:val="20"/>
          <w:color w:val="auto"/>
        </w:rPr>
      </w:pPr>
    </w:p>
    <w:p>
      <w:pPr>
        <w:ind w:left="880" w:right="420"/>
        <w:spacing w:after="0" w:line="276" w:lineRule="auto"/>
        <w:rPr>
          <w:sz w:val="20"/>
          <w:szCs w:val="20"/>
          <w:color w:val="auto"/>
        </w:rPr>
      </w:pPr>
      <w:r>
        <w:rPr>
          <w:rFonts w:ascii="Arial" w:cs="Arial" w:eastAsia="Arial" w:hAnsi="Arial"/>
          <w:sz w:val="13"/>
          <w:szCs w:val="13"/>
          <w:b w:val="1"/>
          <w:bCs w:val="1"/>
          <w:i w:val="1"/>
          <w:iCs w:val="1"/>
          <w:color w:val="auto"/>
        </w:rPr>
        <w:t>We have made a significant investment in constructing a manufacturing facility the success of which depends upon the completion and licensing of the facility and continued demand for our products</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are building a large-scale biologic manufacturing facility in Hillerod, Denmark, in which we have invested approximately $300 million. We anticipate that the facility will be ready for commercial production in 2009. If we fail to manage the project, or other unforeseen events occur, we may incur additional costs to complete the project. Depending on the timing of the completion and licensing of the facility, and our other estimates and assumptions regarding future product sales, the carrying value of all or part of the manufacturing facility or other assets may not be fully recoverable and could result in the recognition of an impairment in the carrying value at the time that such</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20" w:lineRule="auto"/>
        <w:rPr>
          <w:sz w:val="20"/>
          <w:szCs w:val="20"/>
          <w:color w:val="auto"/>
        </w:rPr>
      </w:pPr>
      <w:r>
        <w:rPr>
          <w:rFonts w:ascii="Arial" w:cs="Arial" w:eastAsia="Arial" w:hAnsi="Arial"/>
          <w:sz w:val="12"/>
          <w:szCs w:val="12"/>
          <w:color w:val="auto"/>
        </w:rPr>
        <w:t>effects are identified. The recognition of impairment in the carrying value, if any, could have a material and adverse affect on our results of operations. For example, if the anticipated demand for TYSABRI does not materialize, the carrying values of our Hillerod, Denmark facility could be impaired, which would negatively impact our results of operations.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attract and retain qualified personnel and key relationships, the growth of our business could be harmed</w:t>
      </w:r>
    </w:p>
    <w:p>
      <w:pPr>
        <w:spacing w:after="0" w:line="96"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Our success will depend, to a great extent, upon our ability to attract and retain qualified scientific, manufacturing, sales and marketing and executive personnel and our ability to develop and maintain relationships with qualified clinical researchers and key distributors. Competition for these people and relationships is intense and we compete with numerous pharmaceutical and biotechnology companies as well as with universities and non-profit research organizations. Any inability we experience to continue to attract and retain qualified personnel or develop and maintain key relationships could have an adverse effect on our ability to accomplish our research, development and external growth objectives.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sales and operations are subject to the risks of doing business internationally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increasing our presence in international markets, which subjects us to many risks, such as:</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economic problems that disrupt foreign healthcare payment systems;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imposition of governmental controls;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less favorable intellectual property or other applicable laws;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inability to obtain any necessary foreign regulatory or pricing approvals of products in a timely manner;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restrictions on direct investments by foreign entities and trade restrictions;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tax laws and tariffs;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difficulties in staffing and managing international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operations and marketing practices are also subject to regulation and scrutiny by the governments of the other countries in which we operate. In addition, the Foreign Corrupt Practices Act, or FCPA, prohibits U.S. companies and their representatives from offering, promising, authorizing or making payments to foreign officials for the purpose of obtaining or retaining business abroad. In many countries, the healthcare professionals we regularly interact with meet the definition of a foreign official for purposes of the FCPA. Additionally, we are subject to other U.S. laws in our international operations. Failure to comply with domestic or foreign laws could result in various adverse consequences, including possible delay in approval or refusal to approve a product, recalls, seizures, withdrawal of an approved product from the market, and/or the imposition of civil or criminal sanctions.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 portion of our business is conducted in currencies other than our reporting currency, the U.S. dollar. We recognize foreign currency gains or losses arising from our operations in the period in which we incur those gains or losses. As a result, currency fluctuations among the U.S. dollar and the currencies in which we do business will affect our operating results, often in unpredictable ways.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are subject to significant fluctuations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quarterly revenues, expenses and net income (loss) have fluctuated in the past and are likely to fluctuate significantly in the future due to the timing of charges and expenses that we may take. In recent periods, for instance, we have recorded charges that include:</w:t>
      </w:r>
    </w:p>
    <w:p>
      <w:pPr>
        <w:spacing w:after="0" w:line="59"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acquired in-process research and development at the time we make an acquisition;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investments;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fixed assets, including those that are recorded in connection with the sale of fixed assets;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Inventory write-downs for failed quality specifications, charges for excess and/or obsolete inventory and charges for inventory write downs relating to product suspensions;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cost of restructurings.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Additionally, net income may fluctuate due to the impact of charges we may be required to take with respect to foreign currency hedge transactions. In particular, we may incur higher charges from hedge ineffectiveness than we expect or from the termination of a hedge relationship.</w:t>
      </w:r>
    </w:p>
    <w:p>
      <w:pPr>
        <w:spacing w:after="0" w:line="59"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These examples are only illustrative and other risks, including those discussed in these “Risk Factors,” could also cause fluctuations in our reported earnings. In addition, our operating results during any one quarter do not necessarily suggest the anticipated results of future quarters.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adequately protect and enforce our intellectual property rights, our competitors may take advantage of our development efforts or our acquired technology</w:t>
      </w:r>
    </w:p>
    <w:p>
      <w:pPr>
        <w:spacing w:after="0" w:line="11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have filed numerous patent applications in the U.S.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to us are challenged in court. In addition, pending legislation to reform the patent system could also reduce our ability to enforce our patents. We do not know when, or if, changes to the U.S. patent system will become law. If we are unable to protect our intellectual property rights and prevent others from exploiting our inventions, we will not derive the benefit from them that we currently expect.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infringe the intellectual property rights of others, we may incur damages and be required to incur the expense of obtaining a license</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U.S. and foreign countries are distinct and decisions as to patenting, validity of patents and infringement of patents may be resolved differently in different countries. In general, we obtain licenses to third party patents that we deem necessary or desirable for the manufacture, use and sale of our products. We are currently unable to assess the extent to which we may wish or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manufacture and market our products.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Uncertainty over intellectual property in the biotechnology industry has been the source of litigation, which is inherently costly and unpredictable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aware that others, including various universities and companies working in the biotechnology field, have filed patent applications and have been granted patents in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U.S. and in other countries claiming subject matter potentially useful to our business. Some of those patents and patent applications claim only specific products or methods of making such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products, while others claim more general processes or techniques useful or now used in the biotechnology industry. There is considerable uncertainty within the biotechnology industry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about the validity,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There has been, and we expect that there may continue to be, significant litigation in the industry regarding patents and other intellectual property rights. Litigation and administrative proceedings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Ultimately, the outcome of such litigation could adversely affect the validity and scope of our patent or other proprietary rights, or, conversely, hinder our ability to manufacture and market our products.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Pending and future product liability claims may adversely affect our business and our reputation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 For example, lawsuits have been filed by patients who have had serious adverse events while using TYSABRI, and we may face lawsuits with other product liability and related claims by patients treated with TYSABRI or other products.</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Additionally, lawsuits can be expensive to defend, whether or not they have merit, and the defense of these actions may divert the attention of our management and other resources that would otherwise be engaged in managing our business.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recently incurred substantial indebtedness that could adversely affect our business and limit our ability to plan for or respond to changes in our business</w:t>
      </w:r>
    </w:p>
    <w:p>
      <w:pPr>
        <w:spacing w:after="0" w:line="10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have recently incurred a substantial amount of indebtedness and we may also incur additional debt in the future. This indebtedness could have significant consequences to our business, for example, it could:</w:t>
      </w:r>
    </w:p>
    <w:p>
      <w:pPr>
        <w:spacing w:after="0" w:line="59"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increase our vulnerability to general adverse economic and industry conditions;</w:t>
      </w:r>
    </w:p>
    <w:p>
      <w:pPr>
        <w:spacing w:after="0" w:line="86"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require us to dedicate a substantial portion of our cash flow from operations to payments on our indebtedness, thereby reducing the availability of our cash flow for other purposes, including business development efforts and mergers and acquisitions; and</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in our business and the industry in which we operate, thereby placing us at a competitive disadvantage compared to our competitors that may have less debt.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involves environmental risks, which include the cost of compliance and the risk of contamination or injury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business and the business of several of our strategic partners, including Genentech and Elan, involve the controlled use of hazardous materials, chemicals, biologics and radioactive compounds. Biologics manufacturing is extremely susceptible to product loss due to contamination, material equipment failure, or vendor or operator error. Although we believe that our safety procedures for handling and disposing of such materials comply with state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12" w:lineRule="auto"/>
        <w:rPr>
          <w:sz w:val="20"/>
          <w:szCs w:val="20"/>
          <w:color w:val="auto"/>
        </w:rPr>
      </w:pPr>
      <w:r>
        <w:rPr>
          <w:rFonts w:ascii="Arial" w:cs="Arial" w:eastAsia="Arial" w:hAnsi="Arial"/>
          <w:sz w:val="11"/>
          <w:szCs w:val="11"/>
          <w:color w:val="auto"/>
        </w:rPr>
        <w:t>federal standards, there will always be the risk of accidental contamination or injury. In addition, microbial or viral contamination may cause the closure of a manufacturing facility for an extended period of time. By law, radioactive materials may only be disposed of at state-approved facilities. We currently store radioactive materials from our California laboratory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 Biologics manufacturing also requires permits from government agencies for water supply and wastewater discharge. If we do not obtain appropriate permits, or permits for sufficient quantities of water and wastewater, we could incur significant costs and limits on our manufacturing volumes that could harm our business.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investments in marketable securities are significant and are subject to market, interest and credit risk that may reduce their value</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maintain a significant portfolio of investments in marketable securities. Our earnings may be adversely affected by changes in the value of this portfolio. In particular, the value of our investments may be adversely affected by increases in interest rates, downgrades in the corporate bonds included in the portfolio and by other factors which may result in other than temporary declines in value of the investments. Each of these events may cause us to record charges to reduce the carrying value of our investment portfolio.</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liabilities to tax authorities in excess of amounts that have been accrued</w:t>
      </w:r>
    </w:p>
    <w:p>
      <w:pPr>
        <w:spacing w:after="0" w:line="96"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1"/>
          <w:szCs w:val="11"/>
          <w:color w:val="auto"/>
        </w:rPr>
        <w:t>The preparation of our financial statements requires estimates of the amount of tax that will become payable in each of the jurisdictions in which we operate. Accordingly, we determine our estimated liability for federal, state and local taxes (in the U.S.) and in many overseas jurisdictions. Our previous tax filings may be challenged by any of these taxing authorities and, in the event that we are not able to defend our position, we may incur unanticipated liabilities and such amounts could be significant. The jurisdictions in which we are subject to taxation may enact or change laws that would adversely impact the rate at which we are taxed in future periods. Such actions could result in an additional income tax provision.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Several aspects of our corporate governance and our collaboration agreements may discourage a third party from attempting to acquire us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Several factors might discourage a takeover attempt that could be viewed as beneficial to stockholders who wish to receive a premium for their shares from a potential bidder. For example:</w:t>
      </w:r>
    </w:p>
    <w:p>
      <w:pPr>
        <w:spacing w:after="0" w:line="59" w:lineRule="exact"/>
        <w:rPr>
          <w:sz w:val="20"/>
          <w:szCs w:val="20"/>
          <w:color w:val="auto"/>
        </w:rPr>
      </w:pPr>
    </w:p>
    <w:p>
      <w:pPr>
        <w:ind w:left="1280" w:right="6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are subject to Section 203 of the Delaware General Corporation Law, which provides that we may not enter into a business combination with an interested stockholder for a period of three years after the date of the transaction in which the person became an interested stockholder, unless the business combination is approved in the manner prescribed in Section 203;</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stockholder rights plan is designed to cause substantial dilution to a person who attempts to acquire us on terms not approved by our board of directors;</w:t>
      </w:r>
    </w:p>
    <w:p>
      <w:pPr>
        <w:spacing w:after="0" w:line="86"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board of directors has the authority to issue, without a vote or action of stockholders, up to 8,000,000 shares of preferred stock and to fix the price, rights, preferences and privileges of those shares, each of which could be superior to the rights of holders of common stock;</w:t>
      </w:r>
    </w:p>
    <w:p>
      <w:pPr>
        <w:spacing w:after="0" w:line="49"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collaboration agreement with Elan provides Elan with the option to buy the rights to TYSABRI in the event that we undergo a change of control, which may limit our attractiveness to potential acquirers;</w:t>
      </w:r>
    </w:p>
    <w:p>
      <w:pPr>
        <w:spacing w:after="0" w:line="4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amended and restated collaboration agreement with Genentech provides that, in the event we undergo a change of control, within 90 days Genentech may present an offer to us to purchase our rights to RITUXAN. Recently, in an arbitration proceeding brought by Biogen Idec relating to the collaboration agreement, Genentech alleged for the first time that the November 2003 transaction in which Idec acquired Biogen and became Biogen Idec constituted such a change of control, an assertion with which we strongly disagree. It is our position that the Biogen Idec merger did not constitute a change of control under our agreement with</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line="258" w:lineRule="auto"/>
        <w:rPr>
          <w:sz w:val="20"/>
          <w:szCs w:val="20"/>
          <w:color w:val="auto"/>
        </w:rPr>
      </w:pPr>
      <w:r>
        <w:rPr>
          <w:rFonts w:ascii="Arial" w:cs="Arial" w:eastAsia="Arial" w:hAnsi="Arial"/>
          <w:sz w:val="13"/>
          <w:szCs w:val="13"/>
          <w:color w:val="auto"/>
        </w:rPr>
        <w:t>Genentech and that, even if it did, Genentech’s rights under the change of control provision have long since expired. We intend to vigorously assert our position if Genentech persists in making this claim. If the arbitrators decide this issue in favor of Genentech, or if a change of control were to occur in the future and Genentech were to present an offer for the RITUXAN rights, we must either accept Genentech’s offer or purchase Genentech’s rights to RITUXAN on the same terms as its offer. If Genentech presents such an offer, then they will be deemed concurrently to have exercised a right, in exchange for a share in the operating profits or net sales in the U.S. of any other anti-CD 20 products developed under the agreement, to purchase our interest in each such product.</w:t>
      </w:r>
    </w:p>
    <w:p>
      <w:pPr>
        <w:spacing w:after="0" w:line="71"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directors are elected to staggered terms, which prevents the entire board from being replaced in any single year;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advance notice is required for nomination of candidates for election as a director and for proposals to be brought before an annual meeting of stockholders.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Cambridge, Massachusetts and Surrounding Area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executive offices are located in Cambridge, Massachusetts. In Cambridge, we own approximately 510,000 square feet of real estate space, consisting of a</w:t>
      </w:r>
    </w:p>
    <w:p>
      <w:pPr>
        <w:spacing w:after="0" w:line="27" w:lineRule="exact"/>
        <w:rPr>
          <w:sz w:val="20"/>
          <w:szCs w:val="20"/>
          <w:color w:val="auto"/>
        </w:rPr>
      </w:pPr>
    </w:p>
    <w:p>
      <w:pPr>
        <w:ind w:left="680" w:right="40"/>
        <w:spacing w:after="0" w:line="255" w:lineRule="auto"/>
        <w:rPr>
          <w:sz w:val="20"/>
          <w:szCs w:val="20"/>
          <w:color w:val="auto"/>
        </w:rPr>
      </w:pPr>
      <w:r>
        <w:rPr>
          <w:rFonts w:ascii="Arial" w:cs="Arial" w:eastAsia="Arial" w:hAnsi="Arial"/>
          <w:sz w:val="13"/>
          <w:szCs w:val="13"/>
          <w:color w:val="auto"/>
        </w:rPr>
        <w:t>250,000 square foot building that houses research laboratory, office spaces and a cogeneration plant; and an approximately 260,000 square foot building that contains research, development and quality laboratories. We also have development options for an additional 170,000 square feet in Cambridge. We lease a total of approximately 440,000 square feet, consisting of additional office and manufacturing space, in all or part of five other buildings in Cambridge. In addition, we lease approximately 36,000 square feet of warehouse space in Somerville, Massachusetts, approximately 105,000 square feet of office space in Wellesley, Massachusetts, and approximately 25,000 square feet of office and lab space in Waltham, Massachusetts. The lease expiration dates for our leased sites in Massachusetts range from 2008 to 2015.</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San Diego and Oceanside, California</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San Diego, California, we own approximately 43 acres of land upon which we have our oncology research and development campus. The campus consists of five interconnected buildings, which primarily contain laboratory and office space, totaling approximately 350,000 square feet. In July 2007, we sold two parcels of undeveloped property in Oceanside, California, totaling approximately 28 acres of land.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Triangle Park, North Carolina</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Research Triangle Park, North Carolina, we own approximately 530,000 square feet of real estate space. This includes a 108,000 square foot biologics manufacturing facility, a 232,000 square foot large scale manufacturing plant, a second large-scale purification facility of 42,000 square feet, and a 150,000 square foot laboratory office building. We manufacture bulk AVONEX and TYSABRI at this facility. We plan to use this facility to manufacture other products in our pipeline and to meet any obligation to manufacture AMEVIVE resulting from our sale of that product to Astellas. We are continuing further upgrades in Research Triangle Park with ongoing construction of several projects to increase our manufacturing flexibility. In addition, we lease approximately 44,000 square feet of office space in Durham, North Carolina.</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lease space in Zug, Switzerland, our international headquarters, the United Kingdom, Germany, Austria, France, Belgium, Netherlands, Spain, Portugal, Czech Republic, Slovenia, Slovak Republic, Denmark, Sweden, Finland, Norway, Japan, India, China, Australia, New Zealand, Brazil and Canada. In addition, we own approximately 60 acres of property in Hillerod, Denmark. We are constructing a large-scale biologic manufacturing facility in Hillerod, Denmark to be used to manufacture TYSABRI and other products in our pipeline. An administrative building, label and packaging facility and lab facility are currently in use. For a discussion of our plans for the Hillerod, Denmark large-scale manufacturing facility, see “Manufacturing and Raw Materials.”</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On March 2, 2005, we, along with William H. Rastetter, our former Executive Chairman, and James C. Mullen, our Chief Executive Officer, were named as defendants in a purported class action lawsuit, captioned Brown v. Biogen Idec Inc., et al. (“Brown”), filed in the U.S. District Court for the District of Massachusetts (the “Court”).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our insiders benefited personally from the inflated price by selling our stock. The plaintiff seeks unspecified damages, as well as interest, costs and attorneys’ fees. Substantially similar actions, captioned Grill v. Biogen Idec Inc., et al. and Lobel v. Biogen Idec Inc., et al., were filed on March 10, 2005 and</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April 21, 2005, respectively, in the same court by other purported class representatives. Those actions have been consolidated with the Brown case. On October 13, 2006, the plaintiffs filed an amended consolidated complaint which, among other amendments to the allegations, adds as defendants Peter N. Kellogg, our former Chief Financial Officer, William R. Rohn, our former Chief Operating Officer, Burt A. Adelman, our former Executive Vice President, Portfolio Strategy, and Thomas J. Bucknum, our former General Counsel. On September 14, 2007, the District Court Judge entered an Order allowing the Motions to Dismiss of all defendants. On October 15, 2007, the plaintiffs filed a notice of appeal to the United States Court of Appeals for the First Circuit. Plaintiff filed its principal brief on appeal on February 6, 2008.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October 4, 2004, Genentech, Inc. received a subpoena from the U.S. Department of Justice requesting documents related to the promotion of RITUXAN. We market RITUXAN in the U.S. in collaboration with Genentech. Genentech has disclosed that it is cooperating with the associated investigation which they disclosed that they have been advised is both civil and criminal in nature. Genentech has reported further that the government has called and is expected to call former and current Genentech employees to appear before a grand jury in connection with this investigation. We are cooperating with the U.S. Department of Justice in its investigation of Genentech. The potential outcome of this matter and its impact on us cannot be determined at this time.</w:t>
      </w:r>
    </w:p>
    <w:p>
      <w:pPr>
        <w:spacing w:after="0" w:line="71"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Along with several other major pharmaceutical and biotechnology companies, Biogen, Inc. (now Biogen Idec MA, Inc., one of our wholly-owned subsidiaries) or, in certain cases, Biogen Idec Inc., was named as a defendant in lawsuits filed by the City of New York and numerous Counties of the State of New York. All of the cases — except for cases filed by the County of Erie, County of Oswego and County of Schenectady — are the subject of a Consolidated Complaint (“Consolidated Complaint”), which was filed on June 15, 2005, and amended on June 8, 2007, in the U.S. District Court for the District of Massachusetts in Multi-District Litigation No. 1456 (“the MDL proceedings”). The County of Nassau joined in the amended Consolidated Complaint on June 8, 2007. On September 17, 2007, the County of Erie, County of Oswego and County of Schenectady cases were remanded to state court in New York.</w:t>
      </w:r>
    </w:p>
    <w:p>
      <w:pPr>
        <w:spacing w:after="0" w:line="42"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All of the complaints in these cases allege that the defendants (i) fraudulently reported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 (iii) 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 Secretary of Health and Human Services pursuant to rebate agreements, and excluded from their reporting certain discounts and other rebates that would have reduced the “best price.”</w:t>
      </w:r>
    </w:p>
    <w:p>
      <w:pPr>
        <w:spacing w:after="0" w:line="73"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On September 7, 2006, a New York State court granted in part and denied in part Biogen Idec’s motion to dismiss the County of Erie complaint. On April 2, 2007, the defendants’ joint motion to dismiss the original Consolidated Complaint and the County of Nassau’s second amended complaint were granted in part, but certain claims against Biogen Idec remained. Biogen Idec’s individual motion to dismiss these complaints remains pending. We have not formed an opinion that an unfavorable outcome is either “probable” or “remote” and do not express an opinion at this time as to the likely outcome of the matter or as to the magnitude or range of any potential loss. We believe that we have good and valid defenses to these complaints and intend to vigorously defend the case.</w:t>
      </w:r>
    </w:p>
    <w:p>
      <w:pPr>
        <w:spacing w:after="0" w:line="71"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Along with several other major pharmaceutical and biotechnology companies, we were also named as a defendant in a lawsuit filed by the Attorney General of Arizona. The lawsuit was filed in the Superior Court of the State of Arizona and transferred to the MDL proceedings. The complaint, as amended on March 13, 2007, is brought on behalf of Arizona consumers and other payors for drugs, and alleges that the defendants violated the state consumer fraud statute by fraudulently reporting the Average Wholesale Price for certain drugs covered by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various private and public insurance mechanisms and by marketing these drugs to providers based on the providers’ ability to collect inflated payments from third-party payors. Motions to dismiss the complaint have not yet been filed and briefed.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0"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color w:val="auto"/>
        </w:rPr>
        <w:t>On January 6, 2006, we were served with a lawsuit, captioned United States of America ex rel. Paul P. McDermott v. Genentech, Inc. and Biogen Idec, Inc., filed in the United States District Court of the District of Maine (“Court”). The lawsuit was filed under seal on July 29, 2005 by a former employee of our co-defendant Genentech pursuant to the False Claims Act,</w:t>
      </w:r>
    </w:p>
    <w:p>
      <w:pPr>
        <w:spacing w:after="0" w:line="1" w:lineRule="exact"/>
        <w:rPr>
          <w:sz w:val="20"/>
          <w:szCs w:val="20"/>
          <w:color w:val="auto"/>
        </w:rPr>
      </w:pPr>
    </w:p>
    <w:p>
      <w:pPr>
        <w:ind w:left="680"/>
        <w:spacing w:after="0" w:line="253" w:lineRule="auto"/>
        <w:rPr>
          <w:sz w:val="20"/>
          <w:szCs w:val="20"/>
          <w:color w:val="auto"/>
        </w:rPr>
      </w:pPr>
      <w:r>
        <w:rPr>
          <w:rFonts w:ascii="Arial" w:cs="Arial" w:eastAsia="Arial" w:hAnsi="Arial"/>
          <w:sz w:val="13"/>
          <w:szCs w:val="13"/>
          <w:color w:val="auto"/>
        </w:rPr>
        <w:t>31 U.S.C. section 3729 et. seq. On December 20, 2005, the U.S. government elected not to intervene, and the complaint was subsequently unsealed and served. On April 4, 2006, the plaintiff filed his first amended complaint alleging, among other things, that we directly solicited physicians and their staff members to illegally market off-label uses of RITUXAN for treating rheumatoid arthritis, provided illegal kickbacks to physicians to promote off-label uses, trained our employees in methods of avoiding the detection of these off-label sales and marketing activities, formed a network of employees whose assigned duties involved off-label promotion of RITUXAN, intended and caused the off-label promotion of RITUXAN to result in the submission of false claims to the government, and conspired with Genentech to defraud the government. The plaintiff seeks entry of judgment on behalf of the United States of America against the defendants, an award to the plaintiff as relator, and all costs, expenses, attorneys’ fees, interest and other appropriate relief. On July 24, 2007, the District Court granted Biogen Idec’s motion to dismiss on the grounds that the Court lacks subject matter jurisdiction, the complaint fails to state a claim and the claims were not pleaded with particularity. Certain of plaintiff’s claims against Genentech are still pending. On August 14, 2007, the plaintiff filed a motion requesting that the Court allow the plaintiff to file an interlocutory appeal of the granting of Biogen Idec’s motion to dismiss. The court denied the motion on October 22, 2007.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On June 17, 2006, Biogen Idec filed a Demand for Arbitration against Genentech, Inc. with the American Arbitration Association (“AAA”), which was amended on December 5, 2006 and January 29, 2008. Biogen Idec alleges that Genentech breached the parties’ Amended and Restated Collaboration Agreement dated June 19, 2003 (the “Collaboration Agreement”), by failing to honor Biogen Idec’s contractual right to participate in strategic decisions affecting the parties’ joint development and commercialization of certain pharmaceutical products, including humanized anti-CD20 antibodies. Genentech filed an Answering Statement in response to Biogen Idec’s Demand in which Genentech denied that it had breached the Collaboration Agreement and alleged that Biogen Idec had breached the Collaboration Agreement. Genentech also asserted for the first time that the November 2003 transaction in which Idec acquired Biogen and became Biogen Idec was a change of control under the Collaboration Agreement, a position with which we disagree strongly. It is our position that the Biogen Idec merger did not constitute a change of control under the Collaboration Agreement and that, even if it did, Genentech’s rights under the change of control provision, which must be asserted within 90 days of the change of control event, have long since expired. We have not formed an opinion that an unfavorable outcome is either “probable” or “remote” and do not express an opinion at this time as to the likely outcome of the matter or as to the magnitude or range of any potential loss. We believe that we have good and valid defenses to Genentech’s allegations in the arbitration and intend to vigorously defend against these allegations.</w:t>
      </w:r>
    </w:p>
    <w:p>
      <w:pPr>
        <w:spacing w:after="0" w:line="63"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On September 12, 2006, the Massachusetts Department of Revenue (“DOR”) issued a notice of assessment against Biogen Idec MA, Inc. for $38.9 million of corporate excise tax for the 2001, 2002 and 2003 tax years, which includes associated interest and penalties. On December 6, 2006, we filed an abatement application with the DOR, seeking abatements for</w:t>
      </w:r>
    </w:p>
    <w:p>
      <w:pPr>
        <w:ind w:left="680" w:right="100"/>
        <w:spacing w:after="0" w:line="290" w:lineRule="auto"/>
        <w:rPr>
          <w:sz w:val="20"/>
          <w:szCs w:val="20"/>
          <w:color w:val="auto"/>
        </w:rPr>
      </w:pPr>
      <w:r>
        <w:rPr>
          <w:rFonts w:ascii="Arial" w:cs="Arial" w:eastAsia="Arial" w:hAnsi="Arial"/>
          <w:sz w:val="12"/>
          <w:szCs w:val="12"/>
          <w:color w:val="auto"/>
        </w:rPr>
        <w:t>2001-2003. The abatement application was denied on July 24, 2007. On July 25, 2007, we filed a petition with the Massachusetts Appellate Tax Board, seeking abatements of corporate excise tax for the 2001-2003 tax years and adjustments in certain credits and credit carryforwards for the 2001-2003 years. Issues before the Board include the computation of Biogen MA’s sales factor for 2001-2003, computation of Biogen MA’s research credits for those same years, and the availability of deductions for certain expenses and partnership flow-</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 items. We intend to contest this matter vigorously. We believe that the assessment does not impact the level of liabilities for income tax contingencies.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On August 10, 2004, Classen Immunotherapies, Inc. filed suit against us, GlaxoSmithKline, Chiron Corporation, Merck &amp; Co., Inc., and Kaiser-Permanente, Inc. in the U.S. District Court for the District of Maryland contending that we induced infringement of U.S. Patent Nos, 6,420,139, 6,638,739, 5,728,383, and 5,723,283, all of which are directed to various methods of immunization or determination of immunization schedules. All Counts asserted against us by Classen were dismissed by the Court upon various motions filed by the Parties. In early December 2006, Classen filed its initial appeal brief with the United States Court of Appeals for the Federal Circuit. On March 7, 2007, we filed our brief in response. The Court of Appeals held oral argument on August 8, 2007.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45"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On January 30, 2007, the Estate of Thaddeus Leoniak commenced a civil lawsuit in the Court of Common Pleas, Philadelphia County, Pennsylvania, against Biogen Idec, the Fox Chase Cancer Center and three physicians. The complaint alleges that Thaddeus Leoniak died as a result of taking the drug ZEVALIN, and seeks to hold Biogen Idec strictly liable for placing an allegedly “unreasonably dangerous” product in the stream of commerce without proper warnings. The complaint also seeks to hold us liable for alleged negligence in the design, manufacture, advertising, marketing, promoting, distributing, supplying and selling of ZEVALIN. The lawsuit seeks damages for pecuniary losses suffered by the decedent’s survivors and for compensatory damages for decedent’s pain and suffering, loss of earnings and deprivation of normal activities, all in an amount “in excess of $50,000.” On January 31, 2007, the Plaintiff’s counsel demanded $7.0 million to settle the lawsuit.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we are involved in product liability claims and other legal proceedings generally incidental to our normal business activities. While the outcome of any of these additional claims and proceedings cannot be accurately predicted, we do not believe the ultimate resolution of any of these existing matters would have a material adverse effect on our business or financial condition.</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Information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common stock trades on The NASDAQ Stock Market under the symbol “BIIB.” The following table shows the high and low sales price for our common stock as reported by The NASDAQ Stock Market for each quarter in the years ended December 31, 2007 and 2006.</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Common Stock Price</w:t>
            </w: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92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2007</w:t>
            </w: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2006</w:t>
            </w: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700" w:type="dxa"/>
            <w:vAlign w:val="bottom"/>
          </w:tcPr>
          <w:p>
            <w:pPr>
              <w:spacing w:after="0"/>
              <w:rPr>
                <w:sz w:val="8"/>
                <w:szCs w:val="8"/>
                <w:color w:val="auto"/>
              </w:rPr>
            </w:pPr>
          </w:p>
        </w:tc>
        <w:tc>
          <w:tcPr>
            <w:tcW w:w="9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500" w:type="dxa"/>
            <w:vAlign w:val="bottom"/>
          </w:tcPr>
          <w:p>
            <w:pPr>
              <w:jc w:val="right"/>
              <w:ind w:right="79"/>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High</w:t>
            </w:r>
          </w:p>
        </w:tc>
        <w:tc>
          <w:tcPr>
            <w:tcW w:w="360" w:type="dxa"/>
            <w:vAlign w:val="bottom"/>
          </w:tcPr>
          <w:p>
            <w:pPr>
              <w:spacing w:after="0"/>
              <w:rPr>
                <w:sz w:val="8"/>
                <w:szCs w:val="8"/>
                <w:color w:val="auto"/>
              </w:rPr>
            </w:pPr>
          </w:p>
        </w:tc>
        <w:tc>
          <w:tcPr>
            <w:tcW w:w="480" w:type="dxa"/>
            <w:vAlign w:val="bottom"/>
          </w:tcPr>
          <w:p>
            <w:pPr>
              <w:ind w:left="1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52.45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42.86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  50.72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  43.03</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Second Quarter</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53.96</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43.43</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48.97</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42.52</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53.24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47.46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40.24</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Fourth Quarter</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84.75</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53.65</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52.72</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43.49</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Holders</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As of February 8, 2008, there were approximately 2,912 stockholders of record of our common stock. In addition, as of February 8, 2008, 452 stockholders of record of Biogen, Inc. common stock have yet to exchange their shares of Biogen, Inc. common stock for our common stock as contemplated by the merger of Biogen, Inc. and Idec Pharmaceuticals Corporation, or the Merger.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not paid cash dividends since our inception. We currently intend to retain all earnings, if any, for use in the expansion of our business and, therefore, do not anticipate paying any cash dividends in the foreseeable future.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We incorporate information regarding the securities authorized for issuance under our equity compensation plans into this section by reference from the section entitled “Equity Compensation Plan Information” in the proxy statement for our 2008 Annual Meeting of Stockholders.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issuer repurchase activity for 2007 is as follows:</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Pr>
          <w:p>
            <w:pPr>
              <w:jc w:val="center"/>
              <w:ind w:left="128"/>
              <w:spacing w:after="0"/>
              <w:rPr>
                <w:sz w:val="20"/>
                <w:szCs w:val="20"/>
                <w:color w:val="auto"/>
              </w:rPr>
            </w:pPr>
            <w:r>
              <w:rPr>
                <w:rFonts w:ascii="Arial" w:cs="Arial" w:eastAsia="Arial" w:hAnsi="Arial"/>
                <w:sz w:val="10"/>
                <w:szCs w:val="10"/>
                <w:b w:val="1"/>
                <w:bCs w:val="1"/>
                <w:color w:val="auto"/>
                <w:w w:val="96"/>
              </w:rPr>
              <w:t>Total Number of</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Number of Shares</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66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6"/>
              </w:rPr>
              <w:t>Total Number of</w:t>
            </w:r>
          </w:p>
        </w:tc>
        <w:tc>
          <w:tcPr>
            <w:tcW w:w="140" w:type="dxa"/>
            <w:vAlign w:val="bottom"/>
          </w:tcPr>
          <w:p>
            <w:pPr>
              <w:spacing w:after="0"/>
              <w:rPr>
                <w:sz w:val="9"/>
                <w:szCs w:val="9"/>
                <w:color w:val="auto"/>
              </w:rPr>
            </w:pPr>
          </w:p>
        </w:tc>
        <w:tc>
          <w:tcPr>
            <w:tcW w:w="15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2"/>
              </w:rPr>
              <w:t>Average Price Paid</w:t>
            </w:r>
          </w:p>
        </w:tc>
        <w:tc>
          <w:tcPr>
            <w:tcW w:w="1200" w:type="dxa"/>
            <w:vAlign w:val="bottom"/>
          </w:tcPr>
          <w:p>
            <w:pPr>
              <w:jc w:val="center"/>
              <w:ind w:left="108"/>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0" w:type="dxa"/>
            <w:vAlign w:val="bottom"/>
          </w:tcPr>
          <w:p>
            <w:pPr>
              <w:jc w:val="center"/>
              <w:ind w:left="128"/>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that may yet be</w:t>
            </w:r>
          </w:p>
        </w:tc>
        <w:tc>
          <w:tcPr>
            <w:tcW w:w="0" w:type="dxa"/>
            <w:vAlign w:val="bottom"/>
          </w:tcPr>
          <w:p>
            <w:pPr>
              <w:spacing w:after="0"/>
              <w:rPr>
                <w:sz w:val="1"/>
                <w:szCs w:val="1"/>
                <w:color w:val="auto"/>
              </w:rPr>
            </w:pPr>
          </w:p>
        </w:tc>
      </w:tr>
      <w:tr>
        <w:trPr>
          <w:trHeight w:val="118"/>
        </w:trPr>
        <w:tc>
          <w:tcPr>
            <w:tcW w:w="328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6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1"/>
              </w:rPr>
              <w:t>Shares Purchased</w:t>
            </w:r>
          </w:p>
        </w:tc>
        <w:tc>
          <w:tcPr>
            <w:tcW w:w="14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per Share</w:t>
            </w:r>
          </w:p>
        </w:tc>
        <w:tc>
          <w:tcPr>
            <w:tcW w:w="1200" w:type="dxa"/>
            <w:vAlign w:val="bottom"/>
          </w:tcPr>
          <w:p>
            <w:pPr>
              <w:jc w:val="center"/>
              <w:ind w:left="128"/>
              <w:spacing w:after="0"/>
              <w:rPr>
                <w:sz w:val="20"/>
                <w:szCs w:val="20"/>
                <w:color w:val="auto"/>
              </w:rPr>
            </w:pPr>
            <w:r>
              <w:rPr>
                <w:rFonts w:ascii="Arial" w:cs="Arial" w:eastAsia="Arial" w:hAnsi="Arial"/>
                <w:sz w:val="10"/>
                <w:szCs w:val="10"/>
                <w:b w:val="1"/>
                <w:bCs w:val="1"/>
                <w:color w:val="auto"/>
                <w:w w:val="94"/>
              </w:rPr>
              <w:t>Announced Program</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Purchased under Our</w:t>
            </w:r>
          </w:p>
        </w:tc>
        <w:tc>
          <w:tcPr>
            <w:tcW w:w="0" w:type="dxa"/>
            <w:vAlign w:val="bottom"/>
          </w:tcPr>
          <w:p>
            <w:pPr>
              <w:spacing w:after="0"/>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jc w:val="center"/>
              <w:ind w:right="79"/>
              <w:spacing w:after="0"/>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10"/>
                <w:szCs w:val="10"/>
                <w:color w:val="auto"/>
              </w:rPr>
            </w:pPr>
          </w:p>
        </w:tc>
        <w:tc>
          <w:tcPr>
            <w:tcW w:w="1200" w:type="dxa"/>
            <w:vAlign w:val="bottom"/>
          </w:tcPr>
          <w:p>
            <w:pPr>
              <w:jc w:val="center"/>
              <w:ind w:left="108"/>
              <w:spacing w:after="0"/>
              <w:rPr>
                <w:sz w:val="20"/>
                <w:szCs w:val="20"/>
                <w:color w:val="auto"/>
              </w:rPr>
            </w:pPr>
            <w:r>
              <w:rPr>
                <w:rFonts w:ascii="Arial" w:cs="Arial" w:eastAsia="Arial" w:hAnsi="Arial"/>
                <w:sz w:val="10"/>
                <w:szCs w:val="10"/>
                <w:b w:val="1"/>
                <w:bCs w:val="1"/>
                <w:color w:val="auto"/>
                <w:w w:val="98"/>
              </w:rPr>
              <w:t>(#)(a)(c)</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Program (#)</w:t>
            </w:r>
          </w:p>
        </w:tc>
        <w:tc>
          <w:tcPr>
            <w:tcW w:w="0" w:type="dxa"/>
            <w:vAlign w:val="bottom"/>
          </w:tcPr>
          <w:p>
            <w:pPr>
              <w:spacing w:after="0"/>
              <w:rPr>
                <w:sz w:val="1"/>
                <w:szCs w:val="1"/>
                <w:color w:val="auto"/>
              </w:rPr>
            </w:pPr>
          </w:p>
        </w:tc>
      </w:tr>
      <w:tr>
        <w:trPr>
          <w:trHeight w:val="29"/>
        </w:trPr>
        <w:tc>
          <w:tcPr>
            <w:tcW w:w="32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2007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8,041(b)</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44.99</w:t>
            </w:r>
          </w:p>
        </w:tc>
        <w:tc>
          <w:tcPr>
            <w:tcW w:w="1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57"/>
        </w:trPr>
        <w:tc>
          <w:tcPr>
            <w:tcW w:w="3280" w:type="dxa"/>
            <w:vAlign w:val="bottom"/>
          </w:tcPr>
          <w:p>
            <w:pPr>
              <w:spacing w:after="0"/>
              <w:rPr>
                <w:sz w:val="20"/>
                <w:szCs w:val="20"/>
                <w:color w:val="auto"/>
              </w:rPr>
            </w:pPr>
            <w:r>
              <w:rPr>
                <w:rFonts w:ascii="Arial" w:cs="Arial" w:eastAsia="Arial" w:hAnsi="Arial"/>
                <w:sz w:val="13"/>
                <w:szCs w:val="13"/>
                <w:b w:val="1"/>
                <w:bCs w:val="1"/>
                <w:color w:val="auto"/>
              </w:rPr>
              <w:t>April 2007</w:t>
            </w:r>
          </w:p>
        </w:tc>
        <w:tc>
          <w:tcPr>
            <w:tcW w:w="1660" w:type="dxa"/>
            <w:vAlign w:val="bottom"/>
            <w:gridSpan w:val="2"/>
          </w:tcPr>
          <w:p>
            <w:pPr>
              <w:jc w:val="right"/>
              <w:ind w:right="300"/>
              <w:spacing w:after="0"/>
              <w:rPr>
                <w:sz w:val="20"/>
                <w:szCs w:val="20"/>
                <w:color w:val="auto"/>
              </w:rPr>
            </w:pPr>
            <w:r>
              <w:rPr>
                <w:rFonts w:ascii="Arial" w:cs="Arial" w:eastAsia="Arial" w:hAnsi="Arial"/>
                <w:sz w:val="13"/>
                <w:szCs w:val="13"/>
                <w:color w:val="auto"/>
              </w:rPr>
              <w:t>747(b)</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44.91</w:t>
            </w:r>
          </w:p>
        </w:tc>
        <w:tc>
          <w:tcPr>
            <w:tcW w:w="12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57"/>
        </w:trPr>
        <w:tc>
          <w:tcPr>
            <w:tcW w:w="3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July 2007</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56,424,155(c)</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53.00</w:t>
            </w:r>
          </w:p>
        </w:tc>
        <w:tc>
          <w:tcPr>
            <w:tcW w:w="1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3"/>
                <w:szCs w:val="13"/>
                <w:color w:val="auto"/>
              </w:rPr>
              <w:t>1,231(b)</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54.76</w:t>
            </w:r>
          </w:p>
        </w:tc>
        <w:tc>
          <w:tcPr>
            <w:tcW w:w="120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57"/>
        </w:trPr>
        <w:tc>
          <w:tcPr>
            <w:tcW w:w="3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September 2007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12,897(b)</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66.53</w:t>
            </w:r>
          </w:p>
        </w:tc>
        <w:tc>
          <w:tcPr>
            <w:tcW w:w="1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3"/>
                <w:szCs w:val="13"/>
                <w:b w:val="1"/>
                <w:bCs w:val="1"/>
                <w:color w:val="auto"/>
              </w:rPr>
              <w:t>Total(c)</w:t>
            </w: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15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line="20" w:lineRule="exact"/>
              <w:rPr>
                <w:sz w:val="1"/>
                <w:szCs w:val="1"/>
                <w:color w:val="auto"/>
              </w:rPr>
            </w:pPr>
          </w:p>
        </w:tc>
      </w:tr>
      <w:tr>
        <w:trPr>
          <w:trHeight w:val="156"/>
        </w:trPr>
        <w:tc>
          <w:tcPr>
            <w:tcW w:w="3280" w:type="dxa"/>
            <w:vAlign w:val="bottom"/>
            <w:vMerge w:val="continue"/>
          </w:tcPr>
          <w:p>
            <w:pPr>
              <w:spacing w:after="0"/>
              <w:rPr>
                <w:sz w:val="13"/>
                <w:szCs w:val="13"/>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3"/>
                <w:szCs w:val="13"/>
                <w:color w:val="auto"/>
              </w:rPr>
              <w:t>56,447,071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53.00</w:t>
            </w:r>
          </w:p>
        </w:tc>
        <w:tc>
          <w:tcPr>
            <w:tcW w:w="12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-641350</wp:posOffset>
            </wp:positionV>
            <wp:extent cx="1841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180" w:hanging="493"/>
        <w:spacing w:after="0" w:line="260" w:lineRule="auto"/>
        <w:tabs>
          <w:tab w:leader="none" w:pos="1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October 13, 2006 the Board of Directors authorized the repurchase of up to 20.0 million shares of our common stock. No purchases have been made under this authorization. The repurchased stock will provide us with authorized shares for general corporate purposes, such as common stock to be issued under our employee equity and stock purchase plans. This repurchase program does not have an expiration date. We publicly announced the repurchase program in our press release dated October 31, 2006, which was furnished to the SEC as Exhibit 99.1 of our current report on Form 8-K filed on October 31, 2006.</w:t>
      </w:r>
    </w:p>
    <w:p>
      <w:pPr>
        <w:spacing w:after="0" w:line="20" w:lineRule="exact"/>
        <w:rPr>
          <w:rFonts w:ascii="Arial" w:cs="Arial" w:eastAsia="Arial" w:hAnsi="Arial"/>
          <w:sz w:val="13"/>
          <w:szCs w:val="13"/>
          <w:color w:val="auto"/>
        </w:rPr>
      </w:pPr>
    </w:p>
    <w:p>
      <w:pPr>
        <w:ind w:left="1180" w:right="220" w:hanging="493"/>
        <w:spacing w:after="0" w:line="276" w:lineRule="auto"/>
        <w:tabs>
          <w:tab w:leader="none" w:pos="1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of these shares are shares that were used by certain employees to pay the exercise price of their stock options in lieu of paying cash or utilizing our cashless option exercise program.</w:t>
      </w:r>
    </w:p>
    <w:p>
      <w:pPr>
        <w:spacing w:after="0" w:line="10" w:lineRule="exact"/>
        <w:rPr>
          <w:rFonts w:ascii="Arial" w:cs="Arial" w:eastAsia="Arial" w:hAnsi="Arial"/>
          <w:sz w:val="13"/>
          <w:szCs w:val="13"/>
          <w:color w:val="auto"/>
        </w:rPr>
      </w:pPr>
    </w:p>
    <w:p>
      <w:pPr>
        <w:ind w:left="1180" w:right="500" w:hanging="493"/>
        <w:spacing w:after="0" w:line="320" w:lineRule="auto"/>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As more fully described in Note 20, Tender Offer, in the accompanying notes to consolidated financial statements in Part IV of this report on Form 10-K, in July 2007 we consummated a tender offer announced on May 29, 2007 whereby we repurchased 56,424,155 shares of our common stock at a price of $53.00 per share.</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financial data should be read in conjunction with our consolidated financial statements and related notes appearing elsewhere in this report on Form 10-K, beginning on page F-1.</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DATA</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w w:val="93"/>
              </w:rPr>
              <w:t>Years Ended December 31,</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5"/>
              </w:rPr>
              <w:t>2007 (6),(7)</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5"/>
              </w:rPr>
              <w:t>2006 (4),(5)</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2005 (3)</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95"/>
              </w:rPr>
              <w:t>2003 (1),(2)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6"/>
          </w:tcPr>
          <w:p>
            <w:pPr>
              <w:jc w:val="right"/>
              <w:spacing w:after="0"/>
              <w:rPr>
                <w:sz w:val="20"/>
                <w:szCs w:val="20"/>
                <w:color w:val="auto"/>
              </w:rPr>
            </w:pPr>
            <w:r>
              <w:rPr>
                <w:rFonts w:ascii="Arial" w:cs="Arial" w:eastAsia="Arial" w:hAnsi="Arial"/>
                <w:sz w:val="10"/>
                <w:szCs w:val="10"/>
                <w:b w:val="1"/>
                <w:bCs w:val="1"/>
                <w:color w:val="auto"/>
              </w:rPr>
              <w:t>(In millions, except per share amounts)</w:t>
            </w: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2,136.8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1,781.3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1,617.0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1,486.4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171.6</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Revenue from unconsolidated joint business</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926.1</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810.9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708.9</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615.7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108.7</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Total revenues</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3,171.6</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2,683.0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2,422.5</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2,211.6</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679.2</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2,391.8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2,168.1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1,548.9</w:t>
            </w:r>
          </w:p>
        </w:tc>
        <w:tc>
          <w:tcPr>
            <w:tcW w:w="0" w:type="dxa"/>
            <w:vAlign w:val="bottom"/>
          </w:tcPr>
          <w:p>
            <w:pPr>
              <w:spacing w:after="0"/>
              <w:rPr>
                <w:sz w:val="1"/>
                <w:szCs w:val="1"/>
                <w:color w:val="auto"/>
              </w:rPr>
            </w:pPr>
          </w:p>
        </w:tc>
      </w:tr>
      <w:tr>
        <w:trPr>
          <w:trHeight w:val="148"/>
        </w:trPr>
        <w:tc>
          <w:tcPr>
            <w:tcW w:w="5000" w:type="dxa"/>
            <w:vAlign w:val="bottom"/>
          </w:tcPr>
          <w:p>
            <w:pPr>
              <w:spacing w:after="0" w:line="149" w:lineRule="exact"/>
              <w:rPr>
                <w:sz w:val="20"/>
                <w:szCs w:val="20"/>
                <w:color w:val="auto"/>
              </w:rPr>
            </w:pPr>
            <w:r>
              <w:rPr>
                <w:rFonts w:ascii="Arial" w:cs="Arial" w:eastAsia="Arial" w:hAnsi="Arial"/>
                <w:sz w:val="13"/>
                <w:szCs w:val="13"/>
                <w:color w:val="auto"/>
              </w:rPr>
              <w:t>Income (loss) before income tax expense (benefit) and cumulative effect of accounting</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00" w:type="dxa"/>
            <w:vAlign w:val="bottom"/>
          </w:tcPr>
          <w:p>
            <w:pPr>
              <w:ind w:left="140"/>
              <w:spacing w:after="0"/>
              <w:rPr>
                <w:sz w:val="20"/>
                <w:szCs w:val="20"/>
                <w:color w:val="auto"/>
              </w:rPr>
            </w:pPr>
            <w:r>
              <w:rPr>
                <w:rFonts w:ascii="Arial" w:cs="Arial" w:eastAsia="Arial" w:hAnsi="Arial"/>
                <w:sz w:val="13"/>
                <w:szCs w:val="13"/>
                <w:color w:val="auto"/>
              </w:rPr>
              <w:t>change</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910.6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492.2</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256.2</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64.1</w:t>
            </w:r>
          </w:p>
        </w:tc>
        <w:tc>
          <w:tcPr>
            <w:tcW w:w="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(880.6)</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cumulative effect of accounting change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638.2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(875.1)</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638.2</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(875.1)</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Diluted earnings (loss) per share: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cumulative effect of accounting change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0.47</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29"/>
        </w:trPr>
        <w:tc>
          <w:tcPr>
            <w:tcW w:w="5000" w:type="dxa"/>
            <w:vAlign w:val="bottom"/>
            <w:vMerge w:val="restart"/>
          </w:tcPr>
          <w:p>
            <w:pPr>
              <w:spacing w:after="0"/>
              <w:rPr>
                <w:sz w:val="20"/>
                <w:szCs w:val="20"/>
                <w:color w:val="auto"/>
              </w:rPr>
            </w:pPr>
            <w:r>
              <w:rPr>
                <w:rFonts w:ascii="Arial" w:cs="Arial" w:eastAsia="Arial" w:hAnsi="Arial"/>
                <w:sz w:val="13"/>
                <w:szCs w:val="13"/>
                <w:color w:val="auto"/>
              </w:rPr>
              <w:t>Shares used in calculating diluted earnings (loss) per share</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320.2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345.3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346.2</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343.5</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2,115.8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2,314.9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2,055.1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2,167.6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2,338.3</w:t>
            </w: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8,628.8</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8,552.8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8,381.7</w:t>
            </w:r>
          </w:p>
        </w:tc>
        <w:tc>
          <w:tcPr>
            <w:tcW w:w="1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9,165.8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9,503.9</w:t>
            </w: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less current portion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887.3</w:t>
            </w:r>
          </w:p>
        </w:tc>
        <w:tc>
          <w:tcPr>
            <w:tcW w:w="0" w:type="dxa"/>
            <w:vAlign w:val="bottom"/>
          </w:tcPr>
          <w:p>
            <w:pPr>
              <w:spacing w:after="0"/>
              <w:rPr>
                <w:sz w:val="1"/>
                <w:szCs w:val="1"/>
                <w:color w:val="auto"/>
              </w:rPr>
            </w:pPr>
          </w:p>
        </w:tc>
      </w:tr>
      <w:tr>
        <w:trPr>
          <w:trHeight w:val="165"/>
        </w:trPr>
        <w:tc>
          <w:tcPr>
            <w:tcW w:w="5000" w:type="dxa"/>
            <w:vAlign w:val="bottom"/>
          </w:tcPr>
          <w:p>
            <w:pPr>
              <w:spacing w:after="0"/>
              <w:rPr>
                <w:sz w:val="20"/>
                <w:szCs w:val="20"/>
                <w:color w:val="auto"/>
              </w:rPr>
            </w:pPr>
            <w:r>
              <w:rPr>
                <w:rFonts w:ascii="Arial" w:cs="Arial" w:eastAsia="Arial" w:hAnsi="Arial"/>
                <w:sz w:val="13"/>
                <w:szCs w:val="13"/>
                <w:color w:val="auto"/>
              </w:rPr>
              <w:t>Shareholders’ equity</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5,534.3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7,149.8</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6,905.9</w:t>
            </w:r>
          </w:p>
        </w:tc>
        <w:tc>
          <w:tcPr>
            <w:tcW w:w="1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6,826.4</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Included in costs and expenses in 2003 is a charge of $823.0 million for in-process research and development related to the Merger.</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results of operations of Biogen, Inc. were included from November 12, 2003, the date of the Merger.</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Included in costs and expenses in 2005 is a charge of $118.1 million related to facility impairment charges.</w:t>
      </w:r>
    </w:p>
    <w:p>
      <w:pPr>
        <w:spacing w:after="0" w:line="47" w:lineRule="exact"/>
        <w:rPr>
          <w:rFonts w:ascii="Arial" w:cs="Arial" w:eastAsia="Arial" w:hAnsi="Arial"/>
          <w:sz w:val="13"/>
          <w:szCs w:val="13"/>
          <w:color w:val="auto"/>
        </w:rPr>
      </w:pPr>
    </w:p>
    <w:p>
      <w:pPr>
        <w:ind w:left="1180" w:right="60" w:hanging="243"/>
        <w:spacing w:after="0" w:line="276" w:lineRule="auto"/>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Included in costs and expenses in 2006 is a charge of $330.5 million for in-process research and development and a net gain of $6.1 million on the settlement of license agreements associated with Fumapharm AG, or Fumapharm, and Fumedica GmbH, or Fumedica.</w:t>
      </w:r>
    </w:p>
    <w:p>
      <w:pPr>
        <w:spacing w:after="0" w:line="10" w:lineRule="exact"/>
        <w:rPr>
          <w:rFonts w:ascii="Arial" w:cs="Arial" w:eastAsia="Arial" w:hAnsi="Arial"/>
          <w:sz w:val="13"/>
          <w:szCs w:val="13"/>
          <w:color w:val="auto"/>
        </w:rPr>
      </w:pPr>
    </w:p>
    <w:p>
      <w:pPr>
        <w:ind w:left="1180" w:right="320" w:hanging="243"/>
        <w:spacing w:after="0" w:line="276" w:lineRule="auto"/>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In connection with the adoption of Statement of Financial Accounting Standards No. 123 (revised 2004), </w:t>
      </w:r>
      <w:r>
        <w:rPr>
          <w:rFonts w:ascii="Arial" w:cs="Arial" w:eastAsia="Arial" w:hAnsi="Arial"/>
          <w:sz w:val="13"/>
          <w:szCs w:val="13"/>
          <w:i w:val="1"/>
          <w:iCs w:val="1"/>
          <w:color w:val="auto"/>
        </w:rPr>
        <w:t>Share-based Payments</w:t>
      </w:r>
      <w:r>
        <w:rPr>
          <w:rFonts w:ascii="Arial" w:cs="Arial" w:eastAsia="Arial" w:hAnsi="Arial"/>
          <w:sz w:val="13"/>
          <w:szCs w:val="13"/>
          <w:color w:val="auto"/>
        </w:rPr>
        <w:t>, or SFAS 123(R), we recorded the cumulative effect of an accounting change of $3.8 million, net, as of January 1, 2006.</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right="20" w:hanging="243"/>
        <w:spacing w:after="0" w:line="296" w:lineRule="auto"/>
        <w:tabs>
          <w:tab w:leader="none" w:pos="11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Included in costs and expenses in 2007 is a charge of $18.4 million for in-process research and development related to the acquisition of Syntonix, Inc., and $64.3 million related to our collaborations with Cardiokine Biopharma LLC and Neurimmune SubOne AG, which we consolidated under FASB Interpretation No. 46, </w:t>
      </w:r>
      <w:r>
        <w:rPr>
          <w:rFonts w:ascii="Arial" w:cs="Arial" w:eastAsia="Arial" w:hAnsi="Arial"/>
          <w:sz w:val="12"/>
          <w:szCs w:val="12"/>
          <w:i w:val="1"/>
          <w:iCs w:val="1"/>
          <w:color w:val="auto"/>
        </w:rPr>
        <w:t>Consolidation of Variable Interest</w:t>
      </w:r>
      <w:r>
        <w:rPr>
          <w:rFonts w:ascii="Arial" w:cs="Arial" w:eastAsia="Arial" w:hAnsi="Arial"/>
          <w:sz w:val="12"/>
          <w:szCs w:val="12"/>
          <w:color w:val="auto"/>
        </w:rPr>
        <w:t xml:space="preserve"> </w:t>
      </w:r>
      <w:r>
        <w:rPr>
          <w:rFonts w:ascii="Arial" w:cs="Arial" w:eastAsia="Arial" w:hAnsi="Arial"/>
          <w:sz w:val="12"/>
          <w:szCs w:val="12"/>
          <w:i w:val="1"/>
          <w:iCs w:val="1"/>
          <w:color w:val="auto"/>
        </w:rPr>
        <w:t>Entities</w:t>
      </w:r>
      <w:r>
        <w:rPr>
          <w:rFonts w:ascii="Arial" w:cs="Arial" w:eastAsia="Arial" w:hAnsi="Arial"/>
          <w:sz w:val="12"/>
          <w:szCs w:val="12"/>
          <w:color w:val="auto"/>
        </w:rPr>
        <w:t>, or FIN 46(R). The $64.3 million was offset by an equal amount of minority interest, resulting in no net impact to the results of the operations.</w:t>
      </w:r>
    </w:p>
    <w:p>
      <w:pPr>
        <w:ind w:left="1180" w:right="680" w:hanging="243"/>
        <w:spacing w:after="0" w:line="276" w:lineRule="auto"/>
        <w:tabs>
          <w:tab w:leader="none" w:pos="11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July 2007, we purchased 56,424,155 shares of our common stock pursuant to a tender offer. We funded the transaction through existing cash and cash equivalents of $1,490.5 million and a short term loan of $1,500.0 million.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Information</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addition to historical information, this report contains forward-looking statements that involve risks and uncertainties that could cause our actual results to differ materially from those reflected in our forward-looking statements. You can identify our forward-looking statements by our use of words such as “anticipate,” “believe,” “estimate,” “expect,” “forecast,” “intend,” “plan,” “project,” “target,” “will” and other words and terms of similar meaning. You also can identify them by the fact that they do not relate strictly to historical or current facts. Reference is made in particular to forward-looking statements regarding the anticipated level of future product sales, royalty revenues, expenses and profits, regulatory approvals, our long-term growth, the development and marketing of additional products, the impact of competitive products, the anticipated outcome of pending or anticipated litigation and patent-related proceedings, our ability to meet our manufacturing needs, the value of investments in certain marketable securities, liquidity and capital resources and our plans to spend additional capital on external business development and research opportunities. Risk factors which could cause actual results to differ from our expectations and which could negatively impact our financial condition and results of operations are discussed in Item 1A in the section entitled “Risk Factors” in Part I of this report and elsewhere in this report. Unless required by law, we do not undertake any obligation to publicly update any forward-looking statements.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discussion should be read in conjunction with our consolidated financial statements and related notes appearing elsewhere in this Form 10-K, beginning on page F-1.</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Summary</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Biogen Idec Inc. was formed in 2003 upon the acquisition of Biogen, Inc. by IDEC Pharmaceuticals Corporation in a merger transaction, or the Merger. We are a global biotechnology company that creates new standards of care in therapeutic areas of high unmet medical needs. We have two licensed biological bulk-manufacturing facilities, including our large-scale manufacturing plant in Research Triangle Park, NC, which is one of the world’s largest cell culture facilities. An additional large-scale manufacturing plant is under construction in Hillerød, Denmark. We maintain research centers of excellence in San Diego, CA and Cambridge, MA. We have additional offices in Canada, Brazil, Australia, Japan and throughout Europe, including our international headquarters in Zug, Switzerland and operate a global distribution network, which covers over 70 countries. We currently employ approximately 4,300 people worldwide.</w:t>
      </w:r>
    </w:p>
    <w:p>
      <w:pPr>
        <w:spacing w:after="0" w:line="72"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Results for the year ended December 31, 2007 included total revenue of $3,171.6 million, net income of $638.2 million and diluted net income per share of $1.99. These results reflect an increase in revenue primarily attributable to the continued growth in TYSABRI revenue, an increase in RITUXAN revenues from our unconsolidated joint business arrangement as well as the impact of price increases on our AVONEX product. The effect of the increase in revenue was partially offset by an increase in research and development expense due to new and existing clinical trials and other projects and an increase in selling, general and administrative expense related to increased personnel to support ongoing TYSABRI and AVONEX sales.</w:t>
      </w:r>
    </w:p>
    <w:p>
      <w:pPr>
        <w:spacing w:after="0" w:line="3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January 2008, we received notice from Icahn Partners LP and certain of its affiliates for the nomination of three individuals to our Board of Directors at the Company’s 2008 Annual Meeting. The notice also includes a proposal to amend the our bylaws to set the size of the Board at 12. Our Board of Directors will review the notice and consider it in light of the best interests of all shareholders of the Company.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00" w:firstLine="399"/>
        <w:spacing w:after="0" w:line="296" w:lineRule="auto"/>
        <w:rPr>
          <w:sz w:val="20"/>
          <w:szCs w:val="20"/>
          <w:color w:val="auto"/>
        </w:rPr>
      </w:pPr>
      <w:r>
        <w:rPr>
          <w:rFonts w:ascii="Arial" w:cs="Arial" w:eastAsia="Arial" w:hAnsi="Arial"/>
          <w:sz w:val="12"/>
          <w:szCs w:val="12"/>
          <w:color w:val="auto"/>
        </w:rPr>
        <w:t>In October 2007, we announced that our Board of Directors had authorized management to evaluate whether third parties would have an interest in acquiring us at a price and on terms that would represent a better value for our stockholders than having us continue to execute our strategy on a stand-alone basis. In December 2007, we announced that the board of directors had completed this evaluation, it resulted in no definitive offers to acquire the company and we will continue as an independent company.</w:t>
      </w:r>
    </w:p>
    <w:p>
      <w:pPr>
        <w:spacing w:after="0" w:line="5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November 2007, we entered into an agreement with Neurimmune SubOne AG, or Neurimmune, for the worldwide development and commercialization of human antibodies for the treatment of Alzheimer’s disease (AD). Neurimmune will conduct research to identify potential therapeutic antibodies and we will be responsible for the development and commercialization of all products. Under the terms of the agreement, we paid a $2.0 million upfront payment and could pay up to an additional $378.0 million if certain milestones are met, as well as a royalty on net sales of any products.</w:t>
      </w:r>
    </w:p>
    <w:p>
      <w:pPr>
        <w:spacing w:after="0" w:line="70"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August 2007, an agreement with Cardiokine Biopharma LLC became effective for the joint development of lixivaptan, an oral compound for the potential treatment of hyponatremia in patients with congestive heart failure. We will be responsible for the global commercialization of lixivaptan and Cardiokine Biopharma LLC has an option for limited co-promotion in the United States. Under the terms of the agreement, we paid a $50.0 million upfront fee and could pay up to an additional $170.0 million if certain milestones are met.</w:t>
      </w:r>
    </w:p>
    <w:p>
      <w:pPr>
        <w:spacing w:after="0" w:line="5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In July 2007, we completed a tender offer in which we purchased 56,424,155 shares of our common stock for a purchase price of $2,990.5 million. We funded the transaction in July 2007 through existing cash and cash equivalents of $1,490.5 million and by obtaining a short-term loan for $1,500.0 million. We retired all of these shares in July 2007.</w:t>
      </w:r>
    </w:p>
    <w:p>
      <w:pPr>
        <w:spacing w:after="0" w:line="3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January 2007, we completed the acquisition of 100% of the stock of Syntonix Pharmaceuticals, Inc. for total initial consideration of $44.4 million and contingent payments of up to $124.4 million, if certain milestones are achieved.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Marketed 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four products:</w:t>
      </w:r>
    </w:p>
    <w:p>
      <w:pPr>
        <w:spacing w:after="0" w:line="94"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xml:space="preserve"> (interferon beta-1a);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RITUXAN</w:t>
      </w:r>
      <w:r>
        <w:rPr>
          <w:rFonts w:ascii="Arial" w:cs="Arial" w:eastAsia="Arial" w:hAnsi="Arial"/>
          <w:sz w:val="11"/>
          <w:szCs w:val="11"/>
          <w:color w:val="auto"/>
        </w:rPr>
        <w:t>®</w:t>
      </w:r>
      <w:r>
        <w:rPr>
          <w:rFonts w:ascii="Arial" w:cs="Arial" w:eastAsia="Arial" w:hAnsi="Arial"/>
          <w:sz w:val="13"/>
          <w:szCs w:val="13"/>
          <w:color w:val="auto"/>
        </w:rPr>
        <w:t xml:space="preserve"> (rituximab);</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TYSABRI</w:t>
      </w:r>
      <w:r>
        <w:rPr>
          <w:rFonts w:ascii="Arial" w:cs="Arial" w:eastAsia="Arial" w:hAnsi="Arial"/>
          <w:sz w:val="11"/>
          <w:szCs w:val="11"/>
          <w:color w:val="auto"/>
        </w:rPr>
        <w:t>®</w:t>
      </w:r>
      <w:r>
        <w:rPr>
          <w:rFonts w:ascii="Arial" w:cs="Arial" w:eastAsia="Arial" w:hAnsi="Arial"/>
          <w:sz w:val="13"/>
          <w:szCs w:val="13"/>
          <w:color w:val="auto"/>
        </w:rPr>
        <w:t xml:space="preserve"> (natalizumab);</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FUMADERM</w:t>
      </w:r>
      <w:r>
        <w:rPr>
          <w:rFonts w:ascii="Arial" w:cs="Arial" w:eastAsia="Arial" w:hAnsi="Arial"/>
          <w:sz w:val="11"/>
          <w:szCs w:val="11"/>
          <w:color w:val="auto"/>
        </w:rPr>
        <w:t>®</w:t>
      </w:r>
      <w:r>
        <w:rPr>
          <w:rFonts w:ascii="Arial" w:cs="Arial" w:eastAsia="Arial" w:hAnsi="Arial"/>
          <w:sz w:val="13"/>
          <w:szCs w:val="13"/>
          <w:color w:val="auto"/>
        </w:rPr>
        <w:t xml:space="preserve"> (dimethylfumarate and monoethylfumarate salts)</w:t>
      </w:r>
    </w:p>
    <w:p>
      <w:pPr>
        <w:spacing w:after="0" w:line="96" w:lineRule="exact"/>
        <w:rPr>
          <w:sz w:val="20"/>
          <w:szCs w:val="20"/>
          <w:color w:val="auto"/>
        </w:rPr>
      </w:pPr>
    </w:p>
    <w:p>
      <w:pPr>
        <w:ind w:left="680" w:right="140" w:firstLine="399"/>
        <w:spacing w:after="0" w:line="259" w:lineRule="auto"/>
        <w:rPr>
          <w:sz w:val="20"/>
          <w:szCs w:val="20"/>
          <w:color w:val="auto"/>
        </w:rPr>
      </w:pPr>
      <w:r>
        <w:rPr>
          <w:rFonts w:ascii="Arial" w:cs="Arial" w:eastAsia="Arial" w:hAnsi="Arial"/>
          <w:sz w:val="13"/>
          <w:szCs w:val="13"/>
          <w:color w:val="auto"/>
        </w:rPr>
        <w:t>In December 2007, we sold the U.S. marketing, sales, and manufacturing and development right of ZEVALIN</w:t>
      </w:r>
      <w:r>
        <w:rPr>
          <w:rFonts w:ascii="Arial" w:cs="Arial" w:eastAsia="Arial" w:hAnsi="Arial"/>
          <w:sz w:val="11"/>
          <w:szCs w:val="11"/>
          <w:color w:val="auto"/>
        </w:rPr>
        <w:t>®</w:t>
      </w:r>
      <w:r>
        <w:rPr>
          <w:rFonts w:ascii="Arial" w:cs="Arial" w:eastAsia="Arial" w:hAnsi="Arial"/>
          <w:sz w:val="13"/>
          <w:szCs w:val="13"/>
          <w:color w:val="auto"/>
        </w:rPr>
        <w:t xml:space="preserve"> to Cell Therapeutics, Inc., or CTI, for an upfront purchase price of $10.0 million and up to an additional $20.0 million in milestone payments. In addition, we will receive royalty payments on future sales of ZEVALIN. As part of the overall agreement, we entered into a supply agreement with CTI to sell ZEVALIN product through 2014 and a related services and security agreement under which CTI has agreed to reimburse us for costs incurred in an ongoing randomized clinical trial for ZEVALIN with respect to aggressive non-Hodgkin’s lymphoma, or NHL. The $10.0 million upfront payment will be recognized in our results of operations over the term of the supply agreement.</w:t>
      </w:r>
    </w:p>
    <w:p>
      <w:pPr>
        <w:spacing w:after="0" w:line="68"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color w:val="auto"/>
        </w:rPr>
        <w:t>Through April 2006, we recorded product revenues from sales of AMEVIVE</w:t>
      </w:r>
      <w:r>
        <w:rPr>
          <w:rFonts w:ascii="Arial" w:cs="Arial" w:eastAsia="Arial" w:hAnsi="Arial"/>
          <w:sz w:val="11"/>
          <w:szCs w:val="11"/>
          <w:color w:val="auto"/>
        </w:rPr>
        <w:t>®</w:t>
      </w:r>
      <w:r>
        <w:rPr>
          <w:rFonts w:ascii="Arial" w:cs="Arial" w:eastAsia="Arial" w:hAnsi="Arial"/>
          <w:sz w:val="13"/>
          <w:szCs w:val="13"/>
          <w:color w:val="auto"/>
        </w:rPr>
        <w:t xml:space="preserve"> (alefacept). In April 2006, we sold the worldwide rights to this product to Astellas Pharma US, Inc., or Astellas. We will continue to manufacture and supply this product to Astellas for a period of up to 11 years. Under the terms of the supply agreement, we charge Astellas fixed amounts based on volume. Such amounts will be recognized as corporate partner revenue and are not expected to be significant.</w:t>
      </w:r>
    </w:p>
    <w:p>
      <w:pPr>
        <w:spacing w:after="0" w:line="6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Most of our revenues are currently dependent on AVONEX, TYSABRI, and RITUXAN. In the near term, we are dependent on the continued sales growth of TYSABRI to grow our overall revenues. In the longer term, our revenue growth is dependent on the successful clinical development, regulatory approval and launch of current pipeline products and other in-licensed or acquired products and programs.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Continued growth of global AVONEX sales is primarily dependent on maintaining AVONEX’s position as the most prescribed multiple sclerosis, or MS, therapy in the U.S. and growing AVONEX market share outside the U.S. In both the U.S. and globally, we face increasing competition in the MS market from currently marketed products and future products in late stage development. We continue to generate data showing AVONEX to be an effective and safe choice for MS patients and physicians.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The majority of RITUXAN sales are currently from use in the oncology setting. We believe there is additional room for RITUXAN sales growth in the immunology setting, where RITUXAN is currently indicated for patients with Rheumatoid Arthritis, or RA, with inadequate response to anti-tumor necrosis factor therapies, or TNF-IR RA patients. Additional immunology indications for RITUXAN that we are investigating include earlier stage RA patients with inadequate response to disease-modifying anti-rheumatic drugs, or DMARD-IR patients, MS and lupus.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July 2006, we began to ship TYSABRI in the U.S. in connection with the re-introduction and internationally for the first time. TYSABRI sales are currently for use in the relapsing remitting MS setting. Growth in TYSABRI revenue will be dependent on the generation of a larger and longer term safety database as well as continued acceptance by physicians and MS patients. In January 2008, the FDA approved TYSABRI as a treatment of certain patients with Crohn’s disease.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Clinical Studies</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Over the past few years, we have incurred significant expenditures related to conducting clinical studies to develop new pharmaceutical products and exploring the utility of our existing products in treating disorders beyond those currently approved in their respective labels. For 2008, we expect to continue to incur significant levels of research and development expenditures. We have a number of pipeline products in late stage clinical trials, including over 15 pipeline products in Phase 2 or Phase 3 trials. Pipeline products for which we have entered or initiated Phase 3 trials include:</w:t>
      </w:r>
    </w:p>
    <w:p>
      <w:pPr>
        <w:spacing w:after="0" w:line="70"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BG-12 for relapsing forms of 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Galiximab for NHL;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RITUXAN for a number of indications, including chronic lymphocytic leukemia, RA, primary progressive MS and lupus nephritis.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to the expense associated with these late stage trials, other pipeline products are in ongoing or are expected to enter proof of concept trials in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Development</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As part of our business strategy, we plan to consider and, as appropriate, make acquisitions of other businesses, products, product rights or technologies. Our cash reserves and other liquid assets may be inadequate to consummate such acquisitions and develop such products and/or technologies, and it may be necessary for us to raise substantial additional funds in the future to complete future transactions. In addition, as a result of our acquisition efforts, we may experience significant charges to earnings for merger and related expenses that may include transaction costs, closure costs or acquired in-process research and development charges.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experience significant fluctuations in quarterly results, primarily based on the level and timing of:</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product revenues;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cost of product sales;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collaboration revenues;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cost of clinical trials, regulatory approvals and product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marketing and other expenses;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manufacturing or supply disruptions;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costs associated with the operations of recently-acquired businesses and technologies.</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We expect to use our cash, cash equivalents and marketable securities for working capital and general corporate purposes, including the acquisition of businesses, products, product rights or technologies, as well as potential repayment of short-term debt. At this time, we cannot accurately predict the effect of certain developments on the rate of future revenue growth, such as the degree of market acceptance, the impact of competition, the effectiveness of our sales and marketing efforts and the outcome of our current efforts to develop, receive approval for and successfully launch our near-term product candidates.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were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jc w:val="right"/>
              <w:ind w:right="174"/>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center"/>
              <w:ind w:left="78"/>
              <w:spacing w:after="0" w:line="98" w:lineRule="exact"/>
              <w:rPr>
                <w:sz w:val="20"/>
                <w:szCs w:val="20"/>
                <w:color w:val="auto"/>
              </w:rPr>
            </w:pPr>
            <w:r>
              <w:rPr>
                <w:rFonts w:ascii="Arial" w:cs="Arial" w:eastAsia="Arial" w:hAnsi="Arial"/>
                <w:sz w:val="10"/>
                <w:szCs w:val="10"/>
                <w:b w:val="1"/>
                <w:bCs w:val="1"/>
                <w:color w:val="auto"/>
                <w:w w:val="89"/>
              </w:rPr>
              <w:t>2006</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Product Sales</w:t>
            </w: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1,203.6</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37.9%</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1,069.5</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40.0%</w:t>
            </w:r>
          </w:p>
        </w:tc>
        <w:tc>
          <w:tcPr>
            <w:tcW w:w="220" w:type="dxa"/>
            <w:vAlign w:val="bottom"/>
          </w:tcPr>
          <w:p>
            <w:pPr>
              <w:spacing w:after="0"/>
              <w:rPr>
                <w:sz w:val="13"/>
                <w:szCs w:val="13"/>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997.7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933.2</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711.8</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26.5%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619.3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vMerge w:val="restart"/>
          </w:tcPr>
          <w:p>
            <w:pPr>
              <w:ind w:left="280"/>
              <w:spacing w:after="0"/>
              <w:rPr>
                <w:sz w:val="20"/>
                <w:szCs w:val="20"/>
                <w:color w:val="auto"/>
              </w:rPr>
            </w:pPr>
            <w:r>
              <w:rPr>
                <w:rFonts w:ascii="Arial" w:cs="Arial" w:eastAsia="Arial" w:hAnsi="Arial"/>
                <w:sz w:val="13"/>
                <w:szCs w:val="13"/>
                <w:color w:val="auto"/>
              </w:rPr>
              <w:t>Total product revenues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2,136.8</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67.4%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1,781.3</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66.5%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1,617.0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Unconsolidated Joint Business</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926.1</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810.9</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30.2%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Other Revenues</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108.7</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90.8</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96.6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3,171.6</w:t>
            </w:r>
          </w:p>
        </w:tc>
        <w:tc>
          <w:tcPr>
            <w:tcW w:w="340" w:type="dxa"/>
            <w:vAlign w:val="bottom"/>
            <w:shd w:val="clear" w:color="auto" w:fill="CCEEFF"/>
          </w:tcPr>
          <w:p>
            <w:pPr>
              <w:spacing w:after="0"/>
              <w:rPr>
                <w:sz w:val="14"/>
                <w:szCs w:val="14"/>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2,683.0</w:t>
            </w:r>
          </w:p>
        </w:tc>
        <w:tc>
          <w:tcPr>
            <w:tcW w:w="4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2,422.5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Product Revenues</w:t>
            </w: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600" w:type="dxa"/>
            <w:vAlign w:val="bottom"/>
          </w:tcPr>
          <w:p>
            <w:pPr>
              <w:ind w:left="400"/>
              <w:spacing w:after="0"/>
              <w:rPr>
                <w:sz w:val="20"/>
                <w:szCs w:val="20"/>
                <w:color w:val="auto"/>
              </w:rPr>
            </w:pPr>
            <w:r>
              <w:rPr>
                <w:rFonts w:ascii="Arial" w:cs="Arial" w:eastAsia="Arial" w:hAnsi="Arial"/>
                <w:sz w:val="13"/>
                <w:szCs w:val="13"/>
                <w:color w:val="auto"/>
              </w:rPr>
              <w:t>Product revenues were as follows (in millions):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0"/>
                <w:szCs w:val="10"/>
                <w:b w:val="1"/>
                <w:bCs w:val="1"/>
                <w:color w:val="auto"/>
                <w:w w:val="96"/>
              </w:rPr>
              <w:t>Year Ended December 31,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4"/>
          </w:tcPr>
          <w:p>
            <w:pPr>
              <w:jc w:val="right"/>
              <w:ind w:right="174"/>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center"/>
              <w:ind w:left="78"/>
              <w:spacing w:after="0" w:line="98" w:lineRule="exact"/>
              <w:rPr>
                <w:sz w:val="20"/>
                <w:szCs w:val="20"/>
                <w:color w:val="auto"/>
              </w:rPr>
            </w:pPr>
            <w:r>
              <w:rPr>
                <w:rFonts w:ascii="Arial" w:cs="Arial" w:eastAsia="Arial" w:hAnsi="Arial"/>
                <w:sz w:val="10"/>
                <w:szCs w:val="10"/>
                <w:b w:val="1"/>
                <w:bCs w:val="1"/>
                <w:color w:val="auto"/>
                <w:w w:val="89"/>
              </w:rPr>
              <w:t>2006</w:t>
            </w: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1,867.8</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87.4%</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1,706.7</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95.9%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7"/>
              </w:rPr>
              <w:t>1,543.1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TYSABRI</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229.9</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35.8</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21.5</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ZEVALIN</w:t>
            </w:r>
          </w:p>
        </w:tc>
        <w:tc>
          <w:tcPr>
            <w:tcW w:w="20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16.9</w:t>
            </w:r>
          </w:p>
        </w:tc>
        <w:tc>
          <w:tcPr>
            <w:tcW w:w="34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86"/>
              </w:rPr>
              <w:t>17.8</w:t>
            </w:r>
          </w:p>
        </w:tc>
        <w:tc>
          <w:tcPr>
            <w:tcW w:w="40" w:type="dxa"/>
            <w:vAlign w:val="bottom"/>
          </w:tcPr>
          <w:p>
            <w:pPr>
              <w:spacing w:after="0"/>
              <w:rPr>
                <w:sz w:val="13"/>
                <w:szCs w:val="13"/>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AMEVIVE</w:t>
            </w:r>
          </w:p>
        </w:tc>
        <w:tc>
          <w:tcPr>
            <w:tcW w:w="2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340" w:type="dxa"/>
            <w:vAlign w:val="bottom"/>
            <w:shd w:val="clear" w:color="auto" w:fill="CCEEFF"/>
          </w:tcPr>
          <w:p>
            <w:pPr>
              <w:spacing w:after="0"/>
              <w:rPr>
                <w:sz w:val="13"/>
                <w:szCs w:val="13"/>
                <w:color w:val="auto"/>
              </w:rPr>
            </w:pPr>
          </w:p>
        </w:tc>
        <w:tc>
          <w:tcPr>
            <w:tcW w:w="520" w:type="dxa"/>
            <w:vAlign w:val="bottom"/>
            <w:tcBorders>
              <w:left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6"/>
              </w:rPr>
              <w:t>11.5</w:t>
            </w:r>
          </w:p>
        </w:tc>
        <w:tc>
          <w:tcPr>
            <w:tcW w:w="4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0.6%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vMerge w:val="restart"/>
          </w:tcPr>
          <w:p>
            <w:pPr>
              <w:ind w:left="140"/>
              <w:spacing w:after="0"/>
              <w:rPr>
                <w:sz w:val="20"/>
                <w:szCs w:val="20"/>
                <w:color w:val="auto"/>
              </w:rPr>
            </w:pPr>
            <w:r>
              <w:rPr>
                <w:rFonts w:ascii="Arial" w:cs="Arial" w:eastAsia="Arial" w:hAnsi="Arial"/>
                <w:sz w:val="13"/>
                <w:szCs w:val="13"/>
                <w:color w:val="auto"/>
              </w:rPr>
              <w:t>Total product revenues</w:t>
            </w: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2,136.8</w:t>
            </w:r>
          </w:p>
        </w:tc>
        <w:tc>
          <w:tcPr>
            <w:tcW w:w="3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1,781.</w:t>
            </w:r>
            <w:r>
              <w:rPr>
                <w:rFonts w:ascii="Arial" w:cs="Arial" w:eastAsia="Arial" w:hAnsi="Arial"/>
                <w:sz w:val="13"/>
                <w:szCs w:val="13"/>
                <w:u w:val="single" w:color="auto"/>
                <w:color w:val="auto"/>
              </w:rPr>
              <w:t>3</w:t>
            </w:r>
          </w:p>
        </w:tc>
        <w:tc>
          <w:tcPr>
            <w:tcW w:w="4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4"/>
                <w:szCs w:val="14"/>
                <w:color w:val="auto"/>
              </w:rPr>
            </w:pPr>
          </w:p>
        </w:tc>
        <w:tc>
          <w:tcPr>
            <w:tcW w:w="180" w:type="dxa"/>
            <w:vAlign w:val="bottom"/>
          </w:tcPr>
          <w:p>
            <w:pPr>
              <w:jc w:val="right"/>
              <w:ind w:right="65"/>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w w:val="87"/>
              </w:rPr>
              <w:t>1,617.0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3"/>
                <w:szCs w:val="13"/>
                <w:b w:val="1"/>
                <w:bCs w:val="1"/>
                <w:color w:val="auto"/>
              </w:rPr>
              <w:t>Cost of Sales</w:t>
            </w:r>
          </w:p>
        </w:tc>
        <w:tc>
          <w:tcPr>
            <w:tcW w:w="2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600" w:type="dxa"/>
            <w:vAlign w:val="bottom"/>
          </w:tcPr>
          <w:p>
            <w:pPr>
              <w:ind w:left="400"/>
              <w:spacing w:after="0"/>
              <w:rPr>
                <w:sz w:val="20"/>
                <w:szCs w:val="20"/>
                <w:color w:val="auto"/>
              </w:rPr>
            </w:pPr>
            <w:r>
              <w:rPr>
                <w:rFonts w:ascii="Arial" w:cs="Arial" w:eastAsia="Arial" w:hAnsi="Arial"/>
                <w:sz w:val="13"/>
                <w:szCs w:val="13"/>
                <w:color w:val="auto"/>
              </w:rPr>
              <w:t>Cost of sales includes the following (in millions):</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330.5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7"/>
              </w:rPr>
              <w:t>98.6%</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center"/>
              <w:ind w:left="58"/>
              <w:spacing w:after="0"/>
              <w:rPr>
                <w:sz w:val="20"/>
                <w:szCs w:val="20"/>
                <w:color w:val="auto"/>
              </w:rPr>
            </w:pPr>
            <w:r>
              <w:rPr>
                <w:rFonts w:ascii="Arial" w:cs="Arial" w:eastAsia="Arial" w:hAnsi="Arial"/>
                <w:sz w:val="13"/>
                <w:szCs w:val="13"/>
                <w:color w:val="auto"/>
                <w:w w:val="92"/>
              </w:rPr>
              <w:t>270.0</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98.4%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Cost of royalty revenues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3"/>
                <w:szCs w:val="13"/>
                <w:color w:val="auto"/>
              </w:rPr>
              <w:t>1.4%</w:t>
            </w:r>
          </w:p>
        </w:tc>
        <w:tc>
          <w:tcPr>
            <w:tcW w:w="340" w:type="dxa"/>
            <w:vAlign w:val="bottom"/>
          </w:tcPr>
          <w:p>
            <w:pPr>
              <w:spacing w:after="0"/>
              <w:rPr>
                <w:sz w:val="13"/>
                <w:szCs w:val="13"/>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4.4</w:t>
            </w:r>
          </w:p>
        </w:tc>
        <w:tc>
          <w:tcPr>
            <w:tcW w:w="980" w:type="dxa"/>
            <w:vAlign w:val="bottom"/>
            <w:gridSpan w:val="5"/>
          </w:tcPr>
          <w:p>
            <w:pPr>
              <w:jc w:val="right"/>
              <w:ind w:right="120"/>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sales</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335.2</w:t>
            </w:r>
          </w:p>
        </w:tc>
        <w:tc>
          <w:tcPr>
            <w:tcW w:w="400" w:type="dxa"/>
            <w:vAlign w:val="bottom"/>
            <w:tcBorders>
              <w:left w:val="single" w:sz="8" w:color="CCEEFF"/>
            </w:tcBorders>
            <w:shd w:val="clear" w:color="auto" w:fill="CCEEFF"/>
          </w:tcPr>
          <w:p>
            <w:pPr>
              <w:spacing w:after="0"/>
              <w:rPr>
                <w:sz w:val="14"/>
                <w:szCs w:val="14"/>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CCEEFF"/>
          </w:tcPr>
          <w:p>
            <w:pPr>
              <w:jc w:val="center"/>
              <w:ind w:left="58"/>
              <w:spacing w:after="0"/>
              <w:rPr>
                <w:sz w:val="20"/>
                <w:szCs w:val="20"/>
                <w:color w:val="auto"/>
              </w:rPr>
            </w:pPr>
            <w:r>
              <w:rPr>
                <w:rFonts w:ascii="Arial" w:cs="Arial" w:eastAsia="Arial" w:hAnsi="Arial"/>
                <w:sz w:val="13"/>
                <w:szCs w:val="13"/>
                <w:color w:val="auto"/>
                <w:w w:val="92"/>
              </w:rPr>
              <w:t>274.4</w:t>
            </w:r>
          </w:p>
        </w:tc>
        <w:tc>
          <w:tcPr>
            <w:tcW w:w="9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ind w:right="76"/>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Product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 of product revenues, included in cost of sales, by product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6"/>
          </w:tcPr>
          <w:p>
            <w:pPr>
              <w:jc w:val="center"/>
              <w:ind w:right="40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9"/>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234.7</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86.9%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228.5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61.9%</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TYSABRI</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10.4</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5.3</w:t>
            </w:r>
          </w:p>
        </w:tc>
        <w:tc>
          <w:tcPr>
            <w:tcW w:w="1160" w:type="dxa"/>
            <w:vAlign w:val="bottom"/>
            <w:gridSpan w:val="3"/>
          </w:tcPr>
          <w:p>
            <w:pPr>
              <w:jc w:val="right"/>
              <w:ind w:right="300"/>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23.9</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ZEVALIN</w:t>
            </w: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14.0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16.2</w:t>
            </w:r>
          </w:p>
        </w:tc>
        <w:tc>
          <w:tcPr>
            <w:tcW w:w="1160" w:type="dxa"/>
            <w:vAlign w:val="bottom"/>
            <w:gridSpan w:val="3"/>
          </w:tcPr>
          <w:p>
            <w:pPr>
              <w:jc w:val="right"/>
              <w:ind w:right="300"/>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22.8</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AMEVIVE</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25.4%</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43.1</w:t>
            </w:r>
          </w:p>
        </w:tc>
        <w:tc>
          <w:tcPr>
            <w:tcW w:w="4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1160" w:type="dxa"/>
            <w:vAlign w:val="bottom"/>
            <w:gridSpan w:val="3"/>
          </w:tcPr>
          <w:p>
            <w:pPr>
              <w:jc w:val="right"/>
              <w:ind w:right="300"/>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13"/>
                <w:szCs w:val="1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Cost of 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270.0</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369.2</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Included in cost of product revenues, other, for the year ended December 31, 2007 is idle capacity costs of approximately $41.7 million pertaining to our Hillerod and RTP facilities.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AVONEX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U.S.</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1,085.0</w:t>
            </w:r>
          </w:p>
        </w:tc>
        <w:tc>
          <w:tcPr>
            <w:tcW w:w="4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58.1%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1,022.2</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59.9%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938.7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782.8</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684.5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40.1%</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80"/>
              <w:spacing w:after="0"/>
              <w:rPr>
                <w:sz w:val="20"/>
                <w:szCs w:val="20"/>
                <w:color w:val="auto"/>
              </w:rPr>
            </w:pPr>
            <w:r>
              <w:rPr>
                <w:rFonts w:ascii="Arial" w:cs="Arial" w:eastAsia="Arial" w:hAnsi="Arial"/>
                <w:sz w:val="13"/>
                <w:szCs w:val="13"/>
                <w:color w:val="auto"/>
              </w:rPr>
              <w:t>Total AVONEX revenues</w:t>
            </w: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1,867.</w:t>
            </w:r>
            <w:r>
              <w:rPr>
                <w:rFonts w:ascii="Arial" w:cs="Arial" w:eastAsia="Arial" w:hAnsi="Arial"/>
                <w:sz w:val="13"/>
                <w:szCs w:val="13"/>
                <w:u w:val="single" w:color="auto"/>
                <w:color w:val="auto"/>
              </w:rPr>
              <w:t>8</w:t>
            </w:r>
          </w:p>
        </w:tc>
        <w:tc>
          <w:tcPr>
            <w:tcW w:w="4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1,706.</w:t>
            </w:r>
            <w:r>
              <w:rPr>
                <w:rFonts w:ascii="Arial" w:cs="Arial" w:eastAsia="Arial" w:hAnsi="Arial"/>
                <w:sz w:val="13"/>
                <w:szCs w:val="13"/>
                <w:u w:val="single" w:color="auto"/>
                <w:color w:val="auto"/>
              </w:rPr>
              <w:t>7</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1,543.</w:t>
            </w:r>
            <w:r>
              <w:rPr>
                <w:rFonts w:ascii="Arial" w:cs="Arial" w:eastAsia="Arial" w:hAnsi="Arial"/>
                <w:sz w:val="13"/>
                <w:szCs w:val="13"/>
                <w:u w:val="single" w:color="auto"/>
                <w:color w:val="auto"/>
              </w:rPr>
              <w:t>1</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80" w:firstLine="399"/>
        <w:spacing w:after="0" w:line="371" w:lineRule="auto"/>
        <w:rPr>
          <w:sz w:val="20"/>
          <w:szCs w:val="20"/>
          <w:color w:val="auto"/>
        </w:rPr>
      </w:pPr>
      <w:r>
        <w:rPr>
          <w:rFonts w:ascii="Arial" w:cs="Arial" w:eastAsia="Arial" w:hAnsi="Arial"/>
          <w:sz w:val="11"/>
          <w:szCs w:val="11"/>
          <w:color w:val="auto"/>
        </w:rPr>
        <w:t>For 2007 compared to 2006, U.S. sales of AVONEX increased $62.8 million, or 6.1%, primarily due to the impact of price increases offset by decreased product demand resulting in lower volume. For 2007 compared to 2006 and international sales of AVONEX increased $98.3 million, or 14.4%, primarily due to the impact of exchange rates and higher sales volume.</w:t>
      </w:r>
    </w:p>
    <w:p>
      <w:pPr>
        <w:spacing w:after="0" w:line="12" w:lineRule="exact"/>
        <w:rPr>
          <w:sz w:val="20"/>
          <w:szCs w:val="20"/>
          <w:color w:val="auto"/>
        </w:rPr>
      </w:pPr>
    </w:p>
    <w:p>
      <w:pPr>
        <w:ind w:left="680" w:right="900" w:firstLine="399"/>
        <w:spacing w:after="0" w:line="280" w:lineRule="auto"/>
        <w:rPr>
          <w:sz w:val="20"/>
          <w:szCs w:val="20"/>
          <w:color w:val="auto"/>
        </w:rPr>
      </w:pPr>
      <w:r>
        <w:rPr>
          <w:rFonts w:ascii="Arial" w:cs="Arial" w:eastAsia="Arial" w:hAnsi="Arial"/>
          <w:sz w:val="12"/>
          <w:szCs w:val="12"/>
          <w:color w:val="auto"/>
        </w:rPr>
        <w:t>For 2006 compared to 2005, U.S. sales of AVONEX increased $83.5 million, or 8.9%, primarily due to the impact of price increases and a reduction in discounts associated with the introduction of the Medicare Part D prescription drug benefit. These increases were offset by lower volume. For 2006 compared to 2005, international sales of AVONEX increased</w:t>
      </w:r>
    </w:p>
    <w:p>
      <w:pPr>
        <w:ind w:left="680" w:right="820"/>
        <w:spacing w:after="0" w:line="264" w:lineRule="auto"/>
        <w:rPr>
          <w:sz w:val="20"/>
          <w:szCs w:val="20"/>
          <w:color w:val="auto"/>
        </w:rPr>
      </w:pPr>
      <w:r>
        <w:rPr>
          <w:rFonts w:ascii="Arial" w:cs="Arial" w:eastAsia="Arial" w:hAnsi="Arial"/>
          <w:sz w:val="13"/>
          <w:szCs w:val="13"/>
          <w:color w:val="auto"/>
        </w:rPr>
        <w:t>$80.1 million, or 13.3%, primarily due to increases in volume and price, including the impact of patient mix. Foreign exchange accounted for a 0.6% increase in reported revenues; on a local currency basis, international sales increased 12.7%.</w:t>
      </w:r>
    </w:p>
    <w:p>
      <w:pPr>
        <w:spacing w:after="0" w:line="67" w:lineRule="exact"/>
        <w:rPr>
          <w:sz w:val="20"/>
          <w:szCs w:val="20"/>
          <w:color w:val="auto"/>
        </w:rPr>
      </w:pPr>
    </w:p>
    <w:p>
      <w:pPr>
        <w:ind w:left="680" w:right="1140" w:firstLine="399"/>
        <w:spacing w:after="0" w:line="320" w:lineRule="auto"/>
        <w:rPr>
          <w:sz w:val="20"/>
          <w:szCs w:val="20"/>
          <w:color w:val="auto"/>
        </w:rPr>
      </w:pPr>
      <w:r>
        <w:rPr>
          <w:rFonts w:ascii="Arial" w:cs="Arial" w:eastAsia="Arial" w:hAnsi="Arial"/>
          <w:sz w:val="12"/>
          <w:szCs w:val="12"/>
          <w:color w:val="auto"/>
        </w:rPr>
        <w:t>We expect to face increasing competition in the MS marketplace in and outside the U.S. from existing and new MS treatments, including TYSABRI, which may impact sales of AVONEX. We expect future sales of AVONEX to be dependent to a large extent on our ability to compete successfully with the products of our competitors.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TYSABRI were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TYSABRI</w:t>
            </w:r>
          </w:p>
        </w:tc>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tcPr>
          <w:p>
            <w:pPr>
              <w:ind w:left="140"/>
              <w:spacing w:after="0"/>
              <w:rPr>
                <w:sz w:val="20"/>
                <w:szCs w:val="20"/>
                <w:color w:val="auto"/>
              </w:rPr>
            </w:pPr>
            <w:r>
              <w:rPr>
                <w:rFonts w:ascii="Arial" w:cs="Arial" w:eastAsia="Arial" w:hAnsi="Arial"/>
                <w:sz w:val="13"/>
                <w:szCs w:val="13"/>
                <w:color w:val="auto"/>
              </w:rPr>
              <w:t>U.S.</w:t>
            </w:r>
          </w:p>
        </w:tc>
        <w:tc>
          <w:tcPr>
            <w:tcW w:w="23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104.4</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45.4%</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25.8</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72.1%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4.7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 of world</w:t>
            </w:r>
          </w:p>
        </w:tc>
        <w:tc>
          <w:tcPr>
            <w:tcW w:w="2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80" w:type="dxa"/>
            <w:vAlign w:val="bottom"/>
            <w:vMerge w:val="restart"/>
          </w:tcPr>
          <w:p>
            <w:pPr>
              <w:ind w:left="280"/>
              <w:spacing w:after="0"/>
              <w:rPr>
                <w:sz w:val="20"/>
                <w:szCs w:val="20"/>
                <w:color w:val="auto"/>
              </w:rPr>
            </w:pPr>
            <w:r>
              <w:rPr>
                <w:rFonts w:ascii="Arial" w:cs="Arial" w:eastAsia="Arial" w:hAnsi="Arial"/>
                <w:sz w:val="13"/>
                <w:szCs w:val="13"/>
                <w:color w:val="auto"/>
              </w:rPr>
              <w:t>Total TYSABRI revenues</w:t>
            </w: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229.9</w:t>
            </w:r>
          </w:p>
        </w:tc>
        <w:tc>
          <w:tcPr>
            <w:tcW w:w="3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35.8</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100.0%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4.7</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20" w:type="dxa"/>
            <w:vAlign w:val="bottom"/>
          </w:tcPr>
          <w:p>
            <w:pPr>
              <w:jc w:val="right"/>
              <w:ind w:right="374"/>
              <w:spacing w:after="0"/>
              <w:rPr>
                <w:sz w:val="20"/>
                <w:szCs w:val="20"/>
                <w:color w:val="auto"/>
              </w:rPr>
            </w:pPr>
            <w:r>
              <w:rPr>
                <w:rFonts w:ascii="Arial" w:cs="Arial" w:eastAsia="Arial" w:hAnsi="Arial"/>
                <w:sz w:val="13"/>
                <w:szCs w:val="13"/>
                <w:color w:val="auto"/>
              </w:rPr>
              <w:t>51</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Under the terms of a collaboration agreement with Elan Corporation plc, or Elan, we manufacture TYSABRI and collaborate with Elan on the product’s marketing, commercial distribution and on-going development activities. We recognize revenue for sales of TYSABRI in the U.S. upon Elan’s shipment of the product to third party distributors. We recognize revenue for sales of TYSABRI outside the U.S. at the time of product delivery to our customers.</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November 2004, TYSABRI was approved by the U.S. Food and Drug Administration, or FDA, as a treatment for relapsing forms of MS to reduce the frequency of clinical relapses. In February 2005, in consultation with the FDA, we and Elan voluntarily suspended the marketing and commercial distribution of TYSABRI, and we informed physicians that they should suspend dosing of TYSABRI until further notification. In 2005, our net revenue associated with sales of TYSABRI was $4.7 million, which consisted of revenue of $15.1 million from sales that occurred prior to our voluntary suspension, offset by an allowance for sales returns of $10.4 million related to returns of product sold prior to the suspension.</w:t>
      </w:r>
    </w:p>
    <w:p>
      <w:pPr>
        <w:spacing w:after="0" w:line="53"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On June 5, 2006, the FDA approved a supplemental Biologics License Application, or sBLA, for the reintroduction of TYSABRI as a monotherapy treatment for relapsing forms of MS to slow the progression of disability and reduce the frequency of clinical relapses. On June 29, 2006, we and Elan announced that the European Medicines Agency, or EMEA, had approved TYSABRI as a similar treatment. In July 2006, we began to ship TYSABRI in both the United States and Europe. In 2006, we recorded revenue on sales of TYSABRI in the U.S. and Europe relating to 2006 activity of $11.9 million and $10.0 million, respectively. Prior to the suspension of TYSABRI in 2005, we shipped product to Elan in the U.S. and recognized revenue in accordance with the policy described above. As a result of the suspension of TYSABRI, we had deferred $14.0 million in revenue related to TYSABRI product that remained in Elan’s ending inventory. This amount was paid by Elan during 2005 and was subsequently recognized as revenue during 2006, when the uncertainty about the ultimate disposition of the product was eliminated. In 2007, we have recorded revenue on sales of TYSABRI in the U.S. and Europe of $104.4 million and $125.5 million, respectively. The increase in 2007 sales over 2006 sales is primarily due to an increase in the number of patients using TYSABRI and increased volumes, as the product was being shipped for the entire 12 months during 2007.</w:t>
      </w:r>
    </w:p>
    <w:p>
      <w:pPr>
        <w:spacing w:after="0" w:line="74"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During 2007 and 2006, we had product on hand that had been fully written-off in 2005 due to the uncertainties surrounding the TYSABRI suspension but which is available to fill future orders. As we sold TYSABRI in 2007 and 2006, we realized lower than normal cost of sales and, therefore, higher margins, as we shipped the inventory that had been previously written-off. For 2007 and 2006, cost of sales was approximately $12.6 million and $2.6 million, respectively, lower due to the sale of TYSABRI that had been previously written-off. All TYSABRI inventory that had been previously written-off had been shipped as of December 31, 2007.</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FUMADERM was produced by Fumapharm, which we acquired in June 2006. In December 2006, we acquired the right to distribute FUMADERM in Germany from Fumedica, beginning on May 1, 2007. In connection with the acquisition of the FUMADERM distribution rights in Germany, we committed to the repurchase of any inventory Fumedica had not sold by May 1, 2007. As a result of this provision, we deferred the recognition of revenue on shipments made to Fumedica through April 30, 2007. We resumed recognizing revenue on sales of FUMADERM into the German market in May 2007. Sales of FUMADERM for 2007 and 2006 were $21.5 million and $9.5 million, respectively. The increase in 2007 sales over 2006 sales is primarily due to increased volumes.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2007, 2006 and 2005 sales of ZEVALIN were $16.9 million, $17.8 million and $20.7 million, respectively, of which $13.9 million, $16.4 million, and $19.4 million respectively, were generated in the U.S. The decrease in total ZEVALIN sales in 2007 compared to 2006 was primarily due to the reduction in sales and marketing efforts in 2007 as we prepared for the sale of our rights to market, sell, manufacture and develop ZEVALIN in the U.S., which was completed in December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AMEVIVE</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In 2007, 2006 and 2005, sales of AMEVIVE were $0.7 million, $11.5 million and $48.5 million, respectively, of which $0.3 million, $5.0 million and $34.9 million, respectively, were generated in the U.S. The decrease in total AMEVIVE sales for 2007 compared to 2006 and for 2006 compared to 2005 was due to the sale, in April 2006, of our worldwide rights and infrastructure related to sales, production, and marketing of AMEVIVE.</w:t>
      </w:r>
    </w:p>
    <w:p>
      <w:pPr>
        <w:spacing w:after="0" w:line="67"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Although we sold the rights to this product, we continue to report a small amount of product revenues related to shipments made by certain of our overseas joint ventures, which we consolidate.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for Discounts and Allowances</w:t>
      </w:r>
    </w:p>
    <w:p>
      <w:pPr>
        <w:spacing w:after="0" w:line="100" w:lineRule="exact"/>
        <w:rPr>
          <w:sz w:val="20"/>
          <w:szCs w:val="20"/>
          <w:color w:val="auto"/>
        </w:rPr>
      </w:pPr>
    </w:p>
    <w:p>
      <w:pPr>
        <w:ind w:left="680" w:right="1020" w:firstLine="399"/>
        <w:spacing w:after="0" w:line="334" w:lineRule="auto"/>
        <w:rPr>
          <w:sz w:val="20"/>
          <w:szCs w:val="20"/>
          <w:color w:val="auto"/>
        </w:rPr>
      </w:pPr>
      <w:r>
        <w:rPr>
          <w:rFonts w:ascii="Arial" w:cs="Arial" w:eastAsia="Arial" w:hAnsi="Arial"/>
          <w:sz w:val="11"/>
          <w:szCs w:val="11"/>
          <w:color w:val="auto"/>
        </w:rPr>
        <w:t>Revenues from product sales are recognized when product is shipped and title and risk of loss has passed to the customer, typically upon delivery. Revenues are recorded net of applicable allowances for trade term discounts, wholesaler incentives, Medicaid rebates, Veteran’s Administration, or VA, rebates, managed care rebates, product returns, other applicable allowances and, in 2006 and 2005, patient assistance and patient replacement goods. The estimates we make with respect to these allowances represent significant judgments.</w:t>
      </w:r>
    </w:p>
    <w:p>
      <w:pPr>
        <w:spacing w:after="0" w:line="32"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Effective January 1, 2007, we changed the manner in which we administer our patient assistance and patient replacement goods programs. Prior to January 1, 2007, AVONEX product shipped for these programs was invoiced and recorded as gross product revenue and an offsetting provision for discount and returns was recorded for expected credit requests from the distributor that administers these programs on our behalf. Effective January 1, 2007, we entered into a new arrangement with a distributor, which established a consignment sales model. Under the new sales model, gross revenue is not recorded for product shipped to satisfy these programs, and cost of sales is recorded when the product is shipped.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Provisions for discounts and allowances reduced gross product revenues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Discounts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45.7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102.9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Contractual adjustments</w:t>
            </w: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105.2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93.3</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93.8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Returns</w:t>
            </w:r>
          </w:p>
        </w:tc>
        <w:tc>
          <w:tcPr>
            <w:tcW w:w="3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vMerge w:val="restart"/>
          </w:tcPr>
          <w:p>
            <w:pPr>
              <w:ind w:left="140"/>
              <w:spacing w:after="0"/>
              <w:rPr>
                <w:sz w:val="20"/>
                <w:szCs w:val="20"/>
                <w:color w:val="auto"/>
              </w:rPr>
            </w:pPr>
            <w:r>
              <w:rPr>
                <w:rFonts w:ascii="Arial" w:cs="Arial" w:eastAsia="Arial" w:hAnsi="Arial"/>
                <w:sz w:val="13"/>
                <w:szCs w:val="13"/>
                <w:color w:val="auto"/>
              </w:rPr>
              <w:t>Total allowances</w:t>
            </w: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3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173.0</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234.9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226.3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Gross product revenues</w:t>
            </w:r>
          </w:p>
        </w:tc>
        <w:tc>
          <w:tcPr>
            <w:tcW w:w="3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2,309.8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2,016.2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1,843.3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3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7.5%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620" w:type="dxa"/>
            <w:vAlign w:val="bottom"/>
          </w:tcPr>
          <w:p>
            <w:pPr>
              <w:jc w:val="right"/>
              <w:ind w:right="1854"/>
              <w:spacing w:after="0"/>
              <w:rPr>
                <w:sz w:val="20"/>
                <w:szCs w:val="20"/>
                <w:color w:val="auto"/>
              </w:rPr>
            </w:pPr>
            <w:r>
              <w:rPr>
                <w:rFonts w:ascii="Arial" w:cs="Arial" w:eastAsia="Arial" w:hAnsi="Arial"/>
                <w:sz w:val="13"/>
                <w:szCs w:val="13"/>
                <w:color w:val="auto"/>
              </w:rPr>
              <w:t>53</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86"/>
              </w:rPr>
              <w:t>Discounts</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Contractual</w:t>
            </w:r>
          </w:p>
        </w:tc>
        <w:tc>
          <w:tcPr>
            <w:tcW w:w="6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9"/>
              </w:rPr>
              <w:t>Returns</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8"/>
              </w:rPr>
              <w:t>Adjustments</w:t>
            </w: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(30.3)</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102.9</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(3.1)</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(35.4)</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30.5</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18.4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106.5</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(19.0)</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product revenue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Product revenue reserves are categorized as follows: discounts, contractual adjustments and returns.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Discount reserves include trade term discounts, wholesaler incentives and, in 2006 and 2005, patient assistance. For 2007 compared to 2006, discounts decreased $57.2 million, or 55.6%, resulting from a $67.5 million reduction related to the change of patient assistance to a consignment model, offset by increases in trade term discounts and wholesaler incentives. For 2006 compared to 2005, discounts decreased $3.6 million, or 3.4%, reflecting lower amounts of AVONEX distributed through our patient assistance program.</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Contractual adjustment reserves relate to Medicaid, VA and managed care rebates and other applicable allowances. For 2007 compared to 2006, contractual adjustments increased $11.9 million, or 12.8%, primarily due to the impact of higher reserves for managed care (associated with higher level of activity with respect to rebates) and Medicaid and VA programs (associated with price increases). For 2006 compared to 2005, contractual adjustments were consistent reflecting more activity in the managed care markets, offset by a reduction in Medicaid activity due to the introduction of Medicare Part D, the expanded prescription drug benefit program.</w:t>
      </w:r>
    </w:p>
    <w:p>
      <w:pPr>
        <w:spacing w:after="0" w:line="70" w:lineRule="exact"/>
        <w:rPr>
          <w:sz w:val="20"/>
          <w:szCs w:val="20"/>
          <w:color w:val="auto"/>
        </w:rPr>
      </w:pPr>
    </w:p>
    <w:p>
      <w:pPr>
        <w:ind w:left="680" w:right="540" w:firstLine="399"/>
        <w:spacing w:after="0" w:line="320" w:lineRule="auto"/>
        <w:rPr>
          <w:sz w:val="20"/>
          <w:szCs w:val="20"/>
          <w:color w:val="auto"/>
        </w:rPr>
      </w:pPr>
      <w:r>
        <w:rPr>
          <w:rFonts w:ascii="Arial" w:cs="Arial" w:eastAsia="Arial" w:hAnsi="Arial"/>
          <w:sz w:val="12"/>
          <w:szCs w:val="12"/>
          <w:color w:val="auto"/>
        </w:rPr>
        <w:t>Product return reserves are established for returns made by wholesalers and our patient replacement goods program in 2006 and 2005. In accordance with contractual terms, wholesalers are permitted to return product for reasons such as damaged or expired product. We also accept returns from our patients for various reasons. For 2007</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color w:val="auto"/>
        </w:rPr>
        <w:t>compared to 2006, returns decreased $16.6 million, or 42.9%, primarily due to a $15.0 million decrease related to the change to a consignment sales model for patient replacement goods. For 2006 compared to 2005, returns increased $12.7 million, or 48.8%, as a result of an adjustment of $6.9 million to increase reserve levels to correct prior period errors, and higher return experience in 2006. These increases were offset by the impact of returns made in connection with the suspension of TYSABRI in 2005.</w:t>
      </w:r>
    </w:p>
    <w:p>
      <w:pPr>
        <w:spacing w:after="0" w:line="67"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Reserves for product returns are recorded in the period the related revenue is recognized, resulting in a reduction to product sales.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Unconsolidated Joint Business Revenues</w:t>
      </w:r>
    </w:p>
    <w:p>
      <w:pPr>
        <w:spacing w:after="0" w:line="10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We copromote RITUXAN in the U.S. in collaboration with Genentech, Inc., or Genentech, under a collaboration agreement between the parties. Under the collaboration agreement, we granted Genentech a worldwide license to develop, commercialize and market RITUXAN in multiple indications. In exchange for these worldwide rights, we have copromotion rights in the U.S. and a contractual arrangement under which Genentech shares a portion of the pretax U.S. copromotion profits of RITUXAN with us. This collaboration was created through a contractual arrangement, not through a joint venture or other legal entity. In June 2003, we amended and restated our collaboration agreement with Genentech to include the development and commercialization of one or more anti-CD20 antibodies targeting B-cell disorders, in addition to RITUXAN, for a broad range of indications.</w:t>
      </w:r>
    </w:p>
    <w:p>
      <w:pPr>
        <w:spacing w:after="0" w:line="55"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In the U.S., we contribute resources to selling and the continued development of RITUXAN. Genentech is responsible for worldwide manufacturing of RITUXAN. Genentech also is responsible for the primary support functions for the commercialization of RITUXAN in the U.S. including selling and marketing, customer service, order entry, distribution, shipping and billing. Genentech also incurs the majority of continuing development costs for RITUXAN. Under the arrangement, we have a limited sales force as well as limited development activity.</w:t>
      </w:r>
    </w:p>
    <w:p>
      <w:pPr>
        <w:spacing w:after="0" w:line="5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Under the terms of separate sublicense agreements between Genentech and F. Hoffman-La Roche Ltd., or Roche, commercialization of RITUXAN outside the U.S. is the responsibility of Roche, except in Japan where Roche copromotes RITUXAN in collaboration with Zenyaku Kogyo Co Ltd., or Zenyaku. There is no direct contractual arrangement between us and Roche or Zenyaku.</w:t>
      </w:r>
    </w:p>
    <w:p>
      <w:pPr>
        <w:spacing w:after="0" w:line="67"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Revenues from unconsolidated joint business consists of our share of pretax copromotion profits, which is calculated by Genentech, and includes consideration of our RITUXAN-related sales force and development expenses, and royalty revenue from sales of RITUXAN outside the U.S. by Roche and Zenyaku. Pre-tax copromotion profit consists of U.S. sales of RITUXAN to third-party customers net of discounts and allowances less the cost to manufacture RITUXAN, third-party royalty expenses, distribution, selling and marketing expenses, and joint development expenses incurred by Genentech and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unconsolidated joint business consist of the following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Arial" w:cs="Arial" w:eastAsia="Arial" w:hAnsi="Arial"/>
                <w:sz w:val="13"/>
                <w:szCs w:val="13"/>
                <w:color w:val="auto"/>
              </w:rPr>
              <w:t>Reimbursement of selling and development expenses</w:t>
            </w: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58.5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Royalty revenue on sales of RITUXAN outside the U.S.</w:t>
            </w:r>
          </w:p>
        </w:tc>
        <w:tc>
          <w:tcPr>
            <w:tcW w:w="3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926.1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708.9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60" w:type="dxa"/>
            <w:vAlign w:val="bottom"/>
          </w:tcPr>
          <w:p>
            <w:pPr>
              <w:jc w:val="right"/>
              <w:ind w:right="2474"/>
              <w:spacing w:after="0"/>
              <w:rPr>
                <w:sz w:val="20"/>
                <w:szCs w:val="20"/>
                <w:color w:val="auto"/>
              </w:rPr>
            </w:pPr>
            <w:r>
              <w:rPr>
                <w:rFonts w:ascii="Arial" w:cs="Arial" w:eastAsia="Arial" w:hAnsi="Arial"/>
                <w:sz w:val="13"/>
                <w:szCs w:val="13"/>
                <w:color w:val="auto"/>
              </w:rPr>
              <w:t>55</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Copromotion profits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2,284.8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2,071.2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1,831.5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Costs and expenses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669.3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534.6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1,554.6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1,401.9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1,296.9</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Biogen Idec’s share of copromotion profits</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616.8</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555.8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513.8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20" w:firstLine="399"/>
        <w:spacing w:after="0" w:line="260" w:lineRule="auto"/>
        <w:rPr>
          <w:sz w:val="20"/>
          <w:szCs w:val="20"/>
          <w:color w:val="auto"/>
        </w:rPr>
      </w:pPr>
      <w:r>
        <w:rPr>
          <w:rFonts w:ascii="Arial" w:cs="Arial" w:eastAsia="Arial" w:hAnsi="Arial"/>
          <w:sz w:val="13"/>
          <w:szCs w:val="13"/>
          <w:color w:val="auto"/>
        </w:rPr>
        <w:t>Net sales of RITUXAN to third-party customers in the U.S. recorded by Genentech for 2007 were $2,284.8 million compared to $2,071.2 million in 2006 and $1,831.5 million in 2005. The increase in 2007 from 2006 was primarily due to increased unit sales in treatments of B-cell NHLs and chronic lymphocytic leukemia (an unapproved use of RITUXAN), increased utilization for RA and increases in the wholesale price of RITUXAN. The increase in 2006 from 2005 was primarily due to the approval by the FDA of RITUXAN for two new indications, RA and diffuse large B-cell lymphoma and an increase in wholesale prices.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2007 compared to 2006, reimbursements of selling and development expenses decreased $2.6 million, or 4.2%. For 2006 compared to 2005, such reimbursements increased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$13.5 million, or 28.3%. This increase was primarily due to the expansion of the oncology sales force and development costs we incurred related to the development of RITUXAN for RA.</w:t>
      </w:r>
    </w:p>
    <w:p>
      <w:pPr>
        <w:spacing w:after="0" w:line="89" w:lineRule="exact"/>
        <w:rPr>
          <w:sz w:val="20"/>
          <w:szCs w:val="20"/>
          <w:color w:val="auto"/>
        </w:rPr>
      </w:pPr>
    </w:p>
    <w:p>
      <w:pPr>
        <w:ind w:left="680" w:right="920" w:firstLine="399"/>
        <w:spacing w:after="0" w:line="305" w:lineRule="auto"/>
        <w:rPr>
          <w:sz w:val="20"/>
          <w:szCs w:val="20"/>
          <w:color w:val="auto"/>
        </w:rPr>
      </w:pPr>
      <w:r>
        <w:rPr>
          <w:rFonts w:ascii="Arial" w:cs="Arial" w:eastAsia="Arial" w:hAnsi="Arial"/>
          <w:sz w:val="11"/>
          <w:szCs w:val="11"/>
          <w:color w:val="auto"/>
        </w:rPr>
        <w:t>Our royalty revenue on sales of RITUXAN outside the U.S. is based on Roche and Zenyaku’s net sales to third-party customers and is recorded on a cash basis. Royalty revenues in 2007 compared to 2006 increased $56.8 million, or 29.3% due to increased sales of RITUXAN outside the U.S. Royalty revenues in 2006 compared to 2005 increased $46.5 million, or</w:t>
      </w:r>
    </w:p>
    <w:p>
      <w:pPr>
        <w:spacing w:after="0" w:line="1" w:lineRule="exact"/>
        <w:rPr>
          <w:sz w:val="20"/>
          <w:szCs w:val="20"/>
          <w:color w:val="auto"/>
        </w:rPr>
      </w:pPr>
    </w:p>
    <w:p>
      <w:pPr>
        <w:ind w:left="680" w:right="860"/>
        <w:spacing w:after="0" w:line="264" w:lineRule="auto"/>
        <w:rPr>
          <w:sz w:val="20"/>
          <w:szCs w:val="20"/>
          <w:color w:val="auto"/>
        </w:rPr>
      </w:pPr>
      <w:r>
        <w:rPr>
          <w:rFonts w:ascii="Arial" w:cs="Arial" w:eastAsia="Arial" w:hAnsi="Arial"/>
          <w:sz w:val="13"/>
          <w:szCs w:val="13"/>
          <w:color w:val="auto"/>
        </w:rPr>
        <w:t>31.5%, primarily due to increased market penetration and an increase in prices. The royalty period with respect to all products is 11 years from the first commercial sale of such product on a country by country basis. RITUXAN was launched in 1998 in most European countries and in 2001 in Japan.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amended and restated collaboration agreement, our current pretax copromotion profit-sharing formula, which resets annually,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Copromotion Operating Profits</w:t>
            </w:r>
          </w:p>
        </w:tc>
        <w:tc>
          <w:tcPr>
            <w:tcW w:w="19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Biogen Idec’s Share</w:t>
            </w:r>
          </w:p>
        </w:tc>
        <w:tc>
          <w:tcPr>
            <w:tcW w:w="0" w:type="dxa"/>
            <w:vAlign w:val="bottom"/>
          </w:tcPr>
          <w:p>
            <w:pPr>
              <w:spacing w:after="0"/>
              <w:rPr>
                <w:sz w:val="1"/>
                <w:szCs w:val="1"/>
                <w:color w:val="auto"/>
              </w:rPr>
            </w:pPr>
          </w:p>
        </w:tc>
      </w:tr>
      <w:tr>
        <w:trPr>
          <w:trHeight w:val="125"/>
        </w:trPr>
        <w:tc>
          <w:tcPr>
            <w:tcW w:w="8080" w:type="dxa"/>
            <w:vAlign w:val="bottom"/>
            <w:gridSpan w:val="2"/>
            <w:vMerge w:val="continue"/>
          </w:tcPr>
          <w:p>
            <w:pPr>
              <w:spacing w:after="0"/>
              <w:rPr>
                <w:sz w:val="10"/>
                <w:szCs w:val="10"/>
                <w:color w:val="auto"/>
              </w:rPr>
            </w:pPr>
          </w:p>
        </w:tc>
        <w:tc>
          <w:tcPr>
            <w:tcW w:w="1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of Copromotion Profits</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80" w:type="dxa"/>
            <w:vAlign w:val="bottom"/>
            <w:gridSpan w:val="2"/>
          </w:tcPr>
          <w:p>
            <w:pPr>
              <w:spacing w:after="0"/>
              <w:rPr>
                <w:sz w:val="20"/>
                <w:szCs w:val="20"/>
                <w:color w:val="auto"/>
              </w:rPr>
            </w:pPr>
            <w:r>
              <w:rPr>
                <w:rFonts w:ascii="Arial" w:cs="Arial" w:eastAsia="Arial" w:hAnsi="Arial"/>
                <w:sz w:val="13"/>
                <w:szCs w:val="13"/>
                <w:color w:val="auto"/>
              </w:rPr>
              <w:t>First $50 million</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5"/>
        </w:trPr>
        <w:tc>
          <w:tcPr>
            <w:tcW w:w="8080" w:type="dxa"/>
            <w:vAlign w:val="bottom"/>
            <w:gridSpan w:val="2"/>
          </w:tcPr>
          <w:p>
            <w:pPr>
              <w:spacing w:after="0"/>
              <w:rPr>
                <w:sz w:val="20"/>
                <w:szCs w:val="20"/>
                <w:color w:val="auto"/>
              </w:rPr>
            </w:pPr>
            <w:r>
              <w:rPr>
                <w:rFonts w:ascii="Arial" w:cs="Arial" w:eastAsia="Arial" w:hAnsi="Arial"/>
                <w:sz w:val="13"/>
                <w:szCs w:val="13"/>
                <w:color w:val="auto"/>
              </w:rPr>
              <w:t>Greater than $50 million</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46"/>
        </w:trPr>
        <w:tc>
          <w:tcPr>
            <w:tcW w:w="80" w:type="dxa"/>
            <w:vAlign w:val="bottom"/>
          </w:tcPr>
          <w:p>
            <w:pPr>
              <w:spacing w:after="0"/>
              <w:rPr>
                <w:sz w:val="21"/>
                <w:szCs w:val="21"/>
                <w:color w:val="auto"/>
              </w:rPr>
            </w:pPr>
          </w:p>
        </w:tc>
        <w:tc>
          <w:tcPr>
            <w:tcW w:w="8000" w:type="dxa"/>
            <w:vAlign w:val="bottom"/>
          </w:tcPr>
          <w:p>
            <w:pPr>
              <w:ind w:left="320"/>
              <w:spacing w:after="0"/>
              <w:rPr>
                <w:sz w:val="20"/>
                <w:szCs w:val="20"/>
                <w:color w:val="auto"/>
              </w:rPr>
            </w:pPr>
            <w:r>
              <w:rPr>
                <w:rFonts w:ascii="Arial" w:cs="Arial" w:eastAsia="Arial" w:hAnsi="Arial"/>
                <w:sz w:val="13"/>
                <w:szCs w:val="13"/>
                <w:color w:val="auto"/>
              </w:rPr>
              <w:t>In 2007, 2006, and 2005, the 40% threshold was met during the first quarter.</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820" w:firstLine="399"/>
        <w:spacing w:after="0" w:line="260" w:lineRule="auto"/>
        <w:rPr>
          <w:sz w:val="20"/>
          <w:szCs w:val="20"/>
          <w:color w:val="auto"/>
        </w:rPr>
      </w:pPr>
      <w:r>
        <w:rPr>
          <w:rFonts w:ascii="Arial" w:cs="Arial" w:eastAsia="Arial" w:hAnsi="Arial"/>
          <w:sz w:val="13"/>
          <w:szCs w:val="13"/>
          <w:color w:val="auto"/>
        </w:rPr>
        <w:t>For each calendar year or portion thereof following the approval date of the first new anti-CD20 product, the pretax copromotion profit-sharing formula for RITUXAN and other anti-CD20 products sold by us and Genentech will change. Additionally, under the amended and restated collaboration agreement, we will receive lower royalty revenue from Genentech on sales by Roche and Zenyaku of new anti-CD20 products, if and when commercially available, as compared to royalty revenue received on sales of RITUXAN. (See Note 16, Unconsolidated Joint Business Arrangement, for further detail).</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Revenue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revenues consist of the following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0"/>
                <w:szCs w:val="10"/>
                <w:b w:val="1"/>
                <w:bCs w:val="1"/>
                <w:color w:val="auto"/>
              </w:rPr>
              <w:t>Year Ended December 31,</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Royalties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86.2</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Corporate partner</w:t>
            </w: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6.6</w:t>
            </w:r>
          </w:p>
        </w:tc>
        <w:tc>
          <w:tcPr>
            <w:tcW w:w="3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1140" w:type="dxa"/>
            <w:vAlign w:val="bottom"/>
            <w:gridSpan w:val="3"/>
          </w:tcPr>
          <w:p>
            <w:pPr>
              <w:jc w:val="right"/>
              <w:ind w:right="30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w:t>
            </w:r>
          </w:p>
        </w:tc>
        <w:tc>
          <w:tcPr>
            <w:tcW w:w="3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90.8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60" w:type="dxa"/>
            <w:vAlign w:val="bottom"/>
          </w:tcPr>
          <w:p>
            <w:pPr>
              <w:jc w:val="right"/>
              <w:ind w:right="274"/>
              <w:spacing w:after="0"/>
              <w:rPr>
                <w:sz w:val="20"/>
                <w:szCs w:val="20"/>
                <w:color w:val="auto"/>
              </w:rPr>
            </w:pPr>
            <w:r>
              <w:rPr>
                <w:rFonts w:ascii="Arial" w:cs="Arial" w:eastAsia="Arial" w:hAnsi="Arial"/>
                <w:sz w:val="13"/>
                <w:szCs w:val="13"/>
                <w:color w:val="auto"/>
              </w:rPr>
              <w:t>56</w:t>
            </w: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receive revenues from royalties on sales by our licensees of a number of products covered under patents that we control. Our royalty revenues on sales of RITUXAN outside the U.S. are included in revenues from unconsolidated joint business in the accompanying consolidated statements of income.</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2007 compared to 2006, royalty revenues increased $15.9 million, or 18.4%, primarily due to an increase in sales levels of products under license partially offset by the expiration of royalties under certain contracts. For 2006 compared to 2005, royalty revenue decreased $7.0 million, or 7.5%, primarily due to a decrease in sales levels of products under license and to the expiration of certain contracts.</w:t>
      </w:r>
    </w:p>
    <w:p>
      <w:pPr>
        <w:spacing w:after="0" w:line="67"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We anticipate that total royalty revenues in future years will continue to represent a lower proportion of our total revenues. Royalty revenues may fluctuate as a result of fluctuations in sales levels of products sold by our licensees from quarter to quarter due to the timing and extent of major events such as new indication approvals or government-sponsored programs.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Partner Revenues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Corporate partner revenues represent contract revenues and license fees.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Costs and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Costs and expenses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w w:val="97"/>
              </w:rPr>
              <w:t>Year Ended December 31,</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9"/>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274.4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17.1%</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925.2</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718.4</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32.0%</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747.7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34.2%</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776.1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685.0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30.5%</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29.5%</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Collaboration profit (loss) sharing</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(9.7)</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(0.4)%</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Acquired in-process research and development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330.5</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Amortization of acquired intangible assets</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257.5</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267.0</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11.9%</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302.3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13.8%</w:t>
            </w: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Facility impairments and (gain) loss on disposition, net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(0.4)</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Gain on termination of license agreements, net</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4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2,391.</w:t>
            </w:r>
            <w:r>
              <w:rPr>
                <w:rFonts w:ascii="Arial" w:cs="Arial" w:eastAsia="Arial" w:hAnsi="Arial"/>
                <w:sz w:val="13"/>
                <w:szCs w:val="13"/>
                <w:u w:val="single" w:color="auto"/>
                <w:color w:val="auto"/>
              </w:rPr>
              <w:t>8</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2,243.</w:t>
            </w:r>
            <w:r>
              <w:rPr>
                <w:rFonts w:ascii="Arial" w:cs="Arial" w:eastAsia="Arial" w:hAnsi="Arial"/>
                <w:sz w:val="13"/>
                <w:szCs w:val="13"/>
                <w:u w:val="single" w:color="auto"/>
                <w:color w:val="auto"/>
              </w:rPr>
              <w:t>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w:t>
            </w:r>
            <w:r>
              <w:rPr>
                <w:rFonts w:ascii="Arial" w:cs="Arial" w:eastAsia="Arial" w:hAnsi="Arial"/>
                <w:sz w:val="13"/>
                <w:szCs w:val="13"/>
                <w:u w:val="single" w:color="auto"/>
                <w:color w:val="auto"/>
              </w:rPr>
              <w:t>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 Write-Offs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We periodically review our inventories for excess or obsolete inventory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Periodically, certain batches or units of product may no longer meet quality specifications or may expire. As a result, included in product cost of revenues were write-downs of commercial inventory that did not meet quality specifications or that became obsolete due to expiration. In all cases product inventory was written-down to its estimated net realizable value.</w:t>
      </w:r>
    </w:p>
    <w:p>
      <w:pPr>
        <w:spacing w:after="0" w:line="55"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We closely monitor levels of inventory in our distribution channel. At both December 31, 2007 and 2006, we had approximately 2 weeks of inventory with wholesalers in our distribution channel. The shelf life associated with our products is generally between 15 and 48 months, depending on the product. Obsolescence due to dating</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320" w:lineRule="auto"/>
        <w:rPr>
          <w:sz w:val="20"/>
          <w:szCs w:val="20"/>
          <w:color w:val="auto"/>
        </w:rPr>
      </w:pPr>
      <w:r>
        <w:rPr>
          <w:rFonts w:ascii="Arial" w:cs="Arial" w:eastAsia="Arial" w:hAnsi="Arial"/>
          <w:sz w:val="12"/>
          <w:szCs w:val="12"/>
          <w:color w:val="auto"/>
        </w:rPr>
        <w:t>expiration has not been a historical concern, given the rapidity in which our products move through the channel. Changes due to our competitors’ price movements have not adversely affected us. We do not provide incentives to our distributors to assume additional inventory levels beyond what is customary in their ordinary course of business.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written-down the following inventory, which was charged to cost of sales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TYSABRI</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AMEVIVE</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30.3</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ZEVALIN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21.6</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75.6</w:t>
            </w:r>
          </w:p>
        </w:tc>
      </w:tr>
      <w:tr>
        <w:trPr>
          <w:trHeight w:val="254"/>
        </w:trPr>
        <w:tc>
          <w:tcPr>
            <w:tcW w:w="7900" w:type="dxa"/>
            <w:vAlign w:val="bottom"/>
          </w:tcPr>
          <w:p>
            <w:pPr>
              <w:ind w:left="400"/>
              <w:spacing w:after="0"/>
              <w:rPr>
                <w:sz w:val="20"/>
                <w:szCs w:val="20"/>
                <w:color w:val="auto"/>
              </w:rPr>
            </w:pPr>
            <w:r>
              <w:rPr>
                <w:rFonts w:ascii="Arial" w:cs="Arial" w:eastAsia="Arial" w:hAnsi="Arial"/>
                <w:sz w:val="13"/>
                <w:szCs w:val="13"/>
                <w:color w:val="auto"/>
              </w:rPr>
              <w:t>The write-downs were the result of the following (in millions):</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8"/>
        </w:trPr>
        <w:tc>
          <w:tcPr>
            <w:tcW w:w="7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New components for alternative presentations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Failed quality specifications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Excess and/or obsolescence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Costs for voluntary suspension of TYSABRI</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w:t>
            </w: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Research and development expenses totaled $925.2 million in 2007 compared to $718.4 million in 2006 and $747.7 million in 2005.</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For 2007 compared to 2006, research and development expenses increased $206.8 million, or 28.8%, primarily due to approximately $65.5 million of expense for the development of lixivaptan, (including a $50 million upfront payment to Cardiokine Biopharma LLC), a $12.4 million increase for ADENTRI projects, a $32.6 million increase for lumiliximab projects, a $15.2 million increase for BG-12 projects, a $13.5 million increase for HSP90i projects, a $12.4 million increase for IGF-1R projects, a $27.6 million increase for baminercept-alfa (LTBR-Fc) projects and $18.4 million of research and development costs related to Syntonix projects.</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For 2006 compared to 2005, research and development expenses decreased $29.3 million, or 3.9%, primarily due to a $61.5 million reduction in salary and benefits arising from headcount reductions in 2005, a $20.0 million decrease related to the NIMO facility that was sold in the second quarter of 2005, and a $23.0 million decrease for clinical trials, primarily related to TYSABRI and AMEVIVE. These decreases were offset by a $11.2 million increase for new collaborations during the year, a $10.8 million increase for higher clinical manufacturing, and the $51.5 million impact of share-based compensation recognized under Statement of Financial Accounting Standards (revised 2004) No. 123R, </w:t>
      </w:r>
      <w:r>
        <w:rPr>
          <w:rFonts w:ascii="Arial" w:cs="Arial" w:eastAsia="Arial" w:hAnsi="Arial"/>
          <w:sz w:val="13"/>
          <w:szCs w:val="13"/>
          <w:i w:val="1"/>
          <w:iCs w:val="1"/>
          <w:color w:val="auto"/>
        </w:rPr>
        <w:t>Share-based Payments</w:t>
      </w:r>
      <w:r>
        <w:rPr>
          <w:rFonts w:ascii="Arial" w:cs="Arial" w:eastAsia="Arial" w:hAnsi="Arial"/>
          <w:sz w:val="13"/>
          <w:szCs w:val="13"/>
          <w:color w:val="auto"/>
        </w:rPr>
        <w:t>, or SFAS 123(R), in 2006.</w:t>
      </w:r>
    </w:p>
    <w:p>
      <w:pPr>
        <w:spacing w:after="0" w:line="71"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expect that research and development expenses will increase in 2008 for a number of reasons, including our expected clinical trial costs, costs incurred with our collaborative development efforts, and pursuit of additional research opportunities.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Selling, 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Selling, general and administrative expenses totaled $776.1 million in 2007 compared to $685.0 million in 2006 and $644.8 million in 2005.</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2007 compared to 2006, selling, general and administrative expenses increased $91.1 million, or 13.3%, primarily due to a $65.0 million increase in sales and marketing activities for TYSABRI, primarily in international sales and marketing, a $25.5 million net increase in salaries and benefits related to increased headcount in general and administrative personnel, a $19.0 million increase in fees and services related to general and administrative matters offset by a $12.1 million decrease in sales and marketing activities for ZEVALIN due to decreased commercial efforts due to the planned divestiture of this product line.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For 2006 compared to 2005, selling, general and administrative expenses increased $40.2 million, or 6.2%, primarily due to $21.5 million of higher expenses related to sales of RITUXAN in RA, $20.3 million of increased sales expenses for the re-launch of TYSABRI, $4.3 million of lower reimbursements related to collaboration agreements and $45.2 million of higher expenses related to share-based compensation recognized under SFAS 123(R) in 2006. These increases were offset by $31.0 million of lower expenses related to sales of AMEVIVE due to its divestiture and a $20.0 million decrease in expenses related to sales of ZEVALIN, due in part to the planned divestiture, and also due to the impact of a charge taken in 2005 related to a write-down of remaining prepaid expense associated with our arrangement with MDS Nordion.</w:t>
      </w:r>
    </w:p>
    <w:p>
      <w:pPr>
        <w:spacing w:after="0" w:line="71"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anticipate that total selling, general, and administrative expenses in 2008 will be higher than 2007 due to sales, marketing and other general and administrative expenses to primarily support AVONEX and TYSABRI, especially in the international market.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Severance and Other Restructuring Costs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Severance and other restructuring costs totaled $1.8 million in 2007 as compared to $3.6 million in 2006 and $31.4 million in 2005. These costs are included in selling, general and administrative expense in our consolidated statements of income. At December 31, 2007, there are no remaining material severance or restructuring accruals on our consolidated balance sheets.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For 2006, $3.6 million of restructuring charges were included in selling, general and administrative expenses, including $1.2 million in severance costs associated with the acquisition of Conforma during 2006 and $1.7 million related in headcount reductions related to the planned disposition of our ZEVALIN product line. Costs not yet paid as of December 31, 2006, were $2.1 million, and are included in accrued expenses and other on our consolidated balance sheet. See Note 22, Severance and Other Restructuring Costs, of the consolidated financial statements, for details on the change in reserve levels related to severance.</w:t>
      </w:r>
    </w:p>
    <w:p>
      <w:pPr>
        <w:spacing w:after="0" w:line="70"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In September 2005, we consolidated or eliminated certain internal management layers and staff functions, resulting in a 17% reduction of our workforce at that time. These adjustments took place across company functions, departments and sites, and were substantially implemented by the end of 2005. We recorded restructuring charges of $31.4 million in connection with these activities, of which $28.3 million related to severance and other employee termination costs, including health benefits, outplacement and bonuses. Other costs were $3.1 million and included write-downs of certain research assets that will no longer be utilized, consulting costs in connection with the restructuring effort, and costs related to the acceleration of restricted stock, offset by the reversal of previously recognized compensation due to unvested restricted stock cancellations.</w:t>
      </w:r>
    </w:p>
    <w:p>
      <w:pPr>
        <w:spacing w:after="0" w:line="5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Effective December 31, 2005, our former Executive Chairman and Chairman of the Board retired and resigned. The charges related to this retirement amounted to $7.1 million and were all paid in 2005.</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have additional charges in future periods. The amount of those future charges cannot be determined at this time.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Amortization of Intangible Assets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2007, 2006, and 2005, amortization expense was $257.5 million, $267.0 million and $302.3 million, respectively.</w:t>
      </w:r>
    </w:p>
    <w:p>
      <w:pPr>
        <w:spacing w:after="0" w:line="96"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 xml:space="preserve">Our most significant intangible asset is the core technology related to our AVONEX product. Our amortization policy for our core technology intangible asset is based on the principles of Statement of Financial Standards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xml:space="preserve"> or SFAS 142, which requires the amortization of intangible assets to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reflect the pattern in which the economic benefits of the intangible asset are consumed. Every year during the third quarter we complete our long range planning cycle, which includes an analysis of the anticipated product sales of AVONEX. The results of this forecast serve as the basis for our assumptions used in the economic consumption amortization model for our core technology intangible asset. We also establish minimum annual amortization amounts to ensure amortization charges are not unreasonably deferred to future periods. See Note 1, Business Overview and Significant Accounting Policies, for a detailed description of our accounting policy for amortization of intangible assets.</w:t>
      </w:r>
    </w:p>
    <w:p>
      <w:pPr>
        <w:spacing w:after="0" w:line="5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For 2007 compared to 2006, amortization expense decreased $9.5 million, or 3.6%, primarily due to the changes in estimate of the future revenue of AVONEX, which serves as the basis in our calculation of economic consumption for core technology.</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2006 compared to 2005, amortization expense decreased $35.3 million, or 11.7%, primarily due to the changes in estimate of the future revenue of AVONEX, which serves as the basis for our calculation of economic consumption for core technology. Additionally, in 2005, a $7.9 million impairment charge was recorded to write-down certain core technology intangible assets related to AVONEX to their fair value.</w:t>
      </w:r>
    </w:p>
    <w:p>
      <w:pPr>
        <w:spacing w:after="0" w:line="67"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We review our intangible assets for impairment when events or changes in circumstances indicate that the carrying value of an asset may not be recoverable. If future events or circumstances indicate that the carrying value of these assets may not be recoverable, we may be required to record additional charges to our results of operations.</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In-Process Research and Development (IPR&amp;D)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IPR&amp;D charges totaled $84.2 million in 2007, compared with $330.5 million in 2006. No IPR&amp;D charges were taken in 2005.</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During the year ended December 31, 2007, we recorded IPR&amp;D charges of $84.2 million. The principal components of this amount are as follows: $18.4 million related to the acquisition of Syntonix, approximately $30 million related to the collaboration with Cardiokine Biopharma LLC, and $34.3 million related to the collaboration with Neurimmune. In 2006, we recorded $207.4 million and $123.1 million in IPR&amp;D related to the acquisitions of Fumapharm AG, or Fumapharm, and Conforma, respectively. See Note 2, Acquisitions and Dispositions, and Note 15, Research Collaborations of the Consolidated Financial Statements.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Cardiokine Biopharma LLC and Neurimmune are variable interest entities, as defined in FIN 46(R). The consolidation of these entities resulted in IPR&amp;D charges. The IPR&amp;D charges have been recorded as a component of operating income. However, because the IPR&amp;D charges relate to the fair value of the underlying technology retained by the parent companies of Cardiokine Biopharma LLC and Neurimmune, these amounts were allocated to the respective minority interests. Consequently, minority interest of $64.3 million was recorded as a component of non-operating income.</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Facility Impairments and (Gain) Loss on Disposition, net</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2007, we sold approximately 28 acres of land in Oceanside, California for $16.5 million. We recorded a pre-tax gain of approximately $7.2 million on the sale, which is included in other income (expense) on the accompanying consolidated statement of income, as this land was not utilized in our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2006, we completed the sale of one of the buildings in our Cambridge, Massachusetts facility, known as Bio 1. Proceeds from the sale were approximately</w:t>
      </w:r>
    </w:p>
    <w:p>
      <w:pPr>
        <w:spacing w:after="0" w:line="27"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$39.5 million. We recorded a pre-tax gain of approximately $15.6 million on the sale. We continued to occupy a minor portion of the building under a leasing arrangement. In February 2006, we sold our clinical manufacturing facility in Oceanside, California, known as NICO. The assets associated with the facility were included in assets held for sale on our consolidated balance sheet as of December 31, 2005. Total consideration was $29.0 million. In 2005, we recorded impairment charges totaling $28.0 million to reduce the carrying value of NICO to its net realizable value. No additional loss resulted from completion of the sale.</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June 2005, we sold our large-scale biologics manufacturing facility in Oceanside, California, known as NIMO, along with approximately 60 acres of real property located in Oceanside, California upon which NIMO 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located, together with improvements, related property rights, and certain personal property intangibles and contracts at or related to the real property. Total consideration for the sale was $408.1 million. The loss from this transaction was $83.5 million which consisted primarily of the write-down of NIMO to net selling price, sales and transfer taxes, and other associated transaction costs. After our voluntary suspension of TYSABRI, we reconsidered our construction plans and determined that we would proceed with the bulk manufacturing component of our large-scale biologic manufacturing facility in Hillerød, Denmark, but determined that we would no longer proceed with the fill-finish component of the facility. As a result, we recorded an impairment charge of approximately $6.2 million in 2005 related to the fill-finish component that had previously been capitalized.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Gain on Settlement of License Agreements,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2006, we recorded a net gain on settlement of license agreements, net of $6.1 million.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Fumapharm</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During 2006, we recorded a gain of $34.2 million coincident with the acquisition of Fumapharm in accordance with EITF 04-1, </w:t>
      </w:r>
      <w:r>
        <w:rPr>
          <w:rFonts w:ascii="Arial" w:cs="Arial" w:eastAsia="Arial" w:hAnsi="Arial"/>
          <w:sz w:val="13"/>
          <w:szCs w:val="13"/>
          <w:i w:val="1"/>
          <w:iCs w:val="1"/>
          <w:color w:val="auto"/>
        </w:rPr>
        <w:t>Accounting for Preexisting Relationships between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Parties to a Business Combination, </w:t>
      </w:r>
      <w:r>
        <w:rPr>
          <w:rFonts w:ascii="Arial" w:cs="Arial" w:eastAsia="Arial" w:hAnsi="Arial"/>
          <w:sz w:val="13"/>
          <w:szCs w:val="13"/>
          <w:color w:val="auto"/>
        </w:rPr>
        <w:t>or EITF 04-1. The gain related to the settlement of a preexisting collaboration agreement between Fumapharm and us. The collaboration agreement was</w:t>
      </w:r>
      <w:r>
        <w:rPr>
          <w:rFonts w:ascii="Arial" w:cs="Arial" w:eastAsia="Arial" w:hAnsi="Arial"/>
          <w:sz w:val="13"/>
          <w:szCs w:val="13"/>
          <w:i w:val="1"/>
          <w:iCs w:val="1"/>
          <w:color w:val="auto"/>
        </w:rPr>
        <w:t xml:space="preserve"> </w:t>
      </w:r>
      <w:r>
        <w:rPr>
          <w:rFonts w:ascii="Arial" w:cs="Arial" w:eastAsia="Arial" w:hAnsi="Arial"/>
          <w:sz w:val="13"/>
          <w:szCs w:val="13"/>
          <w:color w:val="auto"/>
        </w:rPr>
        <w:t>entered into in October 2003 and required payments to Fumapharm of certain royalty amounts. The market rate for such payments was higher at the acquisition date, primarily due to the increased technical feasibility of BG-12. The gain relates to the difference between the royalty rates at the time the agreement was entered into as compared to the rates at the time the agreement was effectively settled by virtue of our acquisition of Fumapharm.</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Fumedica</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2006, we recorded a charge of $28.1 million in connection with a settlement agreement with Fumedica Arzneimittel AG and Fumedica Arzneimittel GmbH, collectively Fumedica. The charge related to the settlement of the agreement with Fumedica under which we were contingently obligated to make royalty payments with respect to a successful launch of BG-12 for psoriasis in Germany. Under the terms of the settlement agreement, we will not be required to make any royalty payments to Fumedica if BG-12 is successfully launched for psoriasis in Germany. The $28.1 million was expensed in 2006, as it related to a product that has not reached technological feasibility.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the year ended December 31, 2007, we recorded share-based compensation expense of $123.1 million associated with SFAS 123(R). In the year ended December 31, 2006, we recorded share-based compensation expense of $126.8 million associated with SFAS 123(R), which is net of a cumulative effect pre-tax adjustment of $5.6 million, or $3.8 million after-tax. The cumulative effect results from the application of an estimated forfeiture rate for current and prior period unvested restricted stock awards.</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share-based compensation programs consist of share-based awards granted to employees including stock options, restricted stock, performance share units and restricted stock units, or RSUs, as well as our employee stock purchase plan, or ESPP.</w:t>
      </w:r>
    </w:p>
    <w:p>
      <w:pPr>
        <w:spacing w:after="0" w:line="59" w:lineRule="exact"/>
        <w:rPr>
          <w:sz w:val="20"/>
          <w:szCs w:val="20"/>
          <w:color w:val="auto"/>
        </w:rPr>
      </w:pPr>
    </w:p>
    <w:p>
      <w:pPr>
        <w:ind w:left="680" w:right="160" w:firstLine="399"/>
        <w:spacing w:after="0" w:line="312" w:lineRule="auto"/>
        <w:rPr>
          <w:sz w:val="20"/>
          <w:szCs w:val="20"/>
          <w:color w:val="auto"/>
        </w:rPr>
      </w:pPr>
      <w:r>
        <w:rPr>
          <w:rFonts w:ascii="Arial" w:cs="Arial" w:eastAsia="Arial" w:hAnsi="Arial"/>
          <w:sz w:val="11"/>
          <w:szCs w:val="11"/>
          <w:color w:val="auto"/>
        </w:rPr>
        <w:t>Effective January 1, 2006, we adopted SFAS 123(R). This Statement requires compensation cost relating to share-based awards to be recognized in the financial statements using a fair-value measurement method. Under the fair value method, the estimated fair value of awards is charged against income over the requisite service period, which is generally the vesting period. We selected the modified prospective method as prescribed in SFAS 123(R) and, therefore, prior periods were not restated. Under the modified prospective method, this Statement was applied to awards granted subsequent to January 1, 2006, as well as to the unvested portion of previously granted equity-based awards for which the requisite service had not been rendered as of December 31, 2005. The fair value of performance based stock units is based on the market price of our stock on the date of grant and assumes that the performance criteria will be met and the target payout level will be achieved. Compensation expense is adjusted for subsequent changes in the outcome of performance-related conditions until the vesting date.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income (expense), net,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Minority interest income (expense)</w:t>
            </w: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58.4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r>
              <w:rPr>
                <w:rFonts w:ascii="Arial" w:cs="Arial" w:eastAsia="Arial" w:hAnsi="Arial"/>
                <w:sz w:val="13"/>
                <w:szCs w:val="13"/>
                <w:u w:val="single" w:color="auto"/>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r>
              <w:rPr>
                <w:rFonts w:ascii="Arial" w:cs="Arial" w:eastAsia="Arial" w:hAnsi="Arial"/>
                <w:sz w:val="13"/>
                <w:szCs w:val="13"/>
                <w:u w:val="single" w:color="auto"/>
                <w:color w:val="auto"/>
              </w:rPr>
              <w:t>2</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For 2007 compared to 2006, interest income increased $2.4 million, or 2.4%, primarily due to higher yields offset by a reduction in cash and cash equivalents due to the funding of our tender offer in July 2007. For 2006 compared to 2005, interest income increased $38.5 million, or 61.4%, primarily due to higher levels of cash and marketable securities.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2007 compared to 2006, minority interest increased $65.2 million, primarily due to the consolidation of Cardiokine Biopharma LLC in August 2007, and Neurimmune in November 2007. The minority interest related to Cardiokine Biopharma LLC and Neurimmune offset an equal charge to IPR&amp;D, which resulted in no net impact to our results of operations for these IPR&amp;D and minority interest charges.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expense was $40.5 million, $0.9 million and $9.6 million for the years ended December 31, 2007, 2006 and 2005, respectively.</w:t>
      </w:r>
    </w:p>
    <w:p>
      <w:pPr>
        <w:spacing w:after="0" w:line="96"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For 2007 compared to 2006, interest expense increased $39.6 million, primarily due to the increased debt levels relating to our tender offer funded in July 2007 (see Note 20, Tender Offer). For 2006 compared to 2005, interest expense decreased $8.7 million, or 90.6%, primarily due to the repurchase of our senior notes due in 2032 in the second quarter of 2005.</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net, included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Impairments of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Foreign exchange gains (losses), net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Gain (loss) on sales of investments, net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Settlement of litigation and claims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Total other, net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impairment of investments is primarily due to the other than temporary decline in value in our strategic investments portfolio. We may incur additional impairment charges on these investments in the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effective tax rate was 29.9%, 56.6% and 37.3% on pre-tax income for the years ended December 31, 2007, 2006 and 2005, respectively. Our effective tax rate for 2007 was lower than the U.S. statutory rate primarily due to the effect of lower income tax rates (less than the U.S. statutory tax rate) in certain non-U.S. jurisdictions in which we operate. Our effective rate for 2006 was higher than the U.S. statutory rate primarily due to the write-off of non-deductible IPR&amp;D in connection with the acquisitions of Conforma and Fumapharm, (offset by the gain on settlement of the Fumapharm license agreement), and the impact of acquisition-related intangible amortization related to foreign jurisdictions and state taxes, offset by the effect of lower income tax in certain non-U.S. jurisdictions. Our effective tax rate for 2005 varied from the U.S. federal statutory rate and prior years primarily due to the acquisition-related intangible amortization arising from purchase accounting related to foreign jurisdictions and a one-time tax charge related to the repatriation of a portion of the accumulated earnings of our foreign subsidiary offset, in part, by the effect of lower income tax rates (less than 35% U.S. statutory tax rate) in certain non-U.S. jurisdictions in which we operate, tax credits allowed for research and experimentation expenses in the U.S., and the new domestic manufacturing deduction.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Condition and Liquidity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condition is summarized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661.4</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Marketable securities and loaned securities — current and non-current</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1,456.1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1,653.6</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marketable securities (including loaned securities)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2,315.0</w:t>
            </w:r>
          </w:p>
        </w:tc>
        <w:tc>
          <w:tcPr>
            <w:tcW w:w="0" w:type="dxa"/>
            <w:vAlign w:val="bottom"/>
          </w:tcPr>
          <w:p>
            <w:pPr>
              <w:spacing w:after="0"/>
              <w:rPr>
                <w:sz w:val="1"/>
                <w:szCs w:val="1"/>
                <w:color w:val="auto"/>
              </w:rPr>
            </w:pPr>
          </w:p>
        </w:tc>
      </w:tr>
      <w:tr>
        <w:trPr>
          <w:trHeight w:val="29"/>
        </w:trPr>
        <w:tc>
          <w:tcPr>
            <w:tcW w:w="7500" w:type="dxa"/>
            <w:vAlign w:val="bottom"/>
            <w:vMerge w:val="restart"/>
          </w:tcPr>
          <w:p>
            <w:pPr>
              <w:spacing w:after="0"/>
              <w:rPr>
                <w:sz w:val="20"/>
                <w:szCs w:val="20"/>
                <w:color w:val="auto"/>
              </w:rPr>
            </w:pPr>
            <w:r>
              <w:rPr>
                <w:rFonts w:ascii="Arial" w:cs="Arial" w:eastAsia="Arial" w:hAnsi="Arial"/>
                <w:sz w:val="13"/>
                <w:szCs w:val="13"/>
                <w:color w:val="auto"/>
              </w:rPr>
              <w:t>Working capital</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1,129.7</w:t>
            </w:r>
          </w:p>
        </w:tc>
        <w:tc>
          <w:tcPr>
            <w:tcW w:w="0" w:type="dxa"/>
            <w:vAlign w:val="bottom"/>
          </w:tcPr>
          <w:p>
            <w:pPr>
              <w:spacing w:after="0"/>
              <w:rPr>
                <w:sz w:val="1"/>
                <w:szCs w:val="1"/>
                <w:color w:val="auto"/>
              </w:rPr>
            </w:pPr>
          </w:p>
        </w:tc>
      </w:tr>
      <w:tr>
        <w:trPr>
          <w:trHeight w:val="158"/>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Outstanding borrowings — current and non-current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1,563.0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reduction in working capital at December 31, 2007 as compared to December 31, 2006, primarily reflects payments made to fund our tender offer as discussed in Note 20, Tender Offer, offset by cash generated from operations in 2007.</w:t>
      </w:r>
    </w:p>
    <w:p>
      <w:pPr>
        <w:spacing w:after="0" w:line="59"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1"/>
          <w:szCs w:val="11"/>
          <w:color w:val="auto"/>
        </w:rPr>
        <w:t>Until required for use in the business, we invest our cash reserves in bank deposits, certificates of deposit, commercial paper, corporate notes, foreign and U.S. government instruments, asset backed securities and other readily marketable debt instruments in accordance with our investment policy as described in Note 1, Business Overview and Summary of Significant Accounting Policies. Our investments are highly rated and, to date, have not been materially impacted by the disruption of capital markets in 2007. Additionally, we lend our marketable securities to third parties to enhance investment returns through our securities lending program as described in Note 1, Business Overview and Significant Accounting Policies.</w:t>
      </w:r>
    </w:p>
    <w:p>
      <w:pPr>
        <w:spacing w:after="0" w:line="3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financed our operating and capital expenditures principally through cash flows from our operations. We financed the tender offer through issuance of short-term debt and use of existing cash. We expect to refinance our short-term debt through the offering of long-term debt securities in 2008. We expect to finance our current and planned operating requirements principally through cash from operations, as well as existing cash resources including liquidation of marketable securities. We believe that these funds will be sufficient to meet our operating requirements for the foreseeable future. However, we may, from time to time, seek additional funding through a combination of new collaborative agreements, strategic alliances and additional equity and debt financings or from other sources.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Part I, Item 1A, “Risk Factors” of this form 10-K for risk factors that could negatively impact our cash position and ability to fund future operations.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Cash provided by operations is primarily driven by our net income and adjusted for non-cash charges. In 2007, 2006 and 2005 net cash provided by operations was $1,020.6 million, $841.3 million and $889.5 million, respectively.</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Cash provided by operations increased $179.4 million, or 21.3%, in 2007 compared to 2006, is primarily due to higher earnings. Movements in working capital accounts, which were a use of funds of $77.9 million in 2007 as compared to a use of funds of $103.3 million in 2006, also contributed to this increase.</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For 2006 compared to 2005, net cash provided by operations decreased $48.2 million or 5.4%. The decrease in cash provided by operations is primarily attributable to movements in working capital accounts which were a use of funds of $103.3 million in 2006 as compared to a source of funds of $139.8 million in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2006 and 2005, net cash provided by (used in) investing activities was $(286.6) million, $(599.8) million and $417.7 million, respectively.</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2007, net proceeds from sales of marketable securities were $209.0 million, which was used to partially fund the tender offer described in Note 20, Tender Offer. Purchases of property, plant and equipment totaled $284.1 million in 2007. Payments made for acquisitions were $95.8 million in 2007, which primarily related to our acquisition of Syntonix for $42.3 million, and our collaboration payments to Cardiokine Biopharma LLC for $50.0 million and Neurimmune of $2.0 million. The change in balance of collateral received under securities lending is reflected as a use of cash in investing activities offset by a source of cash from financing activities. Additionally, in 2007 we sold our position in a strategic investment for $99.5 million.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2006, net cash used to purchase marketable securities was $162.8 million. Purchases of property, plant and equipment totaled $198.3 million for 2006. Payments made for acquisitions were $363.3 million in 2006, which related to our acquisitions of Fumapharm and Conforma. Proceeds from the sale of product lines were $59.8 million in 2006, which related to the sale of AMEVIVE.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2005 our major sources of cash consisted of $408.1 million of proceeds from the sale of our Oceanside, California manufacturing facility. Additionally, approximately</w:t>
      </w:r>
    </w:p>
    <w:p>
      <w:pPr>
        <w:spacing w:after="0" w:line="27" w:lineRule="exact"/>
        <w:rPr>
          <w:sz w:val="20"/>
          <w:szCs w:val="20"/>
          <w:color w:val="auto"/>
        </w:rPr>
      </w:pPr>
    </w:p>
    <w:p>
      <w:pPr>
        <w:jc w:val="both"/>
        <w:ind w:left="680" w:right="40"/>
        <w:spacing w:after="0" w:line="290" w:lineRule="auto"/>
        <w:rPr>
          <w:sz w:val="20"/>
          <w:szCs w:val="20"/>
          <w:color w:val="auto"/>
        </w:rPr>
      </w:pPr>
      <w:r>
        <w:rPr>
          <w:rFonts w:ascii="Arial" w:cs="Arial" w:eastAsia="Arial" w:hAnsi="Arial"/>
          <w:sz w:val="12"/>
          <w:szCs w:val="12"/>
          <w:color w:val="auto"/>
        </w:rPr>
        <w:t>$447.9 million of proceeds was provided from net sales of marketable securities, which was used to fund the repurchase of our senior notes, as discussed below. Purchases of property plant and equipment totaled $318.4 million, including our research and development and administration campus in San Diego, and our manufacturing facility in Oceanside. Additionally, in 2005, we purchased positions in strategic investments of $119.9 million relating to PDL BioPharma Inc., Sunesis Pharmaceuticals, Inc. and other strategic investments.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2006 and 2005, net cash used in financing activities was $735.2 million, $148.4 million and $948.5 million, respectively.</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2007, the primary use of cash related to the repurchase of treasury stock via the tender offer of $2,990.5 million. This repurchase was partially funded with cash proceeds from a short-term note of $1,500.0 million. This transaction is described in Note 20, Tender Offer. Additionally, cash proceeds from issuance of stock for our share based compensation arrangements were $489.2 million, which was primarily attributable to the exercise of stock options and participation in our ESPP plan. The charge in balance of collateral received under securities lending is reflected as a use of cash in investing activities offset by a source of cash from financing activities.</w:t>
      </w:r>
    </w:p>
    <w:p>
      <w:pPr>
        <w:spacing w:after="0" w:line="7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2006, the primary use of cash was $320.3 million for the purchase of treasury stock, offset by $147.0 million in proceeds from issuance of stock for our share based compensation arrangements.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primary uses of cash in 2005 were for the repurchase of long-term debt of $746.4 million and repurchases of treasury stock of $322.6 million, offset by $119.6 million cash proceeds from the issuance of stock for our share based compensation arrangements.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Borrowings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At December 31, 2007, we have a note payable of approximately $44.6 million relating to the acquisition of distribution rights of FUMADERM. Additionally, one of our international joint ventures maintained a loan that had a carrying value of $17.5 million as of December 31, 2007.</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January and July 2007, we issued a total of 3.0 million shares of common stock for $75.0 million in face value and $39.0 million in carrying value of our 2019 subordinated notes to the holders that elected to convert into common stock.</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June 2007, in connection with the tender offer described in Note 20, Tender Offer, we entered into a $1,500.0 million term loan facility, which is due in June 2008. On July 2, 2007, in connection with the funding of the tender offer, we borrowed the full $1,500.0 million available under this facility. We expect to repay this term loan facility in 2008 with proceeds from an offering of long term debt securities.</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June 2007, we also entered into a five year $400.0 million Senior Unsecured Revolving Credit Facility, which we may use for working capital and general corporate purposes. As of December 31, 2007, there were no borrowings outstanding under this credit facility.</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May 2007, holders of the senior notes due 2032 with an aggregate principal amount at maturity of $10.1 million, exercised their right to require us to repurchase the notes. We paid $6.6 million in cash to repurchase substantially all of the senior notes.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Tender Offer</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On June 27, 2007, pursuant to the terms of a modified “Dutch Auction” tender offer, we accepted for payment 56,424,155 shares of our common stock at a price of $53.00 per share for a purchase price of $2,990.5 million. We funded the tender offer through existing cash and cash equivalents of $1,490.5 million and $1,500.0 million by our term loan facility as described in Note 7, Indebtedness. All of the shares repurchased were retired in July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 August 2004, we restarted construction of our large-scale biologic manufacturing facility in Hillerød, Denmark. In March 2005, after our voluntary suspension of TYSABRI, we reconsidered our construction plans and determined that we would proceed with the bulk-manufacturing component, add a labeling and packaging component but would no longer proceed with the fill-finish component of that facility. As of December 31, 2007, we have substantially completed this phase of the project, including the partial construction of the bulk manufacturing facility and installation of major equipment. We are proceeding with the second phase of the project, the completion of a large scale bulk manufacturing component and construction of a warehouse. In October 2006, our Board of Directors approved this phase of the project, which is expected to cost an additional $225.0 million. As of December 31, 2007, we had contractual commitments of approximately $207 million for the second phase, of which approximately $117 million had been paid. This second phase of the project is expected to be licensed for commercial production in 2010.</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October 2004, our Board of Directors authorized the repurchase of up to 20.0 million shares of our common stock. This repurchase program expired October 4, 2006. During 2006, we repurchased 7.5 million shares at a cost of $320.3 million. During 2005, we repurchased 7.5 million shares at a cost of $324.3 million under this program. In October 2006, our Board of Directors authorized the repurchase of up to an additional 20.0 million shares of our common stock. This repurchase program does not have an expiration date. No shares have been repurchased under the program as of December 31, 2007.</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Off-Balance Sheet Arrangements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At December 31, 2007, we have funding commitments of up to approximately $28.3 million as part of our investment in biotechnology oriented venture capital funds. In addition, we have committed to make potential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34" w:lineRule="auto"/>
        <w:rPr>
          <w:sz w:val="20"/>
          <w:szCs w:val="20"/>
          <w:color w:val="auto"/>
        </w:rPr>
      </w:pPr>
      <w:r>
        <w:rPr>
          <w:rFonts w:ascii="Arial" w:cs="Arial" w:eastAsia="Arial" w:hAnsi="Arial"/>
          <w:sz w:val="11"/>
          <w:szCs w:val="11"/>
          <w:color w:val="auto"/>
        </w:rPr>
        <w:t>future milestone payments to third-parties of up to approximately $1.55 billion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December 31, 2007, such contingencies have not been recorded in our financial statements. We expect to make approximately $52 million of milestone payments in 2008.</w:t>
      </w:r>
    </w:p>
    <w:p>
      <w:pPr>
        <w:spacing w:after="0" w:line="32"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At December 31, 2007, we have several clinical studies in various clinical trial stages. Our most significant clinical trial expenditures are to clinical research organizations, or CROs. The contracts with CROs are generally cancellable at our option. We have recorded accrued expenses of $15.5 million recorded in accrued expenses on our consolidated balance sheet for work done by CROs at December 31, 2007. We have approximately $254 million in cancellable future commitments based on existing CRO contracts at December 31, 2007.</w:t>
      </w:r>
    </w:p>
    <w:p>
      <w:pPr>
        <w:spacing w:after="0" w:line="5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We do not have any significant relationships with entities often referred to as structured finance or special purpose entities, which would have been established for the purpose of facilitating off-balance sheet arrangements. As such, we are not exposed to any financing, liquidity, market or credit risk that could arise if we had engaged in such relationships. We consolidate entities within the scope of FIN 46(R) if we are the primary beneficiary.</w:t>
      </w:r>
    </w:p>
    <w:p>
      <w:pPr>
        <w:spacing w:after="0" w:line="67"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following summarizes our contractual obligations (excluding funding and contingent milestone payments as described above and construction commitments disclosed above under “Commitments”) at December 31, 2007, and the effects such obligations are expected to have on our liquidity and cash flows in future periods (in millions):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7"/>
                <w:szCs w:val="7"/>
                <w:color w:val="auto"/>
              </w:rPr>
            </w:pPr>
          </w:p>
        </w:tc>
        <w:tc>
          <w:tcPr>
            <w:tcW w:w="98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Less than</w:t>
            </w:r>
          </w:p>
        </w:tc>
        <w:tc>
          <w:tcPr>
            <w:tcW w:w="80" w:type="dxa"/>
            <w:vAlign w:val="bottom"/>
          </w:tcPr>
          <w:p>
            <w:pPr>
              <w:spacing w:after="0"/>
              <w:rPr>
                <w:sz w:val="7"/>
                <w:szCs w:val="7"/>
                <w:color w:val="auto"/>
              </w:rPr>
            </w:pPr>
          </w:p>
        </w:tc>
        <w:tc>
          <w:tcPr>
            <w:tcW w:w="320" w:type="dxa"/>
            <w:vAlign w:val="bottom"/>
          </w:tcPr>
          <w:p>
            <w:pPr>
              <w:jc w:val="right"/>
              <w:ind w:right="80"/>
              <w:spacing w:after="0" w:line="81" w:lineRule="exact"/>
              <w:rPr>
                <w:sz w:val="20"/>
                <w:szCs w:val="20"/>
                <w:color w:val="auto"/>
              </w:rPr>
            </w:pPr>
            <w:r>
              <w:rPr>
                <w:rFonts w:ascii="Arial" w:cs="Arial" w:eastAsia="Arial" w:hAnsi="Arial"/>
                <w:sz w:val="9"/>
                <w:szCs w:val="9"/>
                <w:b w:val="1"/>
                <w:bCs w:val="1"/>
                <w:color w:val="auto"/>
              </w:rPr>
              <w:t>1-3</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60"/>
              <w:spacing w:after="0" w:line="81" w:lineRule="exact"/>
              <w:rPr>
                <w:sz w:val="20"/>
                <w:szCs w:val="20"/>
                <w:color w:val="auto"/>
              </w:rPr>
            </w:pPr>
            <w:r>
              <w:rPr>
                <w:rFonts w:ascii="Arial" w:cs="Arial" w:eastAsia="Arial" w:hAnsi="Arial"/>
                <w:sz w:val="9"/>
                <w:szCs w:val="9"/>
                <w:b w:val="1"/>
                <w:bCs w:val="1"/>
                <w:color w:val="auto"/>
              </w:rPr>
              <w:t>4-5</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jc w:val="right"/>
              <w:ind w:right="60"/>
              <w:spacing w:after="0" w:line="81" w:lineRule="exact"/>
              <w:rPr>
                <w:sz w:val="20"/>
                <w:szCs w:val="20"/>
                <w:color w:val="auto"/>
              </w:rPr>
            </w:pPr>
            <w:r>
              <w:rPr>
                <w:rFonts w:ascii="Arial" w:cs="Arial" w:eastAsia="Arial" w:hAnsi="Arial"/>
                <w:sz w:val="9"/>
                <w:szCs w:val="9"/>
                <w:b w:val="1"/>
                <w:bCs w:val="1"/>
                <w:color w:val="auto"/>
              </w:rPr>
              <w:t>After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1 Year</w:t>
            </w: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rPr>
              <w:t>Years</w:t>
            </w:r>
          </w:p>
        </w:tc>
        <w:tc>
          <w:tcPr>
            <w:tcW w:w="80" w:type="dxa"/>
            <w:vAlign w:val="bottom"/>
          </w:tcPr>
          <w:p>
            <w:pPr>
              <w:spacing w:after="0"/>
              <w:rPr>
                <w:sz w:val="10"/>
                <w:szCs w:val="10"/>
                <w:color w:val="auto"/>
              </w:rPr>
            </w:pPr>
          </w:p>
        </w:tc>
        <w:tc>
          <w:tcPr>
            <w:tcW w:w="7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Years</w:t>
            </w:r>
          </w:p>
        </w:tc>
        <w:tc>
          <w:tcPr>
            <w:tcW w:w="6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Non-cancellable operating leases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Notes payable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1,511.1</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obligations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40"/>
              <w:spacing w:after="0"/>
              <w:rPr>
                <w:sz w:val="20"/>
                <w:szCs w:val="20"/>
                <w:color w:val="auto"/>
              </w:rPr>
            </w:pPr>
            <w:r>
              <w:rPr>
                <w:rFonts w:ascii="Arial" w:cs="Arial" w:eastAsia="Arial" w:hAnsi="Arial"/>
                <w:sz w:val="13"/>
                <w:szCs w:val="13"/>
                <w:color w:val="auto"/>
              </w:rPr>
              <w:t>Total contractual cash obligations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1,703.1</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1,547.</w:t>
            </w:r>
            <w:r>
              <w:rPr>
                <w:rFonts w:ascii="Arial" w:cs="Arial" w:eastAsia="Arial" w:hAnsi="Arial"/>
                <w:sz w:val="13"/>
                <w:szCs w:val="13"/>
                <w:u w:val="single" w:color="auto"/>
                <w:color w:val="auto"/>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86.9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r>
              <w:rPr>
                <w:rFonts w:ascii="Arial" w:cs="Arial" w:eastAsia="Arial" w:hAnsi="Arial"/>
                <w:sz w:val="13"/>
                <w:szCs w:val="13"/>
                <w:u w:val="single" w:color="auto"/>
                <w:color w:val="auto"/>
              </w:rPr>
              <w:t>8</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This table also excludes any liabilities pertaining to uncertain tax positions as we cannot make a reliable estimate of the period of cash settlement with the respective taxing authorities. In connection with the adoption of FASB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or FIN 48, we reclassified approximately $113 million in reserves for uncertain tax positions from current taxes payable to long term liabilities. At December 31, 2007, we have approximately $253 million of long term liabilities associated with uncertain tax positions.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18, Litigation, to the consolidated financial statements for a discussion of legal matters as of December 31, 2007.</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The discussion and analysis of our financial condition and results of operations is based on our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On an ongoing basis, management evaluates its critical estimates and judgments, including, among others, those related to revenue recognition, investments, inventory, research and development expenses, purchase accounting, goodwill impairment, stock-based compensation, and income taxes. Those critical estimates and assumptions are based on</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64" w:lineRule="auto"/>
        <w:rPr>
          <w:sz w:val="20"/>
          <w:szCs w:val="20"/>
          <w:color w:val="auto"/>
        </w:rPr>
      </w:pPr>
      <w:r>
        <w:rPr>
          <w:rFonts w:ascii="Arial" w:cs="Arial" w:eastAsia="Arial" w:hAnsi="Arial"/>
          <w:sz w:val="13"/>
          <w:szCs w:val="13"/>
          <w:color w:val="auto"/>
        </w:rPr>
        <w:t>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these estimates under different assumptions or conditions.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the following critical accounting estimates affect our more significant judgments and estimates used in the preparation of our consolidated financial statements: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Accounts Receivable</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collectibility is reasonably assured.</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Revenues are recorded net of applicable reserves for trade term discounts, wholesaler incentives, Medicaid rebates, VA rebates, managed care rebates, product returns and other applicable allowances. Our product revenue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 These estimates we make with respect to these allowances represent the most significant judgments that we make with regard to revenue recognition.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Royalties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receive royalty revenues under license agreements with a number of third parties that sell products based on technology developed by us or to which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paid to us,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which they become known, typically the following quarter. Historically, adjustments have not been material based on actual amounts paid by licensees.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invest in various types of securities, including:</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short-term and long-term marketable securities, principally corporate notes and government securities, in which our excess cash balances are invested;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equity securities in certain publicly-traded biotechnology companies with which we have collaborative agreements;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equity securities of certain companies whose securities are not publicly traded and where fair value is not readily available.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These investments are accounted for in accordance with Statement of Financial Accounting Standards No. 115,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xml:space="preserve">, or SFAS 115, or APB No. 18, </w:t>
      </w:r>
      <w:r>
        <w:rPr>
          <w:rFonts w:ascii="Arial" w:cs="Arial" w:eastAsia="Arial" w:hAnsi="Arial"/>
          <w:sz w:val="13"/>
          <w:szCs w:val="13"/>
          <w:i w:val="1"/>
          <w:iCs w:val="1"/>
          <w:color w:val="auto"/>
        </w:rPr>
        <w:t>The Equity Method of Accounting for Investments in Common</w:t>
      </w:r>
      <w:r>
        <w:rPr>
          <w:rFonts w:ascii="Arial" w:cs="Arial" w:eastAsia="Arial" w:hAnsi="Arial"/>
          <w:sz w:val="13"/>
          <w:szCs w:val="13"/>
          <w:color w:val="auto"/>
        </w:rPr>
        <w:t>, or APB 18, as appropriate.</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accounting for investments, we evaluate if a decline in the fair value of a marketable security below our cost basis is other-than-temporary, and if so, we record an impairment charge in our consolidated statement of income. The factors that we consider in our assessments include the fair market value of the security, the duration of the security’s decline, prospects for the investee, including favorable clinical trial results, new product initiatives, new</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collaborative agreements and our intent and ability to hold to recovery. The determination of whether a loss is other than temporary is highly judgmental and can have a material impact on our results.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or FIFO, method. Included in inventory are raw materials used in the production of pre-clinical and clinical products, which are expensed as research and development costs when consumed.</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 xml:space="preserve">Our policy is to capitalize inventory costs associated with our products prior to regulatory approval, when, based on management’s judgment, future commercialization is considered probable and the future economic benefit is expected to be realized. Our accounting policy addresses the attributes that should be considered in evaluating whether the costs to manufacture a product have met the definition of an asset as stipulated in FASB Concepts Statement No. 6, </w:t>
      </w:r>
      <w:r>
        <w:rPr>
          <w:rFonts w:ascii="Arial" w:cs="Arial" w:eastAsia="Arial" w:hAnsi="Arial"/>
          <w:sz w:val="12"/>
          <w:szCs w:val="12"/>
          <w:i w:val="1"/>
          <w:iCs w:val="1"/>
          <w:color w:val="auto"/>
        </w:rPr>
        <w:t>Elements of Financial Statements — A Replacement of FASB Concepts No. 3</w:t>
      </w:r>
      <w:r>
        <w:rPr>
          <w:rFonts w:ascii="Arial" w:cs="Arial" w:eastAsia="Arial" w:hAnsi="Arial"/>
          <w:sz w:val="12"/>
          <w:szCs w:val="12"/>
          <w:color w:val="auto"/>
        </w:rPr>
        <w:t>, or FASB Concepts Statement No. 6. We assess the regulatory approval process and where the particular product stands in relation to that approval process including any known constraints and impediments to approval, including safety, efficacy and potential labeling restrictions. We evaluate our anticipated research and development initiatives and constraints relating to the product and the indication in which it will be used. We consider our 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is a risk inherent in these judgments and any changes we make in these judgments may have a material impact on our results in future periods.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periodically review our inventories for excess or obsolete inventory and write-down obsolete or otherwise unmarketable inventory to its estimated net realizable value. If the actual net realizable value is less than that estimated by us, or if there are any further determinations that inventory will not be marketable based on estimates of demand, additional inventory write-downs will be required. Additionally, our products are subject to strict quality control and monitoring throughout the manufacturing process. Periodically, certain batches or units of product may no longer meet quality specifications or may expire. As a result, included in costs of goods sold are write-downs of commercial inventory that do not meet quality specifications or became obsolete due to expiration.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including salaries and benefits, facilities expenses, overhead expenses, clinical trial and related clinical manufacturing expenses, contract services and other outside expenses. Research and development expenses are expensed as incurred. The timing of upfront fees and milestone payments in the future may cause variability in future research and development expense. Clinical trial expenses include expenses associated with contract research organizations, or CROs. The invoicing from CROs for services rendered can lag several months. We accrue the cost of services rendered in connection with CRO activities based on our estimate of site management, monitoring costs, and project management costs. We maintain regular communication with our CRO vendors to gauge the reasonableness of our estimates. Differences between actual clinical trial expenses and estimated clinical trial expenses recorded have not been material and are adjusted for in the period in which they become known.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Acquired Intangible Assets and In-process Research and Development Expenses</w:t>
      </w:r>
    </w:p>
    <w:p>
      <w:pPr>
        <w:spacing w:after="0" w:line="96"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color w:val="auto"/>
        </w:rPr>
        <w:t>We have acquired, and expect to continue to acquire, intangible assets primarily through the acquisition of biotechnology companies. These intangible assets primarily consist of technology associated with human therapeutic products and in-process product candidates. When significant identifiable intangible assets are acquired, an independent third-party valuation firm is generally engaged to assist in determining the fair values of these assets as of the acquisition date. Management will determine the fair value of less significant identifiable intangible assets as acquired. Discounted cash flow models are typically used in these valuations, and these models require the use of significant estimates and assumptions including but not limited to:</w:t>
      </w:r>
    </w:p>
    <w:p>
      <w:pPr>
        <w:spacing w:after="0" w:line="39"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projecting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estimating future cash flows from product sales resulting from completed products and in-process projects;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We believe the fair values assigned to the intangible assets acquired are based upon reasonable estimates and assumptions given available facts and circumstances as of the acquisition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46(R)</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Under FIN 46(R)</w:t>
      </w:r>
      <w:r>
        <w:rPr>
          <w:rFonts w:ascii="Arial" w:cs="Arial" w:eastAsia="Arial" w:hAnsi="Arial"/>
          <w:sz w:val="12"/>
          <w:szCs w:val="12"/>
          <w:i w:val="1"/>
          <w:iCs w:val="1"/>
          <w:color w:val="auto"/>
        </w:rPr>
        <w:t>,</w:t>
      </w:r>
      <w:r>
        <w:rPr>
          <w:rFonts w:ascii="Arial" w:cs="Arial" w:eastAsia="Arial" w:hAnsi="Arial"/>
          <w:sz w:val="12"/>
          <w:szCs w:val="12"/>
          <w:color w:val="auto"/>
        </w:rPr>
        <w:t>we consolidate variable interest entities for which we are the primary beneficiary. In determining whether we are the primary beneficiary, we consider a number of factors, including determining the expected losses and residual returns of the technologies being developed pursuant to collaborations and other economic risk and reward of such collaborations. Discounted cash flow models are typically used in these analyses and these models require the use of significant estimates and assumptions including but not limited to:</w:t>
      </w:r>
    </w:p>
    <w:p>
      <w:pPr>
        <w:spacing w:after="0" w:line="50"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assuming that the research and development efforts will result in an approved commercial product;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estimating the timing of and expected costs to complete the in-process projects;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projecting timing of regulatory approvals;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estimating future cash inflows from product sales or funding from partners resulting from completed products and in-process projects;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developing appropriate discount rates and probability rates by project.</w:t>
      </w:r>
    </w:p>
    <w:p>
      <w:pPr>
        <w:spacing w:after="0" w:line="96"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color w:val="auto"/>
        </w:rPr>
        <w:t>For such consolidated entities that we own less than a 100% interest, we record minority interest in our statement of income for the current results allocated to the outside equity interests. FIN 46(R) impacts the way we account for certain collaborations and future events may result in our consolidation of companies or related entities with which we have a collaborative arrangement. The consolidation of variable interest entities may have a material effect on our financial condition and/or results of operation in future periods.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annually assess our goodwill balance to determine whether any impairment in this asset may exist and, if so, the extent of such impairment. To do this, in the case of goodwill we estimate the fair value of each of our reporting units and compare it to the book value of their net assets. Calculating fair value involves identifying future cash flows, which requires that we make a number of critical legal, economic, market and business assumptions that reflect our best estimates as of the testing date. We believe the methods we use to determine these underlying assumptions and estimates are reasonable. Notwithstanding this, our assumptions and estimates may differ significantly from actual results, or circumstances could change that would cause us to conclude that an impairment now exists or that we previously understated the extent of impairment.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make certain assumptions in order to value and expense our share-based compensation. In connection with valuing stock options and our employee stock purchase plan, we use the Black-Scholes model, which requires us to estimate certain subjective assumptions. The key assumptions we make are: the expected volatility of our stock; the expected term of the award; and the expected forfeiture rate. In connection with our restricted stock programs, we make assumptions principally related to the forfeiture rate.</w:t>
      </w:r>
    </w:p>
    <w:p>
      <w:pPr>
        <w:spacing w:after="0" w:line="5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viable tax planning strategies. Our estimates of future taxable income include, among other items, our estimates of future income tax deductions related to the exercise of stock options. In the event that actual results differ from our estimates, we adjust our estimates in future periods we may need to establish a valuation allowance, which could materially impact our financial position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FASB Interpretation No. 48</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Effective January 1, 2007, we adopted FIN 48. FIN 48 clarifies the accounting for uncertainty in income taxes recognized in an enterprise’s financial statements in accordance with FASB Statement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or SFAS 109. FIN 48 also prescribes a recognition threshold and measurement attribute for the financial statement recognition and measurement of each tax position taken or expected to be taken in a tax return. As a result of the adoption of 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540" w:type="dxa"/>
            <w:vAlign w:val="bottom"/>
          </w:tcPr>
          <w:p>
            <w:pPr>
              <w:ind w:left="40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millions):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00"/>
        </w:trPr>
        <w:tc>
          <w:tcPr>
            <w:tcW w:w="9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7"/>
        </w:trPr>
        <w:tc>
          <w:tcPr>
            <w:tcW w:w="954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$ 196.8</w:t>
            </w:r>
          </w:p>
        </w:tc>
        <w:tc>
          <w:tcPr>
            <w:tcW w:w="40" w:type="dxa"/>
            <w:vAlign w:val="bottom"/>
            <w:shd w:val="clear" w:color="auto" w:fill="CCEEFF"/>
          </w:tcPr>
          <w:p>
            <w:pPr>
              <w:spacing w:after="0"/>
              <w:rPr>
                <w:sz w:val="13"/>
                <w:szCs w:val="13"/>
                <w:color w:val="auto"/>
              </w:rPr>
            </w:pPr>
          </w:p>
        </w:tc>
      </w:tr>
      <w:tr>
        <w:trPr>
          <w:trHeight w:val="157"/>
        </w:trPr>
        <w:tc>
          <w:tcPr>
            <w:tcW w:w="954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400" w:type="dxa"/>
            <w:vAlign w:val="bottom"/>
          </w:tcPr>
          <w:p>
            <w:pPr>
              <w:jc w:val="right"/>
              <w:spacing w:after="0"/>
              <w:rPr>
                <w:sz w:val="20"/>
                <w:szCs w:val="20"/>
                <w:color w:val="auto"/>
              </w:rPr>
            </w:pPr>
            <w:r>
              <w:rPr>
                <w:rFonts w:ascii="Arial" w:cs="Arial" w:eastAsia="Arial" w:hAnsi="Arial"/>
                <w:sz w:val="13"/>
                <w:szCs w:val="13"/>
                <w:color w:val="auto"/>
              </w:rPr>
              <w:t>29.7</w:t>
            </w:r>
          </w:p>
        </w:tc>
        <w:tc>
          <w:tcPr>
            <w:tcW w:w="40" w:type="dxa"/>
            <w:vAlign w:val="bottom"/>
          </w:tcPr>
          <w:p>
            <w:pPr>
              <w:spacing w:after="0"/>
              <w:rPr>
                <w:sz w:val="13"/>
                <w:szCs w:val="13"/>
                <w:color w:val="auto"/>
              </w:rPr>
            </w:pPr>
          </w:p>
        </w:tc>
      </w:tr>
      <w:tr>
        <w:trPr>
          <w:trHeight w:val="157"/>
        </w:trPr>
        <w:tc>
          <w:tcPr>
            <w:tcW w:w="954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40" w:type="dxa"/>
            <w:vAlign w:val="bottom"/>
            <w:shd w:val="clear" w:color="auto" w:fill="CCEEFF"/>
          </w:tcPr>
          <w:p>
            <w:pPr>
              <w:spacing w:after="0"/>
              <w:rPr>
                <w:sz w:val="13"/>
                <w:szCs w:val="13"/>
                <w:color w:val="auto"/>
              </w:rPr>
            </w:pPr>
          </w:p>
        </w:tc>
      </w:tr>
      <w:tr>
        <w:trPr>
          <w:trHeight w:val="157"/>
        </w:trPr>
        <w:tc>
          <w:tcPr>
            <w:tcW w:w="954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(70.2)</w:t>
            </w:r>
          </w:p>
        </w:tc>
      </w:tr>
      <w:tr>
        <w:trPr>
          <w:trHeight w:val="157"/>
        </w:trPr>
        <w:tc>
          <w:tcPr>
            <w:tcW w:w="954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w:t>
            </w:r>
          </w:p>
        </w:tc>
      </w:tr>
      <w:tr>
        <w:trPr>
          <w:trHeight w:val="166"/>
        </w:trPr>
        <w:tc>
          <w:tcPr>
            <w:tcW w:w="9540" w:type="dxa"/>
            <w:vAlign w:val="bottom"/>
          </w:tcPr>
          <w:p>
            <w:pPr>
              <w:spacing w:after="0"/>
              <w:rPr>
                <w:sz w:val="20"/>
                <w:szCs w:val="20"/>
                <w:color w:val="auto"/>
              </w:rPr>
            </w:pPr>
            <w:r>
              <w:rPr>
                <w:rFonts w:ascii="Arial" w:cs="Arial" w:eastAsia="Arial" w:hAnsi="Arial"/>
                <w:sz w:val="13"/>
                <w:szCs w:val="13"/>
                <w:color w:val="auto"/>
              </w:rPr>
              <w:t>Balance at December 31, 2007</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$ 221.1</w:t>
            </w:r>
          </w:p>
        </w:tc>
        <w:tc>
          <w:tcPr>
            <w:tcW w:w="40" w:type="dxa"/>
            <w:vAlign w:val="bottom"/>
          </w:tcPr>
          <w:p>
            <w:pPr>
              <w:spacing w:after="0"/>
              <w:rPr>
                <w:sz w:val="14"/>
                <w:szCs w:val="14"/>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Included in the balance of unrecognized tax benefits at December 31, 2007 and January 1, 2007, are $110.5 million and $98.2 million (net of the federal benefit on state issues), respectively, of unrecognized tax benefits that, if recognized, would affect the effective income tax rate in any future periods.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26, New Accounting Pronouncements, for a discussion of new accounting standards.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 and Internal Control over Financial Reporting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have carried out an evaluation, under the supervision and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Securities Exchange Act), as of December 31, 2007. Based upon that evaluation, our principal executive officer and principal financial officer concluded that, as of the end of that period, our disclosure controls and procedures are effective in providing reasonable assurance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Section 404 of the Sarbanes-Oxley Act of 2002 requires us to evaluate annually the effectiveness of our internal controls over financial reporting as of the end of each fiscal year, and to include a management report assessing the effectiveness of our internal control over financial reporting in all annual reports. There were no changes in our internal control over financial reporting during the quarter ended December 31, 2007 that have materially affected, or are reasonably likely to materially affect, our internal control over financial reporting.</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left="680" w:right="140"/>
        <w:spacing w:after="0" w:line="327" w:lineRule="auto"/>
        <w:rPr>
          <w:sz w:val="20"/>
          <w:szCs w:val="20"/>
          <w:color w:val="auto"/>
        </w:rPr>
      </w:pPr>
      <w:r>
        <w:rPr>
          <w:rFonts w:ascii="Arial" w:cs="Arial" w:eastAsia="Arial" w:hAnsi="Arial"/>
          <w:sz w:val="11"/>
          <w:szCs w:val="11"/>
          <w:color w:val="auto"/>
        </w:rPr>
        <w:t>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36"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our assets;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December 31, 2007. In making this assessment, management used the criteria set forth by the Committee of Sponsoring Organizations of the Treadway Commission (COSO) in Internal Control — Integrated Framework.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Based on our assessment, our management has concluded that, as of December 31, 2007, our internal control over financial reporting is effective based on those criteria.</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as of December 31, 2007 has been audited by PricewaterhouseCoopers LLP, an independent registered public accounting firm, as stated in their report, which is included herein.</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operations in Europe, Japan, Australia and Canada in connection with the sale of AVONEX and TYSABRI. We also receive royalty revenues based on worldwide product sales by our licensees and through Genentech on sales of RITUXAN outside of the U.S. As a result, our financial position, results of operations and cash flows can be affected by market fluctuations in foreign currency exchange rates (primarily Euro, Danish krone, Swedish krona, British pound, Japanese yen, Canadian dollar and Swiss franc).</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use foreign currency forward contracts to manage foreign currency risk but do not engage in currency speculation. We use these forward contracts to hedge certain forecasted transactions denominated in foreign currencies. A hypothetical adverse 10% movement in foreign exchange rates compared to the U.S. dollar across all maturities (for example, a strengthening of the Euro) would result in a hypothetical loss in fair value of approximately $48.7 million. Our use of this methodology to quantify the market risk of such instruments should not be construed as an endorsement of its accuracy or the accuracy of the related assumptions. The quantitative information about market risk is necessarily limited because it does not take into account operating transactions.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Certain of our debt instruments are variable rate instruments and our interest expense associated with these instruments is, therefore, subject to changes in market interest rates. A 100 basis-point adverse movement (increase in LIBOR) would increase annual interest expense by approximately $12.2 million.</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In addition,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We estimate that such hypothetical adverse 100 basis point movement would result in a hypothetical loss in fair value of approximately $18.3 million to our interest rate sensitive instruments.</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returns from cash and marketable securities will vary as short-term interest rates change. A 100 basis-point adverse movement (decrease) in short-term interest rates would decrease interest income by approximately $11.5 million.</w:t>
      </w:r>
    </w:p>
    <w:p>
      <w:pPr>
        <w:spacing w:after="0" w:line="59"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We are exposed to equity price risks on the marketable portion of equity securities included in our portfolio of investments entered into for the promotion of business and strategic objectives. These investments are generally in small capitalization stocks in the biotechnology industry sector. We regularly review the market prices of these investments for impairment purposes. A hypothetical adverse 10% movement in market values would result in a hypothetical loss in fair value of approximately $1.7 million.</w:t>
      </w:r>
    </w:p>
    <w:p>
      <w:pPr>
        <w:spacing w:after="0" w:line="1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Consolidated Financial Statements and Supplementary Data</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8 is contained on pages F-1 through F-65 of this Annual Report on Form 10-K.</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information required by this Item is contained in the section of Item 7 entitled “Disclosure Controls and Procedures and Internal Control over Financial Reporting” beginning on page 71 of this Annual Report on Form 10-K.</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information concerning our executive officers is set forth in Part I of this Form 10-K.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“Corporate Governance” subsection of the “Company” section of the site. Disclosure regarding any amendments to, or waivers from, provisions of our code of business conduct, if required, will be included in a Current Report on Form 8-K within four business days following the date of the amendment or waiver, unless website posting of such amendments or waivers is permitted by the rules of The NASDAQ Stock Market, Inc. Our corporate governance principles (also posted on www.biogenidec.com) prohibit our Board of Directors from granting any waiver of the code of ethics for any of our directors or executive officers. We include our website address in this Annual Report on Form 10-K only as an inactive textual reference and do not intend it to be an active link to our website.</w:t>
      </w:r>
    </w:p>
    <w:p>
      <w:pPr>
        <w:spacing w:after="0" w:line="7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response to the remainder of this item is incorporated by reference from the discussion responsive thereto in the sections labeled “Proposal 1 — Election of Directors — Information about our Board of Directors and its Committees” and “Stock Ownership — Section 16(a) Beneficial Ownership Reporting Compliance” contained in the proxy statement for our 2008 annual meeting of stockholders.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 labeled “Executive Compensation and Related Information” contained in the proxy statement for our 2008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sections labeled “Stock Ownership” and “Disclosure with Respect to our Equity Compensation Plans” contained in the proxy statement for our 2008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response to this item is incorporated by reference from the discussion responsive thereto in the sections labeled “Proposal 1 — Election of Directors — Information about our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Board of Directors and its Committees,” “Executive Compensation and Related Information — Potential Payments Upon Termination or Change in Control Arrangements,” and “Certain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Relationships and Related Party Transactions” contained in the proxy statement for our 2008 annual meeting of stockholders.</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jc w:val="both"/>
        <w:ind w:left="680" w:right="220" w:firstLine="399"/>
        <w:spacing w:after="0" w:line="276" w:lineRule="auto"/>
        <w:rPr>
          <w:sz w:val="20"/>
          <w:szCs w:val="20"/>
          <w:color w:val="auto"/>
        </w:rPr>
      </w:pPr>
      <w:r>
        <w:rPr>
          <w:rFonts w:ascii="Arial" w:cs="Arial" w:eastAsia="Arial" w:hAnsi="Arial"/>
          <w:sz w:val="13"/>
          <w:szCs w:val="13"/>
          <w:color w:val="auto"/>
        </w:rPr>
        <w:t>The response to this item is incorporated by reference from the discussion responsive thereto in the section labeled “Proposal 2 — Ratification of the Selection of our Independent Registered Public Accounting Firm” contained in the proxy statement for our 2008 annual meeting of stockholders.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20" w:type="dxa"/>
            <w:vAlign w:val="bottom"/>
          </w:tcPr>
          <w:p>
            <w:pPr>
              <w:ind w:left="4120"/>
              <w:spacing w:after="0"/>
              <w:rPr>
                <w:sz w:val="20"/>
                <w:szCs w:val="20"/>
                <w:color w:val="auto"/>
              </w:rPr>
            </w:pPr>
            <w:r>
              <w:rPr>
                <w:rFonts w:ascii="Arial" w:cs="Arial" w:eastAsia="Arial" w:hAnsi="Arial"/>
                <w:sz w:val="13"/>
                <w:szCs w:val="13"/>
                <w:b w:val="1"/>
                <w:bCs w:val="1"/>
                <w:color w:val="auto"/>
              </w:rPr>
              <w:t>PART IV</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832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Exhibits, Financial Statement Schedules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8840" w:type="dxa"/>
            <w:vAlign w:val="bottom"/>
            <w:gridSpan w:val="2"/>
          </w:tcPr>
          <w:p>
            <w:pPr>
              <w:ind w:left="300"/>
              <w:spacing w:after="0"/>
              <w:rPr>
                <w:sz w:val="20"/>
                <w:szCs w:val="20"/>
                <w:color w:val="auto"/>
              </w:rPr>
            </w:pPr>
            <w:r>
              <w:rPr>
                <w:rFonts w:ascii="Arial" w:cs="Arial" w:eastAsia="Arial" w:hAnsi="Arial"/>
                <w:sz w:val="13"/>
                <w:szCs w:val="13"/>
                <w:color w:val="auto"/>
              </w:rPr>
              <w:t xml:space="preserve">a. (1) </w:t>
            </w:r>
            <w:r>
              <w:rPr>
                <w:rFonts w:ascii="Arial" w:cs="Arial" w:eastAsia="Arial" w:hAnsi="Arial"/>
                <w:sz w:val="13"/>
                <w:szCs w:val="13"/>
                <w:i w:val="1"/>
                <w:iCs w:val="1"/>
                <w:color w:val="auto"/>
              </w:rPr>
              <w:t>Consolidated Financial Statements: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320" w:type="dxa"/>
            <w:vAlign w:val="bottom"/>
          </w:tcPr>
          <w:p>
            <w:pPr>
              <w:ind w:left="160"/>
              <w:spacing w:after="0"/>
              <w:rPr>
                <w:sz w:val="20"/>
                <w:szCs w:val="20"/>
                <w:color w:val="auto"/>
              </w:rPr>
            </w:pPr>
            <w:r>
              <w:rPr>
                <w:rFonts w:ascii="Arial" w:cs="Arial" w:eastAsia="Arial" w:hAnsi="Arial"/>
                <w:sz w:val="13"/>
                <w:szCs w:val="13"/>
                <w:color w:val="auto"/>
              </w:rPr>
              <w:t>The Financial Statements required to be filed by Item 8 of this Annual Report on Form 10-K, and filed in this Item 15, are as follows: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6"/>
              </w:rPr>
              <w:t>Page Number</w:t>
            </w:r>
          </w:p>
        </w:tc>
        <w:tc>
          <w:tcPr>
            <w:tcW w:w="0" w:type="dxa"/>
            <w:vAlign w:val="bottom"/>
          </w:tcPr>
          <w:p>
            <w:pPr>
              <w:spacing w:after="0"/>
              <w:rPr>
                <w:sz w:val="1"/>
                <w:szCs w:val="1"/>
                <w:color w:val="auto"/>
              </w:rPr>
            </w:pPr>
          </w:p>
        </w:tc>
      </w:tr>
      <w:tr>
        <w:trPr>
          <w:trHeight w:val="118"/>
        </w:trPr>
        <w:tc>
          <w:tcPr>
            <w:tcW w:w="89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Financial Statements</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9"/>
              </w:rPr>
              <w:t>in This</w:t>
            </w:r>
          </w:p>
        </w:tc>
        <w:tc>
          <w:tcPr>
            <w:tcW w:w="0" w:type="dxa"/>
            <w:vAlign w:val="bottom"/>
          </w:tcPr>
          <w:p>
            <w:pPr>
              <w:spacing w:after="0"/>
              <w:rPr>
                <w:sz w:val="1"/>
                <w:szCs w:val="1"/>
                <w:color w:val="auto"/>
              </w:rPr>
            </w:pPr>
          </w:p>
        </w:tc>
      </w:tr>
      <w:tr>
        <w:trPr>
          <w:trHeight w:val="125"/>
        </w:trPr>
        <w:tc>
          <w:tcPr>
            <w:tcW w:w="8940" w:type="dxa"/>
            <w:vAlign w:val="bottom"/>
            <w:gridSpan w:val="3"/>
            <w:vMerge w:val="continue"/>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rPr>
              <w:t>Form 10-K</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940" w:type="dxa"/>
            <w:vAlign w:val="bottom"/>
            <w:gridSpan w:val="3"/>
          </w:tcPr>
          <w:p>
            <w:pPr>
              <w:spacing w:after="0"/>
              <w:rPr>
                <w:sz w:val="20"/>
                <w:szCs w:val="20"/>
                <w:color w:val="auto"/>
              </w:rPr>
            </w:pPr>
            <w:r>
              <w:rPr>
                <w:rFonts w:ascii="Arial" w:cs="Arial" w:eastAsia="Arial" w:hAnsi="Arial"/>
                <w:sz w:val="13"/>
                <w:szCs w:val="13"/>
                <w:color w:val="auto"/>
              </w:rPr>
              <w:t>Consolidated Statements of Income</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F-2</w:t>
            </w:r>
          </w:p>
        </w:tc>
        <w:tc>
          <w:tcPr>
            <w:tcW w:w="0" w:type="dxa"/>
            <w:vAlign w:val="bottom"/>
          </w:tcPr>
          <w:p>
            <w:pPr>
              <w:spacing w:after="0"/>
              <w:rPr>
                <w:sz w:val="1"/>
                <w:szCs w:val="1"/>
                <w:color w:val="auto"/>
              </w:rPr>
            </w:pPr>
          </w:p>
        </w:tc>
      </w:tr>
      <w:tr>
        <w:trPr>
          <w:trHeight w:val="157"/>
        </w:trPr>
        <w:tc>
          <w:tcPr>
            <w:tcW w:w="8940" w:type="dxa"/>
            <w:vAlign w:val="bottom"/>
            <w:gridSpan w:val="3"/>
          </w:tcPr>
          <w:p>
            <w:pPr>
              <w:spacing w:after="0"/>
              <w:rPr>
                <w:sz w:val="20"/>
                <w:szCs w:val="20"/>
                <w:color w:val="auto"/>
              </w:rPr>
            </w:pPr>
            <w:r>
              <w:rPr>
                <w:rFonts w:ascii="Arial" w:cs="Arial" w:eastAsia="Arial" w:hAnsi="Arial"/>
                <w:sz w:val="13"/>
                <w:szCs w:val="13"/>
                <w:color w:val="auto"/>
              </w:rPr>
              <w:t>Consolidated Balance Sheets</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F-3</w:t>
            </w:r>
          </w:p>
        </w:tc>
        <w:tc>
          <w:tcPr>
            <w:tcW w:w="0" w:type="dxa"/>
            <w:vAlign w:val="bottom"/>
          </w:tcPr>
          <w:p>
            <w:pPr>
              <w:spacing w:after="0"/>
              <w:rPr>
                <w:sz w:val="1"/>
                <w:szCs w:val="1"/>
                <w:color w:val="auto"/>
              </w:rPr>
            </w:pPr>
          </w:p>
        </w:tc>
      </w:tr>
      <w:tr>
        <w:trPr>
          <w:trHeight w:val="157"/>
        </w:trPr>
        <w:tc>
          <w:tcPr>
            <w:tcW w:w="8940" w:type="dxa"/>
            <w:vAlign w:val="bottom"/>
            <w:gridSpan w:val="3"/>
          </w:tcPr>
          <w:p>
            <w:pPr>
              <w:spacing w:after="0"/>
              <w:rPr>
                <w:sz w:val="20"/>
                <w:szCs w:val="20"/>
                <w:color w:val="auto"/>
              </w:rPr>
            </w:pPr>
            <w:r>
              <w:rPr>
                <w:rFonts w:ascii="Arial" w:cs="Arial" w:eastAsia="Arial" w:hAnsi="Arial"/>
                <w:sz w:val="13"/>
                <w:szCs w:val="13"/>
                <w:color w:val="auto"/>
              </w:rPr>
              <w:t>Consolidated Statements of Cash Flows</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F-4</w:t>
            </w:r>
          </w:p>
        </w:tc>
        <w:tc>
          <w:tcPr>
            <w:tcW w:w="0" w:type="dxa"/>
            <w:vAlign w:val="bottom"/>
          </w:tcPr>
          <w:p>
            <w:pPr>
              <w:spacing w:after="0"/>
              <w:rPr>
                <w:sz w:val="1"/>
                <w:szCs w:val="1"/>
                <w:color w:val="auto"/>
              </w:rPr>
            </w:pPr>
          </w:p>
        </w:tc>
      </w:tr>
      <w:tr>
        <w:trPr>
          <w:trHeight w:val="157"/>
        </w:trPr>
        <w:tc>
          <w:tcPr>
            <w:tcW w:w="8940" w:type="dxa"/>
            <w:vAlign w:val="bottom"/>
            <w:gridSpan w:val="3"/>
          </w:tcPr>
          <w:p>
            <w:pPr>
              <w:spacing w:after="0"/>
              <w:rPr>
                <w:sz w:val="20"/>
                <w:szCs w:val="20"/>
                <w:color w:val="auto"/>
              </w:rPr>
            </w:pPr>
            <w:r>
              <w:rPr>
                <w:rFonts w:ascii="Arial" w:cs="Arial" w:eastAsia="Arial" w:hAnsi="Arial"/>
                <w:sz w:val="13"/>
                <w:szCs w:val="13"/>
                <w:color w:val="auto"/>
              </w:rPr>
              <w:t>Consolidated Statements of Shareholders’ Equity</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F-5</w:t>
            </w:r>
          </w:p>
        </w:tc>
        <w:tc>
          <w:tcPr>
            <w:tcW w:w="0" w:type="dxa"/>
            <w:vAlign w:val="bottom"/>
          </w:tcPr>
          <w:p>
            <w:pPr>
              <w:spacing w:after="0"/>
              <w:rPr>
                <w:sz w:val="1"/>
                <w:szCs w:val="1"/>
                <w:color w:val="auto"/>
              </w:rPr>
            </w:pPr>
          </w:p>
        </w:tc>
      </w:tr>
      <w:tr>
        <w:trPr>
          <w:trHeight w:val="157"/>
        </w:trPr>
        <w:tc>
          <w:tcPr>
            <w:tcW w:w="8940" w:type="dxa"/>
            <w:vAlign w:val="bottom"/>
            <w:gridSpan w:val="3"/>
          </w:tcPr>
          <w:p>
            <w:pPr>
              <w:spacing w:after="0"/>
              <w:rPr>
                <w:sz w:val="20"/>
                <w:szCs w:val="20"/>
                <w:color w:val="auto"/>
              </w:rPr>
            </w:pPr>
            <w:r>
              <w:rPr>
                <w:rFonts w:ascii="Arial" w:cs="Arial" w:eastAsia="Arial" w:hAnsi="Arial"/>
                <w:sz w:val="13"/>
                <w:szCs w:val="13"/>
                <w:color w:val="auto"/>
              </w:rPr>
              <w:t>Notes to Consolidated Financial Statements</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F-7</w:t>
            </w:r>
          </w:p>
        </w:tc>
        <w:tc>
          <w:tcPr>
            <w:tcW w:w="0" w:type="dxa"/>
            <w:vAlign w:val="bottom"/>
          </w:tcPr>
          <w:p>
            <w:pPr>
              <w:spacing w:after="0"/>
              <w:rPr>
                <w:sz w:val="1"/>
                <w:szCs w:val="1"/>
                <w:color w:val="auto"/>
              </w:rPr>
            </w:pPr>
          </w:p>
        </w:tc>
      </w:tr>
      <w:tr>
        <w:trPr>
          <w:trHeight w:val="165"/>
        </w:trPr>
        <w:tc>
          <w:tcPr>
            <w:tcW w:w="8940" w:type="dxa"/>
            <w:vAlign w:val="bottom"/>
            <w:gridSpan w:val="3"/>
          </w:tcPr>
          <w:p>
            <w:pPr>
              <w:spacing w:after="0"/>
              <w:rPr>
                <w:sz w:val="20"/>
                <w:szCs w:val="20"/>
                <w:color w:val="auto"/>
              </w:rPr>
            </w:pPr>
            <w:r>
              <w:rPr>
                <w:rFonts w:ascii="Arial" w:cs="Arial" w:eastAsia="Arial" w:hAnsi="Arial"/>
                <w:sz w:val="13"/>
                <w:szCs w:val="13"/>
                <w:color w:val="auto"/>
              </w:rPr>
              <w:t>Reports of Independent Registered Public Accounting Firm</w:t>
            </w:r>
          </w:p>
        </w:tc>
        <w:tc>
          <w:tcPr>
            <w:tcW w:w="1040" w:type="dxa"/>
            <w:vAlign w:val="bottom"/>
          </w:tcPr>
          <w:p>
            <w:pPr>
              <w:jc w:val="right"/>
              <w:ind w:right="319"/>
              <w:spacing w:after="0"/>
              <w:rPr>
                <w:sz w:val="20"/>
                <w:szCs w:val="20"/>
                <w:color w:val="auto"/>
              </w:rPr>
            </w:pPr>
            <w:r>
              <w:rPr>
                <w:rFonts w:ascii="Arial" w:cs="Arial" w:eastAsia="Arial" w:hAnsi="Arial"/>
                <w:sz w:val="13"/>
                <w:szCs w:val="13"/>
                <w:color w:val="auto"/>
              </w:rPr>
              <w:t>F-65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Schedules are omitted because they are not applicable, or are not required, or because the information is included in the consolidated financial statements and notes thereto.</w:t>
      </w:r>
    </w:p>
    <w:p>
      <w:pPr>
        <w:spacing w:after="0" w:line="96" w:lineRule="exact"/>
        <w:rPr>
          <w:sz w:val="20"/>
          <w:szCs w:val="20"/>
          <w:color w:val="auto"/>
        </w:rPr>
      </w:pPr>
    </w:p>
    <w:p>
      <w:pPr>
        <w:ind w:left="1280" w:hanging="194"/>
        <w:spacing w:after="0"/>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exhibits are referenced or included in this Form 10-K.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Pr>
          <w:p>
            <w:pPr>
              <w:jc w:val="right"/>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78"/>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2.1(12)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Agreement and Plan of Merger, dated as of June 20, 2003, by and among us, Bridges Merger Corporation and Biogen, Inc.</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3.1(24)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 and Restated Certificate of Incorporation</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3.2(24)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Amendment of Amended and Restated Certificate of Incorporation, dated as of May 21, 2001</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3.3(24)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Increasing the Number of Authorized Shares of Series X Junior Participating Preferred Stock, dated as of July 26, 2001</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3.4(24)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Amendment of Amended and Restated Certificate of Incorporation, dated as of November 12, 2003</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3.5(28)</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 and Restated Bylaws</w:t>
            </w:r>
          </w:p>
        </w:tc>
      </w:tr>
      <w:tr>
        <w:trPr>
          <w:trHeight w:val="157"/>
        </w:trPr>
        <w:tc>
          <w:tcPr>
            <w:tcW w:w="2120" w:type="dxa"/>
            <w:vAlign w:val="bottom"/>
          </w:tcPr>
          <w:p>
            <w:pPr>
              <w:jc w:val="right"/>
              <w:ind w:right="555"/>
              <w:spacing w:after="0"/>
              <w:rPr>
                <w:sz w:val="20"/>
                <w:szCs w:val="20"/>
                <w:color w:val="auto"/>
              </w:rPr>
            </w:pPr>
            <w:r>
              <w:rPr>
                <w:rFonts w:ascii="Arial" w:cs="Arial" w:eastAsia="Arial" w:hAnsi="Arial"/>
                <w:sz w:val="13"/>
                <w:szCs w:val="13"/>
                <w:color w:val="auto"/>
              </w:rPr>
              <w:t>4.1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Reference is made to Exhibit 3.1 for a description of the rights, preferences and privileges of our Series A Preferred Stock and Series X Junior Participating</w:t>
            </w:r>
          </w:p>
        </w:tc>
      </w:tr>
      <w:tr>
        <w:trPr>
          <w:trHeight w:val="157"/>
        </w:trPr>
        <w:tc>
          <w:tcPr>
            <w:tcW w:w="2120" w:type="dxa"/>
            <w:vAlign w:val="bottom"/>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4.2(24)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w:t>
            </w:r>
          </w:p>
        </w:tc>
      </w:tr>
      <w:tr>
        <w:trPr>
          <w:trHeight w:val="157"/>
        </w:trPr>
        <w:tc>
          <w:tcPr>
            <w:tcW w:w="2120" w:type="dxa"/>
            <w:vAlign w:val="bottom"/>
          </w:tcPr>
          <w:p>
            <w:pPr>
              <w:jc w:val="right"/>
              <w:ind w:right="395"/>
              <w:spacing w:after="0"/>
              <w:rPr>
                <w:sz w:val="20"/>
                <w:szCs w:val="20"/>
                <w:color w:val="auto"/>
              </w:rPr>
            </w:pPr>
            <w:r>
              <w:rPr>
                <w:rFonts w:ascii="Arial" w:cs="Arial" w:eastAsia="Arial" w:hAnsi="Arial"/>
                <w:sz w:val="13"/>
                <w:szCs w:val="13"/>
                <w:color w:val="auto"/>
              </w:rPr>
              <w:t>4.3(6)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Indenture dated as of February 16, 1999 between us and Chase Manhattan Bank and Trust Company, National Association, as Trustee</w:t>
            </w:r>
          </w:p>
        </w:tc>
      </w:tr>
      <w:tr>
        <w:trPr>
          <w:trHeight w:val="157"/>
        </w:trPr>
        <w:tc>
          <w:tcPr>
            <w:tcW w:w="2120" w:type="dxa"/>
            <w:vAlign w:val="bottom"/>
          </w:tcPr>
          <w:p>
            <w:pPr>
              <w:jc w:val="right"/>
              <w:ind w:right="395"/>
              <w:spacing w:after="0"/>
              <w:rPr>
                <w:sz w:val="20"/>
                <w:szCs w:val="20"/>
                <w:color w:val="auto"/>
              </w:rPr>
            </w:pPr>
            <w:r>
              <w:rPr>
                <w:rFonts w:ascii="Arial" w:cs="Arial" w:eastAsia="Arial" w:hAnsi="Arial"/>
                <w:sz w:val="13"/>
                <w:szCs w:val="13"/>
                <w:color w:val="auto"/>
              </w:rPr>
              <w:t>4.4(4)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Registered Liquid Yield Option</w:t>
            </w:r>
            <w:r>
              <w:rPr>
                <w:rFonts w:ascii="Arial" w:cs="Arial" w:eastAsia="Arial" w:hAnsi="Arial"/>
                <w:sz w:val="7"/>
                <w:szCs w:val="7"/>
                <w:color w:val="auto"/>
              </w:rPr>
              <w:t>TM</w:t>
            </w:r>
            <w:r>
              <w:rPr>
                <w:rFonts w:ascii="Arial" w:cs="Arial" w:eastAsia="Arial" w:hAnsi="Arial"/>
                <w:sz w:val="13"/>
                <w:szCs w:val="13"/>
                <w:color w:val="auto"/>
              </w:rPr>
              <w:t xml:space="preserve"> Note due 2019</w:t>
            </w:r>
          </w:p>
        </w:tc>
      </w:tr>
      <w:tr>
        <w:trPr>
          <w:trHeight w:val="157"/>
        </w:trPr>
        <w:tc>
          <w:tcPr>
            <w:tcW w:w="2120" w:type="dxa"/>
            <w:vAlign w:val="bottom"/>
          </w:tcPr>
          <w:p>
            <w:pPr>
              <w:jc w:val="right"/>
              <w:ind w:right="395"/>
              <w:spacing w:after="0"/>
              <w:rPr>
                <w:sz w:val="20"/>
                <w:szCs w:val="20"/>
                <w:color w:val="auto"/>
              </w:rPr>
            </w:pPr>
            <w:r>
              <w:rPr>
                <w:rFonts w:ascii="Arial" w:cs="Arial" w:eastAsia="Arial" w:hAnsi="Arial"/>
                <w:sz w:val="13"/>
                <w:szCs w:val="13"/>
                <w:color w:val="auto"/>
              </w:rPr>
              <w:t>4.5(9)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 and Restated Rights Agreement dated as of July 26, 2001 between us and Mellon Investor Services LLC</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4.6(12)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to Amended and Restated Rights Agreement dated as of June 23, 2003 between us and Mellon Investor Services LLC</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4.7(11)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Indenture dated as of April 29, 2002 between us and JP Morgan Trust Company, N.A., as Trustee</w:t>
            </w: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4.8(11)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Registered Liquid Yield Option</w:t>
            </w:r>
            <w:r>
              <w:rPr>
                <w:rFonts w:ascii="Arial" w:cs="Arial" w:eastAsia="Arial" w:hAnsi="Arial"/>
                <w:sz w:val="7"/>
                <w:szCs w:val="7"/>
                <w:color w:val="auto"/>
              </w:rPr>
              <w:t>TM</w:t>
            </w:r>
            <w:r>
              <w:rPr>
                <w:rFonts w:ascii="Arial" w:cs="Arial" w:eastAsia="Arial" w:hAnsi="Arial"/>
                <w:sz w:val="13"/>
                <w:szCs w:val="13"/>
                <w:color w:val="auto"/>
              </w:rPr>
              <w:t xml:space="preserve"> Note due 2032</w:t>
            </w:r>
          </w:p>
        </w:tc>
      </w:tr>
      <w:tr>
        <w:trPr>
          <w:trHeight w:val="157"/>
        </w:trPr>
        <w:tc>
          <w:tcPr>
            <w:tcW w:w="2120" w:type="dxa"/>
            <w:vAlign w:val="bottom"/>
          </w:tcPr>
          <w:p>
            <w:pPr>
              <w:jc w:val="right"/>
              <w:ind w:right="275"/>
              <w:spacing w:after="0"/>
              <w:rPr>
                <w:sz w:val="20"/>
                <w:szCs w:val="20"/>
                <w:color w:val="auto"/>
              </w:rPr>
            </w:pPr>
            <w:r>
              <w:rPr>
                <w:rFonts w:ascii="Arial" w:cs="Arial" w:eastAsia="Arial" w:hAnsi="Arial"/>
                <w:sz w:val="13"/>
                <w:szCs w:val="13"/>
                <w:color w:val="auto"/>
              </w:rPr>
              <w:t>10.1(13)*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IDEC Pharmaceuticals Corporation 1988 Stock Option Plan, as amended and restated through February 19, 2003</w:t>
            </w:r>
          </w:p>
        </w:tc>
      </w:tr>
      <w:tr>
        <w:trPr>
          <w:trHeight w:val="165"/>
        </w:trPr>
        <w:tc>
          <w:tcPr>
            <w:tcW w:w="2120" w:type="dxa"/>
            <w:vAlign w:val="bottom"/>
          </w:tcPr>
          <w:p>
            <w:pPr>
              <w:jc w:val="right"/>
              <w:ind w:right="395"/>
              <w:spacing w:after="0"/>
              <w:rPr>
                <w:sz w:val="20"/>
                <w:szCs w:val="20"/>
                <w:color w:val="auto"/>
              </w:rPr>
            </w:pPr>
            <w:r>
              <w:rPr>
                <w:rFonts w:ascii="Arial" w:cs="Arial" w:eastAsia="Arial" w:hAnsi="Arial"/>
                <w:sz w:val="13"/>
                <w:szCs w:val="13"/>
                <w:color w:val="auto"/>
              </w:rPr>
              <w:t>10.2(5)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the Registrant and Genentech, Inc., dated May 21, 1996</w:t>
            </w:r>
          </w:p>
        </w:tc>
      </w:tr>
      <w:tr>
        <w:trPr>
          <w:trHeight w:val="452"/>
        </w:trPr>
        <w:tc>
          <w:tcPr>
            <w:tcW w:w="2120" w:type="dxa"/>
            <w:vAlign w:val="bottom"/>
          </w:tcPr>
          <w:p>
            <w:pPr>
              <w:spacing w:after="0"/>
              <w:rPr>
                <w:sz w:val="24"/>
                <w:szCs w:val="24"/>
                <w:color w:val="auto"/>
              </w:rPr>
            </w:pPr>
          </w:p>
        </w:tc>
        <w:tc>
          <w:tcPr>
            <w:tcW w:w="4260" w:type="dxa"/>
            <w:vAlign w:val="bottom"/>
          </w:tcPr>
          <w:p>
            <w:pPr>
              <w:ind w:left="350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-2131060</wp:posOffset>
            </wp:positionV>
            <wp:extent cx="635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78"/>
        </w:trPr>
        <w:tc>
          <w:tcPr>
            <w:tcW w:w="2120" w:type="dxa"/>
            <w:vAlign w:val="bottom"/>
          </w:tcPr>
          <w:p>
            <w:pPr>
              <w:ind w:left="1280"/>
              <w:spacing w:after="0"/>
              <w:rPr>
                <w:sz w:val="20"/>
                <w:szCs w:val="20"/>
                <w:color w:val="auto"/>
              </w:rPr>
            </w:pPr>
            <w:r>
              <w:rPr>
                <w:rFonts w:ascii="Arial" w:cs="Arial" w:eastAsia="Arial" w:hAnsi="Arial"/>
                <w:sz w:val="13"/>
                <w:szCs w:val="13"/>
                <w:color w:val="auto"/>
              </w:rPr>
              <w:t>10.3(2)†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License Agreement between us and Coulter Immunology (now Corixa Corporation), dated May 16, 1991</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10.4(13)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Idec Pharmaceuticals Corporation 1993 Non-Employee Directors Stock Option Plan, as amended and restated through February 19,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Expression Technology Agreement between us and Genentech. Inc., dated March 16, 1995</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10.6(1)*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for certain directors and executive officers</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10.7(7)†</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Collaboration &amp; License Agreement between us and Schering Aktiengesellschaft, dated June 9, 1999</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10.8(8)†</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Isotope Agreement between us and MDS Nordion Inc. as amended by a first amendment on January 21, 2000 and a second amendment on March 16, 2001</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10.9(24)*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Voluntary Executive Supplemental Savings Plan (as amended and restated; effective January 1, 2004)</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10.10(10)†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Third Amendment to Agreement between MDS Canada Inc., MDS Nordion division, successor to MDS Nordion Inc. and us dated November 12, 2001</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10.11(14)†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Commercial Supply Agreement between us and Baxter Pharmaceutical Solutions LLC dated June 1, 2002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10.12(15)*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2003 Omnibus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10.13(15)*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Idec Pharmaceuticals Corporation 2003 Performance Based Management Incentive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10.14(21)*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Biogen, Inc. and certain directors and executive officers</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10.15(18)</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Cambridge Center Lease dated October 4, 1982 between Mortimer Zuckerman, Edward H. Linde and David Barrett, as Trustees of Fourteen Cambridge Center</w:t>
            </w:r>
          </w:p>
        </w:tc>
      </w:tr>
      <w:tr>
        <w:trPr>
          <w:trHeight w:val="157"/>
        </w:trPr>
        <w:tc>
          <w:tcPr>
            <w:tcW w:w="2120" w:type="dxa"/>
            <w:vAlign w:val="bottom"/>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Trust, and B. Leasing, Inc.</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10.16(19)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Lease dated January 19, 1989, amending Cambridge Center Lease dated October 4, 1982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10.17(19)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Amendment to Lease dated March 8, 1990, amending Cambridge Center Lease dated October 4, 1982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10.18(19)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Third Amendment to Lease dated September 25, 1991, amending Cambridge Center Lease dated October 4, 1982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10.19(20)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Fourth Amendment to Lease dated October 6, 1993, amending Cambridge Center Lease dated October 4, 1982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10.20(20)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Fifth Amendment to Lease dated October 9, 1997, amending Cambridge Center Lease dated October 4, 1982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10.21(33)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Lease dated April 1, 1990 between Biogen, Inc. and Steven D. Rosenberg as Trustee of the Fifth Realty Trust of 300 Bent Street</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Inc. 1985 Non-Qualified Stock Option Plan (as amended and restated through April 11,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10.23(22)*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Inc. 1987 Scientific Board Stock Option Plan (as amended and restated through February 7,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10.24(22)†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ANTEGREN (now TYSABRI) Development and Marketing Collaboration Agreement between us and Elan Pharma International Limited, dated August 15,</w:t>
            </w:r>
          </w:p>
        </w:tc>
      </w:tr>
      <w:tr>
        <w:trPr>
          <w:trHeight w:val="157"/>
        </w:trPr>
        <w:tc>
          <w:tcPr>
            <w:tcW w:w="2120" w:type="dxa"/>
            <w:vAlign w:val="bottom"/>
          </w:tcPr>
          <w:p>
            <w:pPr>
              <w:spacing w:after="0"/>
              <w:rPr>
                <w:sz w:val="13"/>
                <w:szCs w:val="13"/>
                <w:color w:val="auto"/>
              </w:rPr>
            </w:pPr>
          </w:p>
        </w:tc>
        <w:tc>
          <w:tcPr>
            <w:tcW w:w="4260" w:type="dxa"/>
            <w:vAlign w:val="bottom"/>
          </w:tcPr>
          <w:p>
            <w:pPr>
              <w:ind w:left="80"/>
              <w:spacing w:after="0"/>
              <w:rPr>
                <w:sz w:val="20"/>
                <w:szCs w:val="20"/>
                <w:color w:val="auto"/>
              </w:rPr>
            </w:pPr>
            <w:r>
              <w:rPr>
                <w:rFonts w:ascii="Arial" w:cs="Arial" w:eastAsia="Arial" w:hAnsi="Arial"/>
                <w:sz w:val="13"/>
                <w:szCs w:val="13"/>
                <w:color w:val="auto"/>
              </w:rPr>
              <w:t>2000</w:t>
            </w:r>
          </w:p>
        </w:tc>
        <w:tc>
          <w:tcPr>
            <w:tcW w:w="8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10.25(16)*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Employment Agreement between us and James C Mullen, dated June 20,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10.26(16)*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Employment Agreement between us and William H. Rastetter, dated June 20,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10.27(17)†</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 and Restated Collaboration Agreement between us and Genentech, Inc., dated June 19,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10.28(24)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Fourth Amendment to Agreement between us, MDS (Canada) Inc., MDS Nordion division, successor to MDS Nordion Inc., dated June 10, 2003</w:t>
            </w:r>
          </w:p>
        </w:tc>
      </w:tr>
      <w:tr>
        <w:trPr>
          <w:trHeight w:val="165"/>
        </w:trPr>
        <w:tc>
          <w:tcPr>
            <w:tcW w:w="2120" w:type="dxa"/>
            <w:vAlign w:val="bottom"/>
          </w:tcPr>
          <w:p>
            <w:pPr>
              <w:ind w:left="1280"/>
              <w:spacing w:after="0"/>
              <w:rPr>
                <w:sz w:val="20"/>
                <w:szCs w:val="20"/>
                <w:color w:val="auto"/>
              </w:rPr>
            </w:pPr>
            <w:r>
              <w:rPr>
                <w:rFonts w:ascii="Arial" w:cs="Arial" w:eastAsia="Arial" w:hAnsi="Arial"/>
                <w:sz w:val="13"/>
                <w:szCs w:val="13"/>
                <w:color w:val="auto"/>
              </w:rPr>
              <w:t>10.29(24)†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Fifth Amendment to Agreement between us, MDS (Canada) Inc., MDS Nordion division, successor to MDS Nordion Inc., dated December 17, 2003</w:t>
            </w:r>
          </w:p>
        </w:tc>
      </w:tr>
      <w:tr>
        <w:trPr>
          <w:trHeight w:val="295"/>
        </w:trPr>
        <w:tc>
          <w:tcPr>
            <w:tcW w:w="2120" w:type="dxa"/>
            <w:vAlign w:val="bottom"/>
          </w:tcPr>
          <w:p>
            <w:pPr>
              <w:spacing w:after="0"/>
              <w:rPr>
                <w:sz w:val="24"/>
                <w:szCs w:val="24"/>
                <w:color w:val="auto"/>
              </w:rPr>
            </w:pPr>
          </w:p>
        </w:tc>
        <w:tc>
          <w:tcPr>
            <w:tcW w:w="4260" w:type="dxa"/>
            <w:vAlign w:val="bottom"/>
          </w:tcPr>
          <w:p>
            <w:pPr>
              <w:ind w:left="3500"/>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-3229610</wp:posOffset>
            </wp:positionV>
            <wp:extent cx="63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178"/>
        </w:trPr>
        <w:tc>
          <w:tcPr>
            <w:tcW w:w="2120" w:type="dxa"/>
            <w:vAlign w:val="bottom"/>
          </w:tcPr>
          <w:p>
            <w:pPr>
              <w:ind w:left="1280"/>
              <w:spacing w:after="0"/>
              <w:rPr>
                <w:sz w:val="20"/>
                <w:szCs w:val="20"/>
                <w:color w:val="auto"/>
              </w:rPr>
            </w:pPr>
            <w:r>
              <w:rPr>
                <w:rFonts w:ascii="Arial" w:cs="Arial" w:eastAsia="Arial" w:hAnsi="Arial"/>
                <w:sz w:val="13"/>
                <w:szCs w:val="13"/>
                <w:color w:val="auto"/>
              </w:rPr>
              <w:t>10.30(24)*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letter agreement regarding employment arrangement between us and our Executive Vice Presidents and Senior Vice Presidents</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10.31(25)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Lease agreement between Biogen Idec BV, a wholly-owned subsidiary of the registrant, and TUG Vastgoed B.V., dated as of September 24, 2004</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10.32(26)*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to the IDEC Pharmaceuticals Corporation 1988 Stock Option Plan, as amended and restated through February 19, 2003</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Board of Directors — Annual Retainer Summary Sheet</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10.34(29)†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Purchase and Sale Agreement and Joint Escrow Instructions between the Company and Genentech, Inc. dated as of June 16, 2005</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10.35(30)*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2005 Omnibus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10.36(30)*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1995 Employee Stock Purchase Plan as amended and restated effective April 6, 2005.</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10.37(31)*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Grant Notice (Restricted Stock Units) — September 2005 RSU Grant</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10.38(34)*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to the Idec Pharmaceuticals Corporation 2003 Omnibus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10.39(39)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2, dated February 12, 2007, to the Biogen Idec Inc. 2005 Omnibus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10.40(35)*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Employment Agreement between the Company and James C. Mullen, dated February 7, 2006</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10.41(36)*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Letter regarding employment arrangement of Craig E. Schneier, dated October 8, 2001</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10.42(36)*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Memorandum regarding reimbursement arrangement for Craig E. Schneier, dated August 28, 2002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10.43(37)*</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Letter regarding employment arrangement of Cecil B. Pickett, dated June 21, 2006</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10.44(38)*</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2006 Non-Employee Directors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to the Biogen Idec Inc. 2006 Non-Employee Directors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10.46 (39)*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 No. 1, dated April 4, 2006, to the Biogen Idec Inc. 2005 Omnibus Equity Plan</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10.47(40)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Agreement, dated June 28, 2007, among Biogen Idec Inc., Merrill Lynch Capital Corporation as administrative agent, Goldman Sachs Credit Partners L.P.</w:t>
            </w:r>
          </w:p>
        </w:tc>
      </w:tr>
      <w:tr>
        <w:trPr>
          <w:trHeight w:val="157"/>
        </w:trPr>
        <w:tc>
          <w:tcPr>
            <w:tcW w:w="2120" w:type="dxa"/>
            <w:vAlign w:val="bottom"/>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as syndication agent, and the other lenders party thereto</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10.48(40)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Credit Agreement, dated June 29, 2007, among Biogen Idec Inc., Bank of America, N.A. as administrative agent, Merrill Lynch, Pierce, Fenner &amp; Smith</w:t>
            </w:r>
          </w:p>
        </w:tc>
      </w:tr>
      <w:tr>
        <w:trPr>
          <w:trHeight w:val="157"/>
        </w:trPr>
        <w:tc>
          <w:tcPr>
            <w:tcW w:w="2120" w:type="dxa"/>
            <w:vAlign w:val="bottom"/>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Incorporated and Goldman Sachs Credit Partners L.P. as co-syndication agents, and the other lenders party thereto</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10.49*</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Letter regarding employment arrangement of Paul J. Clancy, dated August 17,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10.50*</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Letter agreement regarding employment arrangement of Robert Hamm, dated October 15,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Consulting Agreement between Biogen Idec and Burt A. Adelman, dated December 18,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Executive Severance Policy — Executive Vice President, effective October 1,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Executive Severance Policy — International Executive Vice President, effective October 1,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10.54*</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Biogen Idec Inc. Executive Severance Policy — Senior Vice President, effective October 1, 2007</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10.55*</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Supplemental Savings Plan as amended and restated, effective January 1, 2008</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10.56*</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Voluntary Board of Directors Savings Plan as amended and restated, effective January 1, 2008</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21.1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Subsidiaries</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23.1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Consent of PricewaterhouseCoopers LLP — an Independent Registered Public Accounting Firm</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31.1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Executive Officer pursuant to Section 302 of the Sarbanes-Oxley Act of 2002</w:t>
            </w:r>
          </w:p>
        </w:tc>
      </w:tr>
      <w:tr>
        <w:trPr>
          <w:trHeight w:val="157"/>
        </w:trPr>
        <w:tc>
          <w:tcPr>
            <w:tcW w:w="2120" w:type="dxa"/>
            <w:vAlign w:val="bottom"/>
          </w:tcPr>
          <w:p>
            <w:pPr>
              <w:ind w:left="1280"/>
              <w:spacing w:after="0"/>
              <w:rPr>
                <w:sz w:val="20"/>
                <w:szCs w:val="20"/>
                <w:color w:val="auto"/>
              </w:rPr>
            </w:pPr>
            <w:r>
              <w:rPr>
                <w:rFonts w:ascii="Arial" w:cs="Arial" w:eastAsia="Arial" w:hAnsi="Arial"/>
                <w:sz w:val="13"/>
                <w:szCs w:val="13"/>
                <w:color w:val="auto"/>
              </w:rPr>
              <w:t>31.2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Financial Officer pursuant to Section 302 of the Sarbanes-Oxley Act of 2002</w:t>
            </w:r>
          </w:p>
        </w:tc>
      </w:tr>
      <w:tr>
        <w:trPr>
          <w:trHeight w:val="165"/>
        </w:trPr>
        <w:tc>
          <w:tcPr>
            <w:tcW w:w="2120" w:type="dxa"/>
            <w:vAlign w:val="bottom"/>
          </w:tcPr>
          <w:p>
            <w:pPr>
              <w:ind w:left="1280"/>
              <w:spacing w:after="0"/>
              <w:rPr>
                <w:sz w:val="20"/>
                <w:szCs w:val="20"/>
                <w:color w:val="auto"/>
              </w:rPr>
            </w:pPr>
            <w:r>
              <w:rPr>
                <w:rFonts w:ascii="Arial" w:cs="Arial" w:eastAsia="Arial" w:hAnsi="Arial"/>
                <w:sz w:val="13"/>
                <w:szCs w:val="13"/>
                <w:color w:val="auto"/>
              </w:rPr>
              <w:t>32.1</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Certification of the Chief Executive Officer and the Chief Financial Officer pursuant to Section 906 of the Sarbanes-Oxley Act of 2002</w:t>
            </w:r>
          </w:p>
        </w:tc>
      </w:tr>
      <w:tr>
        <w:trPr>
          <w:trHeight w:val="295"/>
        </w:trPr>
        <w:tc>
          <w:tcPr>
            <w:tcW w:w="2120" w:type="dxa"/>
            <w:vAlign w:val="bottom"/>
          </w:tcPr>
          <w:p>
            <w:pPr>
              <w:spacing w:after="0"/>
              <w:rPr>
                <w:sz w:val="24"/>
                <w:szCs w:val="24"/>
                <w:color w:val="auto"/>
              </w:rPr>
            </w:pPr>
          </w:p>
        </w:tc>
        <w:tc>
          <w:tcPr>
            <w:tcW w:w="4260" w:type="dxa"/>
            <w:vAlign w:val="bottom"/>
          </w:tcPr>
          <w:p>
            <w:pPr>
              <w:ind w:left="3500"/>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-3728720</wp:posOffset>
            </wp:positionV>
            <wp:extent cx="63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Reference to “our” in these cross-references mean filings made by Biogen Idec and filings made by IDEC Pharmaceuticals Corporation prior to the merger with Biogen,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87630</wp:posOffset>
            </wp:positionV>
            <wp:extent cx="82359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68"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Management contract or compensatory plan or arrangement.</w:t>
      </w:r>
    </w:p>
    <w:p>
      <w:pPr>
        <w:spacing w:after="0" w:line="47" w:lineRule="exact"/>
        <w:rPr>
          <w:sz w:val="20"/>
          <w:szCs w:val="20"/>
          <w:color w:val="auto"/>
        </w:rPr>
      </w:pPr>
    </w:p>
    <w:p>
      <w:pPr>
        <w:ind w:left="940" w:right="4679" w:firstLine="52"/>
        <w:spacing w:after="0" w:line="315" w:lineRule="auto"/>
        <w:tabs>
          <w:tab w:leader="none" w:pos="1189"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Confidential Treatment has been granted with respect to portions of this agreement. </w:t>
      </w:r>
      <w:r>
        <w:rPr>
          <w:rFonts w:ascii="Arial" w:cs="Arial" w:eastAsia="Arial" w:hAnsi="Arial"/>
          <w:sz w:val="7"/>
          <w:szCs w:val="7"/>
          <w:color w:val="auto"/>
        </w:rPr>
        <w:t xml:space="preserve">TM </w:t>
      </w:r>
      <w:r>
        <w:rPr>
          <w:rFonts w:ascii="Arial" w:cs="Arial" w:eastAsia="Arial" w:hAnsi="Arial"/>
          <w:sz w:val="13"/>
          <w:szCs w:val="13"/>
          <w:color w:val="auto"/>
        </w:rPr>
        <w:t>Trademark of Merrill Lynch &amp; Co., Inc.</w:t>
      </w:r>
    </w:p>
    <w:p>
      <w:pPr>
        <w:ind w:left="940"/>
        <w:spacing w:after="0"/>
        <w:rPr>
          <w:rFonts w:ascii="Arial" w:cs="Arial" w:eastAsia="Arial" w:hAnsi="Arial"/>
          <w:sz w:val="13"/>
          <w:szCs w:val="13"/>
          <w:color w:val="auto"/>
        </w:rPr>
      </w:pPr>
      <w:r>
        <w:rPr>
          <w:rFonts w:ascii="Arial" w:cs="Arial" w:eastAsia="Arial" w:hAnsi="Arial"/>
          <w:sz w:val="13"/>
          <w:szCs w:val="13"/>
          <w:color w:val="auto"/>
        </w:rPr>
        <w:t>(1)  Incorporated by reference from an exhibit filed with our Registration Statement on Form 8-B filed on June 2, 1997.</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(2)  Incorporated by reference from an exhibit filed with our Registration Statement on Form S-1, File No. 33-40756.</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(3)  Incorporated by reference from an exhibit filed with our Quarterly Report on Form 10-Q for the quarter ended March 31, 1995.</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(4)  Incorporated by reference from an exhibit filed with our Registration Statement on Form S-3/A, File No. 333-85339, filed on November 10, 1999.</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(5)  Incorporated by reference from an exhibit filed with our Current Report on Form 8-K, filed on June 6, 1996.</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(6)  Incorporated by reference from an exhibit filed with our Annual Report on Form 10-K for the fiscal year ended December 31, 1998.</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(7)  Incorporated by reference from an exhibit filed with our Quarterly Report on Form 10-Q for the quarter ended June 30, 1999.</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(8)  Incorporated by reference from an exhibit filed with our Quarterly Report on Form 10-Q for the quarter ended March 31, 2001.</w:t>
      </w:r>
    </w:p>
    <w:p>
      <w:pPr>
        <w:spacing w:after="0" w:line="47" w:lineRule="exact"/>
        <w:rPr>
          <w:rFonts w:ascii="Arial" w:cs="Arial" w:eastAsia="Arial" w:hAnsi="Arial"/>
          <w:sz w:val="13"/>
          <w:szCs w:val="13"/>
          <w:color w:val="auto"/>
        </w:rPr>
      </w:pPr>
    </w:p>
    <w:p>
      <w:pPr>
        <w:ind w:left="940"/>
        <w:spacing w:after="0"/>
        <w:rPr>
          <w:rFonts w:ascii="Arial" w:cs="Arial" w:eastAsia="Arial" w:hAnsi="Arial"/>
          <w:sz w:val="13"/>
          <w:szCs w:val="13"/>
          <w:color w:val="auto"/>
        </w:rPr>
      </w:pPr>
      <w:r>
        <w:rPr>
          <w:rFonts w:ascii="Arial" w:cs="Arial" w:eastAsia="Arial" w:hAnsi="Arial"/>
          <w:sz w:val="13"/>
          <w:szCs w:val="13"/>
          <w:color w:val="auto"/>
        </w:rPr>
        <w:t>(9)  Incorporated by reference from an exhibit filed with our Registration Statement on Form 8-A, File No. 333-37128, dated July 27, 2001.</w:t>
      </w:r>
    </w:p>
    <w:p>
      <w:pPr>
        <w:spacing w:after="0" w:line="47" w:lineRule="exact"/>
        <w:rPr>
          <w:sz w:val="20"/>
          <w:szCs w:val="20"/>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Annual Report on Form 10-K for the fiscal year ended December 31, 2001.</w:t>
      </w:r>
    </w:p>
    <w:p>
      <w:pPr>
        <w:spacing w:after="0" w:line="47" w:lineRule="exact"/>
        <w:rPr>
          <w:rFonts w:ascii="Arial" w:cs="Arial" w:eastAsia="Arial" w:hAnsi="Arial"/>
          <w:sz w:val="13"/>
          <w:szCs w:val="13"/>
          <w:color w:val="auto"/>
        </w:rPr>
      </w:pPr>
    </w:p>
    <w:p>
      <w:pPr>
        <w:ind w:left="1180" w:hanging="303"/>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March 31, 2002.</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June 23,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appendix filed with our Definitive Proxy Statement on Schedule 14A filed on April 11,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Annual Report on Form 10-K for the year ended December 31, 2002.</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November 12,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Registration Statement on Form S-4, File No. 333-107098, filed with the SEC on July 16,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July 31,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Biogen, Inc.’s Registration Statement on Form S-1, File No. 2-81689.</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Biogen, Inc.’s Annual Report on Form 10-K for the year ended December 31, 1992, File No. 0-12042.</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Biogen, Inc.’s Annual Report on Form 10-K for the year ended December 31, 1997, File No. 0-12042.</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Biogen, Inc.’s Annual Report on Form 10-K for the year ended December 31, 1988, File No. 0-12042.</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Biogen, Inc.’s Annual Report on Form 10-K for the year ended December 31, 2002, File No. 0-12042.</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hanging="308"/>
        <w:spacing w:after="0"/>
        <w:tabs>
          <w:tab w:leader="none" w:pos="11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Incorporated by reference from an exhibit filed with Biogen, Inc.’s Annual Report on Form 10-K for the year ended December 31, 2001, File No. 0-12042.</w:t>
      </w:r>
    </w:p>
    <w:p>
      <w:pPr>
        <w:spacing w:after="0" w:line="58" w:lineRule="exact"/>
        <w:rPr>
          <w:rFonts w:ascii="Arial" w:cs="Arial" w:eastAsia="Arial" w:hAnsi="Arial"/>
          <w:sz w:val="12"/>
          <w:szCs w:val="12"/>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Annual Report on Form 10-K for the year ended December 31, 2003.</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September 29, 2004.</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June 30, 2004.</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January 6,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October 3,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June 30,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appendix filed with our Definitive Proxy Statement on Schedule 14A filed on April 15,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September 15,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December 22,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Annual Report on Form 10-K for the year ended December 31, 2004.</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March 31,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February 10, 2006.</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Annual Report on Form 10-K for the year ended December 31, 2005.</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September 30, 2006.</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appendix filed with our Definitive Proxy Statement on Schedule 14A filed on April 15, 2006.</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Quarterly Report on Form 10-Q for the quarter ended March 31, 2007.</w:t>
      </w:r>
    </w:p>
    <w:p>
      <w:pPr>
        <w:spacing w:after="0" w:line="47" w:lineRule="exact"/>
        <w:rPr>
          <w:rFonts w:ascii="Arial" w:cs="Arial" w:eastAsia="Arial" w:hAnsi="Arial"/>
          <w:sz w:val="13"/>
          <w:szCs w:val="13"/>
          <w:color w:val="auto"/>
        </w:rPr>
      </w:pPr>
    </w:p>
    <w:p>
      <w:pPr>
        <w:ind w:left="1180" w:hanging="308"/>
        <w:spacing w:after="0"/>
        <w:tabs>
          <w:tab w:leader="none" w:pos="11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Incorporated by reference from an exhibit filed with our Current Report on Form 8-K filed on July 2, 2007.</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 and President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14, 2008</w:t>
      </w:r>
    </w:p>
    <w:p>
      <w:pPr>
        <w:spacing w:after="0" w:line="96"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Pursuant to the requirements the Securities Exchange Act of 1934, this report has been signed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80" w:type="dxa"/>
            <w:vAlign w:val="bottom"/>
          </w:tcPr>
          <w:p>
            <w:pPr>
              <w:ind w:left="190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4260" w:type="dxa"/>
            <w:vAlign w:val="bottom"/>
          </w:tcPr>
          <w:p>
            <w:pPr>
              <w:jc w:val="right"/>
              <w:ind w:right="1675"/>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p>
        </w:tc>
        <w:tc>
          <w:tcPr>
            <w:tcW w:w="2400" w:type="dxa"/>
            <w:vAlign w:val="bottom"/>
          </w:tcPr>
          <w:p>
            <w:pPr>
              <w:ind w:left="800"/>
              <w:spacing w:after="0"/>
              <w:rPr>
                <w:sz w:val="20"/>
                <w:szCs w:val="20"/>
                <w:color w:val="auto"/>
              </w:rPr>
            </w:pPr>
            <w:r>
              <w:rPr>
                <w:rFonts w:ascii="Arial" w:cs="Arial" w:eastAsia="Arial" w:hAnsi="Arial"/>
                <w:sz w:val="10"/>
                <w:szCs w:val="10"/>
                <w:b w:val="1"/>
                <w:bCs w:val="1"/>
                <w:color w:val="auto"/>
              </w:rPr>
              <w:t>Date</w:t>
            </w:r>
          </w:p>
        </w:tc>
      </w:tr>
      <w:tr>
        <w:trPr>
          <w:trHeight w:val="323"/>
        </w:trPr>
        <w:tc>
          <w:tcPr>
            <w:tcW w:w="6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tc>
        <w:tc>
          <w:tcPr>
            <w:tcW w:w="4260" w:type="dxa"/>
            <w:vAlign w:val="bottom"/>
          </w:tcPr>
          <w:p>
            <w:pPr>
              <w:jc w:val="center"/>
              <w:spacing w:after="0"/>
              <w:rPr>
                <w:sz w:val="20"/>
                <w:szCs w:val="20"/>
                <w:color w:val="auto"/>
              </w:rPr>
            </w:pPr>
            <w:r>
              <w:rPr>
                <w:rFonts w:ascii="Arial" w:cs="Arial" w:eastAsia="Arial" w:hAnsi="Arial"/>
                <w:sz w:val="13"/>
                <w:szCs w:val="13"/>
                <w:color w:val="auto"/>
                <w:w w:val="93"/>
              </w:rPr>
              <w:t>Director, Chief Executive Officer and President (principal executive</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6"/>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James C. Mullen</w:t>
            </w:r>
          </w:p>
        </w:tc>
        <w:tc>
          <w:tcPr>
            <w:tcW w:w="4260" w:type="dxa"/>
            <w:vAlign w:val="bottom"/>
          </w:tcPr>
          <w:p>
            <w:pPr>
              <w:jc w:val="center"/>
              <w:spacing w:after="0" w:line="145" w:lineRule="exact"/>
              <w:rPr>
                <w:sz w:val="20"/>
                <w:szCs w:val="20"/>
                <w:color w:val="auto"/>
              </w:rPr>
            </w:pPr>
            <w:r>
              <w:rPr>
                <w:rFonts w:ascii="Arial" w:cs="Arial" w:eastAsia="Arial" w:hAnsi="Arial"/>
                <w:sz w:val="13"/>
                <w:szCs w:val="13"/>
                <w:color w:val="auto"/>
                <w:w w:val="95"/>
              </w:rPr>
              <w:t>officer)</w:t>
            </w:r>
          </w:p>
        </w:tc>
        <w:tc>
          <w:tcPr>
            <w:tcW w:w="2400" w:type="dxa"/>
            <w:vAlign w:val="bottom"/>
          </w:tcPr>
          <w:p>
            <w:pPr>
              <w:spacing w:after="0"/>
              <w:rPr>
                <w:sz w:val="13"/>
                <w:szCs w:val="13"/>
                <w:color w:val="auto"/>
              </w:rPr>
            </w:pPr>
          </w:p>
        </w:tc>
      </w:tr>
      <w:tr>
        <w:trPr>
          <w:trHeight w:val="276"/>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tc>
        <w:tc>
          <w:tcPr>
            <w:tcW w:w="4260" w:type="dxa"/>
            <w:vAlign w:val="bottom"/>
          </w:tcPr>
          <w:p>
            <w:pPr>
              <w:jc w:val="center"/>
              <w:spacing w:after="0"/>
              <w:rPr>
                <w:sz w:val="20"/>
                <w:szCs w:val="20"/>
                <w:color w:val="auto"/>
              </w:rPr>
            </w:pPr>
            <w:r>
              <w:rPr>
                <w:rFonts w:ascii="Arial" w:cs="Arial" w:eastAsia="Arial" w:hAnsi="Arial"/>
                <w:sz w:val="13"/>
                <w:szCs w:val="13"/>
                <w:color w:val="auto"/>
                <w:w w:val="91"/>
              </w:rPr>
              <w:t>Executive Vice President, Finance and Chief</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30"/>
        </w:trPr>
        <w:tc>
          <w:tcPr>
            <w:tcW w:w="680" w:type="dxa"/>
            <w:vAlign w:val="bottom"/>
          </w:tcPr>
          <w:p>
            <w:pPr>
              <w:spacing w:after="0"/>
              <w:rPr>
                <w:sz w:val="11"/>
                <w:szCs w:val="11"/>
                <w:color w:val="auto"/>
              </w:rPr>
            </w:pPr>
          </w:p>
        </w:tc>
        <w:tc>
          <w:tcPr>
            <w:tcW w:w="4120" w:type="dxa"/>
            <w:vAlign w:val="bottom"/>
            <w:gridSpan w:val="2"/>
          </w:tcPr>
          <w:p>
            <w:pPr>
              <w:spacing w:after="0" w:line="130" w:lineRule="exact"/>
              <w:rPr>
                <w:sz w:val="20"/>
                <w:szCs w:val="20"/>
                <w:color w:val="auto"/>
              </w:rPr>
            </w:pPr>
            <w:r>
              <w:rPr>
                <w:rFonts w:ascii="Arial" w:cs="Arial" w:eastAsia="Arial" w:hAnsi="Arial"/>
                <w:sz w:val="13"/>
                <w:szCs w:val="13"/>
                <w:color w:val="auto"/>
              </w:rPr>
              <w:t>Paul J. Clancy</w:t>
            </w:r>
          </w:p>
        </w:tc>
        <w:tc>
          <w:tcPr>
            <w:tcW w:w="4260" w:type="dxa"/>
            <w:vAlign w:val="bottom"/>
          </w:tcPr>
          <w:p>
            <w:pPr>
              <w:jc w:val="center"/>
              <w:spacing w:after="0" w:line="130" w:lineRule="exact"/>
              <w:rPr>
                <w:sz w:val="20"/>
                <w:szCs w:val="20"/>
                <w:color w:val="auto"/>
              </w:rPr>
            </w:pPr>
            <w:r>
              <w:rPr>
                <w:rFonts w:ascii="Arial" w:cs="Arial" w:eastAsia="Arial" w:hAnsi="Arial"/>
                <w:sz w:val="13"/>
                <w:szCs w:val="13"/>
                <w:color w:val="auto"/>
                <w:w w:val="95"/>
              </w:rPr>
              <w:t>Financial Officer (principal</w:t>
            </w:r>
          </w:p>
        </w:tc>
        <w:tc>
          <w:tcPr>
            <w:tcW w:w="24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financial officer)</w:t>
            </w:r>
          </w:p>
        </w:tc>
        <w:tc>
          <w:tcPr>
            <w:tcW w:w="2400" w:type="dxa"/>
            <w:vAlign w:val="bottom"/>
          </w:tcPr>
          <w:p>
            <w:pPr>
              <w:spacing w:after="0"/>
              <w:rPr>
                <w:sz w:val="14"/>
                <w:szCs w:val="14"/>
                <w:color w:val="auto"/>
              </w:rPr>
            </w:pPr>
          </w:p>
        </w:tc>
      </w:tr>
      <w:tr>
        <w:trPr>
          <w:trHeight w:val="285"/>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F. M</w:t>
            </w:r>
            <w:r>
              <w:rPr>
                <w:rFonts w:ascii="Arial" w:cs="Arial" w:eastAsia="Arial" w:hAnsi="Arial"/>
                <w:sz w:val="8"/>
                <w:szCs w:val="8"/>
                <w:color w:val="auto"/>
              </w:rPr>
              <w:t>AC</w:t>
            </w:r>
            <w:r>
              <w:rPr>
                <w:rFonts w:ascii="Arial" w:cs="Arial" w:eastAsia="Arial" w:hAnsi="Arial"/>
                <w:sz w:val="13"/>
                <w:szCs w:val="13"/>
                <w:color w:val="auto"/>
              </w:rPr>
              <w:t>L</w:t>
            </w:r>
            <w:r>
              <w:rPr>
                <w:rFonts w:ascii="Arial" w:cs="Arial" w:eastAsia="Arial" w:hAnsi="Arial"/>
                <w:sz w:val="8"/>
                <w:szCs w:val="8"/>
                <w:color w:val="auto"/>
              </w:rPr>
              <w:t>EAN</w:t>
            </w:r>
          </w:p>
        </w:tc>
        <w:tc>
          <w:tcPr>
            <w:tcW w:w="4260" w:type="dxa"/>
            <w:vAlign w:val="bottom"/>
          </w:tcPr>
          <w:p>
            <w:pPr>
              <w:jc w:val="center"/>
              <w:spacing w:after="0"/>
              <w:rPr>
                <w:sz w:val="20"/>
                <w:szCs w:val="20"/>
                <w:color w:val="auto"/>
              </w:rPr>
            </w:pPr>
            <w:r>
              <w:rPr>
                <w:rFonts w:ascii="Arial" w:cs="Arial" w:eastAsia="Arial" w:hAnsi="Arial"/>
                <w:sz w:val="13"/>
                <w:szCs w:val="13"/>
                <w:color w:val="auto"/>
                <w:w w:val="92"/>
              </w:rPr>
              <w:t>Senior Vice President, Chief</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Michael F. MacLean</w:t>
            </w:r>
          </w:p>
        </w:tc>
        <w:tc>
          <w:tcPr>
            <w:tcW w:w="4260" w:type="dxa"/>
            <w:vAlign w:val="bottom"/>
          </w:tcPr>
          <w:p>
            <w:pPr>
              <w:jc w:val="center"/>
              <w:spacing w:after="0" w:line="145" w:lineRule="exact"/>
              <w:rPr>
                <w:sz w:val="20"/>
                <w:szCs w:val="20"/>
                <w:color w:val="auto"/>
              </w:rPr>
            </w:pPr>
            <w:r>
              <w:rPr>
                <w:rFonts w:ascii="Arial" w:cs="Arial" w:eastAsia="Arial" w:hAnsi="Arial"/>
                <w:sz w:val="13"/>
                <w:szCs w:val="13"/>
                <w:color w:val="auto"/>
                <w:w w:val="94"/>
              </w:rPr>
              <w:t>Accounting Officer and Controller (principal accounting officer)</w:t>
            </w: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RUCE</w:t>
            </w:r>
            <w:r>
              <w:rPr>
                <w:rFonts w:ascii="Arial" w:cs="Arial" w:eastAsia="Arial" w:hAnsi="Arial"/>
                <w:sz w:val="13"/>
                <w:szCs w:val="13"/>
                <w:color w:val="auto"/>
              </w:rPr>
              <w:t xml:space="preserve"> R. R</w:t>
            </w:r>
            <w:r>
              <w:rPr>
                <w:rFonts w:ascii="Arial" w:cs="Arial" w:eastAsia="Arial" w:hAnsi="Arial"/>
                <w:sz w:val="8"/>
                <w:szCs w:val="8"/>
                <w:color w:val="auto"/>
              </w:rPr>
              <w:t>OSS</w:t>
            </w:r>
          </w:p>
        </w:tc>
        <w:tc>
          <w:tcPr>
            <w:tcW w:w="4260" w:type="dxa"/>
            <w:vAlign w:val="bottom"/>
          </w:tcPr>
          <w:p>
            <w:pPr>
              <w:jc w:val="center"/>
              <w:spacing w:after="0"/>
              <w:rPr>
                <w:sz w:val="20"/>
                <w:szCs w:val="20"/>
                <w:color w:val="auto"/>
              </w:rPr>
            </w:pPr>
            <w:r>
              <w:rPr>
                <w:rFonts w:ascii="Arial" w:cs="Arial" w:eastAsia="Arial" w:hAnsi="Arial"/>
                <w:sz w:val="13"/>
                <w:szCs w:val="13"/>
                <w:color w:val="auto"/>
                <w:w w:val="93"/>
              </w:rPr>
              <w:t>Director; Chairman of the Board of Directors</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Bruce R. Ross</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L</w:t>
            </w:r>
            <w:r>
              <w:rPr>
                <w:rFonts w:ascii="Arial" w:cs="Arial" w:eastAsia="Arial" w:hAnsi="Arial"/>
                <w:sz w:val="8"/>
                <w:szCs w:val="8"/>
                <w:color w:val="auto"/>
              </w:rPr>
              <w:t>AWRENCE</w:t>
            </w:r>
            <w:r>
              <w:rPr>
                <w:rFonts w:ascii="Arial" w:cs="Arial" w:eastAsia="Arial" w:hAnsi="Arial"/>
                <w:sz w:val="13"/>
                <w:szCs w:val="13"/>
                <w:color w:val="auto"/>
              </w:rPr>
              <w:t xml:space="preserve"> C. B</w:t>
            </w:r>
            <w:r>
              <w:rPr>
                <w:rFonts w:ascii="Arial" w:cs="Arial" w:eastAsia="Arial" w:hAnsi="Arial"/>
                <w:sz w:val="8"/>
                <w:szCs w:val="8"/>
                <w:color w:val="auto"/>
              </w:rPr>
              <w:t>EST</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Lawrence C. Best</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ARIJN</w:t>
            </w:r>
            <w:r>
              <w:rPr>
                <w:rFonts w:ascii="Arial" w:cs="Arial" w:eastAsia="Arial" w:hAnsi="Arial"/>
                <w:sz w:val="13"/>
                <w:szCs w:val="13"/>
                <w:color w:val="auto"/>
              </w:rPr>
              <w:t xml:space="preserve"> E. D</w:t>
            </w:r>
            <w:r>
              <w:rPr>
                <w:rFonts w:ascii="Arial" w:cs="Arial" w:eastAsia="Arial" w:hAnsi="Arial"/>
                <w:sz w:val="8"/>
                <w:szCs w:val="8"/>
                <w:color w:val="auto"/>
              </w:rPr>
              <w:t>EKKERS</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Marijn E. Dekkers</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LAN</w:t>
            </w:r>
            <w:r>
              <w:rPr>
                <w:rFonts w:ascii="Arial" w:cs="Arial" w:eastAsia="Arial" w:hAnsi="Arial"/>
                <w:sz w:val="13"/>
                <w:szCs w:val="13"/>
                <w:color w:val="auto"/>
              </w:rPr>
              <w:t xml:space="preserve"> B. G</w:t>
            </w:r>
            <w:r>
              <w:rPr>
                <w:rFonts w:ascii="Arial" w:cs="Arial" w:eastAsia="Arial" w:hAnsi="Arial"/>
                <w:sz w:val="8"/>
                <w:szCs w:val="8"/>
                <w:color w:val="auto"/>
              </w:rPr>
              <w:t>LASSBERG</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Alan B. Glassberg, M.D.</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HOMAS</w:t>
            </w:r>
            <w:r>
              <w:rPr>
                <w:rFonts w:ascii="Arial" w:cs="Arial" w:eastAsia="Arial" w:hAnsi="Arial"/>
                <w:sz w:val="13"/>
                <w:szCs w:val="13"/>
                <w:color w:val="auto"/>
              </w:rPr>
              <w:t xml:space="preserve"> F. K</w:t>
            </w:r>
            <w:r>
              <w:rPr>
                <w:rFonts w:ascii="Arial" w:cs="Arial" w:eastAsia="Arial" w:hAnsi="Arial"/>
                <w:sz w:val="8"/>
                <w:szCs w:val="8"/>
                <w:color w:val="auto"/>
              </w:rPr>
              <w:t>ELLER</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Thomas F. Keller, Ph.D.</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w:t>
            </w:r>
            <w:r>
              <w:rPr>
                <w:rFonts w:ascii="Arial" w:cs="Arial" w:eastAsia="Arial" w:hAnsi="Arial"/>
                <w:sz w:val="8"/>
                <w:szCs w:val="8"/>
                <w:color w:val="auto"/>
              </w:rPr>
              <w:t>ANCY</w:t>
            </w:r>
            <w:r>
              <w:rPr>
                <w:rFonts w:ascii="Arial" w:cs="Arial" w:eastAsia="Arial" w:hAnsi="Arial"/>
                <w:sz w:val="13"/>
                <w:szCs w:val="13"/>
                <w:color w:val="auto"/>
              </w:rPr>
              <w:t xml:space="preserve"> L. L</w:t>
            </w:r>
            <w:r>
              <w:rPr>
                <w:rFonts w:ascii="Arial" w:cs="Arial" w:eastAsia="Arial" w:hAnsi="Arial"/>
                <w:sz w:val="8"/>
                <w:szCs w:val="8"/>
                <w:color w:val="auto"/>
              </w:rPr>
              <w:t>EAMING</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Nancy L. Leaming</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77"/>
        </w:trPr>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7"/>
              </w:rPr>
              <w:t>/s/</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OBERT</w:t>
            </w:r>
            <w:r>
              <w:rPr>
                <w:rFonts w:ascii="Arial" w:cs="Arial" w:eastAsia="Arial" w:hAnsi="Arial"/>
                <w:sz w:val="13"/>
                <w:szCs w:val="13"/>
                <w:color w:val="auto"/>
              </w:rPr>
              <w:t xml:space="preserve"> W. P</w:t>
            </w:r>
            <w:r>
              <w:rPr>
                <w:rFonts w:ascii="Arial" w:cs="Arial" w:eastAsia="Arial" w:hAnsi="Arial"/>
                <w:sz w:val="8"/>
                <w:szCs w:val="8"/>
                <w:color w:val="auto"/>
              </w:rPr>
              <w:t>ANGIA</w:t>
            </w:r>
          </w:p>
        </w:tc>
        <w:tc>
          <w:tcPr>
            <w:tcW w:w="426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400" w:type="dxa"/>
            <w:vAlign w:val="bottom"/>
          </w:tcPr>
          <w:p>
            <w:pPr>
              <w:ind w:left="320"/>
              <w:spacing w:after="0"/>
              <w:rPr>
                <w:sz w:val="20"/>
                <w:szCs w:val="20"/>
                <w:color w:val="auto"/>
              </w:rPr>
            </w:pPr>
            <w:r>
              <w:rPr>
                <w:rFonts w:ascii="Arial" w:cs="Arial" w:eastAsia="Arial" w:hAnsi="Arial"/>
                <w:sz w:val="13"/>
                <w:szCs w:val="13"/>
                <w:color w:val="auto"/>
              </w:rPr>
              <w:t>February 14,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Robert W. Pangia</w:t>
            </w:r>
          </w:p>
        </w:tc>
        <w:tc>
          <w:tcPr>
            <w:tcW w:w="426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260" w:type="dxa"/>
            <w:vAlign w:val="bottom"/>
          </w:tcPr>
          <w:p>
            <w:pPr>
              <w:jc w:val="right"/>
              <w:ind w:right="3255"/>
              <w:spacing w:after="0"/>
              <w:rPr>
                <w:sz w:val="20"/>
                <w:szCs w:val="20"/>
                <w:color w:val="auto"/>
              </w:rPr>
            </w:pPr>
            <w:r>
              <w:rPr>
                <w:rFonts w:ascii="Arial" w:cs="Arial" w:eastAsia="Arial" w:hAnsi="Arial"/>
                <w:sz w:val="13"/>
                <w:szCs w:val="13"/>
                <w:color w:val="auto"/>
              </w:rPr>
              <w:t>79</w:t>
            </w:r>
          </w:p>
        </w:tc>
        <w:tc>
          <w:tcPr>
            <w:tcW w:w="24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-3385820</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4120" w:type="dxa"/>
            <w:vAlign w:val="bottom"/>
          </w:tcPr>
          <w:p>
            <w:pPr>
              <w:ind w:left="204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3560" w:type="dxa"/>
            <w:vAlign w:val="bottom"/>
          </w:tcPr>
          <w:p>
            <w:pPr>
              <w:ind w:left="212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p>
        </w:tc>
        <w:tc>
          <w:tcPr>
            <w:tcW w:w="3100" w:type="dxa"/>
            <w:vAlign w:val="bottom"/>
          </w:tcPr>
          <w:p>
            <w:pPr>
              <w:ind w:left="1500"/>
              <w:spacing w:after="0"/>
              <w:rPr>
                <w:sz w:val="20"/>
                <w:szCs w:val="20"/>
                <w:color w:val="auto"/>
              </w:rPr>
            </w:pPr>
            <w:r>
              <w:rPr>
                <w:rFonts w:ascii="Arial" w:cs="Arial" w:eastAsia="Arial" w:hAnsi="Arial"/>
                <w:sz w:val="10"/>
                <w:szCs w:val="10"/>
                <w:b w:val="1"/>
                <w:bCs w:val="1"/>
                <w:color w:val="auto"/>
              </w:rPr>
              <w:t>Date</w:t>
            </w:r>
          </w:p>
        </w:tc>
      </w:tr>
      <w:tr>
        <w:trPr>
          <w:trHeight w:val="328"/>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ECIL</w:t>
            </w:r>
            <w:r>
              <w:rPr>
                <w:rFonts w:ascii="Arial" w:cs="Arial" w:eastAsia="Arial" w:hAnsi="Arial"/>
                <w:sz w:val="13"/>
                <w:szCs w:val="13"/>
                <w:color w:val="auto"/>
              </w:rPr>
              <w:t xml:space="preserve"> B. P</w:t>
            </w:r>
            <w:r>
              <w:rPr>
                <w:rFonts w:ascii="Arial" w:cs="Arial" w:eastAsia="Arial" w:hAnsi="Arial"/>
                <w:sz w:val="8"/>
                <w:szCs w:val="8"/>
                <w:color w:val="auto"/>
              </w:rPr>
              <w:t>ICKETT</w:t>
            </w:r>
          </w:p>
        </w:tc>
        <w:tc>
          <w:tcPr>
            <w:tcW w:w="35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100" w:type="dxa"/>
            <w:vAlign w:val="bottom"/>
          </w:tcPr>
          <w:p>
            <w:pPr>
              <w:ind w:left="1020"/>
              <w:spacing w:after="0"/>
              <w:rPr>
                <w:sz w:val="20"/>
                <w:szCs w:val="20"/>
                <w:color w:val="auto"/>
              </w:rPr>
            </w:pPr>
            <w:r>
              <w:rPr>
                <w:rFonts w:ascii="Arial" w:cs="Arial" w:eastAsia="Arial" w:hAnsi="Arial"/>
                <w:sz w:val="13"/>
                <w:szCs w:val="13"/>
                <w:color w:val="auto"/>
              </w:rPr>
              <w:t>February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Cecil B. Pickett</w:t>
            </w:r>
          </w:p>
        </w:tc>
        <w:tc>
          <w:tcPr>
            <w:tcW w:w="356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272"/>
        </w:trPr>
        <w:tc>
          <w:tcPr>
            <w:tcW w:w="680" w:type="dxa"/>
            <w:vAlign w:val="bottom"/>
          </w:tcPr>
          <w:p>
            <w:pPr>
              <w:spacing w:after="0"/>
              <w:rPr>
                <w:sz w:val="23"/>
                <w:szCs w:val="23"/>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YNN</w:t>
            </w:r>
            <w:r>
              <w:rPr>
                <w:rFonts w:ascii="Arial" w:cs="Arial" w:eastAsia="Arial" w:hAnsi="Arial"/>
                <w:sz w:val="13"/>
                <w:szCs w:val="13"/>
                <w:color w:val="auto"/>
              </w:rPr>
              <w:t xml:space="preserve"> S</w:t>
            </w:r>
            <w:r>
              <w:rPr>
                <w:rFonts w:ascii="Arial" w:cs="Arial" w:eastAsia="Arial" w:hAnsi="Arial"/>
                <w:sz w:val="8"/>
                <w:szCs w:val="8"/>
                <w:color w:val="auto"/>
              </w:rPr>
              <w:t>CHENK</w:t>
            </w:r>
          </w:p>
        </w:tc>
        <w:tc>
          <w:tcPr>
            <w:tcW w:w="35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100" w:type="dxa"/>
            <w:vAlign w:val="bottom"/>
          </w:tcPr>
          <w:p>
            <w:pPr>
              <w:ind w:left="1020"/>
              <w:spacing w:after="0"/>
              <w:rPr>
                <w:sz w:val="20"/>
                <w:szCs w:val="20"/>
                <w:color w:val="auto"/>
              </w:rPr>
            </w:pPr>
            <w:r>
              <w:rPr>
                <w:rFonts w:ascii="Arial" w:cs="Arial" w:eastAsia="Arial" w:hAnsi="Arial"/>
                <w:sz w:val="13"/>
                <w:szCs w:val="13"/>
                <w:color w:val="auto"/>
              </w:rPr>
              <w:t>February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Lynn Schenk</w:t>
            </w:r>
          </w:p>
        </w:tc>
        <w:tc>
          <w:tcPr>
            <w:tcW w:w="356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272"/>
        </w:trPr>
        <w:tc>
          <w:tcPr>
            <w:tcW w:w="680" w:type="dxa"/>
            <w:vAlign w:val="bottom"/>
          </w:tcPr>
          <w:p>
            <w:pPr>
              <w:spacing w:after="0"/>
              <w:rPr>
                <w:sz w:val="23"/>
                <w:szCs w:val="23"/>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HILLIP</w:t>
            </w:r>
            <w:r>
              <w:rPr>
                <w:rFonts w:ascii="Arial" w:cs="Arial" w:eastAsia="Arial" w:hAnsi="Arial"/>
                <w:sz w:val="13"/>
                <w:szCs w:val="13"/>
                <w:color w:val="auto"/>
              </w:rPr>
              <w:t xml:space="preserve"> A. S</w:t>
            </w:r>
            <w:r>
              <w:rPr>
                <w:rFonts w:ascii="Arial" w:cs="Arial" w:eastAsia="Arial" w:hAnsi="Arial"/>
                <w:sz w:val="8"/>
                <w:szCs w:val="8"/>
                <w:color w:val="auto"/>
              </w:rPr>
              <w:t>HARP</w:t>
            </w:r>
          </w:p>
        </w:tc>
        <w:tc>
          <w:tcPr>
            <w:tcW w:w="35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100" w:type="dxa"/>
            <w:vAlign w:val="bottom"/>
          </w:tcPr>
          <w:p>
            <w:pPr>
              <w:ind w:left="1020"/>
              <w:spacing w:after="0"/>
              <w:rPr>
                <w:sz w:val="20"/>
                <w:szCs w:val="20"/>
                <w:color w:val="auto"/>
              </w:rPr>
            </w:pPr>
            <w:r>
              <w:rPr>
                <w:rFonts w:ascii="Arial" w:cs="Arial" w:eastAsia="Arial" w:hAnsi="Arial"/>
                <w:sz w:val="13"/>
                <w:szCs w:val="13"/>
                <w:color w:val="auto"/>
              </w:rPr>
              <w:t>February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Phillip A. Sharp, Ph.D.</w:t>
            </w:r>
          </w:p>
        </w:tc>
        <w:tc>
          <w:tcPr>
            <w:tcW w:w="356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272"/>
        </w:trPr>
        <w:tc>
          <w:tcPr>
            <w:tcW w:w="680" w:type="dxa"/>
            <w:vAlign w:val="bottom"/>
          </w:tcPr>
          <w:p>
            <w:pPr>
              <w:spacing w:after="0"/>
              <w:rPr>
                <w:sz w:val="23"/>
                <w:szCs w:val="23"/>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ILLIAM</w:t>
            </w:r>
            <w:r>
              <w:rPr>
                <w:rFonts w:ascii="Arial" w:cs="Arial" w:eastAsia="Arial" w:hAnsi="Arial"/>
                <w:sz w:val="13"/>
                <w:szCs w:val="13"/>
                <w:color w:val="auto"/>
              </w:rPr>
              <w:t xml:space="preserve"> D. Y</w:t>
            </w:r>
            <w:r>
              <w:rPr>
                <w:rFonts w:ascii="Arial" w:cs="Arial" w:eastAsia="Arial" w:hAnsi="Arial"/>
                <w:sz w:val="8"/>
                <w:szCs w:val="8"/>
                <w:color w:val="auto"/>
              </w:rPr>
              <w:t>OUNG</w:t>
            </w:r>
          </w:p>
        </w:tc>
        <w:tc>
          <w:tcPr>
            <w:tcW w:w="35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100" w:type="dxa"/>
            <w:vAlign w:val="bottom"/>
          </w:tcPr>
          <w:p>
            <w:pPr>
              <w:ind w:left="1020"/>
              <w:spacing w:after="0"/>
              <w:rPr>
                <w:sz w:val="20"/>
                <w:szCs w:val="20"/>
                <w:color w:val="auto"/>
              </w:rPr>
            </w:pPr>
            <w:r>
              <w:rPr>
                <w:rFonts w:ascii="Arial" w:cs="Arial" w:eastAsia="Arial" w:hAnsi="Arial"/>
                <w:sz w:val="13"/>
                <w:szCs w:val="13"/>
                <w:color w:val="auto"/>
              </w:rPr>
              <w:t>February 14, 2008</w:t>
            </w:r>
          </w:p>
        </w:tc>
      </w:tr>
      <w:tr>
        <w:trPr>
          <w:trHeight w:val="160"/>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William D. Young</w:t>
            </w:r>
          </w:p>
        </w:tc>
        <w:tc>
          <w:tcPr>
            <w:tcW w:w="356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60" w:type="dxa"/>
            <w:vAlign w:val="bottom"/>
          </w:tcPr>
          <w:p>
            <w:pPr>
              <w:ind w:left="820"/>
              <w:spacing w:after="0"/>
              <w:rPr>
                <w:sz w:val="20"/>
                <w:szCs w:val="20"/>
                <w:color w:val="auto"/>
              </w:rPr>
            </w:pPr>
            <w:r>
              <w:rPr>
                <w:rFonts w:ascii="Arial" w:cs="Arial" w:eastAsia="Arial" w:hAnsi="Arial"/>
                <w:sz w:val="13"/>
                <w:szCs w:val="13"/>
                <w:color w:val="auto"/>
              </w:rPr>
              <w:t>80</w:t>
            </w:r>
          </w:p>
        </w:tc>
        <w:tc>
          <w:tcPr>
            <w:tcW w:w="31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-1575435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80" w:type="dxa"/>
            <w:vAlign w:val="bottom"/>
            <w:gridSpan w:val="2"/>
          </w:tcPr>
          <w:p>
            <w:pPr>
              <w:jc w:val="center"/>
              <w:ind w:right="3037"/>
              <w:spacing w:after="0"/>
              <w:rPr>
                <w:sz w:val="20"/>
                <w:szCs w:val="20"/>
                <w:color w:val="auto"/>
              </w:rPr>
            </w:pPr>
            <w:r>
              <w:rPr>
                <w:rFonts w:ascii="Arial" w:cs="Arial" w:eastAsia="Arial" w:hAnsi="Arial"/>
                <w:sz w:val="13"/>
                <w:szCs w:val="13"/>
                <w:b w:val="1"/>
                <w:bCs w:val="1"/>
                <w:color w:val="auto"/>
              </w:rPr>
              <w:t>BIOGEN IDEC INC. AND SUBSIDIARIES</w:t>
            </w: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80" w:type="dxa"/>
            <w:vAlign w:val="bottom"/>
            <w:gridSpan w:val="2"/>
          </w:tcPr>
          <w:p>
            <w:pPr>
              <w:jc w:val="center"/>
              <w:ind w:right="3037"/>
              <w:spacing w:after="0"/>
              <w:rPr>
                <w:sz w:val="20"/>
                <w:szCs w:val="20"/>
                <w:color w:val="auto"/>
              </w:rPr>
            </w:pPr>
            <w:r>
              <w:rPr>
                <w:rFonts w:ascii="Arial" w:cs="Arial" w:eastAsia="Arial" w:hAnsi="Arial"/>
                <w:sz w:val="13"/>
                <w:szCs w:val="13"/>
                <w:b w:val="1"/>
                <w:bCs w:val="1"/>
                <w:color w:val="auto"/>
              </w:rPr>
              <w:t>CONSOLIDATED FINANCIAL STATEMENTS</w:t>
            </w: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18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85">
              <w:r>
                <w:rPr>
                  <w:rFonts w:ascii="Arial" w:cs="Arial" w:eastAsia="Arial" w:hAnsi="Arial"/>
                  <w:sz w:val="13"/>
                  <w:szCs w:val="13"/>
                  <w:color w:val="0000EE"/>
                  <w:w w:val="90"/>
                </w:rPr>
                <w:t>Consolidated Statements of Income</w:t>
              </w:r>
            </w:hyperlink>
          </w:p>
        </w:tc>
        <w:tc>
          <w:tcPr>
            <w:tcW w:w="1220" w:type="dxa"/>
            <w:vAlign w:val="bottom"/>
            <w:gridSpan w:val="4"/>
          </w:tcPr>
          <w:p>
            <w:pPr>
              <w:spacing w:after="0"/>
              <w:rPr>
                <w:sz w:val="13"/>
                <w:szCs w:val="13"/>
                <w:color w:val="auto"/>
              </w:rPr>
            </w:pPr>
          </w:p>
        </w:tc>
        <w:tc>
          <w:tcPr>
            <w:tcW w:w="6560" w:type="dxa"/>
            <w:vAlign w:val="bottom"/>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100" w:type="dxa"/>
            <w:vAlign w:val="bottom"/>
            <w:gridSpan w:val="6"/>
          </w:tcPr>
          <w:p>
            <w:pPr>
              <w:spacing w:after="0" w:line="138" w:lineRule="exact"/>
              <w:rPr>
                <w:rFonts w:ascii="Arial" w:cs="Arial" w:eastAsia="Arial" w:hAnsi="Arial"/>
                <w:sz w:val="13"/>
                <w:szCs w:val="13"/>
                <w:color w:val="0000EE"/>
              </w:rPr>
            </w:pPr>
            <w:hyperlink w:anchor="page86">
              <w:r>
                <w:rPr>
                  <w:rFonts w:ascii="Arial" w:cs="Arial" w:eastAsia="Arial" w:hAnsi="Arial"/>
                  <w:sz w:val="13"/>
                  <w:szCs w:val="13"/>
                  <w:color w:val="0000EE"/>
                </w:rPr>
                <w:t>Consolidated Balance Sheets</w:t>
              </w:r>
            </w:hyperlink>
          </w:p>
        </w:tc>
        <w:tc>
          <w:tcPr>
            <w:tcW w:w="656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10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87">
              <w:r>
                <w:rPr>
                  <w:rFonts w:ascii="Arial" w:cs="Arial" w:eastAsia="Arial" w:hAnsi="Arial"/>
                  <w:sz w:val="13"/>
                  <w:szCs w:val="13"/>
                  <w:color w:val="0000EE"/>
                  <w:w w:val="89"/>
                </w:rPr>
                <w:t>Consolidated Statements of Cash Flows</w:t>
              </w:r>
            </w:hyperlink>
          </w:p>
        </w:tc>
        <w:tc>
          <w:tcPr>
            <w:tcW w:w="1000" w:type="dxa"/>
            <w:vAlign w:val="bottom"/>
            <w:gridSpan w:val="3"/>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100" w:type="dxa"/>
            <w:vAlign w:val="bottom"/>
            <w:gridSpan w:val="6"/>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Consolidated Statements of Shareholders’ Equity</w:t>
              </w:r>
            </w:hyperlink>
          </w:p>
        </w:tc>
        <w:tc>
          <w:tcPr>
            <w:tcW w:w="656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5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Notes to Consolidated Financial Statements</w:t>
              </w:r>
            </w:hyperlink>
          </w:p>
        </w:tc>
        <w:tc>
          <w:tcPr>
            <w:tcW w:w="5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gridSpan w:val="2"/>
          </w:tcPr>
          <w:p>
            <w:pPr>
              <w:jc w:val="center"/>
              <w:ind w:right="3037"/>
              <w:spacing w:after="0"/>
              <w:rPr>
                <w:sz w:val="20"/>
                <w:szCs w:val="20"/>
                <w:color w:val="auto"/>
              </w:rPr>
            </w:pPr>
            <w:r>
              <w:rPr>
                <w:rFonts w:ascii="Arial" w:cs="Arial" w:eastAsia="Arial" w:hAnsi="Arial"/>
                <w:sz w:val="13"/>
                <w:szCs w:val="13"/>
                <w:color w:val="auto"/>
                <w:w w:val="92"/>
              </w:rPr>
              <w:t>F-1</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5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4"/>
              </w:rPr>
              <w:t>For the Years Ended December 31,</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380" w:type="dxa"/>
            <w:vAlign w:val="bottom"/>
            <w:gridSpan w:val="4"/>
          </w:tcPr>
          <w:p>
            <w:pPr>
              <w:jc w:val="right"/>
              <w:spacing w:after="0"/>
              <w:rPr>
                <w:sz w:val="20"/>
                <w:szCs w:val="20"/>
                <w:color w:val="auto"/>
              </w:rPr>
            </w:pPr>
            <w:r>
              <w:rPr>
                <w:rFonts w:ascii="Arial" w:cs="Arial" w:eastAsia="Arial" w:hAnsi="Arial"/>
                <w:sz w:val="10"/>
                <w:szCs w:val="10"/>
                <w:b w:val="1"/>
                <w:bCs w:val="1"/>
                <w:color w:val="auto"/>
              </w:rPr>
              <w:t>except per share amounts)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Product</w:t>
            </w:r>
          </w:p>
        </w:tc>
        <w:tc>
          <w:tcPr>
            <w:tcW w:w="22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2,136,821</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1,781,313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1,617,004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joint business</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926,098</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810,864</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708,881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Other revenues</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108,698</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90,872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96,615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revenues</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3,171,617</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2,683,049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2,422,500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3"/>
                <w:szCs w:val="13"/>
                <w:color w:val="auto"/>
              </w:rPr>
              <w:t>Costs and expenses:</w:t>
            </w:r>
          </w:p>
        </w:tc>
        <w:tc>
          <w:tcPr>
            <w:tcW w:w="20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335,192</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274,383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925,164</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718,390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747,671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776,103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685,067</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644,758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Collaboration profit (loss) sharing</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14,079</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(9,682)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acquired intangible assets</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257,495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266,998</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Acquired in-process research and development</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84,172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330,520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Facility impairments and (gain) loss on disposition, net</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(360)</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(16,507)</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118,112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(Gain) loss on settlement of license agreements, net</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(6,140)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costs and expenses</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2,391,845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2,243,029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2,186,460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rPr>
              <w:t>Income from operations</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779,772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440,020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236,040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(expense), net</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130,823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52,143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w w:val="97"/>
              </w:rPr>
              <w:t>Income before income tax provision and cumulative effect of accounting change</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910,595</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492,163</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256,195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272,423</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278,431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95,484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638,172</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213,732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160,711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 expense</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3,779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638,172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217,511</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160,711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20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22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2.02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0.63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rPr>
              <w:t>Basic earnings per share</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2.02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0.64</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0.48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20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Income before cumulative effect of accounting change</w:t>
            </w:r>
          </w:p>
        </w:tc>
        <w:tc>
          <w:tcPr>
            <w:tcW w:w="224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1.99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0.62</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accounting change, net of income tax</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40" w:type="dxa"/>
            <w:vAlign w:val="bottom"/>
            <w:vMerge w:val="restart"/>
          </w:tcPr>
          <w:p>
            <w:pPr>
              <w:ind w:left="140"/>
              <w:spacing w:after="0"/>
              <w:rPr>
                <w:sz w:val="20"/>
                <w:szCs w:val="20"/>
                <w:color w:val="auto"/>
              </w:rPr>
            </w:pPr>
            <w:r>
              <w:rPr>
                <w:rFonts w:ascii="Arial" w:cs="Arial" w:eastAsia="Arial" w:hAnsi="Arial"/>
                <w:sz w:val="13"/>
                <w:szCs w:val="13"/>
                <w:color w:val="auto"/>
              </w:rPr>
              <w:t>Diluted earnings per share</w:t>
            </w: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4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1.99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0.63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0.47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shares used in calculating:</w:t>
            </w:r>
          </w:p>
        </w:tc>
        <w:tc>
          <w:tcPr>
            <w:tcW w:w="20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4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315,836</w:t>
            </w: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338,585</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335,586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2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320,171</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345,281</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700" w:type="dxa"/>
            <w:vAlign w:val="bottom"/>
            <w:gridSpan w:val="2"/>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80" w:type="dxa"/>
            <w:vAlign w:val="bottom"/>
          </w:tcPr>
          <w:p>
            <w:pPr>
              <w:spacing w:after="0"/>
              <w:rPr>
                <w:sz w:val="18"/>
                <w:szCs w:val="18"/>
                <w:color w:val="auto"/>
              </w:rPr>
            </w:pPr>
          </w:p>
        </w:tc>
        <w:tc>
          <w:tcPr>
            <w:tcW w:w="6880" w:type="dxa"/>
            <w:vAlign w:val="bottom"/>
            <w:gridSpan w:val="3"/>
          </w:tcPr>
          <w:p>
            <w:pPr>
              <w:ind w:left="3280"/>
              <w:spacing w:after="0"/>
              <w:rPr>
                <w:sz w:val="20"/>
                <w:szCs w:val="20"/>
                <w:color w:val="auto"/>
              </w:rPr>
            </w:pPr>
            <w:r>
              <w:rPr>
                <w:rFonts w:ascii="Arial" w:cs="Arial" w:eastAsia="Arial" w:hAnsi="Arial"/>
                <w:sz w:val="13"/>
                <w:szCs w:val="13"/>
                <w:color w:val="auto"/>
                <w:w w:val="94"/>
              </w:rPr>
              <w:t>See accompanying notes to the consolidated financial statements.</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40" w:type="dxa"/>
            <w:vAlign w:val="bottom"/>
            <w:gridSpan w:val="2"/>
          </w:tcPr>
          <w:p>
            <w:pPr>
              <w:jc w:val="right"/>
              <w:ind w:right="1751"/>
              <w:spacing w:after="0"/>
              <w:rPr>
                <w:sz w:val="20"/>
                <w:szCs w:val="20"/>
                <w:color w:val="auto"/>
              </w:rPr>
            </w:pPr>
            <w:r>
              <w:rPr>
                <w:rFonts w:ascii="Arial" w:cs="Arial" w:eastAsia="Arial" w:hAnsi="Arial"/>
                <w:sz w:val="13"/>
                <w:szCs w:val="13"/>
                <w:color w:val="auto"/>
              </w:rPr>
              <w:t>F-2</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42"/>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except per</w:t>
            </w:r>
          </w:p>
        </w:tc>
        <w:tc>
          <w:tcPr>
            <w:tcW w:w="2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21"/>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ind w:right="22"/>
              <w:spacing w:after="0"/>
              <w:rPr>
                <w:sz w:val="20"/>
                <w:szCs w:val="20"/>
                <w:color w:val="auto"/>
              </w:rPr>
            </w:pPr>
            <w:r>
              <w:rPr>
                <w:rFonts w:ascii="Arial" w:cs="Arial" w:eastAsia="Arial" w:hAnsi="Arial"/>
                <w:sz w:val="10"/>
                <w:szCs w:val="10"/>
                <w:b w:val="1"/>
                <w:bCs w:val="1"/>
                <w:color w:val="auto"/>
                <w:w w:val="93"/>
              </w:rPr>
              <w:t>(In thousands,</w:t>
            </w:r>
          </w:p>
        </w:tc>
        <w:tc>
          <w:tcPr>
            <w:tcW w:w="380" w:type="dxa"/>
            <w:vAlign w:val="bottom"/>
            <w:vMerge w:val="continue"/>
          </w:tcPr>
          <w:p>
            <w:pPr>
              <w:spacing w:after="0"/>
              <w:rPr>
                <w:sz w:val="11"/>
                <w:szCs w:val="11"/>
                <w:color w:val="auto"/>
              </w:rPr>
            </w:pPr>
          </w:p>
        </w:tc>
        <w:tc>
          <w:tcPr>
            <w:tcW w:w="800" w:type="dxa"/>
            <w:vAlign w:val="bottom"/>
            <w:gridSpan w:val="2"/>
          </w:tcPr>
          <w:p>
            <w:pPr>
              <w:jc w:val="right"/>
              <w:ind w:right="1"/>
              <w:spacing w:after="0"/>
              <w:rPr>
                <w:sz w:val="20"/>
                <w:szCs w:val="20"/>
                <w:color w:val="auto"/>
              </w:rPr>
            </w:pPr>
            <w:r>
              <w:rPr>
                <w:rFonts w:ascii="Arial" w:cs="Arial" w:eastAsia="Arial" w:hAnsi="Arial"/>
                <w:sz w:val="10"/>
                <w:szCs w:val="10"/>
                <w:b w:val="1"/>
                <w:bCs w:val="1"/>
                <w:color w:val="auto"/>
                <w:w w:val="96"/>
              </w:rPr>
              <w:t>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9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659,662</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661,377</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Marketable securities</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319,408</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241,314</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collateral received for loaned securities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208,209</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Accounts receivable, net of allowances of $29,341 and $31,735 at December 31, 2007 and 2006, respectively</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392,646</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317,353</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Due from unconsolidated joint business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166,686</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168,708</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Loaned Securities</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204,433</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233,987</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169,102</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Other current assets</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183,376</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154,713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2,368,407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1,712,567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color w:val="auto"/>
              </w:rPr>
              <w:t>Marketable securities</w:t>
            </w: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932,271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1,412,238</w:t>
            </w: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1,497,383</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1,280,385</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Intangible assets, net</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2,492,354</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2,747,241</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1,137,372</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1,154,757</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Investments and other assets</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201,028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245,620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8,628,815</w:t>
            </w: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8,552,808</w:t>
            </w:r>
          </w:p>
        </w:tc>
        <w:tc>
          <w:tcPr>
            <w:tcW w:w="0" w:type="dxa"/>
            <w:vAlign w:val="bottom"/>
          </w:tcPr>
          <w:p>
            <w:pPr>
              <w:spacing w:after="0"/>
              <w:rPr>
                <w:sz w:val="1"/>
                <w:szCs w:val="1"/>
                <w:color w:val="auto"/>
              </w:rPr>
            </w:pPr>
          </w:p>
        </w:tc>
      </w:tr>
      <w:tr>
        <w:trPr>
          <w:trHeight w:val="273"/>
        </w:trPr>
        <w:tc>
          <w:tcPr>
            <w:tcW w:w="7900" w:type="dxa"/>
            <w:vAlign w:val="bottom"/>
          </w:tcPr>
          <w:p>
            <w:pPr>
              <w:ind w:left="3720"/>
              <w:spacing w:after="0"/>
              <w:rPr>
                <w:sz w:val="20"/>
                <w:szCs w:val="20"/>
                <w:color w:val="auto"/>
              </w:rPr>
            </w:pPr>
            <w:r>
              <w:rPr>
                <w:rFonts w:ascii="Arial" w:cs="Arial" w:eastAsia="Arial" w:hAnsi="Arial"/>
                <w:sz w:val="12"/>
                <w:szCs w:val="12"/>
                <w:b w:val="1"/>
                <w:bCs w:val="1"/>
                <w:color w:val="auto"/>
              </w:rPr>
              <w:t>LIABILITIES AND SHAREHOLDERS’ EQUITY</w:t>
            </w:r>
          </w:p>
        </w:tc>
        <w:tc>
          <w:tcPr>
            <w:tcW w:w="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Collateral payable on loaned securities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208,209</w:t>
            </w:r>
          </w:p>
        </w:tc>
        <w:tc>
          <w:tcPr>
            <w:tcW w:w="280" w:type="dxa"/>
            <w:vAlign w:val="bottom"/>
          </w:tcPr>
          <w:p>
            <w:pPr>
              <w:jc w:val="right"/>
              <w:ind w:right="172"/>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90,672</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100,457</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Taxes payable</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11,274</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145,529</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expenses and other</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367,885</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336,869</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Current portion of notes payable</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1,511,135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2,189,175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582,855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2"/>
                <w:szCs w:val="12"/>
                <w:color w:val="auto"/>
              </w:rPr>
              <w:t>Notes payable</w:t>
            </w: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51,843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96,694</w:t>
            </w: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Long-term deferred tax liability</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521,525</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643,645</w:t>
            </w:r>
          </w:p>
        </w:tc>
        <w:tc>
          <w:tcPr>
            <w:tcW w:w="0" w:type="dxa"/>
            <w:vAlign w:val="bottom"/>
          </w:tcPr>
          <w:p>
            <w:pPr>
              <w:spacing w:after="0"/>
              <w:rPr>
                <w:sz w:val="1"/>
                <w:szCs w:val="1"/>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331,977</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79,836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3,094,520</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1,403,030</w:t>
            </w:r>
          </w:p>
        </w:tc>
        <w:tc>
          <w:tcPr>
            <w:tcW w:w="0" w:type="dxa"/>
            <w:vAlign w:val="bottom"/>
          </w:tcPr>
          <w:p>
            <w:pPr>
              <w:spacing w:after="0"/>
              <w:rPr>
                <w:sz w:val="1"/>
                <w:szCs w:val="1"/>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2"/>
                <w:szCs w:val="12"/>
                <w:color w:val="auto"/>
              </w:rPr>
              <w:t>Commitments and contingencies (Notes 14, 15, 17 and 18)</w:t>
            </w: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900" w:type="dxa"/>
            <w:vAlign w:val="bottom"/>
          </w:tcPr>
          <w:p>
            <w:pPr>
              <w:ind w:left="120"/>
              <w:spacing w:after="0"/>
              <w:rPr>
                <w:sz w:val="20"/>
                <w:szCs w:val="20"/>
                <w:color w:val="auto"/>
              </w:rPr>
            </w:pPr>
            <w:r>
              <w:rPr>
                <w:rFonts w:ascii="Arial" w:cs="Arial" w:eastAsia="Arial" w:hAnsi="Arial"/>
                <w:sz w:val="12"/>
                <w:szCs w:val="12"/>
                <w:color w:val="auto"/>
                <w:w w:val="96"/>
              </w:rPr>
              <w:t>Preferred stock, par value $0.001 per share (8,000 shares authorized, of which 1,750 are designated Series A and 1,000 are designated Series X Junior</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900" w:type="dxa"/>
            <w:vAlign w:val="bottom"/>
          </w:tcPr>
          <w:p>
            <w:pPr>
              <w:ind w:left="260"/>
              <w:spacing w:after="0"/>
              <w:rPr>
                <w:sz w:val="20"/>
                <w:szCs w:val="20"/>
                <w:color w:val="auto"/>
              </w:rPr>
            </w:pPr>
            <w:r>
              <w:rPr>
                <w:rFonts w:ascii="Arial" w:cs="Arial" w:eastAsia="Arial" w:hAnsi="Arial"/>
                <w:sz w:val="12"/>
                <w:szCs w:val="12"/>
                <w:color w:val="auto"/>
              </w:rPr>
              <w:t>Participating; 8 shares of Series A issued and outstanding with a $551 liquidation value at December 31, 2007 and 2006)</w:t>
            </w:r>
          </w:p>
        </w:tc>
        <w:tc>
          <w:tcPr>
            <w:tcW w:w="60" w:type="dxa"/>
            <w:vAlign w:val="bottom"/>
          </w:tcPr>
          <w:p>
            <w:pPr>
              <w:spacing w:after="0"/>
              <w:rPr>
                <w:sz w:val="13"/>
                <w:szCs w:val="13"/>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89"/>
              </w:rPr>
              <w:t>Common stock, par value $0.0005 per share (1,000,000 shares authorized; 295,698 and 345,637 shares, and 295,698 and 338,174 shares issued and outstanding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at December 31, 2007 and 2006, respectively)</w:t>
            </w: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147</w:t>
            </w:r>
          </w:p>
        </w:tc>
        <w:tc>
          <w:tcPr>
            <w:tcW w:w="2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60" w:type="dxa"/>
            <w:vAlign w:val="bottom"/>
          </w:tcPr>
          <w:p>
            <w:pPr>
              <w:spacing w:after="0"/>
              <w:rPr>
                <w:sz w:val="12"/>
                <w:szCs w:val="12"/>
                <w:color w:val="auto"/>
              </w:rPr>
            </w:pPr>
          </w:p>
        </w:tc>
        <w:tc>
          <w:tcPr>
            <w:tcW w:w="1120" w:type="dxa"/>
            <w:vAlign w:val="bottom"/>
            <w:gridSpan w:val="2"/>
          </w:tcPr>
          <w:p>
            <w:pPr>
              <w:jc w:val="right"/>
              <w:ind w:right="328"/>
              <w:spacing w:after="0"/>
              <w:rPr>
                <w:sz w:val="20"/>
                <w:szCs w:val="20"/>
                <w:color w:val="auto"/>
              </w:rPr>
            </w:pPr>
            <w:r>
              <w:rPr>
                <w:rFonts w:ascii="Arial" w:cs="Arial" w:eastAsia="Arial" w:hAnsi="Arial"/>
                <w:sz w:val="12"/>
                <w:szCs w:val="12"/>
                <w:color w:val="auto"/>
              </w:rPr>
              <w:t>5,807,071</w:t>
            </w: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8,308,232</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 (loss)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8"/>
              <w:spacing w:after="0"/>
              <w:rPr>
                <w:sz w:val="20"/>
                <w:szCs w:val="20"/>
                <w:color w:val="auto"/>
              </w:rPr>
            </w:pPr>
            <w:r>
              <w:rPr>
                <w:rFonts w:ascii="Arial" w:cs="Arial" w:eastAsia="Arial" w:hAnsi="Arial"/>
                <w:sz w:val="12"/>
                <w:szCs w:val="12"/>
                <w:color w:val="auto"/>
              </w:rPr>
              <w:t>79,246</w:t>
            </w: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21,855</w:t>
            </w:r>
          </w:p>
        </w:tc>
        <w:tc>
          <w:tcPr>
            <w:tcW w:w="0" w:type="dxa"/>
            <w:vAlign w:val="bottom"/>
          </w:tcPr>
          <w:p>
            <w:pPr>
              <w:spacing w:after="0"/>
              <w:rPr>
                <w:sz w:val="1"/>
                <w:szCs w:val="1"/>
                <w:color w:val="auto"/>
              </w:rPr>
            </w:pPr>
          </w:p>
        </w:tc>
      </w:tr>
      <w:tr>
        <w:trPr>
          <w:trHeight w:val="147"/>
        </w:trPr>
        <w:tc>
          <w:tcPr>
            <w:tcW w:w="79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2"/>
                <w:szCs w:val="12"/>
                <w:color w:val="auto"/>
              </w:rPr>
              <w:t>(352,169)</w:t>
            </w:r>
          </w:p>
        </w:tc>
        <w:tc>
          <w:tcPr>
            <w:tcW w:w="2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(860,827)</w:t>
            </w:r>
          </w:p>
        </w:tc>
        <w:tc>
          <w:tcPr>
            <w:tcW w:w="0" w:type="dxa"/>
            <w:vAlign w:val="bottom"/>
          </w:tcPr>
          <w:p>
            <w:pPr>
              <w:spacing w:after="0"/>
              <w:rPr>
                <w:sz w:val="1"/>
                <w:szCs w:val="1"/>
                <w:color w:val="auto"/>
              </w:rPr>
            </w:pPr>
          </w:p>
        </w:tc>
      </w:tr>
      <w:tr>
        <w:trPr>
          <w:trHeight w:val="147"/>
        </w:trPr>
        <w:tc>
          <w:tcPr>
            <w:tcW w:w="7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Treasury stock, at cost; 0 and 7,463 shares at December 31, 2007 and 2006, respectively</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(319,655)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60"/>
              <w:spacing w:after="0"/>
              <w:rPr>
                <w:sz w:val="20"/>
                <w:szCs w:val="20"/>
                <w:color w:val="auto"/>
              </w:rPr>
            </w:pPr>
            <w:r>
              <w:rPr>
                <w:rFonts w:ascii="Arial" w:cs="Arial" w:eastAsia="Arial" w:hAnsi="Arial"/>
                <w:sz w:val="12"/>
                <w:szCs w:val="12"/>
                <w:color w:val="auto"/>
              </w:rPr>
              <w:t>Total shareholders’ equity</w:t>
            </w: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5,534,295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7,149,778</w:t>
            </w:r>
          </w:p>
        </w:tc>
        <w:tc>
          <w:tcPr>
            <w:tcW w:w="0" w:type="dxa"/>
            <w:vAlign w:val="bottom"/>
          </w:tcPr>
          <w:p>
            <w:pPr>
              <w:spacing w:after="0"/>
              <w:rPr>
                <w:sz w:val="1"/>
                <w:szCs w:val="1"/>
                <w:color w:val="auto"/>
              </w:rPr>
            </w:pPr>
          </w:p>
        </w:tc>
      </w:tr>
      <w:tr>
        <w:trPr>
          <w:trHeight w:val="22"/>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Total liabilities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8,628,815</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8,552,808</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88"/>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131"/>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4"/>
        </w:trPr>
        <w:tc>
          <w:tcPr>
            <w:tcW w:w="7400" w:type="dxa"/>
            <w:vAlign w:val="bottom"/>
            <w:shd w:val="clear" w:color="auto" w:fill="CCEEFF"/>
          </w:tcPr>
          <w:p>
            <w:pPr>
              <w:spacing w:after="0"/>
              <w:rPr>
                <w:sz w:val="20"/>
                <w:szCs w:val="20"/>
                <w:color w:val="auto"/>
              </w:rPr>
            </w:pPr>
            <w:r>
              <w:rPr>
                <w:rFonts w:ascii="Arial" w:cs="Arial" w:eastAsia="Arial" w:hAnsi="Arial"/>
                <w:sz w:val="10"/>
                <w:szCs w:val="10"/>
                <w:color w:val="auto"/>
              </w:rPr>
              <w:t>Cash flows from operating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638,172</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217,511</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160,711</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Adjustments to reconcile net income to net cash flows from operating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Depreciation and amortization of fixed and intangible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380,293</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375,870</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402,208</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Acquired in process research and development and license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136,172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330,520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Minority interest in subsidiaries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(58,427)</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6,770</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Gain on settlement of license agreements, net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(6,140)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Share based compensation</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123,129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126,783</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38,145</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Non-cash interest (income) expense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1,444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1,521</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19,181</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Deferred income taxes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(81,555)</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(106,337)</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(115,539)</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Realized (gain) loss on sale of marketable securities and strategic investments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(16,732)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(1,169)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5,264</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Write-down of inventory to net realizable value</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21,599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12,989</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84,047</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Facility impairments and (gain) loss on disposition, net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(16,507)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121,986</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Impairment of investments and other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24,445</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34,424</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33,724</w:t>
            </w:r>
          </w:p>
        </w:tc>
      </w:tr>
      <w:tr>
        <w:trPr>
          <w:trHeight w:val="108"/>
        </w:trPr>
        <w:tc>
          <w:tcPr>
            <w:tcW w:w="7400" w:type="dxa"/>
            <w:vAlign w:val="bottom"/>
            <w:shd w:val="clear" w:color="auto" w:fill="CCEEFF"/>
          </w:tcPr>
          <w:p>
            <w:pPr>
              <w:ind w:left="24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(69,666)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(31,682)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240"/>
              <w:spacing w:after="0" w:line="108" w:lineRule="exact"/>
              <w:rPr>
                <w:sz w:val="20"/>
                <w:szCs w:val="20"/>
                <w:color w:val="auto"/>
              </w:rPr>
            </w:pPr>
            <w:r>
              <w:rPr>
                <w:rFonts w:ascii="Arial" w:cs="Arial" w:eastAsia="Arial" w:hAnsi="Arial"/>
                <w:sz w:val="10"/>
                <w:szCs w:val="10"/>
                <w:color w:val="auto"/>
              </w:rPr>
              <w:t>Changes in assets and liabilities, net:</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Accounts receivable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(70,701)</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(37,009)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(8,518)</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Due from unconsolidated joint business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2,022</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(27,649)</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(3,608)</w:t>
            </w: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Inventory</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(83,192)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(36,637)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(15,846)</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Other assets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238</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(20,737)</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32,225</w:t>
            </w:r>
          </w:p>
        </w:tc>
      </w:tr>
      <w:tr>
        <w:trPr>
          <w:trHeight w:val="108"/>
        </w:trPr>
        <w:tc>
          <w:tcPr>
            <w:tcW w:w="7400" w:type="dxa"/>
            <w:vAlign w:val="bottom"/>
            <w:shd w:val="clear" w:color="auto" w:fill="CCEEFF"/>
          </w:tcPr>
          <w:p>
            <w:pPr>
              <w:ind w:left="340"/>
              <w:spacing w:after="0" w:line="108" w:lineRule="exact"/>
              <w:rPr>
                <w:sz w:val="20"/>
                <w:szCs w:val="20"/>
                <w:color w:val="auto"/>
              </w:rPr>
            </w:pPr>
            <w:r>
              <w:rPr>
                <w:rFonts w:ascii="Arial" w:cs="Arial" w:eastAsia="Arial" w:hAnsi="Arial"/>
                <w:sz w:val="10"/>
                <w:szCs w:val="10"/>
                <w:color w:val="auto"/>
              </w:rPr>
              <w:t>Accrued expenses and other current liabilities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32,460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13,812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128,676</w:t>
            </w:r>
          </w:p>
        </w:tc>
      </w:tr>
      <w:tr>
        <w:trPr>
          <w:trHeight w:val="108"/>
        </w:trPr>
        <w:tc>
          <w:tcPr>
            <w:tcW w:w="7400" w:type="dxa"/>
            <w:vAlign w:val="bottom"/>
          </w:tcPr>
          <w:p>
            <w:pPr>
              <w:ind w:left="340"/>
              <w:spacing w:after="0" w:line="108" w:lineRule="exact"/>
              <w:rPr>
                <w:sz w:val="20"/>
                <w:szCs w:val="20"/>
                <w:color w:val="auto"/>
              </w:rPr>
            </w:pPr>
            <w:r>
              <w:rPr>
                <w:rFonts w:ascii="Arial" w:cs="Arial" w:eastAsia="Arial" w:hAnsi="Arial"/>
                <w:sz w:val="10"/>
                <w:szCs w:val="10"/>
                <w:color w:val="auto"/>
              </w:rPr>
              <w:t>Other liabilities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41,294</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4,935</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6,847</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400" w:type="dxa"/>
            <w:vAlign w:val="bottom"/>
            <w:shd w:val="clear" w:color="auto" w:fill="CCEEFF"/>
          </w:tcPr>
          <w:p>
            <w:pPr>
              <w:ind w:left="460"/>
              <w:spacing w:after="0" w:line="108" w:lineRule="exact"/>
              <w:rPr>
                <w:sz w:val="20"/>
                <w:szCs w:val="20"/>
                <w:color w:val="auto"/>
              </w:rPr>
            </w:pPr>
            <w:r>
              <w:rPr>
                <w:rFonts w:ascii="Arial" w:cs="Arial" w:eastAsia="Arial" w:hAnsi="Arial"/>
                <w:sz w:val="10"/>
                <w:szCs w:val="10"/>
                <w:color w:val="auto"/>
              </w:rPr>
              <w:t>Net cash flows provided by operating activities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1,020,635</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841,268</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889,503</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Cash flows from investing activities:</w:t>
            </w: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marketable securities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(2,945,244)</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(1,949,907)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3"/>
              </w:rPr>
              <w:t>(1,334,284)</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sales and maturities of marketable securities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3,154,290</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1,787,139</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8"/>
              </w:rPr>
              <w:t>1,782,134</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sale of product line</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59,800</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Acquisitions, net of cash acquired</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(95,789)</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(363,251)</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Purchases of property, plant and equipment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(284,106)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(198,312)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(318,376)</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sale of property, plant and equipment</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16,669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74,216</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408,130</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other investments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(23,672)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(9,458)</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(119,863)</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the sale of strategic investments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99,489</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Collateral received under securities lending</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(208,209)</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460"/>
              <w:spacing w:after="0" w:line="108" w:lineRule="exact"/>
              <w:rPr>
                <w:sz w:val="20"/>
                <w:szCs w:val="20"/>
                <w:color w:val="auto"/>
              </w:rPr>
            </w:pPr>
            <w:r>
              <w:rPr>
                <w:rFonts w:ascii="Arial" w:cs="Arial" w:eastAsia="Arial" w:hAnsi="Arial"/>
                <w:sz w:val="10"/>
                <w:szCs w:val="10"/>
                <w:color w:val="auto"/>
              </w:rPr>
              <w:t>Net cash flows provided by (used in) investing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(286,572)</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(599,773)</w:t>
            </w:r>
          </w:p>
        </w:tc>
        <w:tc>
          <w:tcPr>
            <w:tcW w:w="2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417,741</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flows from financing activities: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Purchase of treasury stock</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(2,991,184)</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(320,268)</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(322,590)</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stock for share based compensation arrangements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489,180</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146,959</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119,619</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Change in cash overdraft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(5,399)</w:t>
            </w:r>
          </w:p>
        </w:tc>
        <w:tc>
          <w:tcPr>
            <w:tcW w:w="14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(11,860)</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(9,639)</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Excess tax benefit from stock options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69,666</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31,682</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Proceeds from borrowings</w:t>
            </w:r>
          </w:p>
        </w:tc>
        <w:tc>
          <w:tcPr>
            <w:tcW w:w="160" w:type="dxa"/>
            <w:vAlign w:val="bottom"/>
          </w:tcPr>
          <w:p>
            <w:pPr>
              <w:spacing w:after="0"/>
              <w:rPr>
                <w:sz w:val="9"/>
                <w:szCs w:val="9"/>
                <w:color w:val="auto"/>
              </w:rPr>
            </w:pP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1,512,913</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17,694</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10,503</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Repayments of borrowings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(12,042)</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(12,617)</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Repayments of long-term debt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(6,563)</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(746,416)</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Obligation under securities lending</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208,209</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400" w:type="dxa"/>
            <w:vAlign w:val="bottom"/>
          </w:tcPr>
          <w:p>
            <w:pPr>
              <w:ind w:left="460"/>
              <w:spacing w:after="0" w:line="108" w:lineRule="exact"/>
              <w:rPr>
                <w:sz w:val="20"/>
                <w:szCs w:val="20"/>
                <w:color w:val="auto"/>
              </w:rPr>
            </w:pPr>
            <w:r>
              <w:rPr>
                <w:rFonts w:ascii="Arial" w:cs="Arial" w:eastAsia="Arial" w:hAnsi="Arial"/>
                <w:sz w:val="10"/>
                <w:szCs w:val="10"/>
                <w:color w:val="auto"/>
              </w:rPr>
              <w:t>Net cash flows used in financing activities</w:t>
            </w:r>
          </w:p>
        </w:tc>
        <w:tc>
          <w:tcPr>
            <w:tcW w:w="1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(735,220)</w:t>
            </w:r>
          </w:p>
        </w:tc>
        <w:tc>
          <w:tcPr>
            <w:tcW w:w="22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(148,410)</w:t>
            </w:r>
          </w:p>
        </w:tc>
        <w:tc>
          <w:tcPr>
            <w:tcW w:w="2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(948,523)</w:t>
            </w: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(1,157)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93,085</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358,721</w:t>
            </w:r>
          </w:p>
        </w:tc>
      </w:tr>
      <w:tr>
        <w:trPr>
          <w:trHeight w:val="108"/>
        </w:trPr>
        <w:tc>
          <w:tcPr>
            <w:tcW w:w="7400" w:type="dxa"/>
            <w:vAlign w:val="bottom"/>
          </w:tcPr>
          <w:p>
            <w:pPr>
              <w:spacing w:after="0" w:line="108" w:lineRule="exact"/>
              <w:rPr>
                <w:sz w:val="20"/>
                <w:szCs w:val="20"/>
                <w:color w:val="auto"/>
              </w:rPr>
            </w:pPr>
            <w:r>
              <w:rPr>
                <w:rFonts w:ascii="Arial" w:cs="Arial" w:eastAsia="Arial" w:hAnsi="Arial"/>
                <w:sz w:val="10"/>
                <w:szCs w:val="10"/>
                <w:color w:val="auto"/>
              </w:rPr>
              <w:t>Effect of exchange rate changes on cash and cash equivalents</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(558)</w:t>
            </w:r>
          </w:p>
        </w:tc>
        <w:tc>
          <w:tcPr>
            <w:tcW w:w="14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124</w:t>
            </w:r>
          </w:p>
        </w:tc>
        <w:tc>
          <w:tcPr>
            <w:tcW w:w="220" w:type="dxa"/>
            <w:vAlign w:val="bottom"/>
          </w:tcPr>
          <w:p>
            <w:pPr>
              <w:spacing w:after="0"/>
              <w:rPr>
                <w:sz w:val="9"/>
                <w:szCs w:val="9"/>
                <w:color w:val="auto"/>
              </w:rPr>
            </w:pP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beginning of the year</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661,377</w:t>
            </w:r>
          </w:p>
        </w:tc>
        <w:tc>
          <w:tcPr>
            <w:tcW w:w="1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568,168</w:t>
            </w:r>
          </w:p>
        </w:tc>
        <w:tc>
          <w:tcPr>
            <w:tcW w:w="2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209,447</w:t>
            </w:r>
          </w:p>
        </w:tc>
      </w:tr>
      <w:tr>
        <w:trPr>
          <w:trHeight w:val="122"/>
        </w:trPr>
        <w:tc>
          <w:tcPr>
            <w:tcW w:w="7400" w:type="dxa"/>
            <w:vAlign w:val="bottom"/>
          </w:tcPr>
          <w:p>
            <w:pPr>
              <w:spacing w:after="0" w:line="108" w:lineRule="exact"/>
              <w:rPr>
                <w:sz w:val="20"/>
                <w:szCs w:val="20"/>
                <w:color w:val="auto"/>
              </w:rPr>
            </w:pPr>
            <w:r>
              <w:rPr>
                <w:rFonts w:ascii="Arial" w:cs="Arial" w:eastAsia="Arial" w:hAnsi="Arial"/>
                <w:sz w:val="10"/>
                <w:szCs w:val="10"/>
                <w:color w:val="auto"/>
              </w:rPr>
              <w:t>Cash and cash equivalents, end of the year</w:t>
            </w:r>
          </w:p>
        </w:tc>
        <w:tc>
          <w:tcPr>
            <w:tcW w:w="160" w:type="dxa"/>
            <w:vAlign w:val="bottom"/>
            <w:tcBorders>
              <w:top w:val="single" w:sz="8" w:color="auto"/>
              <w:bottom w:val="single" w:sz="8" w:color="auto"/>
            </w:tcBorders>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659,662</w:t>
            </w: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661,377</w:t>
            </w:r>
          </w:p>
        </w:tc>
        <w:tc>
          <w:tcPr>
            <w:tcW w:w="20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568,168</w:t>
            </w:r>
          </w:p>
        </w:tc>
        <w:tc>
          <w:tcPr>
            <w:tcW w:w="100" w:type="dxa"/>
            <w:vAlign w:val="bottom"/>
          </w:tcPr>
          <w:p>
            <w:pPr>
              <w:spacing w:after="0"/>
              <w:rPr>
                <w:sz w:val="10"/>
                <w:szCs w:val="10"/>
                <w:color w:val="auto"/>
              </w:rPr>
            </w:pPr>
          </w:p>
        </w:tc>
      </w:tr>
      <w:tr>
        <w:trPr>
          <w:trHeight w:val="113"/>
        </w:trPr>
        <w:tc>
          <w:tcPr>
            <w:tcW w:w="74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Supplemental cash flow disclosures:</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Cash paid during the year for: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Interest</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35,439</w:t>
            </w:r>
          </w:p>
        </w:tc>
        <w:tc>
          <w:tcPr>
            <w:tcW w:w="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38,018</w:t>
            </w: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Income taxes</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251,928</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397,931</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90,068</w:t>
            </w:r>
          </w:p>
        </w:tc>
      </w:tr>
      <w:tr>
        <w:trPr>
          <w:trHeight w:val="108"/>
        </w:trPr>
        <w:tc>
          <w:tcPr>
            <w:tcW w:w="7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Non-cash financing activity:</w:t>
            </w: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400" w:type="dxa"/>
            <w:vAlign w:val="bottom"/>
          </w:tcPr>
          <w:p>
            <w:pPr>
              <w:ind w:left="120"/>
              <w:spacing w:after="0" w:line="108" w:lineRule="exact"/>
              <w:rPr>
                <w:sz w:val="20"/>
                <w:szCs w:val="20"/>
                <w:color w:val="auto"/>
              </w:rPr>
            </w:pPr>
            <w:r>
              <w:rPr>
                <w:rFonts w:ascii="Arial" w:cs="Arial" w:eastAsia="Arial" w:hAnsi="Arial"/>
                <w:sz w:val="10"/>
                <w:szCs w:val="10"/>
                <w:color w:val="auto"/>
              </w:rPr>
              <w:t>Conversion of subordinated notes to common and treasury stock</w:t>
            </w:r>
          </w:p>
        </w:tc>
        <w:tc>
          <w:tcPr>
            <w:tcW w:w="160" w:type="dxa"/>
            <w:vAlign w:val="bottom"/>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38,986</w:t>
            </w:r>
          </w:p>
        </w:tc>
        <w:tc>
          <w:tcPr>
            <w:tcW w:w="14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143,767</w:t>
            </w:r>
          </w:p>
        </w:tc>
      </w:tr>
      <w:tr>
        <w:trPr>
          <w:trHeight w:val="108"/>
        </w:trPr>
        <w:tc>
          <w:tcPr>
            <w:tcW w:w="7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notes to Fumedica</w:t>
            </w:r>
          </w:p>
        </w:tc>
        <w:tc>
          <w:tcPr>
            <w:tcW w:w="160" w:type="dxa"/>
            <w:vAlign w:val="bottom"/>
            <w:shd w:val="clear" w:color="auto" w:fill="CCEEFF"/>
          </w:tcPr>
          <w:p>
            <w:pPr>
              <w:jc w:val="right"/>
              <w:ind w:right="4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39,196</w:t>
            </w:r>
          </w:p>
        </w:tc>
        <w:tc>
          <w:tcPr>
            <w:tcW w:w="220" w:type="dxa"/>
            <w:vAlign w:val="bottom"/>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bl>
    <w:p>
      <w:pPr>
        <w:spacing w:after="0" w:line="8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See Note 1, Business Overview and Summary of Significant Accounting Policies, for a discussion of non-cash securities lending activities that occurred during the period.</w:t>
      </w:r>
    </w:p>
    <w:p>
      <w:pPr>
        <w:spacing w:after="0" w:line="57"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3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gridSpan w:val="3"/>
          </w:tcPr>
          <w:p>
            <w:pPr>
              <w:jc w:val="center"/>
              <w:ind w:left="74"/>
              <w:spacing w:after="0" w:line="98" w:lineRule="exact"/>
              <w:rPr>
                <w:sz w:val="20"/>
                <w:szCs w:val="20"/>
                <w:color w:val="auto"/>
              </w:rPr>
            </w:pPr>
            <w:r>
              <w:rPr>
                <w:rFonts w:ascii="Arial" w:cs="Arial" w:eastAsia="Arial" w:hAnsi="Arial"/>
                <w:sz w:val="9"/>
                <w:szCs w:val="9"/>
                <w:b w:val="1"/>
                <w:bCs w:val="1"/>
                <w:color w:val="auto"/>
                <w:w w:val="92"/>
              </w:rPr>
              <w:t>Convertible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gridSpan w:val="3"/>
          </w:tcPr>
          <w:p>
            <w:pPr>
              <w:jc w:val="right"/>
              <w:ind w:right="100"/>
              <w:spacing w:after="0" w:line="98" w:lineRule="exact"/>
              <w:rPr>
                <w:sz w:val="20"/>
                <w:szCs w:val="20"/>
                <w:color w:val="auto"/>
              </w:rPr>
            </w:pPr>
            <w:r>
              <w:rPr>
                <w:rFonts w:ascii="Arial" w:cs="Arial" w:eastAsia="Arial" w:hAnsi="Arial"/>
                <w:sz w:val="9"/>
                <w:szCs w:val="9"/>
                <w:b w:val="1"/>
                <w:bCs w:val="1"/>
                <w:color w:val="auto"/>
                <w:w w:val="99"/>
              </w:rPr>
              <w:t>Additional</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600" w:type="dxa"/>
            <w:vAlign w:val="bottom"/>
            <w:gridSpan w:val="2"/>
          </w:tcPr>
          <w:p>
            <w:pPr>
              <w:jc w:val="right"/>
              <w:ind w:right="220"/>
              <w:spacing w:after="0" w:line="98" w:lineRule="exact"/>
              <w:rPr>
                <w:sz w:val="20"/>
                <w:szCs w:val="20"/>
                <w:color w:val="auto"/>
              </w:rPr>
            </w:pPr>
            <w:r>
              <w:rPr>
                <w:rFonts w:ascii="Arial" w:cs="Arial" w:eastAsia="Arial" w:hAnsi="Arial"/>
                <w:sz w:val="9"/>
                <w:szCs w:val="9"/>
                <w:b w:val="1"/>
                <w:bCs w:val="1"/>
                <w:color w:val="auto"/>
                <w:w w:val="97"/>
              </w:rPr>
              <w:t>Deferred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rPr>
              <w:t>Total</w:t>
            </w:r>
          </w:p>
        </w:tc>
      </w:tr>
      <w:tr>
        <w:trPr>
          <w:trHeight w:val="111"/>
        </w:trPr>
        <w:tc>
          <w:tcPr>
            <w:tcW w:w="3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gridSpan w:val="5"/>
          </w:tcPr>
          <w:p>
            <w:pPr>
              <w:jc w:val="center"/>
              <w:ind w:right="200"/>
              <w:spacing w:after="0"/>
              <w:rPr>
                <w:sz w:val="20"/>
                <w:szCs w:val="20"/>
                <w:color w:val="auto"/>
              </w:rPr>
            </w:pPr>
            <w:r>
              <w:rPr>
                <w:rFonts w:ascii="Arial" w:cs="Arial" w:eastAsia="Arial" w:hAnsi="Arial"/>
                <w:sz w:val="9"/>
                <w:szCs w:val="9"/>
                <w:b w:val="1"/>
                <w:bCs w:val="1"/>
                <w:color w:val="auto"/>
                <w:w w:val="92"/>
              </w:rPr>
              <w:t>Preferred Stock</w:t>
            </w:r>
          </w:p>
        </w:tc>
        <w:tc>
          <w:tcPr>
            <w:tcW w:w="760" w:type="dxa"/>
            <w:vAlign w:val="bottom"/>
            <w:gridSpan w:val="4"/>
          </w:tcPr>
          <w:p>
            <w:pPr>
              <w:jc w:val="right"/>
              <w:spacing w:after="0"/>
              <w:rPr>
                <w:sz w:val="20"/>
                <w:szCs w:val="20"/>
                <w:color w:val="auto"/>
              </w:rPr>
            </w:pPr>
            <w:r>
              <w:rPr>
                <w:rFonts w:ascii="Arial" w:cs="Arial" w:eastAsia="Arial" w:hAnsi="Arial"/>
                <w:sz w:val="9"/>
                <w:szCs w:val="9"/>
                <w:b w:val="1"/>
                <w:bCs w:val="1"/>
                <w:color w:val="auto"/>
              </w:rPr>
              <w:t>Common Stock</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Paid-in</w:t>
            </w:r>
          </w:p>
        </w:tc>
        <w:tc>
          <w:tcPr>
            <w:tcW w:w="120" w:type="dxa"/>
            <w:vAlign w:val="bottom"/>
          </w:tcPr>
          <w:p>
            <w:pPr>
              <w:spacing w:after="0"/>
              <w:rPr>
                <w:sz w:val="9"/>
                <w:szCs w:val="9"/>
                <w:color w:val="auto"/>
              </w:rPr>
            </w:pPr>
          </w:p>
        </w:tc>
        <w:tc>
          <w:tcPr>
            <w:tcW w:w="800" w:type="dxa"/>
            <w:vAlign w:val="bottom"/>
            <w:gridSpan w:val="3"/>
          </w:tcPr>
          <w:p>
            <w:pPr>
              <w:spacing w:after="0"/>
              <w:rPr>
                <w:sz w:val="20"/>
                <w:szCs w:val="20"/>
                <w:color w:val="auto"/>
              </w:rPr>
            </w:pPr>
            <w:r>
              <w:rPr>
                <w:rFonts w:ascii="Arial" w:cs="Arial" w:eastAsia="Arial" w:hAnsi="Arial"/>
                <w:sz w:val="9"/>
                <w:szCs w:val="9"/>
                <w:b w:val="1"/>
                <w:bCs w:val="1"/>
                <w:color w:val="auto"/>
              </w:rPr>
              <w:t>Comprehensive</w:t>
            </w:r>
          </w:p>
        </w:tc>
        <w:tc>
          <w:tcPr>
            <w:tcW w:w="68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w w:val="91"/>
              </w:rPr>
              <w:t>Stock-Based</w:t>
            </w:r>
          </w:p>
        </w:tc>
        <w:tc>
          <w:tcPr>
            <w:tcW w:w="100" w:type="dxa"/>
            <w:vAlign w:val="bottom"/>
          </w:tcPr>
          <w:p>
            <w:pPr>
              <w:spacing w:after="0"/>
              <w:rPr>
                <w:sz w:val="9"/>
                <w:szCs w:val="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9"/>
                <w:szCs w:val="9"/>
                <w:b w:val="1"/>
                <w:bCs w:val="1"/>
                <w:color w:val="auto"/>
                <w:w w:val="88"/>
              </w:rPr>
              <w:t>Accumulated</w:t>
            </w:r>
          </w:p>
        </w:tc>
        <w:tc>
          <w:tcPr>
            <w:tcW w:w="1100" w:type="dxa"/>
            <w:vAlign w:val="bottom"/>
            <w:gridSpan w:val="5"/>
          </w:tcPr>
          <w:p>
            <w:pPr>
              <w:jc w:val="right"/>
              <w:ind w:right="280"/>
              <w:spacing w:after="0"/>
              <w:rPr>
                <w:sz w:val="20"/>
                <w:szCs w:val="20"/>
                <w:color w:val="auto"/>
              </w:rPr>
            </w:pPr>
            <w:r>
              <w:rPr>
                <w:rFonts w:ascii="Arial" w:cs="Arial" w:eastAsia="Arial" w:hAnsi="Arial"/>
                <w:sz w:val="9"/>
                <w:szCs w:val="9"/>
                <w:b w:val="1"/>
                <w:bCs w:val="1"/>
                <w:color w:val="auto"/>
              </w:rPr>
              <w:t>Treasury Stock</w:t>
            </w:r>
          </w:p>
        </w:tc>
        <w:tc>
          <w:tcPr>
            <w:tcW w:w="660" w:type="dxa"/>
            <w:vAlign w:val="bottom"/>
            <w:gridSpan w:val="4"/>
          </w:tcPr>
          <w:p>
            <w:pPr>
              <w:ind w:left="80"/>
              <w:spacing w:after="0"/>
              <w:rPr>
                <w:sz w:val="20"/>
                <w:szCs w:val="20"/>
                <w:color w:val="auto"/>
              </w:rPr>
            </w:pPr>
            <w:r>
              <w:rPr>
                <w:rFonts w:ascii="Arial" w:cs="Arial" w:eastAsia="Arial" w:hAnsi="Arial"/>
                <w:sz w:val="9"/>
                <w:szCs w:val="9"/>
                <w:b w:val="1"/>
                <w:bCs w:val="1"/>
                <w:color w:val="auto"/>
                <w:w w:val="93"/>
              </w:rPr>
              <w:t>Shareholders’</w:t>
            </w:r>
          </w:p>
        </w:tc>
      </w:tr>
      <w:tr>
        <w:trPr>
          <w:trHeight w:val="88"/>
        </w:trPr>
        <w:tc>
          <w:tcPr>
            <w:tcW w:w="3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Borders>
              <w:top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6"/>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200" w:type="dxa"/>
            <w:vAlign w:val="bottom"/>
          </w:tcPr>
          <w:p>
            <w:pPr>
              <w:spacing w:after="0"/>
              <w:rPr>
                <w:sz w:val="7"/>
                <w:szCs w:val="7"/>
                <w:color w:val="auto"/>
              </w:rPr>
            </w:pPr>
          </w:p>
        </w:tc>
        <w:tc>
          <w:tcPr>
            <w:tcW w:w="500" w:type="dxa"/>
            <w:vAlign w:val="bottom"/>
            <w:tcBorders>
              <w:top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99"/>
              </w:rPr>
              <w:t>Shares</w:t>
            </w:r>
          </w:p>
        </w:tc>
        <w:tc>
          <w:tcPr>
            <w:tcW w:w="400" w:type="dxa"/>
            <w:vAlign w:val="bottom"/>
            <w:tcBorders>
              <w:top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800" w:type="dxa"/>
            <w:vAlign w:val="bottom"/>
            <w:gridSpan w:val="3"/>
          </w:tcPr>
          <w:p>
            <w:pPr>
              <w:jc w:val="center"/>
              <w:ind w:right="200"/>
              <w:spacing w:after="0" w:line="88" w:lineRule="exact"/>
              <w:rPr>
                <w:sz w:val="20"/>
                <w:szCs w:val="20"/>
                <w:color w:val="auto"/>
              </w:rPr>
            </w:pPr>
            <w:r>
              <w:rPr>
                <w:rFonts w:ascii="Arial" w:cs="Arial" w:eastAsia="Arial" w:hAnsi="Arial"/>
                <w:sz w:val="9"/>
                <w:szCs w:val="9"/>
                <w:b w:val="1"/>
                <w:bCs w:val="1"/>
                <w:color w:val="auto"/>
                <w:w w:val="91"/>
              </w:rPr>
              <w:t>(Loss) Income</w:t>
            </w:r>
          </w:p>
        </w:tc>
        <w:tc>
          <w:tcPr>
            <w:tcW w:w="680" w:type="dxa"/>
            <w:vAlign w:val="bottom"/>
            <w:gridSpan w:val="3"/>
          </w:tcPr>
          <w:p>
            <w:pPr>
              <w:spacing w:after="0" w:line="88" w:lineRule="exact"/>
              <w:rPr>
                <w:sz w:val="20"/>
                <w:szCs w:val="20"/>
                <w:color w:val="auto"/>
              </w:rPr>
            </w:pPr>
            <w:r>
              <w:rPr>
                <w:rFonts w:ascii="Arial" w:cs="Arial" w:eastAsia="Arial" w:hAnsi="Arial"/>
                <w:sz w:val="9"/>
                <w:szCs w:val="9"/>
                <w:b w:val="1"/>
                <w:bCs w:val="1"/>
                <w:color w:val="auto"/>
              </w:rPr>
              <w:t>Compensation</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Deficit</w:t>
            </w:r>
          </w:p>
        </w:tc>
        <w:tc>
          <w:tcPr>
            <w:tcW w:w="540" w:type="dxa"/>
            <w:vAlign w:val="bottom"/>
            <w:tcBorders>
              <w:top w:val="single" w:sz="8" w:color="auto"/>
            </w:tcBorders>
            <w:gridSpan w:val="2"/>
          </w:tcPr>
          <w:p>
            <w:pPr>
              <w:jc w:val="right"/>
              <w:ind w:right="240"/>
              <w:spacing w:after="0" w:line="88" w:lineRule="exact"/>
              <w:rPr>
                <w:sz w:val="20"/>
                <w:szCs w:val="20"/>
                <w:color w:val="auto"/>
              </w:rPr>
            </w:pPr>
            <w:r>
              <w:rPr>
                <w:rFonts w:ascii="Arial" w:cs="Arial" w:eastAsia="Arial" w:hAnsi="Arial"/>
                <w:sz w:val="9"/>
                <w:szCs w:val="9"/>
                <w:b w:val="1"/>
                <w:bCs w:val="1"/>
                <w:color w:val="auto"/>
                <w:w w:val="93"/>
              </w:rPr>
              <w:t>Shares</w:t>
            </w: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88"/>
              </w:rPr>
              <w:t>Amount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rPr>
              <w:t>Equity</w:t>
            </w:r>
          </w:p>
        </w:tc>
      </w:tr>
      <w:tr>
        <w:trPr>
          <w:trHeight w:val="20"/>
        </w:trPr>
        <w:tc>
          <w:tcPr>
            <w:tcW w:w="3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7"/>
        </w:trPr>
        <w:tc>
          <w:tcPr>
            <w:tcW w:w="3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7"/>
          </w:tcPr>
          <w:p>
            <w:pPr>
              <w:jc w:val="right"/>
              <w:ind w:right="100"/>
              <w:spacing w:after="0"/>
              <w:rPr>
                <w:sz w:val="20"/>
                <w:szCs w:val="20"/>
                <w:color w:val="auto"/>
              </w:rPr>
            </w:pPr>
            <w:r>
              <w:rPr>
                <w:rFonts w:ascii="Arial" w:cs="Arial" w:eastAsia="Arial" w:hAnsi="Arial"/>
                <w:sz w:val="9"/>
                <w:szCs w:val="9"/>
                <w:b w:val="1"/>
                <w:bCs w:val="1"/>
                <w:color w:val="auto"/>
                <w:w w:val="91"/>
              </w:rPr>
              <w:t>(In thousands, except share amounts)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8"/>
        </w:trPr>
        <w:tc>
          <w:tcPr>
            <w:tcW w:w="386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2004</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9"/>
                <w:szCs w:val="9"/>
                <w:color w:val="auto"/>
              </w:rPr>
              <w:t>8</w:t>
            </w: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345,466</w:t>
            </w:r>
          </w:p>
        </w:tc>
        <w:tc>
          <w:tcPr>
            <w:tcW w:w="260" w:type="dxa"/>
            <w:vAlign w:val="bottom"/>
            <w:gridSpan w:val="2"/>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w w:val="79"/>
              </w:rPr>
              <w:t>173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94"/>
              </w:rPr>
              <w:t>8,184,979</w:t>
            </w:r>
          </w:p>
        </w:tc>
        <w:tc>
          <w:tcPr>
            <w:tcW w:w="80" w:type="dxa"/>
            <w:vAlign w:val="bottom"/>
            <w:shd w:val="clear" w:color="auto" w:fill="CCEEFF"/>
          </w:tcPr>
          <w:p>
            <w:pPr>
              <w:spacing w:after="0"/>
              <w:rPr>
                <w:sz w:val="9"/>
                <w:szCs w:val="9"/>
                <w:color w:val="auto"/>
              </w:rPr>
            </w:pPr>
          </w:p>
        </w:tc>
        <w:tc>
          <w:tcPr>
            <w:tcW w:w="160" w:type="dxa"/>
            <w:vAlign w:val="bottom"/>
            <w:gridSpan w:val="2"/>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(6,767)</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(36,280)</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(801,094)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(8,766)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(514,610)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6,826,401</w:t>
            </w:r>
          </w:p>
        </w:tc>
        <w:tc>
          <w:tcPr>
            <w:tcW w:w="20" w:type="dxa"/>
            <w:vAlign w:val="bottom"/>
            <w:shd w:val="clear" w:color="auto" w:fill="CCEEFF"/>
          </w:tcPr>
          <w:p>
            <w:pPr>
              <w:spacing w:after="0"/>
              <w:rPr>
                <w:sz w:val="9"/>
                <w:szCs w:val="9"/>
                <w:color w:val="auto"/>
              </w:rPr>
            </w:pP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Comprehensive income:</w:t>
            </w:r>
          </w:p>
        </w:tc>
        <w:tc>
          <w:tcPr>
            <w:tcW w:w="7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income</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160,711</w:t>
            </w: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160,711</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ind w:left="100"/>
              <w:spacing w:after="0" w:line="98" w:lineRule="exact"/>
              <w:rPr>
                <w:sz w:val="20"/>
                <w:szCs w:val="20"/>
                <w:color w:val="auto"/>
              </w:rPr>
            </w:pPr>
            <w:r>
              <w:rPr>
                <w:rFonts w:ascii="Arial" w:cs="Arial" w:eastAsia="Arial" w:hAnsi="Arial"/>
                <w:sz w:val="9"/>
                <w:szCs w:val="9"/>
                <w:color w:val="auto"/>
              </w:rPr>
              <w:t>Unrealized losses on securities available for sale, net of tax of $1,506</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(2,622)</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(2,622)</w:t>
            </w:r>
          </w:p>
        </w:tc>
      </w:tr>
      <w:tr>
        <w:trPr>
          <w:trHeight w:val="98"/>
        </w:trPr>
        <w:tc>
          <w:tcPr>
            <w:tcW w:w="3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foreign currency forward contracts, net of tax of $6,342</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10,798</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10,798</w:t>
            </w:r>
          </w:p>
        </w:tc>
      </w:tr>
      <w:tr>
        <w:trPr>
          <w:trHeight w:val="98"/>
        </w:trPr>
        <w:tc>
          <w:tcPr>
            <w:tcW w:w="3860" w:type="dxa"/>
            <w:vAlign w:val="bottom"/>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(15,319)</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(15,319)</w:t>
            </w:r>
          </w:p>
        </w:tc>
      </w:tr>
      <w:tr>
        <w:trPr>
          <w:trHeight w:val="98"/>
        </w:trPr>
        <w:tc>
          <w:tcPr>
            <w:tcW w:w="3860" w:type="dxa"/>
            <w:vAlign w:val="bottom"/>
            <w:shd w:val="clear" w:color="auto" w:fill="CCEEFF"/>
          </w:tcPr>
          <w:p>
            <w:pPr>
              <w:ind w:left="180"/>
              <w:spacing w:after="0" w:line="98" w:lineRule="exact"/>
              <w:rPr>
                <w:sz w:val="20"/>
                <w:szCs w:val="20"/>
                <w:color w:val="auto"/>
              </w:rPr>
            </w:pPr>
            <w:r>
              <w:rPr>
                <w:rFonts w:ascii="Arial" w:cs="Arial" w:eastAsia="Arial" w:hAnsi="Arial"/>
                <w:sz w:val="9"/>
                <w:szCs w:val="9"/>
                <w:color w:val="auto"/>
              </w:rPr>
              <w:t>Total comprehensive income</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153,568</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Issuance of common stock under restricted stock plan</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tcPr>
          <w:p>
            <w:pPr>
              <w:jc w:val="right"/>
              <w:spacing w:after="0" w:line="98" w:lineRule="exact"/>
              <w:rPr>
                <w:sz w:val="20"/>
                <w:szCs w:val="20"/>
                <w:color w:val="auto"/>
              </w:rPr>
            </w:pPr>
            <w:r>
              <w:rPr>
                <w:rFonts w:ascii="Arial" w:cs="Arial" w:eastAsia="Arial" w:hAnsi="Arial"/>
                <w:sz w:val="9"/>
                <w:szCs w:val="9"/>
                <w:color w:val="auto"/>
              </w:rPr>
              <w:t>23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from conversion of subordinated notes payable due 2019</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730</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8,425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8,425</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Issuance of treasury stock from conversion of subordinated notes payable due 2019</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(235,811)</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5,079</w:t>
            </w:r>
          </w:p>
        </w:tc>
        <w:tc>
          <w:tcPr>
            <w:tcW w:w="6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294,777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58,966</w:t>
            </w: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restricted stock plan</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(56,254)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6,403</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839</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49,851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Issuance of treasury stock under stock option and stock purchase plans</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(151,853)</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4,612</w:t>
            </w:r>
          </w:p>
        </w:tc>
        <w:tc>
          <w:tcPr>
            <w:tcW w:w="60" w:type="dxa"/>
            <w:vAlign w:val="bottom"/>
          </w:tcPr>
          <w:p>
            <w:pPr>
              <w:spacing w:after="0"/>
              <w:rPr>
                <w:sz w:val="8"/>
                <w:szCs w:val="8"/>
                <w:color w:val="auto"/>
              </w:rPr>
            </w:pPr>
          </w:p>
        </w:tc>
        <w:tc>
          <w:tcPr>
            <w:tcW w:w="380" w:type="dxa"/>
            <w:vAlign w:val="bottom"/>
          </w:tcPr>
          <w:p>
            <w:pPr>
              <w:jc w:val="right"/>
              <w:spacing w:after="0" w:line="98" w:lineRule="exact"/>
              <w:rPr>
                <w:sz w:val="20"/>
                <w:szCs w:val="20"/>
                <w:color w:val="auto"/>
              </w:rPr>
            </w:pPr>
            <w:r>
              <w:rPr>
                <w:rFonts w:ascii="Arial" w:cs="Arial" w:eastAsia="Arial" w:hAnsi="Arial"/>
                <w:sz w:val="9"/>
                <w:szCs w:val="9"/>
                <w:color w:val="auto"/>
              </w:rPr>
              <w:t>271,472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119,619</w:t>
            </w: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(485)</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(26,140)</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26,140</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Repurchase of common stock for treasury, at cost</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(7,515)</w:t>
            </w:r>
          </w:p>
        </w:tc>
        <w:tc>
          <w:tcPr>
            <w:tcW w:w="60" w:type="dxa"/>
            <w:vAlign w:val="bottom"/>
          </w:tcPr>
          <w:p>
            <w:pPr>
              <w:spacing w:after="0"/>
              <w:rPr>
                <w:sz w:val="8"/>
                <w:szCs w:val="8"/>
                <w:color w:val="auto"/>
              </w:rPr>
            </w:pPr>
          </w:p>
        </w:tc>
        <w:tc>
          <w:tcPr>
            <w:tcW w:w="5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(324,250)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(324,250)</w:t>
            </w: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deferred stock compensation, net of forfeitures</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23,523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23,523</w:t>
            </w: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14,259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14,259</w:t>
            </w: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25,365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25,365</w:t>
            </w:r>
          </w:p>
        </w:tc>
      </w:tr>
      <w:tr>
        <w:trPr>
          <w:trHeight w:val="107"/>
        </w:trPr>
        <w:tc>
          <w:tcPr>
            <w:tcW w:w="3860" w:type="dxa"/>
            <w:vAlign w:val="bottom"/>
          </w:tcPr>
          <w:p>
            <w:pPr>
              <w:spacing w:after="0" w:line="98" w:lineRule="exact"/>
              <w:rPr>
                <w:sz w:val="20"/>
                <w:szCs w:val="20"/>
                <w:color w:val="auto"/>
              </w:rPr>
            </w:pPr>
            <w:r>
              <w:rPr>
                <w:rFonts w:ascii="Arial" w:cs="Arial" w:eastAsia="Arial" w:hAnsi="Arial"/>
                <w:sz w:val="9"/>
                <w:szCs w:val="9"/>
                <w:b w:val="1"/>
                <w:bCs w:val="1"/>
                <w:color w:val="auto"/>
              </w:rPr>
              <w:t>Balance, December 31, 2005</w:t>
            </w:r>
          </w:p>
        </w:tc>
        <w:tc>
          <w:tcPr>
            <w:tcW w:w="76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2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9"/>
                <w:szCs w:val="9"/>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345,712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9"/>
              </w:rPr>
              <w:t>173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8,206,911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(13,910)</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(42,894)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(1,021,644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(5,751)</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(222,760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6,905,876</w:t>
            </w:r>
          </w:p>
        </w:tc>
        <w:tc>
          <w:tcPr>
            <w:tcW w:w="20" w:type="dxa"/>
            <w:vAlign w:val="bottom"/>
          </w:tcPr>
          <w:p>
            <w:pPr>
              <w:spacing w:after="0"/>
              <w:rPr>
                <w:sz w:val="9"/>
                <w:szCs w:val="9"/>
                <w:color w:val="auto"/>
              </w:rPr>
            </w:pPr>
          </w:p>
        </w:tc>
      </w:tr>
      <w:tr>
        <w:trPr>
          <w:trHeight w:val="108"/>
        </w:trPr>
        <w:tc>
          <w:tcPr>
            <w:tcW w:w="3860" w:type="dxa"/>
            <w:vAlign w:val="bottom"/>
            <w:shd w:val="clear" w:color="auto" w:fill="CCEEFF"/>
          </w:tcPr>
          <w:p>
            <w:pPr>
              <w:spacing w:after="0"/>
              <w:rPr>
                <w:sz w:val="20"/>
                <w:szCs w:val="20"/>
                <w:color w:val="auto"/>
              </w:rPr>
            </w:pPr>
            <w:r>
              <w:rPr>
                <w:rFonts w:ascii="Arial" w:cs="Arial" w:eastAsia="Arial" w:hAnsi="Arial"/>
                <w:sz w:val="9"/>
                <w:szCs w:val="9"/>
                <w:color w:val="auto"/>
              </w:rPr>
              <w:t>Comprehensive income:</w:t>
            </w:r>
          </w:p>
        </w:tc>
        <w:tc>
          <w:tcPr>
            <w:tcW w:w="7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98"/>
        </w:trPr>
        <w:tc>
          <w:tcPr>
            <w:tcW w:w="386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217,511</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spacing w:after="0" w:line="98" w:lineRule="exact"/>
              <w:rPr>
                <w:sz w:val="20"/>
                <w:szCs w:val="20"/>
                <w:color w:val="auto"/>
              </w:rPr>
            </w:pPr>
            <w:r>
              <w:rPr>
                <w:rFonts w:ascii="Arial" w:cs="Arial" w:eastAsia="Arial" w:hAnsi="Arial"/>
                <w:sz w:val="9"/>
                <w:szCs w:val="9"/>
                <w:color w:val="auto"/>
              </w:rPr>
              <w:t>217,511</w:t>
            </w: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securities available for sale, net of tax of $3,062</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4,793</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4,793</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ind w:left="100"/>
              <w:spacing w:after="0" w:line="98" w:lineRule="exact"/>
              <w:rPr>
                <w:sz w:val="20"/>
                <w:szCs w:val="20"/>
                <w:color w:val="auto"/>
              </w:rPr>
            </w:pPr>
            <w:r>
              <w:rPr>
                <w:rFonts w:ascii="Arial" w:cs="Arial" w:eastAsia="Arial" w:hAnsi="Arial"/>
                <w:sz w:val="9"/>
                <w:szCs w:val="9"/>
                <w:color w:val="auto"/>
              </w:rPr>
              <w:t>Unrealized gains on foreign currency forward contracts, net of tax of $236</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510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510</w:t>
            </w:r>
          </w:p>
        </w:tc>
      </w:tr>
      <w:tr>
        <w:trPr>
          <w:trHeight w:val="98"/>
        </w:trPr>
        <w:tc>
          <w:tcPr>
            <w:tcW w:w="3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31,205</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31,205</w:t>
            </w:r>
          </w:p>
        </w:tc>
      </w:tr>
      <w:tr>
        <w:trPr>
          <w:trHeight w:val="98"/>
        </w:trPr>
        <w:tc>
          <w:tcPr>
            <w:tcW w:w="3860" w:type="dxa"/>
            <w:vAlign w:val="bottom"/>
          </w:tcPr>
          <w:p>
            <w:pPr>
              <w:ind w:left="180"/>
              <w:spacing w:after="0" w:line="98" w:lineRule="exact"/>
              <w:rPr>
                <w:sz w:val="20"/>
                <w:szCs w:val="20"/>
                <w:color w:val="auto"/>
              </w:rPr>
            </w:pPr>
            <w:r>
              <w:rPr>
                <w:rFonts w:ascii="Arial" w:cs="Arial" w:eastAsia="Arial" w:hAnsi="Arial"/>
                <w:sz w:val="9"/>
                <w:szCs w:val="9"/>
                <w:color w:val="auto"/>
              </w:rPr>
              <w:t>Total comprehensive income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254,019</w:t>
            </w: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losses on pension benefit obligation, net of tax of $437</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(743)</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(743)</w:t>
            </w: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Repurchase of common stock for treasury, at cost</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(7,479)</w:t>
            </w:r>
          </w:p>
        </w:tc>
        <w:tc>
          <w:tcPr>
            <w:tcW w:w="60" w:type="dxa"/>
            <w:vAlign w:val="bottom"/>
          </w:tcPr>
          <w:p>
            <w:pPr>
              <w:spacing w:after="0"/>
              <w:rPr>
                <w:sz w:val="8"/>
                <w:szCs w:val="8"/>
                <w:color w:val="auto"/>
              </w:rPr>
            </w:pPr>
          </w:p>
        </w:tc>
        <w:tc>
          <w:tcPr>
            <w:tcW w:w="50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(320,268)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(320,268)</w:t>
            </w: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stock option and stock purchase plans</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(30,360)</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(56,694)</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5,767</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223,373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136,319</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(75)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deferred stock compensation, net of forfeitures</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229</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229</w:t>
            </w: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Deferred stock compensation adjustment for FAS 123R</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(42,665)</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42,665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7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131,539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131,539</w:t>
            </w:r>
          </w:p>
        </w:tc>
        <w:tc>
          <w:tcPr>
            <w:tcW w:w="20" w:type="dxa"/>
            <w:vAlign w:val="bottom"/>
            <w:shd w:val="clear" w:color="auto" w:fill="CCEEFF"/>
          </w:tcPr>
          <w:p>
            <w:pPr>
              <w:spacing w:after="0"/>
              <w:rPr>
                <w:sz w:val="8"/>
                <w:szCs w:val="8"/>
                <w:color w:val="auto"/>
              </w:rPr>
            </w:pPr>
          </w:p>
        </w:tc>
      </w:tr>
      <w:tr>
        <w:trPr>
          <w:trHeight w:val="98"/>
        </w:trPr>
        <w:tc>
          <w:tcPr>
            <w:tcW w:w="3860" w:type="dxa"/>
            <w:vAlign w:val="bottom"/>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42,807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42,807</w:t>
            </w:r>
          </w:p>
        </w:tc>
      </w:tr>
      <w:tr>
        <w:trPr>
          <w:trHeight w:val="20"/>
        </w:trPr>
        <w:tc>
          <w:tcPr>
            <w:tcW w:w="3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386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December 31, 2006</w:t>
            </w:r>
          </w:p>
        </w:tc>
        <w:tc>
          <w:tcPr>
            <w:tcW w:w="7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w:t>
            </w:r>
          </w:p>
        </w:tc>
        <w:tc>
          <w:tcPr>
            <w:tcW w:w="2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ind w:left="2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345,637</w:t>
            </w:r>
          </w:p>
        </w:tc>
        <w:tc>
          <w:tcPr>
            <w:tcW w:w="260" w:type="dxa"/>
            <w:vAlign w:val="bottom"/>
            <w:gridSpan w:val="2"/>
            <w:shd w:val="clear" w:color="auto" w:fill="CCEEFF"/>
          </w:tcPr>
          <w:p>
            <w:pPr>
              <w:jc w:val="right"/>
              <w:ind w:right="97"/>
              <w:spacing w:after="0" w:line="98" w:lineRule="exact"/>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79"/>
              </w:rPr>
              <w:t>173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4"/>
              </w:rPr>
              <w:t>8,308,232</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21,855</w:t>
            </w:r>
          </w:p>
        </w:tc>
        <w:tc>
          <w:tcPr>
            <w:tcW w:w="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jc w:val="right"/>
              <w:ind w:right="6"/>
              <w:spacing w:after="0" w:line="9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(860,827)</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(7,463)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(319,655)</w:t>
            </w:r>
          </w:p>
        </w:tc>
        <w:tc>
          <w:tcPr>
            <w:tcW w:w="180" w:type="dxa"/>
            <w:vAlign w:val="bottom"/>
            <w:gridSpan w:val="2"/>
            <w:shd w:val="clear" w:color="auto" w:fill="CCEEFF"/>
          </w:tcPr>
          <w:p>
            <w:pPr>
              <w:ind w:left="80"/>
              <w:spacing w:after="0" w:line="98"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7,149,778</w:t>
            </w:r>
          </w:p>
        </w:tc>
        <w:tc>
          <w:tcPr>
            <w:tcW w:w="20" w:type="dxa"/>
            <w:vAlign w:val="bottom"/>
            <w:shd w:val="clear" w:color="auto" w:fill="CCEEFF"/>
          </w:tcPr>
          <w:p>
            <w:pPr>
              <w:spacing w:after="0"/>
              <w:rPr>
                <w:sz w:val="8"/>
                <w:szCs w:val="8"/>
                <w:color w:val="auto"/>
              </w:rPr>
            </w:pPr>
          </w:p>
        </w:tc>
      </w:tr>
      <w:tr>
        <w:trPr>
          <w:trHeight w:val="29"/>
        </w:trPr>
        <w:tc>
          <w:tcPr>
            <w:tcW w:w="3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 — (Continued)</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3580" w:type="dxa"/>
            <w:vAlign w:val="bottom"/>
          </w:tcPr>
          <w:p>
            <w:pPr>
              <w:spacing w:after="0"/>
              <w:rPr>
                <w:sz w:val="8"/>
                <w:szCs w:val="8"/>
                <w:color w:val="auto"/>
              </w:rPr>
            </w:pPr>
          </w:p>
        </w:tc>
        <w:tc>
          <w:tcPr>
            <w:tcW w:w="620" w:type="dxa"/>
            <w:vAlign w:val="bottom"/>
            <w:gridSpan w:val="4"/>
          </w:tcPr>
          <w:p>
            <w:pPr>
              <w:jc w:val="center"/>
              <w:ind w:left="54"/>
              <w:spacing w:after="0" w:line="98" w:lineRule="exact"/>
              <w:rPr>
                <w:sz w:val="20"/>
                <w:szCs w:val="20"/>
                <w:color w:val="auto"/>
              </w:rPr>
            </w:pPr>
            <w:r>
              <w:rPr>
                <w:rFonts w:ascii="Arial" w:cs="Arial" w:eastAsia="Arial" w:hAnsi="Arial"/>
                <w:sz w:val="9"/>
                <w:szCs w:val="9"/>
                <w:b w:val="1"/>
                <w:bCs w:val="1"/>
                <w:color w:val="auto"/>
                <w:w w:val="96"/>
              </w:rPr>
              <w:t>Convertible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jc w:val="right"/>
              <w:ind w:right="200"/>
              <w:spacing w:after="0" w:line="98" w:lineRule="exact"/>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72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64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1"/>
              </w:rPr>
              <w:t>Deferred</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20"/>
              <w:spacing w:after="0" w:line="98" w:lineRule="exact"/>
              <w:rPr>
                <w:sz w:val="20"/>
                <w:szCs w:val="20"/>
                <w:color w:val="auto"/>
              </w:rPr>
            </w:pPr>
            <w:r>
              <w:rPr>
                <w:rFonts w:ascii="Arial" w:cs="Arial" w:eastAsia="Arial" w:hAnsi="Arial"/>
                <w:sz w:val="9"/>
                <w:szCs w:val="9"/>
                <w:b w:val="1"/>
                <w:bCs w:val="1"/>
                <w:color w:val="auto"/>
                <w:w w:val="92"/>
              </w:rPr>
              <w:t>Total</w:t>
            </w:r>
          </w:p>
        </w:tc>
      </w:tr>
      <w:tr>
        <w:trPr>
          <w:trHeight w:val="111"/>
        </w:trPr>
        <w:tc>
          <w:tcPr>
            <w:tcW w:w="3580" w:type="dxa"/>
            <w:vAlign w:val="bottom"/>
          </w:tcPr>
          <w:p>
            <w:pPr>
              <w:spacing w:after="0"/>
              <w:rPr>
                <w:sz w:val="9"/>
                <w:szCs w:val="9"/>
                <w:color w:val="auto"/>
              </w:rPr>
            </w:pPr>
          </w:p>
        </w:tc>
        <w:tc>
          <w:tcPr>
            <w:tcW w:w="880" w:type="dxa"/>
            <w:vAlign w:val="bottom"/>
            <w:gridSpan w:val="6"/>
          </w:tcPr>
          <w:p>
            <w:pPr>
              <w:jc w:val="center"/>
              <w:ind w:right="160"/>
              <w:spacing w:after="0"/>
              <w:rPr>
                <w:sz w:val="20"/>
                <w:szCs w:val="20"/>
                <w:color w:val="auto"/>
              </w:rPr>
            </w:pPr>
            <w:r>
              <w:rPr>
                <w:rFonts w:ascii="Arial" w:cs="Arial" w:eastAsia="Arial" w:hAnsi="Arial"/>
                <w:sz w:val="9"/>
                <w:szCs w:val="9"/>
                <w:b w:val="1"/>
                <w:bCs w:val="1"/>
                <w:color w:val="auto"/>
                <w:w w:val="95"/>
              </w:rPr>
              <w:t>Preferred Stock</w:t>
            </w:r>
          </w:p>
        </w:tc>
        <w:tc>
          <w:tcPr>
            <w:tcW w:w="104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Common Stock</w:t>
            </w:r>
          </w:p>
        </w:tc>
        <w:tc>
          <w:tcPr>
            <w:tcW w:w="64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Paid-in</w:t>
            </w:r>
          </w:p>
        </w:tc>
        <w:tc>
          <w:tcPr>
            <w:tcW w:w="78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88"/>
              </w:rPr>
              <w:t>Comprehensive</w:t>
            </w:r>
          </w:p>
        </w:tc>
        <w:tc>
          <w:tcPr>
            <w:tcW w:w="72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1"/>
              </w:rPr>
              <w:t>Stock-Based</w:t>
            </w:r>
          </w:p>
        </w:tc>
        <w:tc>
          <w:tcPr>
            <w:tcW w:w="680" w:type="dxa"/>
            <w:vAlign w:val="bottom"/>
            <w:gridSpan w:val="2"/>
          </w:tcPr>
          <w:p>
            <w:pPr>
              <w:jc w:val="right"/>
              <w:ind w:right="154"/>
              <w:spacing w:after="0"/>
              <w:rPr>
                <w:sz w:val="20"/>
                <w:szCs w:val="20"/>
                <w:color w:val="auto"/>
              </w:rPr>
            </w:pPr>
            <w:r>
              <w:rPr>
                <w:rFonts w:ascii="Arial" w:cs="Arial" w:eastAsia="Arial" w:hAnsi="Arial"/>
                <w:sz w:val="9"/>
                <w:szCs w:val="9"/>
                <w:b w:val="1"/>
                <w:bCs w:val="1"/>
                <w:color w:val="auto"/>
                <w:w w:val="88"/>
              </w:rPr>
              <w:t>Accumulated</w:t>
            </w:r>
          </w:p>
        </w:tc>
        <w:tc>
          <w:tcPr>
            <w:tcW w:w="1080" w:type="dxa"/>
            <w:vAlign w:val="bottom"/>
            <w:gridSpan w:val="5"/>
          </w:tcPr>
          <w:p>
            <w:pPr>
              <w:jc w:val="right"/>
              <w:ind w:right="320"/>
              <w:spacing w:after="0"/>
              <w:rPr>
                <w:sz w:val="20"/>
                <w:szCs w:val="20"/>
                <w:color w:val="auto"/>
              </w:rPr>
            </w:pPr>
            <w:r>
              <w:rPr>
                <w:rFonts w:ascii="Arial" w:cs="Arial" w:eastAsia="Arial" w:hAnsi="Arial"/>
                <w:sz w:val="9"/>
                <w:szCs w:val="9"/>
                <w:b w:val="1"/>
                <w:bCs w:val="1"/>
                <w:color w:val="auto"/>
              </w:rPr>
              <w:t>Treasury Stock</w:t>
            </w:r>
          </w:p>
        </w:tc>
        <w:tc>
          <w:tcPr>
            <w:tcW w:w="58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3"/>
              </w:rPr>
              <w:t>Shareholders’</w:t>
            </w:r>
          </w:p>
        </w:tc>
      </w:tr>
      <w:tr>
        <w:trPr>
          <w:trHeight w:val="88"/>
        </w:trPr>
        <w:tc>
          <w:tcPr>
            <w:tcW w:w="3580" w:type="dxa"/>
            <w:vAlign w:val="bottom"/>
          </w:tcPr>
          <w:p>
            <w:pPr>
              <w:spacing w:after="0"/>
              <w:rPr>
                <w:sz w:val="7"/>
                <w:szCs w:val="7"/>
                <w:color w:val="auto"/>
              </w:rPr>
            </w:pPr>
          </w:p>
        </w:tc>
        <w:tc>
          <w:tcPr>
            <w:tcW w:w="40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9"/>
                <w:szCs w:val="9"/>
                <w:b w:val="1"/>
                <w:bCs w:val="1"/>
                <w:color w:val="auto"/>
              </w:rPr>
              <w:t>Shares</w:t>
            </w: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9"/>
                <w:szCs w:val="9"/>
                <w:b w:val="1"/>
                <w:bCs w:val="1"/>
                <w:color w:val="auto"/>
                <w:w w:val="88"/>
              </w:rPr>
              <w:t>Amount</w:t>
            </w:r>
          </w:p>
        </w:tc>
        <w:tc>
          <w:tcPr>
            <w:tcW w:w="160" w:type="dxa"/>
            <w:vAlign w:val="bottom"/>
          </w:tcPr>
          <w:p>
            <w:pPr>
              <w:spacing w:after="0"/>
              <w:rPr>
                <w:sz w:val="7"/>
                <w:szCs w:val="7"/>
                <w:color w:val="auto"/>
              </w:rPr>
            </w:pPr>
          </w:p>
        </w:tc>
        <w:tc>
          <w:tcPr>
            <w:tcW w:w="54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9"/>
              </w:rPr>
              <w:t>Shares</w:t>
            </w:r>
          </w:p>
        </w:tc>
        <w:tc>
          <w:tcPr>
            <w:tcW w:w="320" w:type="dxa"/>
            <w:vAlign w:val="bottom"/>
            <w:tcBorders>
              <w:top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82"/>
              </w:rPr>
              <w:t>Amount</w:t>
            </w:r>
          </w:p>
        </w:tc>
        <w:tc>
          <w:tcPr>
            <w:tcW w:w="180" w:type="dxa"/>
            <w:vAlign w:val="bottom"/>
          </w:tcPr>
          <w:p>
            <w:pPr>
              <w:spacing w:after="0"/>
              <w:rPr>
                <w:sz w:val="7"/>
                <w:szCs w:val="7"/>
                <w:color w:val="auto"/>
              </w:rPr>
            </w:pPr>
          </w:p>
        </w:tc>
        <w:tc>
          <w:tcPr>
            <w:tcW w:w="6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Capital</w:t>
            </w:r>
          </w:p>
        </w:tc>
        <w:tc>
          <w:tcPr>
            <w:tcW w:w="780" w:type="dxa"/>
            <w:vAlign w:val="bottom"/>
            <w:gridSpan w:val="3"/>
          </w:tcPr>
          <w:p>
            <w:pPr>
              <w:jc w:val="center"/>
              <w:ind w:right="140"/>
              <w:spacing w:after="0" w:line="88" w:lineRule="exact"/>
              <w:rPr>
                <w:sz w:val="20"/>
                <w:szCs w:val="20"/>
                <w:color w:val="auto"/>
              </w:rPr>
            </w:pPr>
            <w:r>
              <w:rPr>
                <w:rFonts w:ascii="Arial" w:cs="Arial" w:eastAsia="Arial" w:hAnsi="Arial"/>
                <w:sz w:val="9"/>
                <w:szCs w:val="9"/>
                <w:b w:val="1"/>
                <w:bCs w:val="1"/>
                <w:color w:val="auto"/>
                <w:w w:val="91"/>
              </w:rPr>
              <w:t>(Loss) Income</w:t>
            </w:r>
          </w:p>
        </w:tc>
        <w:tc>
          <w:tcPr>
            <w:tcW w:w="720" w:type="dxa"/>
            <w:vAlign w:val="bottom"/>
            <w:gridSpan w:val="3"/>
          </w:tcPr>
          <w:p>
            <w:pPr>
              <w:jc w:val="center"/>
              <w:ind w:right="140"/>
              <w:spacing w:after="0" w:line="88" w:lineRule="exact"/>
              <w:rPr>
                <w:sz w:val="20"/>
                <w:szCs w:val="20"/>
                <w:color w:val="auto"/>
              </w:rPr>
            </w:pPr>
            <w:r>
              <w:rPr>
                <w:rFonts w:ascii="Arial" w:cs="Arial" w:eastAsia="Arial" w:hAnsi="Arial"/>
                <w:sz w:val="9"/>
                <w:szCs w:val="9"/>
                <w:b w:val="1"/>
                <w:bCs w:val="1"/>
                <w:color w:val="auto"/>
                <w:w w:val="92"/>
              </w:rPr>
              <w:t>Compensation</w:t>
            </w:r>
          </w:p>
        </w:tc>
        <w:tc>
          <w:tcPr>
            <w:tcW w:w="680" w:type="dxa"/>
            <w:vAlign w:val="bottom"/>
            <w:gridSpan w:val="2"/>
          </w:tcPr>
          <w:p>
            <w:pPr>
              <w:jc w:val="right"/>
              <w:ind w:right="274"/>
              <w:spacing w:after="0" w:line="88" w:lineRule="exact"/>
              <w:rPr>
                <w:sz w:val="20"/>
                <w:szCs w:val="20"/>
                <w:color w:val="auto"/>
              </w:rPr>
            </w:pPr>
            <w:r>
              <w:rPr>
                <w:rFonts w:ascii="Arial" w:cs="Arial" w:eastAsia="Arial" w:hAnsi="Arial"/>
                <w:sz w:val="9"/>
                <w:szCs w:val="9"/>
                <w:b w:val="1"/>
                <w:bCs w:val="1"/>
                <w:color w:val="auto"/>
              </w:rPr>
              <w:t>Deficit</w:t>
            </w:r>
          </w:p>
        </w:tc>
        <w:tc>
          <w:tcPr>
            <w:tcW w:w="52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9"/>
                <w:szCs w:val="9"/>
                <w:b w:val="1"/>
                <w:bCs w:val="1"/>
                <w:color w:val="auto"/>
                <w:w w:val="93"/>
              </w:rPr>
              <w:t>Shares</w:t>
            </w:r>
          </w:p>
        </w:tc>
        <w:tc>
          <w:tcPr>
            <w:tcW w:w="38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180" w:type="dxa"/>
            <w:vAlign w:val="bottom"/>
          </w:tcPr>
          <w:p>
            <w:pPr>
              <w:spacing w:after="0"/>
              <w:rPr>
                <w:sz w:val="7"/>
                <w:szCs w:val="7"/>
                <w:color w:val="auto"/>
              </w:rPr>
            </w:pPr>
          </w:p>
        </w:tc>
        <w:tc>
          <w:tcPr>
            <w:tcW w:w="580" w:type="dxa"/>
            <w:vAlign w:val="bottom"/>
            <w:gridSpan w:val="2"/>
          </w:tcPr>
          <w:p>
            <w:pPr>
              <w:jc w:val="center"/>
              <w:ind w:right="40"/>
              <w:spacing w:after="0" w:line="88" w:lineRule="exact"/>
              <w:rPr>
                <w:sz w:val="20"/>
                <w:szCs w:val="20"/>
                <w:color w:val="auto"/>
              </w:rPr>
            </w:pPr>
            <w:r>
              <w:rPr>
                <w:rFonts w:ascii="Arial" w:cs="Arial" w:eastAsia="Arial" w:hAnsi="Arial"/>
                <w:sz w:val="9"/>
                <w:szCs w:val="9"/>
                <w:b w:val="1"/>
                <w:bCs w:val="1"/>
                <w:color w:val="auto"/>
                <w:w w:val="94"/>
              </w:rPr>
              <w:t>Equity</w:t>
            </w:r>
          </w:p>
        </w:tc>
      </w:tr>
      <w:tr>
        <w:trPr>
          <w:trHeight w:val="29"/>
        </w:trPr>
        <w:tc>
          <w:tcPr>
            <w:tcW w:w="35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98"/>
        </w:trPr>
        <w:tc>
          <w:tcPr>
            <w:tcW w:w="358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638,172</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638,172</w:t>
            </w:r>
          </w:p>
        </w:tc>
      </w:tr>
      <w:tr>
        <w:trPr>
          <w:trHeight w:val="98"/>
        </w:trPr>
        <w:tc>
          <w:tcPr>
            <w:tcW w:w="3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securities available for sale, net of tax of $3,984</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9,124</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9,124</w:t>
            </w:r>
          </w:p>
        </w:tc>
      </w:tr>
      <w:tr>
        <w:trPr>
          <w:trHeight w:val="98"/>
        </w:trPr>
        <w:tc>
          <w:tcPr>
            <w:tcW w:w="3580" w:type="dxa"/>
            <w:vAlign w:val="bottom"/>
          </w:tcPr>
          <w:p>
            <w:pPr>
              <w:ind w:left="100"/>
              <w:spacing w:after="0" w:line="98" w:lineRule="exact"/>
              <w:rPr>
                <w:sz w:val="20"/>
                <w:szCs w:val="20"/>
                <w:color w:val="auto"/>
              </w:rPr>
            </w:pPr>
            <w:r>
              <w:rPr>
                <w:rFonts w:ascii="Arial" w:cs="Arial" w:eastAsia="Arial" w:hAnsi="Arial"/>
                <w:sz w:val="9"/>
                <w:szCs w:val="9"/>
                <w:color w:val="auto"/>
              </w:rPr>
              <w:t>Unrealized loss on foreign currency forward contracts, net of tax of $2,263</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(3,962)</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(3,962)</w:t>
            </w:r>
          </w:p>
        </w:tc>
      </w:tr>
      <w:tr>
        <w:trPr>
          <w:trHeight w:val="98"/>
        </w:trPr>
        <w:tc>
          <w:tcPr>
            <w:tcW w:w="35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gains on pension benefit obligation, net of tax of $370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2,421</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2,421</w:t>
            </w:r>
          </w:p>
        </w:tc>
      </w:tr>
      <w:tr>
        <w:trPr>
          <w:trHeight w:val="98"/>
        </w:trPr>
        <w:tc>
          <w:tcPr>
            <w:tcW w:w="3580" w:type="dxa"/>
            <w:vAlign w:val="bottom"/>
          </w:tcPr>
          <w:p>
            <w:pPr>
              <w:ind w:left="100"/>
              <w:spacing w:after="0" w:line="98" w:lineRule="exact"/>
              <w:rPr>
                <w:sz w:val="20"/>
                <w:szCs w:val="20"/>
                <w:color w:val="auto"/>
              </w:rPr>
            </w:pPr>
            <w:r>
              <w:rPr>
                <w:rFonts w:ascii="Arial" w:cs="Arial" w:eastAsia="Arial" w:hAnsi="Arial"/>
                <w:sz w:val="9"/>
                <w:szCs w:val="9"/>
                <w:color w:val="auto"/>
              </w:rPr>
              <w:t>Translation adjustment</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49,808</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49,808</w:t>
            </w:r>
          </w:p>
        </w:tc>
      </w:tr>
      <w:tr>
        <w:trPr>
          <w:trHeight w:val="20"/>
        </w:trPr>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8"/>
        </w:trPr>
        <w:tc>
          <w:tcPr>
            <w:tcW w:w="358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Total comprehensive income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695,563</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Repurchase and retirement of common stock pursuant to tender offer (Note 20)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(56,424)</w:t>
            </w:r>
          </w:p>
        </w:tc>
        <w:tc>
          <w:tcPr>
            <w:tcW w:w="50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(29)</w:t>
            </w:r>
          </w:p>
        </w:tc>
        <w:tc>
          <w:tcPr>
            <w:tcW w:w="6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(2,991,155)</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(2,991,184)</w:t>
            </w:r>
          </w:p>
        </w:tc>
        <w:tc>
          <w:tcPr>
            <w:tcW w:w="40" w:type="dxa"/>
            <w:vAlign w:val="bottom"/>
          </w:tcPr>
          <w:p>
            <w:pPr>
              <w:spacing w:after="0"/>
              <w:rPr>
                <w:sz w:val="8"/>
                <w:szCs w:val="8"/>
                <w:color w:val="auto"/>
              </w:rPr>
            </w:pP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from conversion of subordinated notes payable</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(83,682)</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2,850</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2"/>
              </w:rPr>
              <w:t>119,795</w:t>
            </w: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36,113</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Issuance of common stock from conversion of subordinated notes payable</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182</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2,371</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2,371</w:t>
            </w: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stock option and stock purchase plans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(33,824)</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2,994</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w w:val="92"/>
              </w:rPr>
              <w:t>135,720</w:t>
            </w: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101,896</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Issuance of common stock under stock option and stock purchase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8,017</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4</w:t>
            </w: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386,928</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386,932</w:t>
            </w: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treasury stock under stock award plans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(48,292)</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135</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465</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18,076</w:t>
            </w:r>
          </w:p>
        </w:tc>
        <w:tc>
          <w:tcPr>
            <w:tcW w:w="5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(30,081)</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Issuance of common stock under stock award plans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45</w:t>
            </w:r>
          </w:p>
        </w:tc>
        <w:tc>
          <w:tcPr>
            <w:tcW w:w="5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(2,744)</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(676)</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(3,420)</w:t>
            </w: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Forfeiture of common stock under restricted stock plan</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w:t>
            </w: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2,378</w:t>
            </w:r>
          </w:p>
        </w:tc>
        <w:tc>
          <w:tcPr>
            <w:tcW w:w="5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(50)</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(2,378)</w:t>
            </w: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Compensation expense related to share-based payments</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128,101</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128,101</w:t>
            </w: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 benefit from share-based payments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67,227</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67,227</w:t>
            </w:r>
          </w:p>
        </w:tc>
      </w:tr>
      <w:tr>
        <w:trPr>
          <w:trHeight w:val="98"/>
        </w:trPr>
        <w:tc>
          <w:tcPr>
            <w:tcW w:w="3580" w:type="dxa"/>
            <w:vAlign w:val="bottom"/>
          </w:tcPr>
          <w:p>
            <w:pPr>
              <w:spacing w:after="0" w:line="98" w:lineRule="exact"/>
              <w:rPr>
                <w:sz w:val="20"/>
                <w:szCs w:val="20"/>
                <w:color w:val="auto"/>
              </w:rPr>
            </w:pPr>
            <w:r>
              <w:rPr>
                <w:rFonts w:ascii="Arial" w:cs="Arial" w:eastAsia="Arial" w:hAnsi="Arial"/>
                <w:sz w:val="9"/>
                <w:szCs w:val="9"/>
                <w:color w:val="auto"/>
              </w:rPr>
              <w:t>Cumulative effect adjustment from adoption of FIN 48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(10,583)</w:t>
            </w: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1,585</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right"/>
              <w:spacing w:after="0" w:line="98" w:lineRule="exact"/>
              <w:rPr>
                <w:sz w:val="20"/>
                <w:szCs w:val="20"/>
                <w:color w:val="auto"/>
              </w:rPr>
            </w:pPr>
            <w:r>
              <w:rPr>
                <w:rFonts w:ascii="Arial" w:cs="Arial" w:eastAsia="Arial" w:hAnsi="Arial"/>
                <w:sz w:val="9"/>
                <w:szCs w:val="9"/>
                <w:color w:val="auto"/>
              </w:rPr>
              <w:t>(8,998)</w:t>
            </w:r>
          </w:p>
        </w:tc>
      </w:tr>
      <w:tr>
        <w:trPr>
          <w:trHeight w:val="98"/>
        </w:trPr>
        <w:tc>
          <w:tcPr>
            <w:tcW w:w="35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Treasury stock reclassifications</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(1,743)</w:t>
            </w:r>
          </w:p>
        </w:tc>
        <w:tc>
          <w:tcPr>
            <w:tcW w:w="50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(1)</w:t>
            </w:r>
          </w:p>
        </w:tc>
        <w:tc>
          <w:tcPr>
            <w:tcW w:w="6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(33,014)</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(15,430)</w:t>
            </w:r>
          </w:p>
        </w:tc>
        <w:tc>
          <w:tcPr>
            <w:tcW w:w="5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1,204</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48,442</w:t>
            </w:r>
          </w:p>
        </w:tc>
        <w:tc>
          <w:tcPr>
            <w:tcW w:w="5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w:t>
            </w:r>
          </w:p>
        </w:tc>
      </w:tr>
      <w:tr>
        <w:trPr>
          <w:trHeight w:val="107"/>
        </w:trPr>
        <w:tc>
          <w:tcPr>
            <w:tcW w:w="3580" w:type="dxa"/>
            <w:vAlign w:val="bottom"/>
          </w:tcPr>
          <w:p>
            <w:pPr>
              <w:spacing w:after="0" w:line="98" w:lineRule="exact"/>
              <w:rPr>
                <w:sz w:val="20"/>
                <w:szCs w:val="20"/>
                <w:color w:val="auto"/>
              </w:rPr>
            </w:pPr>
            <w:r>
              <w:rPr>
                <w:rFonts w:ascii="Arial" w:cs="Arial" w:eastAsia="Arial" w:hAnsi="Arial"/>
                <w:sz w:val="9"/>
                <w:szCs w:val="9"/>
                <w:b w:val="1"/>
                <w:bCs w:val="1"/>
                <w:color w:val="auto"/>
              </w:rPr>
              <w:t>Balance, December 31, 2007</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w:t>
            </w: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8"/>
                <w:szCs w:val="8"/>
                <w:color w:val="auto"/>
                <w:w w:val="74"/>
              </w:rPr>
              <w:t>—</w:t>
            </w:r>
          </w:p>
        </w:tc>
        <w:tc>
          <w:tcPr>
            <w:tcW w:w="16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295,698</w:t>
            </w:r>
          </w:p>
        </w:tc>
        <w:tc>
          <w:tcPr>
            <w:tcW w:w="160" w:type="dxa"/>
            <w:vAlign w:val="bottom"/>
          </w:tcPr>
          <w:p>
            <w:pPr>
              <w:spacing w:after="0"/>
              <w:rPr>
                <w:sz w:val="9"/>
                <w:szCs w:val="9"/>
                <w:color w:val="auto"/>
              </w:rPr>
            </w:pPr>
          </w:p>
        </w:tc>
        <w:tc>
          <w:tcPr>
            <w:tcW w:w="3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rPr>
              <w:t>$   147</w:t>
            </w:r>
          </w:p>
        </w:tc>
        <w:tc>
          <w:tcPr>
            <w:tcW w:w="18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1"/>
              </w:rPr>
              <w:t>$  5,807,071</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79,246</w:t>
            </w:r>
          </w:p>
        </w:tc>
        <w:tc>
          <w:tcPr>
            <w:tcW w:w="16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8"/>
                <w:szCs w:val="8"/>
                <w:color w:val="auto"/>
                <w:w w:val="74"/>
              </w:rPr>
              <w:t>—</w:t>
            </w:r>
          </w:p>
        </w:tc>
        <w:tc>
          <w:tcPr>
            <w:tcW w:w="160" w:type="dxa"/>
            <w:vAlign w:val="bottom"/>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   (352,169</w:t>
            </w:r>
          </w:p>
        </w:tc>
        <w:tc>
          <w:tcPr>
            <w:tcW w:w="160" w:type="dxa"/>
            <w:vAlign w:val="bottom"/>
          </w:tcPr>
          <w:p>
            <w:pPr>
              <w:jc w:val="right"/>
              <w:ind w:right="134"/>
              <w:spacing w:after="0"/>
              <w:rPr>
                <w:sz w:val="20"/>
                <w:szCs w:val="20"/>
                <w:color w:val="auto"/>
              </w:rPr>
            </w:pPr>
            <w:r>
              <w:rPr>
                <w:rFonts w:ascii="Arial" w:cs="Arial" w:eastAsia="Arial" w:hAnsi="Arial"/>
                <w:sz w:val="1"/>
                <w:szCs w:val="1"/>
                <w:color w:val="auto"/>
                <w:w w:val="4294967281"/>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54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   5,534,295</w:t>
            </w:r>
          </w:p>
        </w:tc>
        <w:tc>
          <w:tcPr>
            <w:tcW w:w="40" w:type="dxa"/>
            <w:vAlign w:val="bottom"/>
          </w:tcPr>
          <w:p>
            <w:pPr>
              <w:spacing w:after="0"/>
              <w:rPr>
                <w:sz w:val="9"/>
                <w:szCs w:val="9"/>
                <w:color w:val="auto"/>
              </w:rPr>
            </w:pPr>
          </w:p>
        </w:tc>
      </w:tr>
    </w:tbl>
    <w:p>
      <w:pPr>
        <w:spacing w:after="0" w:line="50" w:lineRule="exact"/>
        <w:rPr>
          <w:sz w:val="20"/>
          <w:szCs w:val="20"/>
          <w:color w:val="auto"/>
        </w:rPr>
      </w:pPr>
    </w:p>
    <w:p>
      <w:pPr>
        <w:ind w:left="396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 and 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Biogen Idec Inc. is an international biotechnology company that creates new standards of care in therapeutic areas with high unmet medical needs. We currently market four products: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RITUXAN</w:t>
      </w:r>
      <w:r>
        <w:rPr>
          <w:rFonts w:ascii="Arial" w:cs="Arial" w:eastAsia="Arial" w:hAnsi="Arial"/>
          <w:sz w:val="11"/>
          <w:szCs w:val="11"/>
          <w:color w:val="auto"/>
        </w:rPr>
        <w:t>®</w:t>
      </w:r>
      <w:r>
        <w:rPr>
          <w:rFonts w:ascii="Arial" w:cs="Arial" w:eastAsia="Arial" w:hAnsi="Arial"/>
          <w:sz w:val="13"/>
          <w:szCs w:val="13"/>
          <w:color w:val="auto"/>
        </w:rPr>
        <w:t>, TYSABRI</w:t>
      </w:r>
      <w:r>
        <w:rPr>
          <w:rFonts w:ascii="Arial" w:cs="Arial" w:eastAsia="Arial" w:hAnsi="Arial"/>
          <w:sz w:val="11"/>
          <w:szCs w:val="11"/>
          <w:color w:val="auto"/>
        </w:rPr>
        <w:t>®</w:t>
      </w:r>
      <w:r>
        <w:rPr>
          <w:rFonts w:ascii="Arial" w:cs="Arial" w:eastAsia="Arial" w:hAnsi="Arial"/>
          <w:sz w:val="13"/>
          <w:szCs w:val="13"/>
          <w:color w:val="auto"/>
        </w:rPr>
        <w:t xml:space="preserve"> and FUMADERM</w:t>
      </w:r>
      <w:r>
        <w:rPr>
          <w:rFonts w:ascii="Arial" w:cs="Arial" w:eastAsia="Arial" w:hAnsi="Arial"/>
          <w:sz w:val="11"/>
          <w:szCs w:val="11"/>
          <w:color w:val="auto"/>
        </w:rPr>
        <w:t>®</w:t>
      </w:r>
      <w:r>
        <w:rPr>
          <w:rFonts w:ascii="Arial" w:cs="Arial" w:eastAsia="Arial" w:hAnsi="Arial"/>
          <w:sz w:val="13"/>
          <w:szCs w:val="13"/>
          <w:color w:val="auto"/>
        </w:rPr>
        <w:t>.</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 consolidated financial statements reflect our financial statements, those of our wholly-owned subsidiaries and of our joint ventures in Italy and Switzerland. In accordance with FASB Interpretation No. 46, </w:t>
      </w:r>
      <w:r>
        <w:rPr>
          <w:rFonts w:ascii="Arial" w:cs="Arial" w:eastAsia="Arial" w:hAnsi="Arial"/>
          <w:sz w:val="13"/>
          <w:szCs w:val="13"/>
          <w:i w:val="1"/>
          <w:iCs w:val="1"/>
          <w:color w:val="auto"/>
        </w:rPr>
        <w:t>Consolidation of Variable Interest Entities</w:t>
      </w:r>
      <w:r>
        <w:rPr>
          <w:rFonts w:ascii="Arial" w:cs="Arial" w:eastAsia="Arial" w:hAnsi="Arial"/>
          <w:sz w:val="13"/>
          <w:szCs w:val="13"/>
          <w:color w:val="auto"/>
        </w:rPr>
        <w:t>, or FIN 46(R), we consolidate variable interest entities in which we are the primary beneficiary. For such consolidated entities in which we own less than a 100% interest, we record minority interest in our statement of income for the ownership interest of the minority owner. All material intercompany balances and transactions have been eliminated in consolidation.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preparation of consolidated financial statements in accordance with generally accepted accounting principles requires our management to make estimates and judgments that may affect the reported amounts of assets, liabilities, revenues and expenses, and related disclosure of contingent assets and liabilities. On an on-going basis, we evaluate our estimates, including those related to revenue recognition and related allowances, marketable securities, derivatives and hedging activities, inventory, impairments of long-lived assets, including intangible assets, impairments of goodwill, income taxes including the valuation allowance for deferred tax assets, valuation of long-lived assets and investments, research and development, contingencies and litigation, and share-based payments.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The functional currency for most of our foreign subsidiaries is their local currency. Assets and liabilities are translated at current rates of exchange at the balance sheet date. Income and expense items are translated at the average exchange rates for the period. Adjustments resulting from the translation of the financial statements of our foreign operations into U.S. dollars are excluded from the determination of net income and are recorded in accumulated other comprehensive income, a separate component of shareholders’ equity.</w:t>
      </w:r>
    </w:p>
    <w:p>
      <w:pPr>
        <w:spacing w:after="0" w:line="50"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Foreign exchange transaction gains and losses are included in the results of operations in other income (expense), net. We had net foreign exchange gains of $3.0 million and $4.9 million in 2007 and 2006, respectively, and foreign exchange losses of $8.7 million in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consider only those investments which are highly liquid, readily convertible to cash and that mature within three months from date of purchase to be cash equivalents.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The carrying amounts reflected in the consolidated balance sheets for cash and cash equivalents, accounts receivable, due from unconsolidated joint business, other current assets, accounts payable, and accrued expenses and other, approximate fair value due to their short-term maturities. Our marketable securities and strategic investments, substantially all of which are available-for-sale, are carried at fair value based on quoted market prices.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fair values of our foreign currency forward contracts are based on quoted market prices or pricing models using current market rates.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or FIFO, method. Included in inventory are raw materials used in the production of pre-clinical and clinical products,which are charged to research and development expense when consumed.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inventories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Work in process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105.3</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234.0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169.1</w:t>
            </w: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Capitalization of Inventory Costs</w:t>
      </w:r>
    </w:p>
    <w:p>
      <w:pPr>
        <w:spacing w:after="0" w:line="96"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product stands in relation to that approval process including any known constraints and impediments to approval, including safety, efficacy and potential labeling restrictions. We evaluate our anticipated research and development initiatives and constraints relating to the particular product and the indication in which it will be used. We consider our manufacturing environment including our supply chain in determining logistical constraints that could possibly hamper approval or commercialization. We consider the shelf life of the product in relation to the expected timeline for approval and we consider patent related or contract issues that may prevent or cause delay in commercialization. We are sensitive to the significant commitment of capital to scale up production and to launch commercialization strategies.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delay of approval by necessary regulatory bodies. As of December 31, 2007 and 2006, the carrying value of our inventory did not include any costs associated with products that had not yet received regulatory approval.</w:t>
      </w:r>
    </w:p>
    <w:p>
      <w:pPr>
        <w:spacing w:after="0" w:line="6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2007 and 2006, we conducted process validation runs in our facility in Cambridge, MA to establish manufacturing capabilities for the ZEVALIN product. In connection with those process validation runs, we have capitalized approximately $12.9 million of ZEVALIN product costs in our Consolidated Balance Sheet as of December 31, 2007, based on our expectation that the FDA will approve the manufacturing process and related inventory.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TYSABRI</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manufactured TYSABRI during the first and second quarters of 2005 and completed our scheduled production of TYSABRI during July 2005. Because of the uncertain future commercial availability of TYSABRI at the time, and our inability to predict to the required degree of certainty that TYSABRI inventory would be realized in commercial sales prior to the expiration of its shelf life, we expensed $23.2 million of costs related to the manufacture of TYSABRI to cost of sales. At the time of production, the inventory was believed to be commercially</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color w:val="auto"/>
        </w:rPr>
        <w:t>saleable. As we worked with clinical investigators to understand the possible risks of progressive multifocal leukoencephalopathy, or PML, we charged the costs related to the manufacture of TYSABRI to research and development expense. As a result, we expensed $21.5 million related to the manufacture of TYSABRI to research and development expense during 2005. At December 31, 2005, there was no carrying value of TYSABRI inventory on our consolidated balance sheet.</w:t>
      </w:r>
    </w:p>
    <w:p>
      <w:pPr>
        <w:spacing w:after="0" w:line="67" w:lineRule="exact"/>
        <w:rPr>
          <w:sz w:val="20"/>
          <w:szCs w:val="20"/>
          <w:color w:val="auto"/>
        </w:rPr>
      </w:pPr>
    </w:p>
    <w:p>
      <w:pPr>
        <w:jc w:val="both"/>
        <w:ind w:left="680" w:right="1040" w:firstLine="399"/>
        <w:spacing w:after="0" w:line="289" w:lineRule="auto"/>
        <w:rPr>
          <w:sz w:val="20"/>
          <w:szCs w:val="20"/>
          <w:color w:val="auto"/>
        </w:rPr>
      </w:pPr>
      <w:r>
        <w:rPr>
          <w:rFonts w:ascii="Arial" w:cs="Arial" w:eastAsia="Arial" w:hAnsi="Arial"/>
          <w:sz w:val="12"/>
          <w:szCs w:val="12"/>
          <w:color w:val="auto"/>
        </w:rPr>
        <w:t>In the first quarter of 2006, in light of expectations of the re-introduction of TYSABRI, we began a new manufacturing campaign. The costs associated with this campaign were capitalized in accordance with our policy. On June 5, 2006, the U.S. Food and Drug Administration, or FDA, approved the reintroduction of TYSABRI as a monotherapy treatment for relapsing forms of multiple sclerosis, or MS, to slow the progression of disability and reduce the frequency of clinical relapses. On June 29, 2006, we and Elan Corporation plc, or Elan, announced the European Medicines Agency’s, or EMEA’s, approval of TYSABRI as a similar treatment. In July 2006, we began to ship TYSABRI in both the United States and Europe.</w:t>
      </w:r>
    </w:p>
    <w:p>
      <w:pPr>
        <w:spacing w:after="0" w:line="53" w:lineRule="exact"/>
        <w:rPr>
          <w:sz w:val="20"/>
          <w:szCs w:val="20"/>
          <w:color w:val="auto"/>
        </w:rPr>
      </w:pPr>
    </w:p>
    <w:p>
      <w:pPr>
        <w:ind w:left="680" w:right="980" w:firstLine="399"/>
        <w:spacing w:after="0" w:line="334" w:lineRule="auto"/>
        <w:rPr>
          <w:sz w:val="20"/>
          <w:szCs w:val="20"/>
          <w:color w:val="auto"/>
        </w:rPr>
      </w:pPr>
      <w:r>
        <w:rPr>
          <w:rFonts w:ascii="Arial" w:cs="Arial" w:eastAsia="Arial" w:hAnsi="Arial"/>
          <w:sz w:val="11"/>
          <w:szCs w:val="11"/>
          <w:color w:val="auto"/>
        </w:rPr>
        <w:t>We had product on hand that was written-down in 2005 due to the uncertainties surrounding the TYSABRI suspension, but which was subsequently used to fill orders in 2007 and 2006. As a result, in 2007 and 2006, we recognized lower than normal cost of sales and, therefore, higher margins. For 2007 and 2006, cost of sales was approximately $12.6 million and $2.6 million lower due to the sale of TYSABRI inventory that had been written-off. All TYSABRI inventory that had been previously written-off had been shipped at December 31, 2007.</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Inventory Write-Offs</w:t>
      </w:r>
    </w:p>
    <w:p>
      <w:pPr>
        <w:spacing w:after="0" w:line="96"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We periodically review our inventories for excess or obsolete inventory and write-down obsolete or otherwise unmarketable inventory to its estimated net realizable value. If the actual realizable value is less than that estimated by us, or if it is determined that inventory utilization will further diminish based on estimates of demand, additional inventory write-downs may be required.</w:t>
      </w:r>
    </w:p>
    <w:p>
      <w:pPr>
        <w:spacing w:after="0" w:line="67"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Our products are subject to strict quality control and monitoring which we perform throughout the manufacturing process. Periodically, certain batches or units of product may no longer meet quality specifications or may expire. As a result, included in cost of sales were write-downs of commercial inventory that did not meet quality specifications or that became obsolete due to dating expiration. In all cases product inventory is written-down to its estimated net realizable value.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written-down the following unmarketable inventory, which was charged to cost of sales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TYSABRI</w:t>
            </w:r>
          </w:p>
        </w:tc>
        <w:tc>
          <w:tcPr>
            <w:tcW w:w="5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5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AMEVIVE</w:t>
            </w:r>
            <w:r>
              <w:rPr>
                <w:rFonts w:ascii="Arial" w:cs="Arial" w:eastAsia="Arial" w:hAnsi="Arial"/>
                <w:sz w:val="11"/>
                <w:szCs w:val="11"/>
                <w:color w:val="auto"/>
              </w:rPr>
              <w:t>®</w:t>
            </w:r>
          </w:p>
        </w:tc>
        <w:tc>
          <w:tcPr>
            <w:tcW w:w="5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ZEVALIN</w:t>
            </w:r>
            <w:r>
              <w:rPr>
                <w:rFonts w:ascii="Arial" w:cs="Arial" w:eastAsia="Arial" w:hAnsi="Arial"/>
                <w:sz w:val="11"/>
                <w:szCs w:val="11"/>
                <w:color w:val="auto"/>
              </w:rPr>
              <w:t>®</w:t>
            </w:r>
          </w:p>
        </w:tc>
        <w:tc>
          <w:tcPr>
            <w:tcW w:w="5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21.6</w:t>
            </w:r>
          </w:p>
        </w:tc>
        <w:tc>
          <w:tcPr>
            <w:tcW w:w="3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75.6</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Pr>
          <w:p>
            <w:pPr>
              <w:ind w:left="2060"/>
              <w:spacing w:after="0"/>
              <w:rPr>
                <w:sz w:val="20"/>
                <w:szCs w:val="20"/>
                <w:color w:val="auto"/>
              </w:rPr>
            </w:pPr>
            <w:r>
              <w:rPr>
                <w:rFonts w:ascii="Arial" w:cs="Arial" w:eastAsia="Arial" w:hAnsi="Arial"/>
                <w:sz w:val="13"/>
                <w:szCs w:val="13"/>
                <w:color w:val="auto"/>
              </w:rPr>
              <w:t>F-9</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50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write-downs were the result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4"/>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New components for alternative presentations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Failed quality specifications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Excess and/or obsolescence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Costs for voluntary suspension of TYSABRI</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23.2</w:t>
            </w:r>
          </w:p>
        </w:tc>
      </w:tr>
      <w:tr>
        <w:trPr>
          <w:trHeight w:val="20"/>
        </w:trPr>
        <w:tc>
          <w:tcPr>
            <w:tcW w:w="7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w:t>
            </w:r>
          </w:p>
        </w:tc>
      </w:tr>
      <w:tr>
        <w:trPr>
          <w:trHeight w:val="29"/>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and Investments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Marketable Securities, including Strategic Investments</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Until required for use in the business, we invest our cash reserves in bank deposits, certificates of deposit, commercial paper, corporate notes, foreign and U.S. government instruments, asset backed securities and other readily marketable debt instruments. We limit the amount of investment exposure as to institution, maturity and investment type. At December 31, 2007, substantially all of these securities were classified as “available-for-sale” in accordance with Statement of Financial Accounting Standards No. 115,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Certain Investments in Debt and Equity Securities</w:t>
      </w:r>
      <w:r>
        <w:rPr>
          <w:rFonts w:ascii="Arial" w:cs="Arial" w:eastAsia="Arial" w:hAnsi="Arial"/>
          <w:sz w:val="12"/>
          <w:szCs w:val="12"/>
          <w:color w:val="auto"/>
        </w:rPr>
        <w:t>, or SFAS 115. All available-for-sale securities are recorded at fair market value and unrealized gains and losses, to the extent deemed</w:t>
      </w:r>
      <w:r>
        <w:rPr>
          <w:rFonts w:ascii="Arial" w:cs="Arial" w:eastAsia="Arial" w:hAnsi="Arial"/>
          <w:sz w:val="12"/>
          <w:szCs w:val="12"/>
          <w:i w:val="1"/>
          <w:iCs w:val="1"/>
          <w:color w:val="auto"/>
        </w:rPr>
        <w:t xml:space="preserve"> </w:t>
      </w:r>
      <w:r>
        <w:rPr>
          <w:rFonts w:ascii="Arial" w:cs="Arial" w:eastAsia="Arial" w:hAnsi="Arial"/>
          <w:sz w:val="12"/>
          <w:szCs w:val="12"/>
          <w:color w:val="auto"/>
        </w:rPr>
        <w:t>temporary, are included in accumulated other comprehensive income in shareholders’ equity, net of related tax effects. Realized gains and losses are reported in other income (expense) net. Declines in value judged to be other than temporary on available for sale securities are reported in other income (expense) net. This includes losses due to changes in credit quality or interest rates judged to be other-than-temporary, including changes resulting from the disruption in the capital markets during 2007 (which were not significant). Valuation of available-for-sale securities for purposes of determining the amount of gains and losses is based on the specific identification method.</w:t>
      </w:r>
    </w:p>
    <w:p>
      <w:pPr>
        <w:spacing w:after="0" w:line="59"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As part of our strategic product development efforts, we invest in equity securities of certain biotechnology companies with which we have collaborative agreements. Such investments are known as strategic investments and are classified as available for sale and accounted for as marketable securities. When assessing whether a decline in the fair value of a strategic investment below our cost basis is other-than-temporary, we consider the fair market value of the security, the duration of the security’s decline, and prospects for the underlying business, including favorable clinical trial results, new product initiatives and new collaborative agreements.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Non-Marketable Securities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We also invest in equity securities of companies whose securities are not publicly traded and where fair value is not readily available. These investments are recorded using either the cost method or the equity method of accounting, depending on our percentage ownership interest and other factors which may indicate the existence of significant influence, as required by Accounting Principles Board Opinion No. 18, </w:t>
      </w:r>
      <w:r>
        <w:rPr>
          <w:rFonts w:ascii="Arial" w:cs="Arial" w:eastAsia="Arial" w:hAnsi="Arial"/>
          <w:sz w:val="13"/>
          <w:szCs w:val="13"/>
          <w:i w:val="1"/>
          <w:iCs w:val="1"/>
          <w:color w:val="auto"/>
        </w:rPr>
        <w:t>The Equity Method of Accounting for Investments in Common Stock,</w:t>
      </w:r>
      <w:r>
        <w:rPr>
          <w:rFonts w:ascii="Arial" w:cs="Arial" w:eastAsia="Arial" w:hAnsi="Arial"/>
          <w:sz w:val="13"/>
          <w:szCs w:val="13"/>
          <w:color w:val="auto"/>
        </w:rPr>
        <w:t xml:space="preserve"> or APB 18. We monitor these investments to evaluate whether any decline in their value has occurred that would be other than temporary, based on the implied value from any recent rounds of financing completed by the investee, market prices of comparable public companies, and general market conditions.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Securities lending</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loan certain securities from our portfolio to other institutions. Such securities are classified as loaned securities on the accompanying consolidated balance sheet. Collateral for the loaned securities, consisting of cash or other securities is maintained at a rate of approximately 102% of the market value of each loaned security. We held cash as collateral in the amount of $208.2 million as of December 31, 2007. The cash collateral is recorded as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cash collateral received for loaned securities on the consolidated balance sheet. We have a current obligation to return the collateral which is reflected as collateral received on loaned securities on the accompanying consolidated balance sheet. Income received from lending securities is recorded in other income (expense), net.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80" w:firstLine="399"/>
        <w:spacing w:after="0" w:line="308" w:lineRule="auto"/>
        <w:rPr>
          <w:sz w:val="20"/>
          <w:szCs w:val="20"/>
          <w:color w:val="auto"/>
        </w:rPr>
      </w:pPr>
      <w:r>
        <w:rPr>
          <w:rFonts w:ascii="Arial" w:cs="Arial" w:eastAsia="Arial" w:hAnsi="Arial"/>
          <w:sz w:val="11"/>
          <w:szCs w:val="11"/>
          <w:color w:val="auto"/>
        </w:rPr>
        <w:t xml:space="preserve">Property, plant and equipment are carried at cost, subject to review for impairment whenever events or changes in circumstances indicate that the carrying amount of the asset may not be recoverable. Depreciation is generally calculated on the straight-line basis over the estimated useful lives of the assets. Leasehold improvements are amortized over the lesser of the useful life or the term of the respective lease. Maintenance costs are expensed as incurred. Buildings and building components are depreciated over estimated useful lives ranging from 15 to 40 years, machinery and equipment from 6 to 15 years, furniture and fixtures for 7 years and computer software and hardware from 3 to 5 years. Interest costs incurred during the construction of major capital projects are capitalized in accordance with Statement of Financial Accounting Standards No. 34, </w:t>
      </w:r>
      <w:r>
        <w:rPr>
          <w:rFonts w:ascii="Arial" w:cs="Arial" w:eastAsia="Arial" w:hAnsi="Arial"/>
          <w:sz w:val="11"/>
          <w:szCs w:val="11"/>
          <w:i w:val="1"/>
          <w:iCs w:val="1"/>
          <w:color w:val="auto"/>
        </w:rPr>
        <w:t>Capitalization of Interest Costs,</w:t>
      </w:r>
      <w:r>
        <w:rPr>
          <w:rFonts w:ascii="Arial" w:cs="Arial" w:eastAsia="Arial" w:hAnsi="Arial"/>
          <w:sz w:val="11"/>
          <w:szCs w:val="11"/>
          <w:color w:val="auto"/>
        </w:rPr>
        <w:t xml:space="preserve"> or SFAS 34. The interest is capitalized until the underlying asset is ready for its intended use, at which point the interest cost is amortized as interest expense over the life of the underlying asset. We capitalize certain direct and incremental costs associated with the validation effort required for licensing by the FDA of manufacturing equipment for the production of a commercially approved drug. These costs include primarily direct labor and material and are incurred in preparing the equipment for its intended use. The validation costs are amortized over the life of the related equipment.</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 excluding Goodwill</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intangible assets consist of patents, trademarks and tradenames, core technology, licenses, assembled workforce and distribution rights, the majority of which arose in connection with the Merger. These intangible assets were recorded at fair value and are stated net of accumulated amortization and impairments.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Intangible assets related to patents, core technology, licenses, assembled workforce and distribution rights are amortized over their remaining estimated useful lives, ranging from 2 to 20 years. Our amortization policy for intangible assets is based on the principles in Statement of Financial Standards No. 142, </w:t>
      </w:r>
      <w:r>
        <w:rPr>
          <w:rFonts w:ascii="Arial" w:cs="Arial" w:eastAsia="Arial" w:hAnsi="Arial"/>
          <w:sz w:val="12"/>
          <w:szCs w:val="12"/>
          <w:i w:val="1"/>
          <w:iCs w:val="1"/>
          <w:color w:val="auto"/>
        </w:rPr>
        <w:t>Goodwill and Other Intangible Assets</w:t>
      </w:r>
      <w:r>
        <w:rPr>
          <w:rFonts w:ascii="Arial" w:cs="Arial" w:eastAsia="Arial" w:hAnsi="Arial"/>
          <w:sz w:val="12"/>
          <w:szCs w:val="12"/>
          <w:color w:val="auto"/>
        </w:rPr>
        <w:t xml:space="preserve">, or SFAS 142, which requires the amortization of intangible assets reflect the pattern that the economic benefits of the intangible asset are consumed. We believe the economic benefit of our core technology is consumed as revenue is generated from our AVONEX product. Every year during the third quarter we complete our long range planning cycle, which includes an analysis of the anticipated product sales of AVONEX. The results of this forecast serve as the basis for our assumptions used in the economic consumption amortization model for our core technology intangible assets. Although we believe our process has allowed us to reliably determine our best estimate of the pattern in which we will consume the economic benefits of the core technology intangible assets, we also believe that this model could result in deferring amortization charges to future periods in certain instances, including the impact of continued sales of the product at a nominal level after patent expiration. Consequently, in establishing our methodology, we considered models that would prevent deferring amortization charges to future periods such as the model described in paragraph 8 of Statement of Financial Standards No. 86, </w:t>
      </w:r>
      <w:r>
        <w:rPr>
          <w:rFonts w:ascii="Arial" w:cs="Arial" w:eastAsia="Arial" w:hAnsi="Arial"/>
          <w:sz w:val="12"/>
          <w:szCs w:val="12"/>
          <w:i w:val="1"/>
          <w:iCs w:val="1"/>
          <w:color w:val="auto"/>
        </w:rPr>
        <w:t>Accounting for the Costs of Computer Software to be Sold, Leased, or Otherwise Marketed,</w:t>
      </w:r>
      <w:r>
        <w:rPr>
          <w:rFonts w:ascii="Arial" w:cs="Arial" w:eastAsia="Arial" w:hAnsi="Arial"/>
          <w:sz w:val="12"/>
          <w:szCs w:val="12"/>
          <w:color w:val="auto"/>
        </w:rPr>
        <w:t xml:space="preserve"> or SFAS 86. In order to ensure amortization charges are not unreasonably deferred to future periods, we use the straight-line method to determine the minimum annual amount of amortization expense, or the minimum. The long range planning process determines whether amortization will be based on an economic consumption or the minimum and, thus, the amount of amortization for the next four quarters.</w:t>
      </w:r>
    </w:p>
    <w:p>
      <w:pPr>
        <w:spacing w:after="0" w:line="65"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Intangible assets related to trademarks and tradenames have indefinite lives, and as a result are not amortized, but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Long-lived assets to be held and used, including property plant and equipment, intangible assets, are reviewed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or a significant adverse change that would indicate that the carrying amount of an asset or group of assets is not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Goodwill relates largely to amounts that arose in connection with the Merger and represents the difference between the purchase price and the fair value of the identifiable tangible and intangible net assets when accounted for using the purchase method of accounting. Goodwill is not amortized, but is subject to periodic review for impairment. Goodwill is reviewed annually, as of October 31, and whenever events or changes in circumstances indicate that the carrying amount of the goodwill might not be recoverable.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account for uncertain tax positions in accordance with FASB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or FIN 48. FIN 48 prescribes a recognition threshold and measurement attribute for financial statement recognition and measurement of a tax position taken or expected to be taken in a tax return and also provides guidance on various related matters such as derecognition, interest and penalties, and disclosure. We also recognize interest and penalties, if any, related to unrecognized tax benefits in income tax expense.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 and Hedging Activities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Statement of Financial Accounting Standards No. 133,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xml:space="preserve"> or SFAS 133, requires that all derivatives be recognized on the balance sheet at their fair value. Changes in the fair value of derivatives are recorded each period in current earnings or accumulated other comprehensive income (loss), depending on whether a derivative is designated as part of a hedge transaction and, if it is, the type of hedge transaction. We assess, both at inception and on an on-going basis, whether the derivatives that are used in hedging transactions are highly effective in offsetting the changes in cash flows of hedged items. We also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180" w:firstLine="399"/>
        <w:spacing w:after="0" w:line="322" w:lineRule="auto"/>
        <w:rPr>
          <w:sz w:val="20"/>
          <w:szCs w:val="20"/>
          <w:color w:val="auto"/>
        </w:rPr>
      </w:pPr>
      <w:r>
        <w:rPr>
          <w:rFonts w:ascii="Arial" w:cs="Arial" w:eastAsia="Arial" w:hAnsi="Arial"/>
          <w:sz w:val="11"/>
          <w:szCs w:val="11"/>
          <w:color w:val="auto"/>
        </w:rPr>
        <w:t xml:space="preserve">Statement of Financial Accounting Standards No. 130, </w:t>
      </w:r>
      <w:r>
        <w:rPr>
          <w:rFonts w:ascii="Arial" w:cs="Arial" w:eastAsia="Arial" w:hAnsi="Arial"/>
          <w:sz w:val="11"/>
          <w:szCs w:val="11"/>
          <w:i w:val="1"/>
          <w:iCs w:val="1"/>
          <w:color w:val="auto"/>
        </w:rPr>
        <w:t>Reporting Comprehensive Income,</w:t>
      </w:r>
      <w:r>
        <w:rPr>
          <w:rFonts w:ascii="Arial" w:cs="Arial" w:eastAsia="Arial" w:hAnsi="Arial"/>
          <w:sz w:val="11"/>
          <w:szCs w:val="11"/>
          <w:color w:val="auto"/>
        </w:rPr>
        <w:t xml:space="preserve"> or SFAS 130, requires us to display comprehensive income (loss) and its components as part of our financial statements. Comprehensive income (loss) is comprised of net income and other comprehensive income (loss). Other comprehensive income (loss) includes changes in equity that are excluded from net income, such as foreign currency translation adjustments and unrealized holding gains and losses on available-for-sale marketable securities and certain derivative instruments, and, effective December 31, 2006, the unfunded amount of our postretirement and pension plans. All of these changes in equity are reflected net of tax.</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 xml:space="preserve">Statement of Financial Accounting Standards No. 131, </w:t>
      </w:r>
      <w:r>
        <w:rPr>
          <w:rFonts w:ascii="Arial" w:cs="Arial" w:eastAsia="Arial" w:hAnsi="Arial"/>
          <w:sz w:val="11"/>
          <w:szCs w:val="11"/>
          <w:i w:val="1"/>
          <w:iCs w:val="1"/>
          <w:color w:val="auto"/>
        </w:rPr>
        <w:t>Disclosures about Segments of an Enterprise and Related Information,</w:t>
      </w:r>
      <w:r>
        <w:rPr>
          <w:rFonts w:ascii="Arial" w:cs="Arial" w:eastAsia="Arial" w:hAnsi="Arial"/>
          <w:sz w:val="11"/>
          <w:szCs w:val="11"/>
          <w:color w:val="auto"/>
        </w:rPr>
        <w:t xml:space="preserve"> or SFAS 131, establishes standards for reporting information on operating segments in interim and annual financial statements. We operate in one segment, which is the business of development, manufacturing and commercialization of novel therapeutics for human health care. Our chief operating decision-maker reviews our operating results on an aggregate basis and manages our operations as a single operating segment.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Revenues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recognize revenue when all of the following criteria are met: persuasive evidence of an arrangement exists; delivery has occurred or services have been rendered; the seller’s price to the buyer is fixed or determinable; and collectibility is reasonably assured.</w:t>
      </w:r>
    </w:p>
    <w:p>
      <w:pPr>
        <w:spacing w:after="0" w:line="59"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Revenues from product sales are recognized when title and risk of loss have passed to the customer, which is typically upon delivery. However, sales of TYSABRI in the U.S. are recognized on the “sell-through” model, that is, upon shipment of the product by Elan to its third party distributor rather than upon shipment to Elan. The timing of distributor orders and shipments can cause variability in earnings.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Revenues are recorded net of applicable allowances for trade term discounts, wholesaler incentives, Medicaid rebates, Veteran’s Administration, or VA, rebates, managed care rebates, product returns and other applicable allowances.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TYSABRI</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Subsequent to the re-introduction of TYSABRI for sale in the U.S. and approval for sale in Europe, we began to ship TYSABRI into both regions in the third quarter of 2006. We manufacture TYSABRI and collaborate with Elan on the product’s marketing, distribution and on-going development activities. The collaboration agreement with Elan is designed to effect an equal sharing of profits and losses generated by the activities of the collaboration between us and Elan. Under our agreement with Elan, however, in the event that sales of TYSABRI exceed specified thresholds, Elan is required to make milestone payments to us in order to continue sharing equally in the collaboration’s results.</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the U.S., we sell TYSABRI to Elan who sells the product to third party distributors. We and Elan co-market the product. The sales price to Elan in the U.S. is set at the beginning of each quarterly period to effect an equal sharing of the gross margin between Elan and us. In addition, both parties share equally in the operating costs, which include research and development, selling, general and administrative expenses and other similar costs. Elan’s reimbursement of TYSABRI operating costs is reflected as a reduction of the respective costs within our consolidated statement of income. Sales of TYSABRI to Elan are reported as revenues and are recognized upon Elan’s shipment of the product to third party distributors, at which time all revenue recognition criteria have been</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 As of December 31, 2007 and 2006, we had deferred revenue of $9.0 million and $5.0 million, respectively, for shipments to Elan that remained in Elan’s ending inventory.</w:t>
      </w:r>
    </w:p>
    <w:p>
      <w:pPr>
        <w:spacing w:after="0" w:line="96" w:lineRule="exact"/>
        <w:rPr>
          <w:sz w:val="20"/>
          <w:szCs w:val="20"/>
          <w:color w:val="auto"/>
        </w:rPr>
      </w:pPr>
    </w:p>
    <w:p>
      <w:pPr>
        <w:ind w:left="680" w:right="900" w:firstLine="399"/>
        <w:spacing w:after="0" w:line="258" w:lineRule="auto"/>
        <w:rPr>
          <w:sz w:val="20"/>
          <w:szCs w:val="20"/>
          <w:color w:val="auto"/>
        </w:rPr>
      </w:pPr>
      <w:r>
        <w:rPr>
          <w:rFonts w:ascii="Arial" w:cs="Arial" w:eastAsia="Arial" w:hAnsi="Arial"/>
          <w:sz w:val="13"/>
          <w:szCs w:val="13"/>
          <w:color w:val="auto"/>
        </w:rPr>
        <w:t>For sales outside the U.S., we are responsible for distributing TYSABRI to customers and are primarily responsible for all operating activities. Both parties share equally in the operating results of TYSABRI operations outside the U.S. Sales of TYSABRI are reported as revenue and are recognized at the time of shipment of product to our customer, as all revenue recognition criteria have been met. Payments to or from Elan for their share of collaboration net operating profits or losses relating to sales outside the U.S. are reflected in the collaboration profit (loss) sharing line in our consolidated statement of income. For 2007 and 2006, we provided and received net payments of $14.1 million and ($9.7) million, respectively, related to reimbursements made in connection with this arrangement.</w:t>
      </w:r>
    </w:p>
    <w:p>
      <w:pPr>
        <w:spacing w:after="0" w:line="71" w:lineRule="exact"/>
        <w:rPr>
          <w:sz w:val="20"/>
          <w:szCs w:val="20"/>
          <w:color w:val="auto"/>
        </w:rPr>
      </w:pPr>
    </w:p>
    <w:p>
      <w:pPr>
        <w:ind w:left="680" w:right="1060" w:firstLine="399"/>
        <w:spacing w:after="0" w:line="296" w:lineRule="auto"/>
        <w:rPr>
          <w:sz w:val="20"/>
          <w:szCs w:val="20"/>
          <w:color w:val="auto"/>
        </w:rPr>
      </w:pPr>
      <w:r>
        <w:rPr>
          <w:rFonts w:ascii="Arial" w:cs="Arial" w:eastAsia="Arial" w:hAnsi="Arial"/>
          <w:sz w:val="12"/>
          <w:szCs w:val="12"/>
          <w:color w:val="auto"/>
        </w:rPr>
        <w:t>Prior to the suspension of TYSABRI in 2005, we shipped product to Elan in the U.S. and recognized revenue in accordance with the policy described above. As a result of the suspension of TYSABRI, we deferred $14.0 million in revenue from Elan related to TYSABRI product that Elan had not yet shipped to third party distributors. This amount was paid by Elan during 2005 and was recognized as revenue during 2006, when the uncertainty about the ultimate disposition of the product was eliminated.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for Discounts and Allowances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We establish reserves for trade term discounts, wholesaler incentives, Medicaid rebates, VA rebates, managed care rebates, product returns and other applicable allowances and in 2006 and 2005, patient assistance and patient replacement goods. Such reserves are classified as reductions of accounts receivable (if the amount is payable to our customer) or a liability (if the amount is payable to a party other than our customer).</w:t>
      </w:r>
    </w:p>
    <w:p>
      <w:pPr>
        <w:spacing w:after="0" w:line="67" w:lineRule="exact"/>
        <w:rPr>
          <w:sz w:val="20"/>
          <w:szCs w:val="20"/>
          <w:color w:val="auto"/>
        </w:rPr>
      </w:pPr>
    </w:p>
    <w:p>
      <w:pPr>
        <w:ind w:left="680" w:right="900" w:firstLine="399"/>
        <w:spacing w:after="0" w:line="289" w:lineRule="auto"/>
        <w:rPr>
          <w:sz w:val="20"/>
          <w:szCs w:val="20"/>
          <w:color w:val="auto"/>
        </w:rPr>
      </w:pPr>
      <w:r>
        <w:rPr>
          <w:rFonts w:ascii="Arial" w:cs="Arial" w:eastAsia="Arial" w:hAnsi="Arial"/>
          <w:sz w:val="12"/>
          <w:szCs w:val="12"/>
          <w:color w:val="auto"/>
        </w:rPr>
        <w:t>Effective January 1, 2007, we changed the manner in which we administer our patient assistance and patient replacement goods programs. Prior to January 1, 2007, AVONEX product shipped for these programs was invoiced and recorded as gross product revenue and an offsetting provision for discount and returns was recorded for expected credit requests from the distributor that administers these programs on our behalf. Effective January 1, 2007, we entered into a new arrangement with a distributor, which established a consignment sales model. Under the new arrangement, gross revenue is not recorded for product shipped to satisfy these programs, and cost of sales is recorded when we ship the product.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as follows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86"/>
              </w:rPr>
              <w:t>Discounts</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Contractual</w:t>
            </w:r>
          </w:p>
        </w:tc>
        <w:tc>
          <w:tcPr>
            <w:tcW w:w="60" w:type="dxa"/>
            <w:vAlign w:val="bottom"/>
          </w:tcPr>
          <w:p>
            <w:pPr>
              <w:spacing w:after="0"/>
              <w:rPr>
                <w:sz w:val="10"/>
                <w:szCs w:val="10"/>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9"/>
              </w:rPr>
              <w:t>Returns</w:t>
            </w:r>
          </w:p>
        </w:tc>
        <w:tc>
          <w:tcPr>
            <w:tcW w:w="120" w:type="dxa"/>
            <w:vAlign w:val="bottom"/>
          </w:tcPr>
          <w:p>
            <w:pPr>
              <w:spacing w:after="0"/>
              <w:rPr>
                <w:sz w:val="10"/>
                <w:szCs w:val="10"/>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8"/>
              </w:rPr>
              <w:t>Adjustments</w:t>
            </w: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Beginning Balance</w:t>
            </w:r>
          </w:p>
        </w:tc>
        <w:tc>
          <w:tcPr>
            <w:tcW w:w="2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113.1</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(30.3)</w:t>
            </w:r>
          </w:p>
        </w:tc>
        <w:tc>
          <w:tcPr>
            <w:tcW w:w="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(19.1)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2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2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33.1</w:t>
            </w:r>
          </w:p>
        </w:tc>
        <w:tc>
          <w:tcPr>
            <w:tcW w:w="4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80" w:type="dxa"/>
            <w:vAlign w:val="bottom"/>
          </w:tcPr>
          <w:p>
            <w:pPr>
              <w:ind w:left="1060"/>
              <w:spacing w:after="0"/>
              <w:rPr>
                <w:sz w:val="20"/>
                <w:szCs w:val="20"/>
                <w:color w:val="auto"/>
              </w:rPr>
            </w:pPr>
            <w:r>
              <w:rPr>
                <w:rFonts w:ascii="Arial" w:cs="Arial" w:eastAsia="Arial" w:hAnsi="Arial"/>
                <w:sz w:val="13"/>
                <w:szCs w:val="13"/>
                <w:color w:val="auto"/>
              </w:rPr>
              <w:t>F-14</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0"/>
              </w:rPr>
              <w:t>Discounts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60"/>
              <w:spacing w:after="0"/>
              <w:rPr>
                <w:sz w:val="20"/>
                <w:szCs w:val="20"/>
                <w:color w:val="auto"/>
              </w:rPr>
            </w:pPr>
            <w:r>
              <w:rPr>
                <w:rFonts w:ascii="Arial" w:cs="Arial" w:eastAsia="Arial" w:hAnsi="Arial"/>
                <w:sz w:val="10"/>
                <w:szCs w:val="10"/>
                <w:b w:val="1"/>
                <w:bCs w:val="1"/>
                <w:color w:val="auto"/>
              </w:rPr>
              <w:t>Contractual</w:t>
            </w:r>
          </w:p>
        </w:tc>
        <w:tc>
          <w:tcPr>
            <w:tcW w:w="6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Returns</w:t>
            </w: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40"/>
              <w:spacing w:after="0"/>
              <w:rPr>
                <w:sz w:val="20"/>
                <w:szCs w:val="20"/>
                <w:color w:val="auto"/>
              </w:rPr>
            </w:pPr>
            <w:r>
              <w:rPr>
                <w:rFonts w:ascii="Arial" w:cs="Arial" w:eastAsia="Arial" w:hAnsi="Arial"/>
                <w:sz w:val="10"/>
                <w:szCs w:val="10"/>
                <w:b w:val="1"/>
                <w:bCs w:val="1"/>
                <w:color w:val="auto"/>
              </w:rPr>
              <w:t>Adjustments</w:t>
            </w:r>
          </w:p>
        </w:tc>
        <w:tc>
          <w:tcPr>
            <w:tcW w:w="6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35.7</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24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31.6</w:t>
            </w:r>
          </w:p>
        </w:tc>
        <w:tc>
          <w:tcPr>
            <w:tcW w:w="24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230.9</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(63.1)</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(16.1)</w:t>
            </w:r>
          </w:p>
        </w:tc>
        <w:tc>
          <w:tcPr>
            <w:tcW w:w="240" w:type="dxa"/>
            <w:vAlign w:val="bottom"/>
            <w:shd w:val="clear" w:color="auto" w:fill="CCEEFF"/>
          </w:tcPr>
          <w:p>
            <w:pPr>
              <w:spacing w:after="0"/>
              <w:rPr>
                <w:sz w:val="13"/>
                <w:szCs w:val="13"/>
                <w:color w:val="auto"/>
              </w:rPr>
            </w:pPr>
          </w:p>
        </w:tc>
        <w:tc>
          <w:tcPr>
            <w:tcW w:w="6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(169.4)</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(35.4)</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(12.5)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adjustments</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w:t>
            </w:r>
          </w:p>
        </w:tc>
        <w:tc>
          <w:tcPr>
            <w:tcW w:w="24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17.8</w:t>
            </w:r>
          </w:p>
        </w:tc>
        <w:tc>
          <w:tcPr>
            <w:tcW w:w="240" w:type="dxa"/>
            <w:vAlign w:val="bottom"/>
          </w:tcPr>
          <w:p>
            <w:pPr>
              <w:spacing w:after="0"/>
              <w:rPr>
                <w:sz w:val="14"/>
                <w:szCs w:val="14"/>
                <w:color w:val="auto"/>
              </w:rPr>
            </w:pPr>
          </w:p>
        </w:tc>
        <w:tc>
          <w:tcPr>
            <w:tcW w:w="26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tcBorders>
              <w:top w:val="single" w:sz="8" w:color="auto"/>
              <w:left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Beginning Balance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7.8</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18.4</w:t>
            </w:r>
          </w:p>
        </w:tc>
        <w:tc>
          <w:tcPr>
            <w:tcW w:w="1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24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provisions relating to sales in current year</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106.5</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92.8</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18.5</w:t>
            </w:r>
          </w:p>
        </w:tc>
        <w:tc>
          <w:tcPr>
            <w:tcW w:w="24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217.8</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Adjustments relating to prior years</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Payments/returns relating to sales in current year</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(57.5)</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(16.2)</w:t>
            </w:r>
          </w:p>
        </w:tc>
        <w:tc>
          <w:tcPr>
            <w:tcW w:w="240" w:type="dxa"/>
            <w:vAlign w:val="bottom"/>
            <w:shd w:val="clear" w:color="auto" w:fill="CCEEFF"/>
          </w:tcPr>
          <w:p>
            <w:pPr>
              <w:spacing w:after="0"/>
              <w:rPr>
                <w:sz w:val="13"/>
                <w:szCs w:val="13"/>
                <w:color w:val="auto"/>
              </w:rPr>
            </w:pPr>
          </w:p>
        </w:tc>
        <w:tc>
          <w:tcPr>
            <w:tcW w:w="68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(168.6)</w:t>
            </w:r>
          </w:p>
        </w:tc>
        <w:tc>
          <w:tcPr>
            <w:tcW w:w="0" w:type="dxa"/>
            <w:vAlign w:val="bottom"/>
          </w:tcPr>
          <w:p>
            <w:pPr>
              <w:spacing w:after="0"/>
              <w:rPr>
                <w:sz w:val="1"/>
                <w:szCs w:val="1"/>
                <w:color w:val="auto"/>
              </w:rPr>
            </w:pPr>
          </w:p>
        </w:tc>
      </w:tr>
      <w:tr>
        <w:trPr>
          <w:trHeight w:val="157"/>
        </w:trPr>
        <w:tc>
          <w:tcPr>
            <w:tcW w:w="6100" w:type="dxa"/>
            <w:vAlign w:val="bottom"/>
          </w:tcPr>
          <w:p>
            <w:pPr>
              <w:ind w:left="140"/>
              <w:spacing w:after="0"/>
              <w:rPr>
                <w:sz w:val="20"/>
                <w:szCs w:val="20"/>
                <w:color w:val="auto"/>
              </w:rPr>
            </w:pPr>
            <w:r>
              <w:rPr>
                <w:rFonts w:ascii="Arial" w:cs="Arial" w:eastAsia="Arial" w:hAnsi="Arial"/>
                <w:sz w:val="13"/>
                <w:szCs w:val="13"/>
                <w:color w:val="auto"/>
              </w:rPr>
              <w:t>Payments/returns relating to sales in prior years</w:t>
            </w: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(19.0)</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(12.7)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w:t>
            </w:r>
          </w:p>
        </w:tc>
        <w:tc>
          <w:tcPr>
            <w:tcW w:w="240" w:type="dxa"/>
            <w:vAlign w:val="bottom"/>
            <w:shd w:val="clear" w:color="auto" w:fill="CCEEFF"/>
          </w:tcPr>
          <w:p>
            <w:pPr>
              <w:spacing w:after="0"/>
              <w:rPr>
                <w:sz w:val="14"/>
                <w:szCs w:val="14"/>
                <w:color w:val="auto"/>
              </w:rPr>
            </w:pPr>
          </w:p>
        </w:tc>
        <w:tc>
          <w:tcPr>
            <w:tcW w:w="260" w:type="dxa"/>
            <w:vAlign w:val="bottom"/>
            <w:tcBorders>
              <w:left w:val="single" w:sz="8" w:color="CCEEFF"/>
            </w:tcBorders>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254"/>
        </w:trPr>
        <w:tc>
          <w:tcPr>
            <w:tcW w:w="6100" w:type="dxa"/>
            <w:vAlign w:val="bottom"/>
          </w:tcPr>
          <w:p>
            <w:pPr>
              <w:ind w:left="400"/>
              <w:spacing w:after="0"/>
              <w:rPr>
                <w:sz w:val="20"/>
                <w:szCs w:val="20"/>
                <w:color w:val="auto"/>
              </w:rPr>
            </w:pPr>
            <w:r>
              <w:rPr>
                <w:rFonts w:ascii="Arial" w:cs="Arial" w:eastAsia="Arial" w:hAnsi="Arial"/>
                <w:sz w:val="13"/>
                <w:szCs w:val="13"/>
                <w:color w:val="auto"/>
              </w:rPr>
              <w:t>The total reserves above were included in the consolidated balance sheet as follows (in millions):</w:t>
            </w:r>
          </w:p>
        </w:tc>
        <w:tc>
          <w:tcPr>
            <w:tcW w:w="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s of December 31,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center"/>
              <w:ind w:right="1040"/>
              <w:spacing w:after="0"/>
              <w:rPr>
                <w:sz w:val="20"/>
                <w:szCs w:val="20"/>
                <w:color w:val="auto"/>
              </w:rPr>
            </w:pPr>
            <w:r>
              <w:rPr>
                <w:rFonts w:ascii="Arial" w:cs="Arial" w:eastAsia="Arial" w:hAnsi="Arial"/>
                <w:sz w:val="10"/>
                <w:szCs w:val="10"/>
                <w:b w:val="1"/>
                <w:bCs w:val="1"/>
                <w:color w:val="auto"/>
                <w:w w:val="94"/>
              </w:rPr>
              <w:t>Reduction of</w:t>
            </w:r>
          </w:p>
        </w:tc>
        <w:tc>
          <w:tcPr>
            <w:tcW w:w="880" w:type="dxa"/>
            <w:vAlign w:val="bottom"/>
            <w:gridSpan w:val="4"/>
          </w:tcPr>
          <w:p>
            <w:pPr>
              <w:ind w:left="60"/>
              <w:spacing w:after="0"/>
              <w:rPr>
                <w:sz w:val="20"/>
                <w:szCs w:val="20"/>
                <w:color w:val="auto"/>
              </w:rPr>
            </w:pPr>
            <w:r>
              <w:rPr>
                <w:rFonts w:ascii="Arial" w:cs="Arial" w:eastAsia="Arial" w:hAnsi="Arial"/>
                <w:sz w:val="10"/>
                <w:szCs w:val="10"/>
                <w:b w:val="1"/>
                <w:bCs w:val="1"/>
                <w:color w:val="auto"/>
              </w:rPr>
              <w:t>Current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1"/>
              </w:rPr>
              <w:t>Accounts Receivable</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Liability</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178"/>
        </w:trPr>
        <w:tc>
          <w:tcPr>
            <w:tcW w:w="6100" w:type="dxa"/>
            <w:vAlign w:val="bottom"/>
          </w:tcPr>
          <w:p>
            <w:pPr>
              <w:spacing w:after="0"/>
              <w:rPr>
                <w:sz w:val="20"/>
                <w:szCs w:val="20"/>
                <w:color w:val="auto"/>
              </w:rPr>
            </w:pPr>
            <w:r>
              <w:rPr>
                <w:rFonts w:ascii="Arial" w:cs="Arial" w:eastAsia="Arial" w:hAnsi="Arial"/>
                <w:sz w:val="13"/>
                <w:szCs w:val="13"/>
                <w:color w:val="auto"/>
              </w:rPr>
              <w:t>2007</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$28.5</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$31.4</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w w:val="78"/>
              </w:rPr>
              <w:t>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2006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$30.2</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$30.8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w w:val="78"/>
              </w:rPr>
              <w:t>61.0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future results vary, we may need to adjust these estimates, which could have an effect on earnings in the period of the adjustment.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Product revenue reserves are categorized as follows: discounts, contractual adjustments and returns.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Discounts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Discount reserves include trade term discounts, wholesaler incentives and, in 2006 and 2005, patient assistance.</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Trade term discounts and wholesaler incentive reserves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experience, including the timing of customer payments.</w:t>
      </w:r>
    </w:p>
    <w:p>
      <w:pPr>
        <w:spacing w:after="0" w:line="67"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2006 and 2005, patient assistance reserves were established to cover no-charge product that we distribute to qualifying patients under our indigent program, Patient Access. The program is administered through one of our distribution partners, who ship product for qualifying patients from their own inventory that was purchased from us. In 2006 and 2005, the distributor received a credit at the end of each period for product that was administered during the period. An accrual was established through a reduction of product revenues for sales made to the distributor which we estimated may be used to administer our patient assistance program. We determined this reserve based on our experience with the activity under the program. Effective January 1, 2007, gross revenue and the related reserves are not recorded on product shipped under this program.</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Adjustments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Contractual adjustment reserves relate to Medicaid, VA and managed care rebates and other applicable allowances.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Medicaid rebates reserves relate to our estimated obligations to states under established reimbursement arrangements. Rebate accruals are recorded in the same period the related revenue is recognized resulting in a reduction of product sales revenue and the establishment of a liability. Rebate amounts are generally determined at the time of claim to the state, and we generally make cash payments for such amounts within a few weeks of receiving billings from the state.</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VA rebates or chargeback reserves represent our estimated obligations resulting from contractual commitments to sell products to qualified healthcare providers at prices lower than the list prices we charge the wholesalers which provide those products. The wholesaler charges us for the difference between what the wholesaler pays for the products and the ultimate selling price to the qualified healthcare providers. Rebate accruals are established in the same period as the related revenue is recognized resulting in a reduction in product sales revenue. Chargeback amounts are generally determined at the time of resale to the qualified healthcare provider, and we generally issue credits for such amounts within a few weeks of receiving notification from the wholesaler.</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Managed care rebates reserves represent our estimated obligations to third parties, primarily pharmacy benefit managers. Rebate accruals are recorded in the same period the related revenue is recognized resulting in a reduction to product sales revenue and the establishment of a liability which is included in other accrued liabilities. These rebates result from performance-based offers that are primarily based on attaining contractually specified sales volumes and growth. The calculation of the accrual for these rebates is based on an estimate of the customer’s buying patterns and the resulting applicable contractual rebate rate(s) to be earned over a contractual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Returns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Allowances for product returns are established for returns made by wholesalers and patients. In accordance with contractual terms, wholesalers are permitted to return product for reasons such as damaged or expired product. We also accept returns from our patients for various reasons.</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Reserves for product returns are recorded in the period the related revenue is recognized, resulting in a reduction to product sales revenue. The patient return program is administered by the same distribution partner as the patient assistance program. As noted above, in 2006 and 2005, revenue related to product sold to this distribution partner that is used to satisfy patient returns was fully reserved.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 As noted above, in 2007, pursuant to the change in the way we administered our patient assistance program, revenue is no longer recorded under this program.</w:t>
      </w:r>
    </w:p>
    <w:p>
      <w:pPr>
        <w:spacing w:after="0" w:line="4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During the second quarter of 2006, we recorded an increase in our allowance for expired products of $12.3 million to correct for prior period errors. This increase in the allowance was recorded through an out of period reduction in net product revenue of $6.9 million and an increase in goodwill of $5.4 million. We identified and quantified the errors through an analysis of the historical rate for returns based on volumes of returns and the amount of credit granted to the returning distributors in past periods. At the time of the Merger with Biogen, Inc. in 2003, Biogen, Inc. had understated its allowance for expired product by an estimated $5.4 million due to an incorrect methodology applied in calculating its reserve balance. Had we identified this error at the time of the Merger, the recorded goodwill would have been approximately $5.4 million higher than has been previously reflected. Biogen, Inc.’s methodology was in error because it did not utilize known information in determining critical assumptions used in the basis of calculation. Our application of this incorrect methodology in the post-Merger period resulted in understating this reserve by an additional $6.9 million. In all cases, the correctly</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calculated rate of return is less than one percent of related gross product revenues. We have determined that the out of period correction of this error in 2006 is not material to our reported results. Additionally, we have determined that the error at the merger date is not material to any prior period balance sheet amounts and the error in the post-merger period is not material to any prior period reported results.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w:t>
      </w:r>
    </w:p>
    <w:p>
      <w:pPr>
        <w:spacing w:after="0" w:line="96"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Bad debt reserves are based on our estimated uncollectible accounts receivable. Given our historical experiences with bad debts, combined with our credit management policies and practices, we do not presently maintain significant bad debt reserves. The amount of such reserves as of December 31, 2007, and 2006, was $0.8 million, and $1.7 million, respectively.</w:t>
      </w:r>
    </w:p>
    <w:p>
      <w:pPr>
        <w:spacing w:after="0" w:line="1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various contracts with distributors that provide for discounts and rebates. These discounts and rebates are classified as a reduction of revenue. We also maintain select customer service contracts with distributors and other customers in the distribution channel. We have established the fair value of these services and classified these customer service contracts as sales and marketing expense. If we had concluded that sufficient evidence of the fair value did not exist for these services, we would have been required to classify these costs as a reduction of revenue.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 from Unconsolidated Joint Business</w:t>
      </w:r>
    </w:p>
    <w:p>
      <w:pPr>
        <w:spacing w:after="0" w:line="96"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Revenues from unconsolidated joint business consist of our share of the pretax copromotion profits generated from our copromotion arrangement with Genentech, Inc., or Genentech, reimbursement from Genentech of our RITUXAN-related sales force and development expenses and royalties from Genentech for sales of RITUXAN outside the U.S. by F. Hoffmann-</w:t>
      </w:r>
    </w:p>
    <w:p>
      <w:pPr>
        <w:spacing w:after="0" w:line="1" w:lineRule="exact"/>
        <w:rPr>
          <w:sz w:val="20"/>
          <w:szCs w:val="20"/>
          <w:color w:val="auto"/>
        </w:rPr>
      </w:pPr>
    </w:p>
    <w:p>
      <w:pPr>
        <w:ind w:left="680" w:right="120"/>
        <w:spacing w:after="0" w:line="284" w:lineRule="auto"/>
        <w:rPr>
          <w:sz w:val="20"/>
          <w:szCs w:val="20"/>
          <w:color w:val="auto"/>
        </w:rPr>
      </w:pPr>
      <w:r>
        <w:rPr>
          <w:rFonts w:ascii="Arial" w:cs="Arial" w:eastAsia="Arial" w:hAnsi="Arial"/>
          <w:sz w:val="12"/>
          <w:szCs w:val="12"/>
          <w:color w:val="auto"/>
        </w:rPr>
        <w:t>La Roche Ltd., or Roche, and Zenyaku Kogyo Co. Ltd., or Zenyaku. Under the copromotion arrangement, all U.S. sales of RITUXAN and associated costs and expenses are recognized by Genentech and we record our share of the pretax copromotion profits as defined in our amended and restated collaboration agreement with Genentech. Pretax copromotion profits under the copromotion arrangement are derived by taking U.S. net sales of RITUXAN to third-party customers less cost of sales, third-party royalty expenses, distribution, selling and marketing expenses and joint development expenses incurred by Genentech and us. We record royalty revenue on sales of RITUXAN outside the U.S. on a cash basis.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Revenues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receive royalty revenues under license agreements with a number of third parties that sell products based on technology we have developed or to which we have rights. The license agreements provide for the payment of royalties to us based on sales of the licensed product. We record these revenues based on estimates of the sales that occurred during the relevant period. The relevant period estimates of sales are based on interim data provided by licensees and analysis of historical royalties we have been paid (adjusted for any changes in facts and circumstances, as appropriate). We maintain regular communication with our licensees in order to gauge the reasonableness of our estimates. Differences between actual royalty revenues and estimated royalty revenues are reconciled and adjusted for in the period in which they become known, typically the following quarter. Historically, adjustments have not been material based on actual amounts paid by licensees. There are no future performance obligations on our part under these license agreements. To the extent we do not have sufficient ability to accurately estimate revenue, we record it on a cash basis.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Research and development expenses consist of upfront fees and milestones paid to collaborators and expenses incurred in performing research and development activities including salaries and benefits, facilities expenses, overhead expenses, clinical trial and related clinical manufacturing expenses, contract services and other outside expenses. Research and development expenses are expensed as incurred. We have entered into certain research agreements in which we share expenses with our collaborator. We have entered into other collaborations where we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40"/>
        <w:spacing w:after="0" w:line="334" w:lineRule="auto"/>
        <w:rPr>
          <w:sz w:val="20"/>
          <w:szCs w:val="20"/>
          <w:color w:val="auto"/>
        </w:rPr>
      </w:pPr>
      <w:r>
        <w:rPr>
          <w:rFonts w:ascii="Arial" w:cs="Arial" w:eastAsia="Arial" w:hAnsi="Arial"/>
          <w:sz w:val="11"/>
          <w:szCs w:val="11"/>
          <w:color w:val="auto"/>
        </w:rPr>
        <w:t>are reimbursed for work performed on behalf of our collaborative partners. We record the expenses for such work as research and development expenses. If the arrangement is a cost-sharing arrangement and there is a period during which we receive payments from the collaborator, we record payments by the collaborator for their share of the development effort as a reduction of research and development expense. If the arrangement is a reimbursement of research and development expenses, we record the reimbursement as corporate partner revenue.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46(R)</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Under FIN 46(R)</w:t>
      </w:r>
      <w:r>
        <w:rPr>
          <w:rFonts w:ascii="Arial" w:cs="Arial" w:eastAsia="Arial" w:hAnsi="Arial"/>
          <w:sz w:val="13"/>
          <w:szCs w:val="13"/>
          <w:i w:val="1"/>
          <w:iCs w:val="1"/>
          <w:color w:val="auto"/>
        </w:rPr>
        <w:t>,</w:t>
      </w:r>
      <w:r>
        <w:rPr>
          <w:rFonts w:ascii="Arial" w:cs="Arial" w:eastAsia="Arial" w:hAnsi="Arial"/>
          <w:sz w:val="13"/>
          <w:szCs w:val="13"/>
          <w:color w:val="auto"/>
        </w:rPr>
        <w:t xml:space="preserve"> we consolidate variable interest entities for which we are the primary beneficiary. For such consolidated entities in which we own less than a 100% interest, we record minority interest in our statement of income for the current results allocable to the outside equity interests. FIN 46(R) impacts the way we account for certain collaborations and future events may result in our consolidation of companies or related entities with which we have a collaborative arrangement. The consolidation of variable interest entities may have a material effect on our financial condition and/or results of operation in future periods.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Acquired In-Process Research and Development</w:t>
      </w:r>
    </w:p>
    <w:p>
      <w:pPr>
        <w:spacing w:after="0" w:line="96"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IPR&amp;D represents the fair value assigned to research and development projects that we acquire that have not been completed at the date of acquisition and which have no future alternative use. Accordingly, the fair value of such projects is recorded as in process research and development expense as of the acquisition date.</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value assigned to acquired IPR&amp;D is determined by estimating the costs to develop the acquired technology into commercially viable products, estimating the resulting net cash flows from the projects, and discounting the net cash flows to present value. The revenue and costs projections used to value IPR&amp;D were, as applicable, reduced based on the probability of developing a new drug. Additionally, the projections considered the relevant market sizes and growth factors, expected trends in technology, and the nature and expected timing of new product introductions by us and our competitors. The resulting net cash flows from such projects are based on management’s estimates of cost of sales, operating expenses, and income taxes from such projects. The rates utilized to discount the net cash flows to their present value were commensurate with the stage of development of the projects and uncertainties in the economic estimates used in the projections described above.</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If these projects are not successfully developed, the sales and profitability of the company may be adversely affected in future periods. Additionally, the value of other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We calculate earnings per share in accordance with Statement of Financial Accounting Standards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or SFAS 128, and EITF 03-06, </w:t>
      </w:r>
      <w:r>
        <w:rPr>
          <w:rFonts w:ascii="Arial" w:cs="Arial" w:eastAsia="Arial" w:hAnsi="Arial"/>
          <w:sz w:val="13"/>
          <w:szCs w:val="13"/>
          <w:i w:val="1"/>
          <w:iCs w:val="1"/>
          <w:color w:val="auto"/>
        </w:rPr>
        <w:t>Participating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Securities and the Two — Class Method Under SFAS 128, </w:t>
      </w:r>
      <w:r>
        <w:rPr>
          <w:rFonts w:ascii="Arial" w:cs="Arial" w:eastAsia="Arial" w:hAnsi="Arial"/>
          <w:sz w:val="13"/>
          <w:szCs w:val="13"/>
          <w:color w:val="auto"/>
        </w:rPr>
        <w:t>or EITF 03-06. SFAS 128 and EITF 03-06 together require the presentation of “basic” earnings per share and “diluted” earnings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w:t>
      </w:r>
    </w:p>
    <w:p>
      <w:pPr>
        <w:spacing w:after="0" w:line="67"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Basic earnings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have allocated a portion of net income to our preferred shares on a pro rata basis. Net income allocated to preferred shares is excluded from the calculation of basic earnings per share. For basic earnings per share, net income available to holders of common stock is divided by the weighted average number of shares of common stock outstanding. For purposes of calculating diluted earnings per share, net income is adjusted for the after-tax amount of interest associated with convertible debt and net income allocable to preferred shares, and the denominator includes both</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the weighted average number of shares of common stock outstanding and potential dilutive shares of common stock from stock options, unvested restricted stock awards, restricted stock units and other convertible securities, to the extent they are dilutive.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Share-based Compensation</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share-based compensation programs consist of share-based awards granted to employees including stock options, restricted stock, performance and time-vested restricted stock units, as well as our employee stock purchase plan, or ESPP.</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Until December 31, 2005, we applied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or APB 25, in accounting for our plans and applied Statement of Financial Accounting Standards No. 123,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or SFAS 123, as amended by Statement of Financial Accounting Standards No. 148, </w:t>
      </w:r>
      <w:r>
        <w:rPr>
          <w:rFonts w:ascii="Arial" w:cs="Arial" w:eastAsia="Arial" w:hAnsi="Arial"/>
          <w:sz w:val="12"/>
          <w:szCs w:val="12"/>
          <w:i w:val="1"/>
          <w:iCs w:val="1"/>
          <w:color w:val="auto"/>
        </w:rPr>
        <w:t>Accounting for Stock-Based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Compensation — Transition and Disclosure, </w:t>
      </w:r>
      <w:r>
        <w:rPr>
          <w:rFonts w:ascii="Arial" w:cs="Arial" w:eastAsia="Arial" w:hAnsi="Arial"/>
          <w:sz w:val="12"/>
          <w:szCs w:val="12"/>
          <w:color w:val="auto"/>
        </w:rPr>
        <w:t>or SFAS 148, for disclosure purposes only. The SFAS 123 disclosures included pro forma net income and earnings per share as if the fair value-based method of accounting had been used. Stock-based compensation issued to non-employees was accounted for in accordance with SFAS 123 and related interpretations.</w:t>
      </w:r>
    </w:p>
    <w:p>
      <w:pPr>
        <w:spacing w:after="0" w:line="53"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Effective January 1, 2006, we adopted Statement of Financial Accounting Standards No. 123 (revised 2004), </w:t>
      </w:r>
      <w:r>
        <w:rPr>
          <w:rFonts w:ascii="Arial" w:cs="Arial" w:eastAsia="Arial" w:hAnsi="Arial"/>
          <w:sz w:val="12"/>
          <w:szCs w:val="12"/>
          <w:i w:val="1"/>
          <w:iCs w:val="1"/>
          <w:color w:val="auto"/>
        </w:rPr>
        <w:t>Share-Based Payments,</w:t>
      </w:r>
      <w:r>
        <w:rPr>
          <w:rFonts w:ascii="Arial" w:cs="Arial" w:eastAsia="Arial" w:hAnsi="Arial"/>
          <w:sz w:val="12"/>
          <w:szCs w:val="12"/>
          <w:color w:val="auto"/>
        </w:rPr>
        <w:t xml:space="preserve"> or SFAS 123(R), which replaced SFAS 123 and superseded APB 25. SFAS 123(R) requires compensation cost relating to share-based payment transactions to be recognized in the financial statements using a fair-value measurement method. Under the fair value method, the estimated fair value of awards is charged against income over the requisite service period, which is generally the vesting period. We selected the modified prospective method as prescribed in SFAS 123(R) and, therefore, prior periods were not restated. Under the modified prospective application, SFAS 123(R) was applied to new awards granted in 2006, as well as to the unvested portion of previously granted share-based awards for which the requisite service had not been rendered as of December 31, 2005. Where awards are made with non-substantive vesting periods (for instance, where a portion of the award vests upon retirement eligibility), we estimate and recognize expense based on the period from the grant date to the date on which the employee is retirement eligible. For our ESPP, we apply a graded vesting approach because the ESPP provides for multiple purchase periods and is, in substance, a series of linked awards.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fair value of the stock option grants is based on estimates as of the date of grant using a Black-Scholes option valuation model. The fair value of all time vested restricted units and restricted stock is based on the market value of our stock on the date of grant. Compensation expense for restricted stock and restricted stock units, including the effect of forfeitures, is recognized over the applicable service period. The fair value of performance based stock units is based on the market price of our stock on the date of grant and assumes that the performance criteria will be met and the target payout level will be achieved. Compensation cost is adjusted for subsequent changes in the outcome of performance-related conditions until the vesting dates. For certain performance based stock units, we apply a graded vesting approach and the fair value is based on the market price on the date of the vesting.</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Accounting Principle Related to Accounting for Tax Effects of Share-based Payment Awards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In November 2005, the FASB issued FASB Staff Position FAS 123(R) – 3, </w:t>
      </w:r>
      <w:r>
        <w:rPr>
          <w:rFonts w:ascii="Arial" w:cs="Arial" w:eastAsia="Arial" w:hAnsi="Arial"/>
          <w:sz w:val="12"/>
          <w:szCs w:val="12"/>
          <w:i w:val="1"/>
          <w:iCs w:val="1"/>
          <w:color w:val="auto"/>
        </w:rPr>
        <w:t>Transition Election Related to Accounting for Tax Effects of Share-based Payment Awards,</w:t>
      </w:r>
      <w:r>
        <w:rPr>
          <w:rFonts w:ascii="Arial" w:cs="Arial" w:eastAsia="Arial" w:hAnsi="Arial"/>
          <w:sz w:val="12"/>
          <w:szCs w:val="12"/>
          <w:color w:val="auto"/>
        </w:rPr>
        <w:t xml:space="preserve"> or FSP</w:t>
      </w:r>
    </w:p>
    <w:p>
      <w:pPr>
        <w:spacing w:after="0" w:line="27" w:lineRule="exact"/>
        <w:rPr>
          <w:sz w:val="20"/>
          <w:szCs w:val="20"/>
          <w:color w:val="auto"/>
        </w:rPr>
      </w:pPr>
    </w:p>
    <w:p>
      <w:pPr>
        <w:jc w:val="both"/>
        <w:ind w:left="680" w:right="60"/>
        <w:spacing w:after="0" w:line="273" w:lineRule="auto"/>
        <w:rPr>
          <w:sz w:val="20"/>
          <w:szCs w:val="20"/>
          <w:color w:val="auto"/>
        </w:rPr>
      </w:pPr>
      <w:r>
        <w:rPr>
          <w:rFonts w:ascii="Arial" w:cs="Arial" w:eastAsia="Arial" w:hAnsi="Arial"/>
          <w:sz w:val="12"/>
          <w:szCs w:val="12"/>
          <w:color w:val="auto"/>
        </w:rPr>
        <w:t>FAS 123(R) – 3. In accordance with FSP FAS 123(R) – 3, entities can choose to follow either the transitional guidance of SFAS 123(R) or the alternative transition method described in FSP FAS 123(R) – 3. Effective in the fourth quarter of 2006, we elected to adopt the alternative transition method for calculating the tax effects of stock-based compensation pursuant to</w:t>
      </w:r>
    </w:p>
    <w:p>
      <w:pPr>
        <w:spacing w:after="0" w:line="1" w:lineRule="exact"/>
        <w:rPr>
          <w:sz w:val="20"/>
          <w:szCs w:val="20"/>
          <w:color w:val="auto"/>
        </w:rPr>
      </w:pPr>
    </w:p>
    <w:p>
      <w:pPr>
        <w:jc w:val="both"/>
        <w:ind w:left="680" w:right="40"/>
        <w:spacing w:after="0" w:line="258" w:lineRule="auto"/>
        <w:rPr>
          <w:sz w:val="20"/>
          <w:szCs w:val="20"/>
          <w:color w:val="auto"/>
        </w:rPr>
      </w:pPr>
      <w:r>
        <w:rPr>
          <w:rFonts w:ascii="Arial" w:cs="Arial" w:eastAsia="Arial" w:hAnsi="Arial"/>
          <w:sz w:val="13"/>
          <w:szCs w:val="13"/>
          <w:color w:val="auto"/>
        </w:rPr>
        <w:t>SFAS 123(R). The alternative transition method includes simplified methods to establish the beginning balance of the additional paid-in capital pool, or APIC pool or windfall, related to the tax effects of employee stock-based compensation, and to determine the subsequent impact on the APIC pool and consolidated statements of cash flows of the tax effects of employee-stock based compensation awards that are outstanding upon adoption of SFAS 123(R). Electing the</w:t>
      </w:r>
    </w:p>
    <w:p>
      <w:pPr>
        <w:spacing w:after="0" w:line="27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alternative transition method constitutes a change in accounting principle, which requires retrospective application to the 2006 quarterly financial statements.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a result of the adoption of FSP FAS 123(R) – 3, the presentation of income taxes in the consolidated statement of cash flows and stockholders equity has changed.</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retrospective application to prior period financial statements had the effect of changing the amounts of cash flows from operations and from financing from those previously reported in our Forms 10-Q. Specifically, for the nine months ended September 30, 2006, both cash flows from operating activities, and cash used in financing activities would have been lower by $9.2 million. For the six months ended by June 30, 2006 both cash flows from operating activities, and cash used in financing activities would have been lower by $8.0 million. The change to the amounts reported in the Form 10-Q for the quarter ending March 31, 2006, was not material.</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Consistent with the election to use the alternative method, we have excluded the impact of pro forma deferred tax assets in determining the assumed proceeds under the treasury method for purposes of calculating earnings per share.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Held for Sale</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 xml:space="preserve">We consider certain real property and certain other miscellaneous assets as held for sale when they meet the criteria set out in Statement of Financial Accounting Standards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or SFAS 144.</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As of December 31, 2007, there were no assets held for sale on the accompanying consolidated balance sheet. As of December 31, 2006, assets held for sale were $9.3 million that comprised certain land and real property in San Diego, CA. that was sold in 2007, as described in Note 24, Facility Impairments and Loss (Gain) on Dispositions. Assets held for sale are included in other current assets in the accompanying consolidated balance sheets.</w:t>
      </w:r>
    </w:p>
    <w:p>
      <w:pPr>
        <w:spacing w:after="0" w:line="142"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Dispositions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Syntonix Pharmaceuticals, Inc.</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January 2007, we acquired 100% of the stock of Syntonix Pharmaceuticals, Inc., or Syntonix, a privately held biopharmaceutical company based in Waltham, Massachusetts. Syntonix focuses on discovering and developing long-acting therapeutic products to improve treatment regimens for chronic diseases, and is engaged in multiple pre-clinical programs in hemophilia. The purchase price was $44.4 million, including transaction costs, and could increase to as much as $124.4 million if certain development milestones with respect to Syntonix’s lead product, long acting recombinant Factor IX, a proprietary long-acting factor IX product for the treatment of hemophilia B, are achieved. The purpose of the acquisition was to enhance our pipeline and to expand into additional specialized markets.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acquisition was funded from our existing cash on hand and was accounted for as an asset acquisition as Syntonix is a development-stage company. As a result of the acquisition we obtained the rights to the in-process technology of the Fc-fusion technology platform. Syntonix has two programs in development using the Fc-fusion platform, long acting recombinant Factor IX and long acting recombinant Factor VIII. Syntonix’s lead product, long acting recombinant Factor IX, is a proprietary long-acting factor IX product for the treatment of hemophilia B. Syntonix filed an investigational new drug application with the Food and Drug Administration, or FDA, for long acting recombinant Factor IX in 2007. Long acting recombinant Factor VIII is a product for the treatment of hemophilia A and is approximately two years from filing of the investigational new drug application with the FDA.</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results of operations of Syntonix are included in our consolidated results of operations from the date of acquisition. We have completed our purchase price allocation for the acquisition as set out below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r>
      <w:tr>
        <w:trPr>
          <w:trHeight w:val="157"/>
        </w:trPr>
        <w:tc>
          <w:tcPr>
            <w:tcW w:w="9500" w:type="dxa"/>
            <w:vAlign w:val="bottom"/>
          </w:tcPr>
          <w:p>
            <w:pPr>
              <w:spacing w:after="0"/>
              <w:rPr>
                <w:sz w:val="20"/>
                <w:szCs w:val="20"/>
                <w:color w:val="auto"/>
              </w:rPr>
            </w:pPr>
            <w:r>
              <w:rPr>
                <w:rFonts w:ascii="Arial" w:cs="Arial" w:eastAsia="Arial" w:hAnsi="Arial"/>
                <w:sz w:val="13"/>
                <w:szCs w:val="13"/>
                <w:color w:val="auto"/>
              </w:rPr>
              <w:t>Fixed assets</w:t>
            </w: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w:t>
            </w:r>
          </w:p>
        </w:tc>
      </w:tr>
      <w:tr>
        <w:trPr>
          <w:trHeight w:val="157"/>
        </w:trPr>
        <w:tc>
          <w:tcPr>
            <w:tcW w:w="9500" w:type="dxa"/>
            <w:vAlign w:val="bottom"/>
          </w:tcPr>
          <w:p>
            <w:pPr>
              <w:spacing w:after="0"/>
              <w:rPr>
                <w:sz w:val="20"/>
                <w:szCs w:val="20"/>
                <w:color w:val="auto"/>
              </w:rPr>
            </w:pPr>
            <w:r>
              <w:rPr>
                <w:rFonts w:ascii="Arial" w:cs="Arial" w:eastAsia="Arial" w:hAnsi="Arial"/>
                <w:sz w:val="13"/>
                <w:szCs w:val="13"/>
                <w:color w:val="auto"/>
              </w:rPr>
              <w:t>Assembled workforce</w:t>
            </w: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r>
      <w:tr>
        <w:trPr>
          <w:trHeight w:val="157"/>
        </w:trPr>
        <w:tc>
          <w:tcPr>
            <w:tcW w:w="950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w:t>
            </w:r>
          </w:p>
        </w:tc>
      </w:tr>
      <w:tr>
        <w:trPr>
          <w:trHeight w:val="157"/>
        </w:trPr>
        <w:tc>
          <w:tcPr>
            <w:tcW w:w="95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r>
      <w:tr>
        <w:trPr>
          <w:trHeight w:val="20"/>
        </w:trPr>
        <w:tc>
          <w:tcPr>
            <w:tcW w:w="9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5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w:t>
            </w:r>
          </w:p>
        </w:tc>
      </w:tr>
      <w:tr>
        <w:trPr>
          <w:trHeight w:val="29"/>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 purchase price included $2.0 million in loan forgiveness and $0.7 million in transaction fees. In addition, $0.3 million of severance charges were accrued as a result of the acquisition.</w:t>
      </w:r>
    </w:p>
    <w:p>
      <w:pPr>
        <w:spacing w:after="0" w:line="59"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amount allocated to IPR&amp;D relates to the development of long acting recombinant Factor IX and long acting recombinant Factor VIII, which are in a development stage. We expect to incur an additional $37.5 million to complete long acting recombinant Factor IX and an additional $43.8 million to complete long acting recombinant Factor VIII. The estimated revenues from long acting recombinant Factor IX and long acting recombinant Factor VIII are expected to be recognized beginning in 2012 and 2014, respectively. A discount rate of 13% was used to value these projects, which we believe to be commensurate with the stage of development and the uncertainties in the economic estimates described above. At the date of acquisition, these compounds had not reached technological feasibility and had no alternative future use. Accordingly, $18.4 million in IPR&amp;D was expensed upon acquisition.</w:t>
      </w:r>
    </w:p>
    <w:p>
      <w:pPr>
        <w:spacing w:after="0" w:line="5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Upon acquisition, we recognized a deferred tax asset of $27.8 million.. The deferred tax asset included approximately $12.8 million of net operating loss and research credit carryovers that will be utilized prior to applicable expiration dates, as well as approximately $15.3 million of other deferred tax assets primarily related to start-up and research expenditures that have been capitalized for tax purposes and will be amortized over the next several years.</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Future contingent consideration payments, if any, will be recorded as IPR&amp;D. The total revenue, operating income (loss) and net income (loss) pro forma impacts of the acquisition for the years ended December 31, 2007 and 2006 were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December 2007, we sold the U.S. marketing, sales, manufacturing and development rights of ZEVALIN to Cell Therapeutics, Inc., or CTI, for an upfront purchase price of $10.0 million and up to an additional $20.0 million in milestone payments. In addition, we also will receive royalty payments on future sales of ZEVALIN. As part of the overall arrangement, we have entered into a contract with CTI to supply ZEVALIN product through 2014 and a related services and security agreement under which CTI has agreed to reimburse us for costs incurred in an ongoing randomized clinical trial for ZEVALIN with respect to aggressive non-Hodgkin’s lymphoma. The $10.0 million upfront payment will be recognized in our results of operations over the term of the supply agreement.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Fumapharm</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June 2006, we completed the acquisition of 100% of the stock of Fumapharm, a privately held pharmaceutical company based in Switzerland that develops therapeutics derived from fumaric acid esters. As part of the acquisition, we acquired FUMADERM, a commercial product available in Germany for the treatment of psoriasis, and BG-12, a clinical-stage compound being studied for the treatment of MS and psoriasis that was being jointly developed by Fumapharm and us. The purpose of this acquisition was to support our goal of developing innovative therapeutic options for people living with MS.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As part of the acquisition, we agreed to pay $220.0 million, of which $218.0 million was paid at closing and $2.0 million will be retained until July 31, 2008 as partial coverage for any losses incurred as a result of any breach of representations and warranties. We agreed to additional payments of $15.0 million upon achievement of certain regulatory approvals, and additional payments in the event that annual and cumulative sales targets, as defined, are achieved.</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acquisition was funded from our existing cash on hand and has been accounted for as a business combination. Assets and liabilities assumed have been recorded at their fair values as of the date of acquisition. The results of operations for Fumapharm are included from the date of acquisition. Our purchase price allocation for the acquisition is set forth below (in millions):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In process research and development</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207.4</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Core technology</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Developed technology</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6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Other liabilities</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r>
      <w:tr>
        <w:trPr>
          <w:trHeight w:val="20"/>
        </w:trPr>
        <w:tc>
          <w:tcPr>
            <w:tcW w:w="3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380" w:type="dxa"/>
            <w:vAlign w:val="bottom"/>
            <w:shd w:val="clear" w:color="auto" w:fill="CCEEFF"/>
          </w:tcPr>
          <w:p>
            <w:pPr>
              <w:spacing w:after="0"/>
              <w:rPr>
                <w:sz w:val="14"/>
                <w:szCs w:val="14"/>
                <w:color w:val="auto"/>
              </w:rPr>
            </w:pP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14"/>
                <w:szCs w:val="14"/>
                <w:color w:val="auto"/>
              </w:rPr>
            </w:pPr>
          </w:p>
        </w:tc>
        <w:tc>
          <w:tcPr>
            <w:tcW w:w="6020" w:type="dxa"/>
            <w:vAlign w:val="bottom"/>
          </w:tcPr>
          <w:p>
            <w:pPr>
              <w:ind w:left="600"/>
              <w:spacing w:after="0"/>
              <w:rPr>
                <w:sz w:val="20"/>
                <w:szCs w:val="20"/>
                <w:color w:val="auto"/>
              </w:rPr>
            </w:pPr>
            <w:r>
              <w:rPr>
                <w:rFonts w:ascii="Arial" w:cs="Arial" w:eastAsia="Arial" w:hAnsi="Arial"/>
                <w:sz w:val="13"/>
                <w:szCs w:val="13"/>
                <w:color w:val="auto"/>
              </w:rPr>
              <w:t>Consideration and Gain</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Consideration</w:t>
            </w:r>
          </w:p>
        </w:tc>
        <w:tc>
          <w:tcPr>
            <w:tcW w:w="6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w:t>
            </w:r>
          </w:p>
        </w:tc>
        <w:tc>
          <w:tcPr>
            <w:tcW w:w="100" w:type="dxa"/>
            <w:vAlign w:val="bottom"/>
            <w:shd w:val="clear" w:color="auto" w:fill="CCEEFF"/>
          </w:tcPr>
          <w:p>
            <w:pPr>
              <w:spacing w:after="0"/>
              <w:rPr>
                <w:sz w:val="13"/>
                <w:szCs w:val="13"/>
                <w:color w:val="auto"/>
              </w:rPr>
            </w:pPr>
          </w:p>
        </w:tc>
      </w:tr>
      <w:tr>
        <w:trPr>
          <w:trHeight w:val="157"/>
        </w:trPr>
        <w:tc>
          <w:tcPr>
            <w:tcW w:w="3380" w:type="dxa"/>
            <w:vAlign w:val="bottom"/>
          </w:tcPr>
          <w:p>
            <w:pPr>
              <w:spacing w:after="0"/>
              <w:rPr>
                <w:sz w:val="20"/>
                <w:szCs w:val="20"/>
                <w:color w:val="auto"/>
              </w:rPr>
            </w:pPr>
            <w:r>
              <w:rPr>
                <w:rFonts w:ascii="Arial" w:cs="Arial" w:eastAsia="Arial" w:hAnsi="Arial"/>
                <w:sz w:val="13"/>
                <w:szCs w:val="13"/>
                <w:color w:val="auto"/>
              </w:rPr>
              <w:t>Gain on settlement of pre-existing license agreement</w:t>
            </w:r>
          </w:p>
        </w:tc>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34.2</w:t>
            </w:r>
          </w:p>
        </w:tc>
      </w:tr>
      <w:tr>
        <w:trPr>
          <w:trHeight w:val="157"/>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w:t>
            </w:r>
          </w:p>
        </w:tc>
        <w:tc>
          <w:tcPr>
            <w:tcW w:w="60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r>
      <w:tr>
        <w:trPr>
          <w:trHeight w:val="156"/>
        </w:trPr>
        <w:tc>
          <w:tcPr>
            <w:tcW w:w="3380" w:type="dxa"/>
            <w:vAlign w:val="bottom"/>
          </w:tcPr>
          <w:p>
            <w:pPr>
              <w:spacing w:after="0"/>
              <w:rPr>
                <w:sz w:val="13"/>
                <w:szCs w:val="13"/>
                <w:color w:val="auto"/>
              </w:rPr>
            </w:pPr>
          </w:p>
        </w:tc>
        <w:tc>
          <w:tcPr>
            <w:tcW w:w="61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254.5</w:t>
            </w:r>
          </w:p>
        </w:tc>
        <w:tc>
          <w:tcPr>
            <w:tcW w:w="100" w:type="dxa"/>
            <w:vAlign w:val="bottom"/>
          </w:tcPr>
          <w:p>
            <w:pPr>
              <w:spacing w:after="0"/>
              <w:rPr>
                <w:sz w:val="13"/>
                <w:szCs w:val="13"/>
                <w:color w:val="auto"/>
              </w:rPr>
            </w:pPr>
          </w:p>
        </w:tc>
      </w:tr>
      <w:tr>
        <w:trPr>
          <w:trHeight w:val="30"/>
        </w:trPr>
        <w:tc>
          <w:tcPr>
            <w:tcW w:w="33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allocation was completed during the fourth quarter of 2006.</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amount allocated to IPR&amp;D projects relates to the development of BG-12. BG-12 had recently received positive results from a Phase 2 study of its efficacy and safety for patients with relapsing-remitting MS and, subsequent to the acquisition, we initiated Phase 3 clinical trials. Since the acquisition in June of 2006, we have incurred $56.3 million in research and development costs. We expect to incur approximately an additional $111 million to complete the development of BG-12. The estimated revenues from BG-12 are expected to be recognized beginning in 2011. A discount rate of 12% was used to value the project, which we believe to be commensurate with the stage of development and the uncertainties in the economic estimates described above. At the date of acquisition, the development of BG-12 had not yet reached technological feasibility, and the research and development in progress had no alternative future use. Accordingly, $207.4 million in IPR&amp;D was expensed in 2006.</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fair value of intangible assets was based on valuations using an income approach, with estimates and assumptions determined by management. The core technology asset represents a combination of Fumapharm’s processes and procedures related to the design and development of its application products. The developed technology relates to processes and procedures related to products that have reached technological feasibility. Core technology is being amortized over approximately 12 years and the developed technology over approximately 3 years. The excess of purchase price over tangible assets, identifiable intangible assets and assumed liabilities represents goodwill. None of the goodwill or intangible assets acquired is deductible for income tax purposes. As a result, we recorded a deferred tax liability of $2.8 million, based on the tax effect of the amount of the acquired intangible assets other than goodwill with no tax basis.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In addition to the assets acquired, a gain of $34.2 million was recognized coincident with the acquisition of Fumapharm in accordance with EITF 04-1, </w:t>
      </w:r>
      <w:r>
        <w:rPr>
          <w:rFonts w:ascii="Arial" w:cs="Arial" w:eastAsia="Arial" w:hAnsi="Arial"/>
          <w:sz w:val="12"/>
          <w:szCs w:val="12"/>
          <w:i w:val="1"/>
          <w:iCs w:val="1"/>
          <w:color w:val="auto"/>
        </w:rPr>
        <w:t>Accounting for Preexisting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Relationships between the Parties to a Business Combination. </w:t>
      </w:r>
      <w:r>
        <w:rPr>
          <w:rFonts w:ascii="Arial" w:cs="Arial" w:eastAsia="Arial" w:hAnsi="Arial"/>
          <w:sz w:val="12"/>
          <w:szCs w:val="12"/>
          <w:color w:val="auto"/>
        </w:rPr>
        <w:t>The gain related to the settlement of a preexisting license agreement between Fumapharm and us. The license agreement in</w:t>
      </w:r>
      <w:r>
        <w:rPr>
          <w:rFonts w:ascii="Arial" w:cs="Arial" w:eastAsia="Arial" w:hAnsi="Arial"/>
          <w:sz w:val="12"/>
          <w:szCs w:val="12"/>
          <w:i w:val="1"/>
          <w:iCs w:val="1"/>
          <w:color w:val="auto"/>
        </w:rPr>
        <w:t xml:space="preserve"> </w:t>
      </w:r>
      <w:r>
        <w:rPr>
          <w:rFonts w:ascii="Arial" w:cs="Arial" w:eastAsia="Arial" w:hAnsi="Arial"/>
          <w:sz w:val="12"/>
          <w:szCs w:val="12"/>
          <w:color w:val="auto"/>
        </w:rPr>
        <w:t>question had been entered into in October 2003 and required us to make payments to Fumapharm of certain royalty amounts. The market rate for such payments was determined to have increased due, principally, to the increased technical feasibility of BG-12. The gain primarily relates to the difference between i) the royalty rates at the time the agreement was entered into as compared to ii) the expected higher royalty rates that would result at the time the agreement was effectively settled by virtue of our acquisition of Fumapharm.</w:t>
      </w:r>
    </w:p>
    <w:p>
      <w:pPr>
        <w:spacing w:after="0" w:line="55"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Future contingent consideration payments, if any, will be accounted for as increases to goodwill. The total revenue, operating income (loss) and net income (loss) impacts of the acquisition for the years ended December 31, 2006 and 2005 were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Conforma</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May 2006, we completed the acquisition of 100% of the stock of Conforma, a privately-held development stage biopharmaceutical company based in California that focused on the design and development of drugs for the treatment of cancer. The goal of this acquisition was to enable us to broaden our therapeutic opportunities in the field of oncology.</w:t>
      </w:r>
    </w:p>
    <w:p>
      <w:pPr>
        <w:spacing w:after="0" w:line="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acquired all of the issued and outstanding shares of the capital stock of Conforma for $150.0 million, paid at closing. Of this amount, $15.0 million has been escrowed by the sellers pending satisfaction of customary representations and warranties made by Conforma. Up to an additional $100.0 million could be payable to the sellers upon the achievement of certain future development milestones. Additionally, $0.5 million in transaction costs were incurred and loans of approximately $2.3 million were made to certain non-officer employees of Conforma, which are included in other assets in the accompanying consolidated balance sheet. Such loans are fully collateralized and were made for the purpose of assisting the employees in meeting their tax liabilities.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acquisition was funded from our existing cash on hand and was accounted for as an asset acquisition as Conforma is a development-stage company. As a result of the acquisition, we obtained the rights to two compounds in Phase 1 clinical trials: CNF1010, a proprietary form of the geldanamycin derivative 17-AAG; and CNF2024, or HSP90i, a totally synthetic, orally bioavailable heat shock protein 90 inhibitor.</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results of operations of Conforma are included in our results from the date of acquisition. Our completed purchase price allocation for the acquisition is set forth below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Fixed assets</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Assembled workforce</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In process research and development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123.1</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amount allocated to IPR&amp;D relates to the development of HSP90i, which is in Phase 1 clinical trials. Since the acquisition in June of 2006, we have incurred $22.9 million in research and development costs. We expect to incur approximately an additional $98 million to complete the development of HSP90i. The estimated revenues from HSP90i, if any, are expected to be recognized beginning in 2011. A discount rate of 12% was used to value the project, which we believe to be commensurate with the stage of development and the uncertainties in the economic estimates described above. At the date of acquisition, this compound had not reached technological feasibility and had no alternative future use. Accordingly, $123.1 million in IPR&amp;D was expensed in 2006.</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300" w:firstLine="399"/>
        <w:spacing w:after="0" w:line="334" w:lineRule="auto"/>
        <w:rPr>
          <w:sz w:val="20"/>
          <w:szCs w:val="20"/>
          <w:color w:val="auto"/>
        </w:rPr>
      </w:pPr>
      <w:r>
        <w:rPr>
          <w:rFonts w:ascii="Arial" w:cs="Arial" w:eastAsia="Arial" w:hAnsi="Arial"/>
          <w:sz w:val="11"/>
          <w:szCs w:val="11"/>
          <w:color w:val="auto"/>
        </w:rPr>
        <w:t>Upon acquisition, we recognized a deferred tax asset of $24.0 million relating to US federal and state net operating losses and tax credit carryforwards that we acquired from Conforma. The amount allocated to deferred tax assets does not include certain tax attributes, such as net operating losses and research credits, that may not be realized because they are subject to annual limitations under the Internal Revenue Code due to a cumulative ownership change of more than 50% which occurred in connection with our acquisition of Conforma.</w:t>
      </w:r>
    </w:p>
    <w:p>
      <w:pPr>
        <w:spacing w:after="0" w:line="3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Future contingent consideration payments, if any, will be recorded as IPR&amp;D. The total revenue, operating income (loss) and net income (loss) impacts of the acquisition for the years ended December 31, 2006 and 2005 were not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Fumedica Agreements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December 2006, we entered into an agreement with Fumedica. Fumedica is a privately held pharmaceutical company based in Germany and Switzerland that maintains distribution rights to FUMADERM and to whom we were contingently obligated to make royalty payments with respect to a successful launch of BG-12 for psoriasis in Germany. Fumedica had the rights to distribute FUMADERM in Germany through April 2009. Under the terms of the agreement, we have obtained all distribution and marketing rights to FUMADERM effective May 2007. No royalty payments were due under the agreement and under the terms of the transition agreement, we will not be required to make any royalty payments to Fumedica if BG-12 is successfully launched for psoriasis in Germany.</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connection with this transaction, we committed to total payments of 61.4 million Swiss Francs ($50.5 million), which will be paid to Fumedica in varying amounts from June 2008 through June 2018. The present value of these payments was $39.2 million. The fair value of the acquired FUMADERM distribution rights was approximately $11.1 million. This amount has been capitalized and included in intangible assets and will be amortized over approximately two years beginning in May 2007, based on the remaining term of the distribution agreement. The fair value of terminating the pre-existing agreement was approximately $28.1 million. This amount has been expensed as it relates to a product that has not reached technological feasibility.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present value of the payments due under the agreements will be accreted to future value at an interest rate of 5.75%, our incremental borrowing rate at the time of the acquisition.</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revenue, operating income (loss) and net income (loss) impacts of the acquisition for the years ended December 31, 2006 and 2005 were not material.</w:t>
      </w:r>
    </w:p>
    <w:p>
      <w:pPr>
        <w:spacing w:after="0" w:line="171" w:lineRule="exact"/>
        <w:rPr>
          <w:sz w:val="20"/>
          <w:szCs w:val="20"/>
          <w:color w:val="auto"/>
        </w:rPr>
      </w:pPr>
    </w:p>
    <w:p>
      <w:pPr>
        <w:ind w:left="1000" w:hanging="313"/>
        <w:spacing w:after="0"/>
        <w:tabs>
          <w:tab w:leader="none" w:pos="100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Financial instruments that potentially subject us to concentrations of credit risk are accounts receivable and marketable securities. Wholesale distributors and large pharmaceutical companies account for the majority of our accounts receivable and collateral is generally not required from these customers. To mitigate credit risk, we monitor the financial performance and credit worthiness of our customers.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including Strategic 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marketable securities and investments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rPr>
              <w:t>Fair</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10"/>
                <w:szCs w:val="10"/>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8"/>
              </w:rPr>
              <w:t>Amortized</w:t>
            </w:r>
          </w:p>
        </w:tc>
        <w:tc>
          <w:tcPr>
            <w:tcW w:w="0" w:type="dxa"/>
            <w:vAlign w:val="bottom"/>
          </w:tcPr>
          <w:p>
            <w:pPr>
              <w:spacing w:after="0"/>
              <w:rPr>
                <w:sz w:val="1"/>
                <w:szCs w:val="1"/>
                <w:color w:val="auto"/>
              </w:rPr>
            </w:pPr>
          </w:p>
        </w:tc>
      </w:tr>
      <w:tr>
        <w:trPr>
          <w:trHeight w:val="118"/>
        </w:trPr>
        <w:tc>
          <w:tcPr>
            <w:tcW w:w="5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Cost</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309.7</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192.5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192.4</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227.8</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537.0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532.3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available-for-sale securities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1,443.</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99"/>
        </w:trPr>
        <w:tc>
          <w:tcPr>
            <w:tcW w:w="5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vMerge w:val="restart"/>
          </w:tcPr>
          <w:p>
            <w:pPr>
              <w:jc w:val="center"/>
              <w:ind w:right="97"/>
              <w:spacing w:after="0"/>
              <w:rPr>
                <w:sz w:val="20"/>
                <w:szCs w:val="20"/>
                <w:color w:val="auto"/>
              </w:rPr>
            </w:pPr>
            <w:r>
              <w:rPr>
                <w:rFonts w:ascii="Arial" w:cs="Arial" w:eastAsia="Arial" w:hAnsi="Arial"/>
                <w:sz w:val="10"/>
                <w:szCs w:val="10"/>
                <w:b w:val="1"/>
                <w:bCs w:val="1"/>
                <w:color w:val="auto"/>
              </w:rPr>
              <w:t>Fair</w:t>
            </w:r>
          </w:p>
        </w:tc>
        <w:tc>
          <w:tcPr>
            <w:tcW w:w="400" w:type="dxa"/>
            <w:vAlign w:val="bottom"/>
            <w:vMerge w:val="restart"/>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89"/>
              </w:rPr>
              <w:t>Gross</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Gross</w:t>
            </w:r>
          </w:p>
        </w:tc>
        <w:tc>
          <w:tcPr>
            <w:tcW w:w="4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0"/>
                <w:szCs w:val="10"/>
                <w:b w:val="1"/>
                <w:bCs w:val="1"/>
                <w:color w:val="auto"/>
                <w:w w:val="98"/>
              </w:rPr>
              <w:t>Amortized</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59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2006:</w:t>
            </w: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Cost</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197.1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197.8</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439.4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442.2</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271.5</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Non-current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703.6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available-for-sale securities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1,653.6</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1,659.</w:t>
            </w:r>
            <w:r>
              <w:rPr>
                <w:rFonts w:ascii="Arial" w:cs="Arial" w:eastAsia="Arial" w:hAnsi="Arial"/>
                <w:sz w:val="13"/>
                <w:szCs w:val="13"/>
                <w:u w:val="single" w:color="auto"/>
                <w:color w:val="auto"/>
              </w:rPr>
              <w:t>7</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20"/>
                <w:szCs w:val="20"/>
                <w:color w:val="auto"/>
              </w:rPr>
            </w:pPr>
            <w:r>
              <w:rPr>
                <w:rFonts w:ascii="Arial" w:cs="Arial" w:eastAsia="Arial" w:hAnsi="Arial"/>
                <w:sz w:val="13"/>
                <w:szCs w:val="13"/>
                <w:i w:val="1"/>
                <w:iCs w:val="1"/>
                <w:color w:val="auto"/>
              </w:rPr>
              <w:t>Other Investments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tables above include our loaned securities. In the years ended December 31, 2007 and 2005, we recognized $7.5 million and $3.1 million, respectively, in charges for the impairment of available-for-sale securities, other than strategic investments, that were determined to be other-than-temporary following a decline in value. No such charges were recognized in 2006.</w:t>
      </w:r>
    </w:p>
    <w:p>
      <w:pPr>
        <w:spacing w:after="0" w:line="67"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Unrealized losses relate to various debt securities, including U.S. Government issues, corporate bonds and asset-backed securities. The unrealized losses on these securities were primarily caused by a rise in interest rates subsequent to purchase. We believe that these unrealized losses are temporary, and we have the intent and ability to hold these securities to recovery, which may be at maturity.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proceeds from maturities and sales of marketable securities, excluding strategic investments, which were primarily reinvested, and resulting realized gains and losses were as follows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maturities and sales</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3,154.3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1,787.1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1,782.1</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Realized gains</w:t>
            </w: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1.9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Realized losses</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44"/>
        </w:trPr>
        <w:tc>
          <w:tcPr>
            <w:tcW w:w="8880" w:type="dxa"/>
            <w:vAlign w:val="bottom"/>
            <w:gridSpan w:val="10"/>
          </w:tcPr>
          <w:p>
            <w:pPr>
              <w:ind w:left="400"/>
              <w:spacing w:after="0"/>
              <w:rPr>
                <w:sz w:val="20"/>
                <w:szCs w:val="20"/>
                <w:color w:val="auto"/>
              </w:rPr>
            </w:pPr>
            <w:r>
              <w:rPr>
                <w:rFonts w:ascii="Arial" w:cs="Arial" w:eastAsia="Arial" w:hAnsi="Arial"/>
                <w:sz w:val="13"/>
                <w:szCs w:val="13"/>
                <w:color w:val="auto"/>
                <w:w w:val="93"/>
              </w:rPr>
              <w:t>The estimated fair value and amortized cost of securities, excluding strategic investments, available-for-sale by contractual maturity are as follows (in millions):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December 31, 2007</w:t>
            </w: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5"/>
          </w:tcPr>
          <w:p>
            <w:pPr>
              <w:jc w:val="right"/>
              <w:ind w:right="320"/>
              <w:spacing w:after="0" w:line="98" w:lineRule="exact"/>
              <w:rPr>
                <w:sz w:val="20"/>
                <w:szCs w:val="20"/>
                <w:color w:val="auto"/>
              </w:rPr>
            </w:pPr>
            <w:r>
              <w:rPr>
                <w:rFonts w:ascii="Arial" w:cs="Arial" w:eastAsia="Arial" w:hAnsi="Arial"/>
                <w:sz w:val="10"/>
                <w:szCs w:val="10"/>
                <w:b w:val="1"/>
                <w:bCs w:val="1"/>
                <w:color w:val="auto"/>
                <w:w w:val="97"/>
              </w:rPr>
              <w:t>Estimated Fair Value</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3"/>
          </w:tcPr>
          <w:p>
            <w:pPr>
              <w:jc w:val="right"/>
              <w:ind w:right="176"/>
              <w:spacing w:after="0" w:line="98" w:lineRule="exact"/>
              <w:rPr>
                <w:sz w:val="20"/>
                <w:szCs w:val="20"/>
                <w:color w:val="auto"/>
              </w:rPr>
            </w:pPr>
            <w:r>
              <w:rPr>
                <w:rFonts w:ascii="Arial" w:cs="Arial" w:eastAsia="Arial" w:hAnsi="Arial"/>
                <w:sz w:val="10"/>
                <w:szCs w:val="10"/>
                <w:b w:val="1"/>
                <w:bCs w:val="1"/>
                <w:color w:val="auto"/>
              </w:rPr>
              <w:t>Amortized Cost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300" w:type="dxa"/>
            <w:vAlign w:val="bottom"/>
            <w:shd w:val="clear" w:color="auto" w:fill="CCEEFF"/>
          </w:tcPr>
          <w:p>
            <w:pPr>
              <w:jc w:val="right"/>
              <w:ind w:right="181"/>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376.6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376.6</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544.3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536.2</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Mortgage and other asset backed securities</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530.5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300" w:type="dxa"/>
            <w:vAlign w:val="bottom"/>
          </w:tcPr>
          <w:p>
            <w:pPr>
              <w:jc w:val="right"/>
              <w:ind w:right="181"/>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1,456.1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1,443.3</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average maturity of our marketable securities at December 31, 2007 and 2006 was 15 months and 18 months,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Strategic Investments</w:t>
      </w:r>
    </w:p>
    <w:p>
      <w:pPr>
        <w:spacing w:after="0" w:line="96"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In 2007, we sold our share in one strategic investment for $99.5 million, which resulted in an $17.2 million gain. In 2006 and 2005, we did not sell any portion of strategic investments. Strategic investments are included in investments and other assets on the accompanying balance sheet.</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2007, 2006 and 2005, we recognized $16.0 million, $30.5 million and $13.8 million in charges, respectively, for the impairment of strategic investments for declines in value that were determined to be other-than-temporary.</w:t>
      </w:r>
    </w:p>
    <w:p>
      <w:pPr>
        <w:spacing w:after="0" w:line="59" w:lineRule="exact"/>
        <w:rPr>
          <w:sz w:val="20"/>
          <w:szCs w:val="20"/>
          <w:color w:val="auto"/>
        </w:rPr>
      </w:pPr>
    </w:p>
    <w:p>
      <w:pPr>
        <w:jc w:val="both"/>
        <w:ind w:left="680" w:right="60" w:firstLine="399"/>
        <w:spacing w:after="0" w:line="371" w:lineRule="auto"/>
        <w:rPr>
          <w:sz w:val="20"/>
          <w:szCs w:val="20"/>
          <w:color w:val="auto"/>
        </w:rPr>
      </w:pPr>
      <w:r>
        <w:rPr>
          <w:rFonts w:ascii="Arial" w:cs="Arial" w:eastAsia="Arial" w:hAnsi="Arial"/>
          <w:sz w:val="11"/>
          <w:szCs w:val="11"/>
          <w:color w:val="auto"/>
        </w:rPr>
        <w:t>We hold other investments in equity securities of certain privately held biotechnology companies or biotechnology oriented venture capital funds. The cost basis of these securities at December 31, 2007 and 2006 is $52.9 million and $32.6 million, respectively. These securities are included in investments and other assets on the accompanying consolidated balance sheet.</w:t>
      </w:r>
    </w:p>
    <w:p>
      <w:pPr>
        <w:spacing w:after="0" w:line="12"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2007, 2006 and 2005, we recorded $2.4 million, $3.9 million and $1.6 million, respectively, in charges for the impairment for certain of those investments that were determined to be other than temporary.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Forward Contracts</w:t>
      </w:r>
    </w:p>
    <w:p>
      <w:pPr>
        <w:spacing w:after="0" w:line="96" w:lineRule="exact"/>
        <w:rPr>
          <w:sz w:val="20"/>
          <w:szCs w:val="20"/>
          <w:color w:val="auto"/>
        </w:rPr>
      </w:pPr>
    </w:p>
    <w:p>
      <w:pPr>
        <w:ind w:left="680" w:right="280" w:firstLine="399"/>
        <w:spacing w:after="0" w:line="289" w:lineRule="auto"/>
        <w:rPr>
          <w:sz w:val="20"/>
          <w:szCs w:val="20"/>
          <w:color w:val="auto"/>
        </w:rPr>
      </w:pPr>
      <w:r>
        <w:rPr>
          <w:rFonts w:ascii="Arial" w:cs="Arial" w:eastAsia="Arial" w:hAnsi="Arial"/>
          <w:sz w:val="12"/>
          <w:szCs w:val="12"/>
          <w:color w:val="auto"/>
        </w:rPr>
        <w:t>We use foreign currency forward contracts to hedge specific forecasted transactions denominated in foreign currencies. All foreign currency forward contracts in effect at December 31, 2007 had durations of 1 to 12 months. These contracts have been designated as cash flow hedges and accordingly, to the extent effective, any unrealized gains or losses on these foreign currency forward contracts are reported in accumulated other comprehensive income (loss). Realized gains and losses for the effective portion are recognized with the completion of the underlying hedge transaction. To the extent ineffective, hedge transaction gains and losses are reported in other income (expense).</w:t>
      </w:r>
    </w:p>
    <w:p>
      <w:pPr>
        <w:spacing w:after="0" w:line="5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notional settlement amount of the foreign currency forward contracts outstanding at December 31, 2007 was approximately $409.2 million. The fair value of these contracts was a loss of $6.4 million and was included in other current liabilities at December 31, 2007. The notional settlement amount of the foreign currency forward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0"/>
        <w:spacing w:after="0" w:line="276" w:lineRule="auto"/>
        <w:rPr>
          <w:sz w:val="20"/>
          <w:szCs w:val="20"/>
          <w:color w:val="auto"/>
        </w:rPr>
      </w:pPr>
      <w:r>
        <w:rPr>
          <w:rFonts w:ascii="Arial" w:cs="Arial" w:eastAsia="Arial" w:hAnsi="Arial"/>
          <w:sz w:val="13"/>
          <w:szCs w:val="13"/>
          <w:color w:val="auto"/>
        </w:rPr>
        <w:t>contracts outstanding at December 31, 2006 was approximately $293.2 million. The fair value of these contracts was a loss of $0.2 million and is included in other current liabilities at December 31, 2006.</w:t>
      </w:r>
    </w:p>
    <w:p>
      <w:pPr>
        <w:spacing w:after="0" w:line="59" w:lineRule="exact"/>
        <w:rPr>
          <w:sz w:val="20"/>
          <w:szCs w:val="20"/>
          <w:color w:val="auto"/>
        </w:rPr>
      </w:pPr>
    </w:p>
    <w:p>
      <w:pPr>
        <w:ind w:left="680" w:right="1180" w:firstLine="399"/>
        <w:spacing w:after="0" w:line="264" w:lineRule="auto"/>
        <w:rPr>
          <w:sz w:val="20"/>
          <w:szCs w:val="20"/>
          <w:color w:val="auto"/>
        </w:rPr>
      </w:pPr>
      <w:r>
        <w:rPr>
          <w:rFonts w:ascii="Arial" w:cs="Arial" w:eastAsia="Arial" w:hAnsi="Arial"/>
          <w:sz w:val="13"/>
          <w:szCs w:val="13"/>
          <w:color w:val="auto"/>
        </w:rPr>
        <w:t>In 2007, there was $2.6 million recognized in earnings as a loss due to hedge ineffectiveness. We recognized $13.1 million of losses in product revenue and no losses in royalty revenue for the settlement of certain effective cash flow hedge instruments through December 31, 2007. These settlements were recorded in the same period as the related forecasted transactions affecting earnings.</w:t>
      </w:r>
    </w:p>
    <w:p>
      <w:pPr>
        <w:spacing w:after="0" w:line="67" w:lineRule="exact"/>
        <w:rPr>
          <w:sz w:val="20"/>
          <w:szCs w:val="20"/>
          <w:color w:val="auto"/>
        </w:rPr>
      </w:pPr>
    </w:p>
    <w:p>
      <w:pPr>
        <w:ind w:left="680" w:right="820" w:firstLine="399"/>
        <w:spacing w:after="0" w:line="334" w:lineRule="auto"/>
        <w:rPr>
          <w:sz w:val="20"/>
          <w:szCs w:val="20"/>
          <w:color w:val="auto"/>
        </w:rPr>
      </w:pPr>
      <w:r>
        <w:rPr>
          <w:rFonts w:ascii="Arial" w:cs="Arial" w:eastAsia="Arial" w:hAnsi="Arial"/>
          <w:sz w:val="11"/>
          <w:szCs w:val="11"/>
          <w:color w:val="auto"/>
        </w:rPr>
        <w:t>In 2006, there was $0.6 million recognized in earnings as a loss due to hedge ineffectiveness and $0.9 million recognized in earnings as a loss as a result of the discontinuance of cash flow hedge accounting because it was no longer probable that the hedge forecasted transaction would occur. We recognized $11.2 million of losses in product revenue for the settlement of certain effective cash flow hedge instruments through December 31, 2006. These settlements were recorded in the same period as the related forecasted transactions affecting earnings.</w:t>
      </w:r>
    </w:p>
    <w:p>
      <w:pPr>
        <w:spacing w:after="0" w:line="32"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In 2005, there was $1.0 million recognized in earnings as a gain due to hedge ineffectiveness and $0.3 million recognized in earnings as a gain as a result of the discontinuance of cash flow hedge accounting because it was no longer probable that the hedge forecasted transaction would occur. We recognized $0.1 million of losses in product revenue and $0.2 million of losses in royalty revenue for the settlement of certain effective cash flow hedge instruments through December 31, 2005. These settlements were recorded in the same period as the related forecasted transactions affecting earnings.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44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tcPr>
          <w:p>
            <w:pPr>
              <w:ind w:left="280"/>
              <w:spacing w:after="0"/>
              <w:rPr>
                <w:sz w:val="20"/>
                <w:szCs w:val="20"/>
                <w:color w:val="auto"/>
              </w:rPr>
            </w:pPr>
            <w:r>
              <w:rPr>
                <w:rFonts w:ascii="Arial" w:cs="Arial" w:eastAsia="Arial" w:hAnsi="Arial"/>
                <w:sz w:val="13"/>
                <w:szCs w:val="13"/>
                <w:color w:val="auto"/>
                <w:w w:val="97"/>
              </w:rPr>
              <w:t>Basic and diluted earnings per share are calculated as follows (in millions):</w:t>
            </w:r>
          </w:p>
        </w:tc>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w w:val="98"/>
              </w:rPr>
              <w:t>2007</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Income before cumulative effect of accounting change</w:t>
            </w:r>
          </w:p>
        </w:tc>
        <w:tc>
          <w:tcPr>
            <w:tcW w:w="3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638.2</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accounting change, net of income tax</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13"/>
                <w:szCs w:val="13"/>
                <w:color w:val="auto"/>
              </w:rPr>
              <w:t>Net income</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638.2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net income allocable to preferred stock</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13"/>
                <w:szCs w:val="13"/>
                <w:color w:val="auto"/>
              </w:rPr>
              <w:t>Net income used in calculating basic earnings per share</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637.2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217.2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interest, net of interest capitalized and tax</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13"/>
                <w:szCs w:val="13"/>
                <w:color w:val="auto"/>
              </w:rPr>
              <w:t>Net income used in calculating diluted earnings per share</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637.2</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217.2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Denominator:</w:t>
            </w:r>
          </w:p>
        </w:tc>
        <w:tc>
          <w:tcPr>
            <w:tcW w:w="30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Weighted average number of common shares outstanding</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315.8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338.6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dilutive securities:</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Stock options and ESPP</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awards</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Time-vested restricted stock units</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Performance-based restricted stock units</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Convertible promissory notes due 2019</w:t>
            </w: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Convertible promissory notes due 2032</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vMerge w:val="restart"/>
          </w:tcPr>
          <w:p>
            <w:pPr>
              <w:ind w:left="20"/>
              <w:spacing w:after="0"/>
              <w:rPr>
                <w:sz w:val="20"/>
                <w:szCs w:val="20"/>
                <w:color w:val="auto"/>
              </w:rPr>
            </w:pPr>
            <w:r>
              <w:rPr>
                <w:rFonts w:ascii="Arial" w:cs="Arial" w:eastAsia="Arial" w:hAnsi="Arial"/>
                <w:sz w:val="13"/>
                <w:szCs w:val="13"/>
                <w:color w:val="auto"/>
              </w:rPr>
              <w:t>Dilutive potential common shares</w:t>
            </w: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8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calculating diluted earnings per share</w:t>
            </w:r>
          </w:p>
        </w:tc>
        <w:tc>
          <w:tcPr>
            <w:tcW w:w="3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345.3</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ind w:left="280"/>
              <w:spacing w:after="0"/>
              <w:rPr>
                <w:sz w:val="20"/>
                <w:szCs w:val="20"/>
                <w:color w:val="auto"/>
              </w:rPr>
            </w:pPr>
            <w:r>
              <w:rPr>
                <w:rFonts w:ascii="Arial" w:cs="Arial" w:eastAsia="Arial" w:hAnsi="Arial"/>
                <w:sz w:val="13"/>
                <w:szCs w:val="13"/>
                <w:color w:val="auto"/>
              </w:rPr>
              <w:t>F-27</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4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amounts were not included in the calculation of net income per share because their effects were anti-dilutive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w w:val="96"/>
              </w:rPr>
              <w:t>Year Ended December 31,</w:t>
            </w: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0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Net income allocable to preferred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 for interest, net of tax</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1.0</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5"/>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Time-vested restricted stock units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Convertible preferred stock</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Convertible promissory notes due 2032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30"/>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 xml:space="preserve">As a result of the tender offer described in Note 20, Tender Offer, earnings per share for the year ended December 31, 2007 reflects on a weighted average basis the repurchase of 56,424,155 shares as of June 27, 2007, the date the obligation was incurred, in accordance with FASB Statement No. 150, </w:t>
      </w:r>
      <w:r>
        <w:rPr>
          <w:rFonts w:ascii="Arial" w:cs="Arial" w:eastAsia="Arial" w:hAnsi="Arial"/>
          <w:sz w:val="13"/>
          <w:szCs w:val="13"/>
          <w:i w:val="1"/>
          <w:iCs w:val="1"/>
          <w:color w:val="auto"/>
        </w:rPr>
        <w:t>Accounting for Certain Financial Instruments with Characteristics</w:t>
      </w:r>
      <w:r>
        <w:rPr>
          <w:rFonts w:ascii="Arial" w:cs="Arial" w:eastAsia="Arial" w:hAnsi="Arial"/>
          <w:sz w:val="13"/>
          <w:szCs w:val="13"/>
          <w:color w:val="auto"/>
        </w:rPr>
        <w:t xml:space="preserve"> </w:t>
      </w:r>
      <w:r>
        <w:rPr>
          <w:rFonts w:ascii="Arial" w:cs="Arial" w:eastAsia="Arial" w:hAnsi="Arial"/>
          <w:sz w:val="13"/>
          <w:szCs w:val="13"/>
          <w:i w:val="1"/>
          <w:iCs w:val="1"/>
          <w:color w:val="auto"/>
        </w:rPr>
        <w:t>of Both Liabilities and Equity</w:t>
      </w:r>
      <w:r>
        <w:rPr>
          <w:rFonts w:ascii="Arial" w:cs="Arial" w:eastAsia="Arial" w:hAnsi="Arial"/>
          <w:sz w:val="13"/>
          <w:szCs w:val="13"/>
          <w:color w:val="auto"/>
        </w:rPr>
        <w:t>, or SFAS 150.</w:t>
      </w:r>
    </w:p>
    <w:p>
      <w:pPr>
        <w:spacing w:after="0" w:line="142" w:lineRule="exact"/>
        <w:rPr>
          <w:sz w:val="20"/>
          <w:szCs w:val="20"/>
          <w:color w:val="auto"/>
        </w:rPr>
      </w:pPr>
    </w:p>
    <w:p>
      <w:pPr>
        <w:ind w:left="1000" w:hanging="313"/>
        <w:spacing w:after="0"/>
        <w:tabs>
          <w:tab w:leader="none" w:pos="10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expense</w:t>
      </w:r>
    </w:p>
    <w:p>
      <w:pPr>
        <w:spacing w:after="0" w:line="96"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For 2007, we recorded pre-tax share-based compensation expense of $123.1 million. For 2006, we recorded pre-tax share based compensation expense of $126.8 million. The expense for 2006 is net of a cumulative effect pre-tax adjustment of $5.6 million, or $3.8 million after-tax, resulting from the application of an estimated forfeiture rate for pre-2006 unvested restricted stock awards.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2007 and 2006 share based compensation expense reduced our results of operations as follows (in millions except for earnings per share):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8"/>
              </w:rPr>
              <w:t>Year Ended</w:t>
            </w:r>
          </w:p>
        </w:tc>
        <w:tc>
          <w:tcPr>
            <w:tcW w:w="12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Year Ended December 31, 2006</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Impact Before</w:t>
            </w:r>
          </w:p>
        </w:tc>
        <w:tc>
          <w:tcPr>
            <w:tcW w:w="100" w:type="dxa"/>
            <w:vAlign w:val="bottom"/>
          </w:tcPr>
          <w:p>
            <w:pPr>
              <w:spacing w:after="0"/>
              <w:rPr>
                <w:sz w:val="7"/>
                <w:szCs w:val="7"/>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6"/>
              </w:rPr>
              <w:t>Cumulative</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Cumulative</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Effect of</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Effect of</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Effect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jc w:val="center"/>
              <w:ind w:right="82"/>
              <w:spacing w:after="0" w:line="81" w:lineRule="exact"/>
              <w:rPr>
                <w:sz w:val="20"/>
                <w:szCs w:val="20"/>
                <w:color w:val="auto"/>
              </w:rPr>
            </w:pPr>
            <w:r>
              <w:rPr>
                <w:rFonts w:ascii="Arial" w:cs="Arial" w:eastAsia="Arial" w:hAnsi="Arial"/>
                <w:sz w:val="9"/>
                <w:szCs w:val="9"/>
                <w:b w:val="1"/>
                <w:bCs w:val="1"/>
                <w:color w:val="auto"/>
              </w:rPr>
              <w:t>Effect on</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Accounting</w:t>
            </w: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Accounting</w:t>
            </w:r>
          </w:p>
        </w:tc>
        <w:tc>
          <w:tcPr>
            <w:tcW w:w="60" w:type="dxa"/>
            <w:vAlign w:val="bottom"/>
          </w:tcPr>
          <w:p>
            <w:pPr>
              <w:spacing w:after="0"/>
              <w:rPr>
                <w:sz w:val="7"/>
                <w:szCs w:val="7"/>
                <w:color w:val="auto"/>
              </w:rPr>
            </w:pPr>
          </w:p>
        </w:tc>
        <w:tc>
          <w:tcPr>
            <w:tcW w:w="5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9"/>
              </w:rPr>
              <w:t>on Net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Net Income</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Change</w:t>
            </w:r>
          </w:p>
        </w:tc>
        <w:tc>
          <w:tcPr>
            <w:tcW w:w="10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Change</w:t>
            </w:r>
          </w:p>
        </w:tc>
        <w:tc>
          <w:tcPr>
            <w:tcW w:w="6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Income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Tax effect</w:t>
            </w: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00" w:type="dxa"/>
            <w:vAlign w:val="bottom"/>
            <w:vMerge w:val="restart"/>
          </w:tcPr>
          <w:p>
            <w:pPr>
              <w:ind w:left="140"/>
              <w:spacing w:after="0"/>
              <w:rPr>
                <w:sz w:val="20"/>
                <w:szCs w:val="20"/>
                <w:color w:val="auto"/>
              </w:rPr>
            </w:pPr>
            <w:r>
              <w:rPr>
                <w:rFonts w:ascii="Arial" w:cs="Arial" w:eastAsia="Arial" w:hAnsi="Arial"/>
                <w:sz w:val="13"/>
                <w:szCs w:val="13"/>
                <w:color w:val="auto"/>
              </w:rPr>
              <w:t>Basic earnings per share</w:t>
            </w: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0.27</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0.27</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(0.01)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0.26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40" w:type="dxa"/>
            <w:vAlign w:val="bottom"/>
            <w:gridSpan w:val="2"/>
          </w:tcPr>
          <w:p>
            <w:pPr>
              <w:jc w:val="right"/>
              <w:ind w:right="354"/>
              <w:spacing w:after="0"/>
              <w:rPr>
                <w:sz w:val="20"/>
                <w:szCs w:val="20"/>
                <w:color w:val="auto"/>
              </w:rPr>
            </w:pPr>
            <w:r>
              <w:rPr>
                <w:rFonts w:ascii="Arial" w:cs="Arial" w:eastAsia="Arial" w:hAnsi="Arial"/>
                <w:sz w:val="13"/>
                <w:szCs w:val="13"/>
                <w:color w:val="auto"/>
              </w:rPr>
              <w:t>F-28</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2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Share-based compensation expense and cost for 2007 and 2006 is as follows (in millions):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9"/>
                <w:szCs w:val="9"/>
                <w:b w:val="1"/>
                <w:bCs w:val="1"/>
                <w:color w:val="auto"/>
              </w:rPr>
              <w:t>Year Ended December 31, 2007</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gridSpan w:val="5"/>
          </w:tcPr>
          <w:p>
            <w:pPr>
              <w:ind w:left="540"/>
              <w:spacing w:after="0"/>
              <w:rPr>
                <w:sz w:val="20"/>
                <w:szCs w:val="20"/>
                <w:color w:val="auto"/>
              </w:rPr>
            </w:pPr>
            <w:r>
              <w:rPr>
                <w:rFonts w:ascii="Arial" w:cs="Arial" w:eastAsia="Arial" w:hAnsi="Arial"/>
                <w:sz w:val="9"/>
                <w:szCs w:val="9"/>
                <w:b w:val="1"/>
                <w:bCs w:val="1"/>
                <w:color w:val="auto"/>
              </w:rPr>
              <w:t>Year Ended December 31, 2006</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center"/>
              <w:ind w:right="280"/>
              <w:spacing w:after="0" w:line="75" w:lineRule="exact"/>
              <w:rPr>
                <w:sz w:val="20"/>
                <w:szCs w:val="20"/>
                <w:color w:val="auto"/>
              </w:rPr>
            </w:pPr>
            <w:r>
              <w:rPr>
                <w:rFonts w:ascii="Arial" w:cs="Arial" w:eastAsia="Arial" w:hAnsi="Arial"/>
                <w:sz w:val="8"/>
                <w:szCs w:val="8"/>
                <w:b w:val="1"/>
                <w:bCs w:val="1"/>
                <w:color w:val="auto"/>
              </w:rPr>
              <w:t>Restricted Stock</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Restricted Stock</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right"/>
              <w:ind w:right="320"/>
              <w:spacing w:after="0" w:line="98" w:lineRule="exact"/>
              <w:rPr>
                <w:sz w:val="20"/>
                <w:szCs w:val="20"/>
                <w:color w:val="auto"/>
              </w:rPr>
            </w:pPr>
            <w:r>
              <w:rPr>
                <w:rFonts w:ascii="Arial" w:cs="Arial" w:eastAsia="Arial" w:hAnsi="Arial"/>
                <w:sz w:val="9"/>
                <w:szCs w:val="9"/>
                <w:b w:val="1"/>
                <w:bCs w:val="1"/>
                <w:color w:val="auto"/>
                <w:w w:val="94"/>
              </w:rPr>
              <w:t>Stock Options</w:t>
            </w: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2"/>
              </w:rPr>
              <w:t>and Restricted</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320"/>
              <w:spacing w:after="0" w:line="98" w:lineRule="exact"/>
              <w:rPr>
                <w:sz w:val="20"/>
                <w:szCs w:val="20"/>
                <w:color w:val="auto"/>
              </w:rPr>
            </w:pPr>
            <w:r>
              <w:rPr>
                <w:rFonts w:ascii="Arial" w:cs="Arial" w:eastAsia="Arial" w:hAnsi="Arial"/>
                <w:sz w:val="9"/>
                <w:szCs w:val="9"/>
                <w:b w:val="1"/>
                <w:bCs w:val="1"/>
                <w:color w:val="auto"/>
                <w:w w:val="91"/>
              </w:rPr>
              <w:t>Stock Options</w:t>
            </w: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2"/>
              </w:rPr>
              <w:t>and Restricted</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&amp; ESPP</w:t>
            </w: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Stock Units</w:t>
            </w:r>
          </w:p>
        </w:tc>
        <w:tc>
          <w:tcPr>
            <w:tcW w:w="80" w:type="dxa"/>
            <w:vAlign w:val="bottom"/>
          </w:tcPr>
          <w:p>
            <w:pPr>
              <w:spacing w:after="0"/>
              <w:rPr>
                <w:sz w:val="9"/>
                <w:szCs w:val="9"/>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9"/>
                <w:szCs w:val="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&amp; ESPP</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2"/>
              </w:rPr>
              <w:t>Stock Units</w:t>
            </w:r>
          </w:p>
        </w:tc>
        <w:tc>
          <w:tcPr>
            <w:tcW w:w="80" w:type="dxa"/>
            <w:vAlign w:val="bottom"/>
          </w:tcPr>
          <w:p>
            <w:pPr>
              <w:spacing w:after="0"/>
              <w:rPr>
                <w:sz w:val="9"/>
                <w:szCs w:val="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53.2</w:t>
            </w:r>
          </w:p>
        </w:tc>
        <w:tc>
          <w:tcPr>
            <w:tcW w:w="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53.5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127.8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135.7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tcPr>
          <w:p>
            <w:pPr>
              <w:spacing w:after="0"/>
              <w:rPr>
                <w:sz w:val="20"/>
                <w:szCs w:val="20"/>
                <w:color w:val="auto"/>
              </w:rPr>
            </w:pPr>
            <w:r>
              <w:rPr>
                <w:rFonts w:ascii="Arial" w:cs="Arial" w:eastAsia="Arial" w:hAnsi="Arial"/>
                <w:sz w:val="13"/>
                <w:szCs w:val="13"/>
                <w:color w:val="auto"/>
              </w:rPr>
              <w:t>Pre-tax cumulative effect of catch-up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127.8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130.1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3"/>
                <w:szCs w:val="13"/>
                <w:color w:val="auto"/>
              </w:rPr>
              <w:t>Capitalized share-based payment costs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123.1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126.8</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 2007, we capitalized total costs of $4.7 million associated with share-based compensation costs to inventory and fixed assets. For 2006, we capitalized total costs of $3.3 million associated with share-based compensation costs to inventory and fixed assets.</w:t>
      </w:r>
    </w:p>
    <w:p>
      <w:pPr>
        <w:spacing w:after="0" w:line="59"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In accordance with SFAS 123(R), windfall tax benefits from vesting of stock awards, exercises of stock options and ESPP participation of $69.7 million and $31.7 million were recorded as cash inflows from financing activities in our consolidated statement of cash flows for 2007 and 2006, respectively. This amount has been calculated in accordance with the alternative transition method described in FSP FAS 123(R) — 3, which we adopted effective the fourth quarter of 2006.</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total amount of tax benefit realized during 2007 was $103.6 million. Cash received from the exercise of stock options in 2007 was approximately $471 million. The total amount of tax benefit realized during 2006 was $42.8 million. Cash received from the exercise of stock options in 2006 was approximately $131.8 million.</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At December 31, 2007, unrecognized compensation costs relating to unvested share-based compensation was approximately $160 million. We expect to recognize the cost of these unvested awards over a weighted-average period of one year. In accordance with SFAS 123(R), deferred share-based compensation is no longer reflected as a separate component of shareholders’ equity in the consolidated balance sheet. As a result, we reclassified our deferred share-based compensation of $42.9 million at December 31, 2005 to additional paid in capital during the first quarter of 2006.</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Share-based Compensation Plans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have three share-based compensation plans pursuant to which awards are currently being made: (i) the Biogen Idec Inc. 2006 Non-Employee Directors Equity Plan, or the 2006 Directors Plan; (ii) the Biogen Idec Inc. 2005 Omnibus Equity Plan, or the 2005 Omnibus Plan; and (iii) the Biogen Idec Inc. 1995 Employee Stock Purchase Plan, or ESPP. We have four share-based compensation plans pursuant to which outstanding awards have been made, but from which no further awards can or will be made: (i) the Idec Pharmaceuticals Corporation 1993 Non-Employee Directors Stock Option Plan, or the 1993 Directors Plan; (ii) the Idec Pharmaceuticals Corporation 1998 Stock Option Plan; (iii) the Biogen, Inc. 1985 Non-Qualified Stock Option Plan; and (iv) the Biogen, Inc. 1987 Scientific Board Stock Option Plan. In addition, we have the Biogen Idec Inc. 2003 Omnibus Equity Plan, or the 2003 Omnibus Plan, pursuant to which outstanding awards have been made. We have not made any awards from the 2003 Omnibus Plan since our stockholders approved the 2005 Omnibus Plan and do not intend to make any awards from the 2003 Omnibus Plan in the future.</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Directors Plan: </w:t>
      </w:r>
      <w:r>
        <w:rPr>
          <w:rFonts w:ascii="Arial" w:cs="Arial" w:eastAsia="Arial" w:hAnsi="Arial"/>
          <w:sz w:val="11"/>
          <w:szCs w:val="11"/>
          <w:color w:val="auto"/>
        </w:rPr>
        <w:t>In May 2006, our stockholders approved the 2006 Directors Plan for share-based awards to our directors. Awards granted from the 2006 Directors Plan may include</w:t>
      </w:r>
      <w:r>
        <w:rPr>
          <w:rFonts w:ascii="Arial" w:cs="Arial" w:eastAsia="Arial" w:hAnsi="Arial"/>
          <w:sz w:val="11"/>
          <w:szCs w:val="11"/>
          <w:i w:val="1"/>
          <w:iCs w:val="1"/>
          <w:color w:val="auto"/>
        </w:rPr>
        <w:t xml:space="preserve"> </w:t>
      </w:r>
      <w:r>
        <w:rPr>
          <w:rFonts w:ascii="Arial" w:cs="Arial" w:eastAsia="Arial" w:hAnsi="Arial"/>
          <w:sz w:val="11"/>
          <w:szCs w:val="11"/>
          <w:color w:val="auto"/>
        </w:rPr>
        <w:t>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850,000 shares of common stock for issuance under the 2006 Directors Plan. The 2006 Directors Plan provides that awards other than stock options and stock appreciation rights will be counted against the total number of shares reserved under the plan in a 1.5-to-1 ratio.</w:t>
      </w:r>
    </w:p>
    <w:p>
      <w:pPr>
        <w:spacing w:after="0" w:line="3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Omnibus Plans: </w:t>
      </w:r>
      <w:r>
        <w:rPr>
          <w:rFonts w:ascii="Arial" w:cs="Arial" w:eastAsia="Arial" w:hAnsi="Arial"/>
          <w:sz w:val="13"/>
          <w:szCs w:val="13"/>
          <w:color w:val="auto"/>
        </w:rPr>
        <w:t>In June 2005, our stockholders approved the 2005 Omnibus Plan for share-based awards to our employees. Awards granted from the 2005 Omnibus Plan may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options, shares of restricted stock, restricted stock units, performance shares, shares of phantom stock, stock bonuses, stock appreciation rights and other awards in such amounts and with such terms and conditions as may be determined by a committee of our Board of Directors, subject to the provisions of the plan. Shares of common stock available for issuance under the 2005 Omnibus Plan consist of 15.0 million shares reserved for this purpose, plus shares of common stock that remained available for issuance under the 2003 Omnibus Plan on the date that our stockholders approved the 2005 Omnibus Plan, plus shares that are subject to awards under the 2003 Omnibus Plan which remain unissued upon the cancellation, surrender, exchange or termination of such awards. The 2005 Omnibus Plan provides that awards other than stock options and stock appreciation rights will be counted against the total number of shares available under the plan in a 1.5-to-1 ratio.</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All stock option grants to employees are for a ten-year term and generally vest one-fourth per year over four years on the anniversary of the date of grant, provided the employee remains continuously employed with us. Stock option grants to directors are for ten-year terms and generally vest as follows: (i) grants made on the date of a director’s initial election to our Board of Directors vest one-third per year over three years on the anniversary of the date of grant, and (ii) grants made for service on our Board of Directors vest on the first anniversary of the date of grant, provided in each case that the director continues to serve on our Board of Directors through the vesting date.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 grants awarded in 2007 and 2006 was estimated as of the date of grant using a Black-Scholes option valuation model that uses the following weighted-average assumptions:</w:t>
      </w:r>
    </w:p>
    <w:p>
      <w:pPr>
        <w:spacing w:after="0" w:line="75" w:lineRule="exact"/>
        <w:rPr>
          <w:sz w:val="20"/>
          <w:szCs w:val="20"/>
          <w:color w:val="auto"/>
        </w:rPr>
      </w:pPr>
    </w:p>
    <w:p>
      <w:pPr>
        <w:jc w:val="center"/>
        <w:ind w:left="8240"/>
        <w:spacing w:after="0"/>
        <w:rPr>
          <w:sz w:val="20"/>
          <w:szCs w:val="20"/>
          <w:color w:val="auto"/>
        </w:rPr>
      </w:pPr>
      <w:r>
        <w:rPr>
          <w:rFonts w:ascii="Arial" w:cs="Arial" w:eastAsia="Arial" w:hAnsi="Arial"/>
          <w:sz w:val="10"/>
          <w:szCs w:val="10"/>
          <w:b w:val="1"/>
          <w:bCs w:val="1"/>
          <w:color w:val="auto"/>
        </w:rPr>
        <w:t>Year Ended</w:t>
      </w:r>
    </w:p>
    <w:p>
      <w:pPr>
        <w:spacing w:after="0" w:line="3" w:lineRule="exact"/>
        <w:rPr>
          <w:sz w:val="20"/>
          <w:szCs w:val="20"/>
          <w:color w:val="auto"/>
        </w:rPr>
      </w:pPr>
    </w:p>
    <w:p>
      <w:pPr>
        <w:jc w:val="center"/>
        <w:ind w:left="824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846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r>
      <w:tr>
        <w:trPr>
          <w:trHeight w:val="29"/>
        </w:trPr>
        <w:tc>
          <w:tcPr>
            <w:tcW w:w="8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r>
      <w:tr>
        <w:trPr>
          <w:trHeight w:val="157"/>
        </w:trPr>
        <w:tc>
          <w:tcPr>
            <w:tcW w:w="846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33.6%</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34.8%</w:t>
            </w: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846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920" w:type="dxa"/>
            <w:vAlign w:val="bottom"/>
            <w:gridSpan w:val="2"/>
          </w:tcPr>
          <w:p>
            <w:pPr>
              <w:jc w:val="right"/>
              <w:ind w:right="420"/>
              <w:spacing w:after="0"/>
              <w:rPr>
                <w:sz w:val="20"/>
                <w:szCs w:val="20"/>
                <w:color w:val="auto"/>
              </w:rPr>
            </w:pPr>
            <w:r>
              <w:rPr>
                <w:rFonts w:ascii="Arial" w:cs="Arial" w:eastAsia="Arial" w:hAnsi="Arial"/>
                <w:sz w:val="13"/>
                <w:szCs w:val="13"/>
                <w:color w:val="auto"/>
              </w:rPr>
              <w:t>4.87</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4.87</w:t>
            </w: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grant-date fair value</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18.78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  16.90</w:t>
            </w:r>
          </w:p>
        </w:tc>
      </w:tr>
    </w:tbl>
    <w:p>
      <w:pPr>
        <w:spacing w:after="0" w:line="8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Expected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expected term of options granted is derived using assumed exercise rates based on historical exercise patterns and represents the period of time that options granted are expected to be outstanding.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40"/>
        <w:spacing w:after="0" w:line="320" w:lineRule="auto"/>
        <w:rPr>
          <w:sz w:val="20"/>
          <w:szCs w:val="20"/>
          <w:color w:val="auto"/>
        </w:rPr>
      </w:pPr>
      <w:r>
        <w:rPr>
          <w:rFonts w:ascii="Arial" w:cs="Arial" w:eastAsia="Arial" w:hAnsi="Arial"/>
          <w:sz w:val="12"/>
          <w:szCs w:val="12"/>
          <w:color w:val="auto"/>
        </w:rPr>
        <w:t>to issue dividends in the foreseeable future. Stock options granted prior to January 1, 2006 were valued based on the grant date fair value of those awards, using the Black-Scholes option pricing model, as previously calculated for pro-forma disclosures under SFAS 123. For 2007, we recorded $30.7 million of stock compensation cost related to stock options.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2004</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41.07</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63.42</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6,012</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(5,796)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50.01</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45.71</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45.18</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1,928</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27.90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(3,403)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53.55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47.96</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Granted</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51.23</w:t>
            </w: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1,470</w:t>
            </w:r>
          </w:p>
        </w:tc>
        <w:tc>
          <w:tcPr>
            <w:tcW w:w="8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44.84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Cancelled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53.97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50.03</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total intrinsic values of options exercised in 2007, 2006 and 2005 were $226.7 million, $92.5 million and $97.0 million, respectively. The aggregate intrinsic values of options outstanding at December 31, 2007 and 2006, were $102.7 million and $30.9 million, respectively. The weighted average remaining contractual terms for options outstanding at December 31, 2007 was 5.5 years.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Of the options outstanding, 12.3 million were exercisable at December 31, 2007. The exercisable options had a weighted-average exercise price of $50.54. The aggregate intrinsic value of options exercisable as of December 31, 2007 and 2006 was $78.5 million and $11.6 million, respectively. The weighted average remaining contractual term for options outstanding and exercisable at December 31, 2007 was 4.8 years.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Time-Vested Restricted Stock Units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Time-vested restricted stock units, or RSUs, awarded to employees vest no sooner than one-third per year over three years on the anniversary of the date of grant, or upon the third anniversary of the date of the grant, provided the employee remains continuously employed with us. Shares of our common stock will be delivered to the employee upon vesting, subject to payment of applicable withholding taxes. Time-vested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The fair value of all time-vested RSUs is based on the market value of our stock on the date of grant. Compensation expense, including the effect of forfeitures, is recognized over the applicable service period. For 2007, we recorded $75.2 million of stock compensation cost related to time-vested RSUs.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time-vested RSU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2,731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44.47</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(218)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44.36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44.48</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3,387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51.19</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(458)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47.38</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remaining contractual term for the time-vested RSUs was 1.0 years at December 31,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Performance-Based Restricted Stock Units</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In the first quarter of 2007, our Board of Directors awarded 30,000 RSUs to our President, Research and Development, under the 2005 Omnibus Plan, subject to certain performance criteria. The RSUs will convert into shares of our common stock, subject to attainment of certain performance goals and the employee’s continued employment through December 31, 2007. Additionally, during the second quarter of 2007, our Board of Directors awarded 90,000 RSUs to our President, Research and Development, under the 2005 Omnibus Plan, subject to certain performance criteria. We apply graded vesting when accounting for these RSU’s and the fair value will be based on the market price on the date of vesting. These RSUs will vest annually in equal increments of 30,000 shares over three years and convert into shares of our common stock, subject to attainment of certain performance goals and the employee’s continued employment through the three performance periods, which end December 31, 2008, December 31, 2009 and September 30, 2010, respectively.</w:t>
      </w:r>
    </w:p>
    <w:p>
      <w:pPr>
        <w:spacing w:after="0" w:line="59"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In the first quarter of 2006, our Board of Directors awarded 100,000 RSUs to our CEO, under the 2005 Omnibus Plan, subject to certain 2006 financial performance criteria. In February 2007, our Board of Directors determined that the performance criteria had been attained and that 100,000 RSUs would convert into shares of our common stock. A total of 58,250 shares were issued, reflecting the fact that certain shares were withheld for income tax purposes.</w:t>
      </w:r>
    </w:p>
    <w:p>
      <w:pPr>
        <w:spacing w:after="0" w:line="67"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During the third quarter of 2005, we granted 1.18 million performance-based RSUs, to be settled in shares of our common stock, to a group of approximately 200 senior employees excluding our CEO. The grants were made under the 2005 Omnibus Plan as part of an initiative to retain certain key personnel. On September 14, 2006, 70% of the RSUs for all employees still in active employment, or 758,262 shares, vested as the required performance goals had been determined to have been achieved. A total of 510,859 shares were issued, reflecting the fact that certain shares were withheld for income tax purposes.</w:t>
      </w:r>
    </w:p>
    <w:p>
      <w:pPr>
        <w:spacing w:after="0" w:line="70"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On March 14, 2007, the remaining 30% of the RSUs granted during the third quarter of 2005 were scheduled to vest and convert into shares if the performance goals were attained and the employee was still in active employment.. On March 14, 2007, 258,387 shares vested based on the determination by our Board of Directors that approximately 83% of these RSUs had been earned. A total of 172,054 shares were issued, reflecting the fact that certain shares were withheld for income tax purposes.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For 2007, we recorded stock compensation cost of approximately $5.0 million related to performance-based restricted stock units. For 2006, we recorded compensation charges of approximately $33.6 million related to performance-based restricted stock units. Compensation cost is adjusted quarterly for subsequent changes in the outcome of performance-related conditions until the vesting date.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performance-based RSU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44.59</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41.62</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120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remaining contractual term for the performance-based RSUs was 1.5 years at December 31,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2005, we awarded restricted common stock to our employees under the 2005 Omnibus Plan and the 2003 Omnibus Plan at no cost to the employees. The restricted stock awards, or RSAs, granted under the 2003 Omnibus Plan will vest in full on the third anniversary of the date of grant, provided the employee remains continuously employed with us. The restricted stock awards, or RSAs, granted under the 2005 Omnibus Plan will vest at a rate of approximately one-third per year over three years on the anniversary of the date of grant, provided the employee remains continuously employed with us. During the vesting period, the recipient of the restricted stock has full voting rights as a stockholder, even though the restricted stock remains subject to transfer restrictions and will generally be forfeited upon termination of employment by the recipient prior to vesting.</w:t>
      </w:r>
    </w:p>
    <w:p>
      <w:pPr>
        <w:spacing w:after="0" w:line="55"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2006, we recorded $21.9 million of stock compensation cost related to restricted stock awards, prior to a first quarter pre-tax cumulative effect catch-up credit of $5.6 million, or $3.8 million after-tax, resulting from the application of an estimated forfeiture rate for prior period unvested restricted stock awards. For 2007, we recorded $11.7 million of stock compensation charges related to restricted stock awards. The fair value of all time-vested RSAs is based on the market value of our stock on the date of grant. Compensation expense, including the effect of forfeitures, is recognized over the applicable service period.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award activity is presented in the following table (shares are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8300" w:type="dxa"/>
            <w:vAlign w:val="bottom"/>
          </w:tcPr>
          <w:p>
            <w:pPr>
              <w:spacing w:after="0"/>
              <w:rPr>
                <w:sz w:val="9"/>
                <w:szCs w:val="9"/>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2005</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53.87</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42.99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(180)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56.25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2006</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Granted</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Forfeited</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(79)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59.64</w:t>
            </w:r>
          </w:p>
        </w:tc>
        <w:tc>
          <w:tcPr>
            <w:tcW w:w="0" w:type="dxa"/>
            <w:vAlign w:val="bottom"/>
          </w:tcPr>
          <w:p>
            <w:pPr>
              <w:spacing w:after="0"/>
              <w:rPr>
                <w:sz w:val="1"/>
                <w:szCs w:val="1"/>
                <w:color w:val="auto"/>
              </w:rPr>
            </w:pP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Unvested at December 31, 2007</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remaining contractual term for the RSAs was 0.04 years at December 31, 2007.</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ESPP</w:t>
      </w:r>
    </w:p>
    <w:p>
      <w:pPr>
        <w:spacing w:after="0" w:line="96"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Under the terms of the ESPP, employees can elect to have up to ten percent of their annual compensation (subject to certain dollar limits) withheld to purchase shares of our common stock. The purchase price of the common stock is equal to 85% of the lower of the fair market value of the common stock on the enrollment or purchase date under a look-back provision. In June 2005, our stockholders approved the amendment and restatement of the ESPP, including an increase in the number of shares available for issuance under the ESPP from 4.2 million to 6.2 million shares. At December 31, 2007, a total of 4.9 million shares of our common stock were available for issuance. During 2007, 2006, and 2005, 0.5 million, 0.5 million and</w:t>
      </w:r>
    </w:p>
    <w:p>
      <w:pPr>
        <w:spacing w:after="0" w:line="2" w:lineRule="exact"/>
        <w:rPr>
          <w:sz w:val="20"/>
          <w:szCs w:val="20"/>
          <w:color w:val="auto"/>
        </w:rPr>
      </w:pPr>
    </w:p>
    <w:p>
      <w:pPr>
        <w:ind w:left="680" w:right="240"/>
        <w:spacing w:after="0" w:line="327" w:lineRule="auto"/>
        <w:rPr>
          <w:sz w:val="20"/>
          <w:szCs w:val="20"/>
          <w:color w:val="auto"/>
        </w:rPr>
      </w:pPr>
      <w:r>
        <w:rPr>
          <w:rFonts w:ascii="Arial" w:cs="Arial" w:eastAsia="Arial" w:hAnsi="Arial"/>
          <w:sz w:val="11"/>
          <w:szCs w:val="11"/>
          <w:color w:val="auto"/>
        </w:rPr>
        <w:t>0.6 million shares, respectively, were issued under the ESPP. We utilize the Black-Scholes model to calculate the fair value of these discounted purchases. The fair value of the look-back provision plus the 15% discount amount is recognized as compensation expense over the purchase period. We apply a graded vesting approach because the plan provides for multiple purchase periods and is, in substance, a series of linked awards. In 2007 and 2006, we recorded stock compensation cost of approximately $5.2 million and $5.2 million, respectively.</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Cash received under the ESPP in 2007 was approximately $18.2 million. Cash received under the ESPP in 2006 was approximately $15.2 million.</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Pro-forma Disclosure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illustrates the effect on net income and earnings per share if we were to have applied the fair-value based method to account for all stock-based awards for 2005 (in millions, except per share amounts).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Year Ended</w:t>
            </w:r>
          </w:p>
        </w:tc>
      </w:tr>
      <w:tr>
        <w:trPr>
          <w:trHeight w:val="108"/>
        </w:trPr>
        <w:tc>
          <w:tcPr>
            <w:tcW w:w="8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Reported 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Stock based compensation included in net income, net of tax of $11,306</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Pro forma stock compensation expense, net of tax</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(156.8)</w:t>
            </w:r>
          </w:p>
        </w:tc>
      </w:tr>
      <w:tr>
        <w:trPr>
          <w:trHeight w:val="169"/>
        </w:trPr>
        <w:tc>
          <w:tcPr>
            <w:tcW w:w="8900" w:type="dxa"/>
            <w:vAlign w:val="bottom"/>
          </w:tcPr>
          <w:p>
            <w:pPr>
              <w:spacing w:after="0"/>
              <w:rPr>
                <w:sz w:val="20"/>
                <w:szCs w:val="20"/>
                <w:color w:val="auto"/>
              </w:rPr>
            </w:pPr>
            <w:r>
              <w:rPr>
                <w:rFonts w:ascii="Arial" w:cs="Arial" w:eastAsia="Arial" w:hAnsi="Arial"/>
                <w:sz w:val="13"/>
                <w:szCs w:val="13"/>
                <w:color w:val="auto"/>
              </w:rPr>
              <w:t>Pro forma net income</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14"/>
                <w:szCs w:val="14"/>
                <w:color w:val="auto"/>
              </w:rPr>
            </w:pPr>
          </w:p>
        </w:tc>
      </w:tr>
      <w:tr>
        <w:trPr>
          <w:trHeight w:val="174"/>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Reported basic earnings per share</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100" w:type="dxa"/>
            <w:vAlign w:val="bottom"/>
            <w:shd w:val="clear" w:color="auto" w:fill="CCEEFF"/>
          </w:tcPr>
          <w:p>
            <w:pPr>
              <w:spacing w:after="0"/>
              <w:rPr>
                <w:sz w:val="15"/>
                <w:szCs w:val="15"/>
                <w:color w:val="auto"/>
              </w:rPr>
            </w:pPr>
          </w:p>
        </w:tc>
      </w:tr>
      <w:tr>
        <w:trPr>
          <w:trHeight w:val="179"/>
        </w:trPr>
        <w:tc>
          <w:tcPr>
            <w:tcW w:w="8900" w:type="dxa"/>
            <w:vAlign w:val="bottom"/>
          </w:tcPr>
          <w:p>
            <w:pPr>
              <w:spacing w:after="0"/>
              <w:rPr>
                <w:sz w:val="20"/>
                <w:szCs w:val="20"/>
                <w:color w:val="auto"/>
              </w:rPr>
            </w:pPr>
            <w:r>
              <w:rPr>
                <w:rFonts w:ascii="Arial" w:cs="Arial" w:eastAsia="Arial" w:hAnsi="Arial"/>
                <w:sz w:val="13"/>
                <w:szCs w:val="13"/>
                <w:color w:val="auto"/>
              </w:rPr>
              <w:t>Pro forma basic earnings per share</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5"/>
                <w:szCs w:val="15"/>
                <w:color w:val="auto"/>
              </w:rPr>
            </w:pPr>
          </w:p>
        </w:tc>
      </w:tr>
      <w:tr>
        <w:trPr>
          <w:trHeight w:val="165"/>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Reported diluted earnings per share</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00" w:type="dxa"/>
            <w:vAlign w:val="bottom"/>
            <w:shd w:val="clear" w:color="auto" w:fill="CCEEFF"/>
          </w:tcPr>
          <w:p>
            <w:pPr>
              <w:spacing w:after="0"/>
              <w:rPr>
                <w:sz w:val="14"/>
                <w:szCs w:val="14"/>
                <w:color w:val="auto"/>
              </w:rPr>
            </w:pPr>
          </w:p>
        </w:tc>
      </w:tr>
      <w:tr>
        <w:trPr>
          <w:trHeight w:val="166"/>
        </w:trPr>
        <w:tc>
          <w:tcPr>
            <w:tcW w:w="890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fair value of each option granted under our stock-based compensation plans and each purchase right granted under our employee stock purchase plan is estimated on the date of grant using the Black-Scholes option-pricing model with the following weighted 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Option Grants</w:t>
            </w:r>
          </w:p>
        </w:tc>
      </w:tr>
      <w:tr>
        <w:trPr>
          <w:trHeight w:val="125"/>
        </w:trPr>
        <w:tc>
          <w:tcPr>
            <w:tcW w:w="8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29"/>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 date fair value</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24.89</w:t>
            </w:r>
          </w:p>
        </w:tc>
      </w:tr>
      <w:tr>
        <w:trPr>
          <w:trHeight w:val="268"/>
        </w:trPr>
        <w:tc>
          <w:tcPr>
            <w:tcW w:w="8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Purchase Rights</w:t>
            </w:r>
          </w:p>
        </w:tc>
      </w:tr>
      <w:tr>
        <w:trPr>
          <w:trHeight w:val="125"/>
        </w:trPr>
        <w:tc>
          <w:tcPr>
            <w:tcW w:w="8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29"/>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0.20 - 2.0</w:t>
            </w:r>
          </w:p>
        </w:tc>
      </w:tr>
      <w:tr>
        <w:trPr>
          <w:trHeight w:val="157"/>
        </w:trPr>
        <w:tc>
          <w:tcPr>
            <w:tcW w:w="868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 date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10.94</w:t>
            </w:r>
          </w:p>
        </w:tc>
      </w:tr>
    </w:tbl>
    <w:p>
      <w:pPr>
        <w:spacing w:after="0" w:line="8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effects of applying SFAS 123 in this pro forma disclosure are not indicative of future amounts. SFAS 123 did not apply to awards prior to 1995, and additional awards in future years are anticipated.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December 6, 2005, our Board of Directors approved the acceleration of vesting of unvested stock options then outstanding having an exercise price per share of $55.00 or higher, granted under our stock option plans that were held by current employees, including executive officers. Shares of common stock acquired by our executive officers upon the exercise of stock options whose vesting was so accelerated generally are subject to transfer restrictions until such time as the stock options otherwise would have vested. Options held by our non-employee directors were excluded from this vesting acceleration. As a result, the vesting of options granted predominantly from 2001 to 2005 with respect to approximately 4,518,809 shares of our common stock was accelerated.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purpose of this acceleration was to eliminate future compensation expense that we would otherwise have recognized in our results of operation upon adoption of SFAS 123(R) in 2006. The approximate future expense eliminated by the acceleration, based on a Black-Scholes calculation, was estimated to be approximately $93.1 million between 2006 and 2009 on a pre-tax basis. The acceleration did not result in any compensation expense being recorded in 2005.</w:t>
      </w:r>
    </w:p>
    <w:p>
      <w:pPr>
        <w:spacing w:after="0" w:line="142"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Accumulated Other Comprehensive Income (Loss)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balances in comprehensive income (loss) were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tcPr>
          <w:p>
            <w:pPr>
              <w:jc w:val="right"/>
              <w:ind w:right="31"/>
              <w:spacing w:after="0"/>
              <w:rPr>
                <w:sz w:val="20"/>
                <w:szCs w:val="20"/>
                <w:color w:val="auto"/>
              </w:rPr>
            </w:pPr>
            <w:r>
              <w:rPr>
                <w:rFonts w:ascii="Arial" w:cs="Arial" w:eastAsia="Arial" w:hAnsi="Arial"/>
                <w:sz w:val="10"/>
                <w:szCs w:val="10"/>
                <w:b w:val="1"/>
                <w:bCs w:val="1"/>
                <w:color w:val="auto"/>
                <w:w w:val="96"/>
              </w:rPr>
              <w:t>Year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Translation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71.0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Unrealized holding gains (losses) on investments, net of tax of $(5.1) million, $(1.1) million, and $1.9 million, respectively</w:t>
            </w:r>
          </w:p>
        </w:tc>
        <w:tc>
          <w:tcPr>
            <w:tcW w:w="80" w:type="dxa"/>
            <w:vAlign w:val="bottom"/>
          </w:tcPr>
          <w:p>
            <w:pPr>
              <w:spacing w:after="0"/>
              <w:rPr>
                <w:sz w:val="13"/>
                <w:szCs w:val="13"/>
                <w:color w:val="auto"/>
              </w:rPr>
            </w:pPr>
          </w:p>
        </w:tc>
        <w:tc>
          <w:tcPr>
            <w:tcW w:w="520" w:type="dxa"/>
            <w:vAlign w:val="bottom"/>
            <w:gridSpan w:val="2"/>
          </w:tcPr>
          <w:p>
            <w:pPr>
              <w:jc w:val="right"/>
              <w:ind w:right="128"/>
              <w:spacing w:after="0"/>
              <w:rPr>
                <w:sz w:val="20"/>
                <w:szCs w:val="20"/>
                <w:color w:val="auto"/>
              </w:rPr>
            </w:pPr>
            <w:r>
              <w:rPr>
                <w:rFonts w:ascii="Arial" w:cs="Arial" w:eastAsia="Arial" w:hAnsi="Arial"/>
                <w:sz w:val="13"/>
                <w:szCs w:val="13"/>
                <w:color w:val="auto"/>
              </w:rPr>
              <w:t>10.5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(3.4)</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Unfunded status of pension and postretirement benefit plans, net of tax of $0.1 million, and $0.4 million, respectively</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Unrealized losses on derivative instruments, net of tax of $2.4 million, $0.1 million, and $0.3 million, respectively</w:t>
            </w:r>
          </w:p>
        </w:tc>
        <w:tc>
          <w:tcPr>
            <w:tcW w:w="80" w:type="dxa"/>
            <w:vAlign w:val="bottom"/>
          </w:tcPr>
          <w:p>
            <w:pPr>
              <w:spacing w:after="0"/>
              <w:rPr>
                <w:sz w:val="13"/>
                <w:szCs w:val="13"/>
                <w:color w:val="auto"/>
              </w:rPr>
            </w:pPr>
          </w:p>
        </w:tc>
        <w:tc>
          <w:tcPr>
            <w:tcW w:w="520" w:type="dxa"/>
            <w:vAlign w:val="bottom"/>
            <w:gridSpan w:val="2"/>
          </w:tcPr>
          <w:p>
            <w:pPr>
              <w:jc w:val="right"/>
              <w:ind w:right="88"/>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(13.9)</w:t>
            </w:r>
          </w:p>
        </w:tc>
      </w:tr>
      <w:tr>
        <w:trPr>
          <w:trHeight w:val="254"/>
        </w:trPr>
        <w:tc>
          <w:tcPr>
            <w:tcW w:w="120" w:type="dxa"/>
            <w:vAlign w:val="bottom"/>
          </w:tcPr>
          <w:p>
            <w:pPr>
              <w:spacing w:after="0"/>
              <w:rPr>
                <w:sz w:val="22"/>
                <w:szCs w:val="22"/>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See Note 12, Employee Benefit Plans, for discussion of unfunded status of pension and postretirement benefit plans.</w:t>
            </w: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7680" w:type="dxa"/>
            <w:vAlign w:val="bottom"/>
          </w:tcPr>
          <w:p>
            <w:pPr>
              <w:ind w:left="200"/>
              <w:spacing w:after="0"/>
              <w:rPr>
                <w:sz w:val="20"/>
                <w:szCs w:val="20"/>
                <w:color w:val="auto"/>
              </w:rPr>
            </w:pPr>
            <w:r>
              <w:rPr>
                <w:rFonts w:ascii="Arial" w:cs="Arial" w:eastAsia="Arial" w:hAnsi="Arial"/>
                <w:sz w:val="13"/>
                <w:szCs w:val="13"/>
                <w:b w:val="1"/>
                <w:bCs w:val="1"/>
                <w:color w:val="auto"/>
              </w:rPr>
              <w:t>Indebtedness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Arial" w:cs="Arial" w:eastAsia="Arial" w:hAnsi="Arial"/>
                <w:sz w:val="13"/>
                <w:szCs w:val="13"/>
                <w:color w:val="auto"/>
              </w:rPr>
              <w:t>Notes payable consists of the following (in millions):</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7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Term loan facility</w:t>
            </w:r>
          </w:p>
        </w:tc>
        <w:tc>
          <w:tcPr>
            <w:tcW w:w="80" w:type="dxa"/>
            <w:vAlign w:val="bottom"/>
          </w:tcPr>
          <w:p>
            <w:pPr>
              <w:spacing w:after="0"/>
              <w:rPr>
                <w:sz w:val="13"/>
                <w:szCs w:val="13"/>
                <w:color w:val="auto"/>
              </w:rPr>
            </w:pPr>
          </w:p>
        </w:tc>
        <w:tc>
          <w:tcPr>
            <w:tcW w:w="720" w:type="dxa"/>
            <w:vAlign w:val="bottom"/>
            <w:gridSpan w:val="3"/>
          </w:tcPr>
          <w:p>
            <w:pPr>
              <w:jc w:val="right"/>
              <w:ind w:right="9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1,500.0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20-year subordinated convertible promissory notes, due 2019 at 5.5%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Note payable to Fumedica</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2"/>
              </w:rPr>
              <w:t>1,511.1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5"/>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portion:</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30-year senior convertible promissory notes, due 2032 at 1.75%</w:t>
            </w:r>
          </w:p>
        </w:tc>
        <w:tc>
          <w:tcPr>
            <w:tcW w:w="80" w:type="dxa"/>
            <w:vAlign w:val="bottom"/>
          </w:tcPr>
          <w:p>
            <w:pPr>
              <w:spacing w:after="0"/>
              <w:rPr>
                <w:sz w:val="13"/>
                <w:szCs w:val="13"/>
                <w:color w:val="auto"/>
              </w:rPr>
            </w:pPr>
          </w:p>
        </w:tc>
        <w:tc>
          <w:tcPr>
            <w:tcW w:w="720" w:type="dxa"/>
            <w:vAlign w:val="bottom"/>
            <w:gridSpan w:val="3"/>
          </w:tcPr>
          <w:p>
            <w:pPr>
              <w:jc w:val="right"/>
              <w:ind w:right="9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6.5</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20-year subordinated convertible promissory notes, due 2019 at 5.5%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39.1</w:t>
            </w:r>
          </w:p>
        </w:tc>
      </w:tr>
      <w:tr>
        <w:trPr>
          <w:trHeight w:val="157"/>
        </w:trPr>
        <w:tc>
          <w:tcPr>
            <w:tcW w:w="7800" w:type="dxa"/>
            <w:vAlign w:val="bottom"/>
            <w:gridSpan w:val="2"/>
          </w:tcPr>
          <w:p>
            <w:pPr>
              <w:spacing w:after="0"/>
              <w:rPr>
                <w:sz w:val="20"/>
                <w:szCs w:val="20"/>
                <w:color w:val="auto"/>
              </w:rPr>
            </w:pPr>
            <w:r>
              <w:rPr>
                <w:rFonts w:ascii="Arial" w:cs="Arial" w:eastAsia="Arial" w:hAnsi="Arial"/>
                <w:sz w:val="13"/>
                <w:szCs w:val="13"/>
                <w:color w:val="auto"/>
              </w:rPr>
              <w:t>Note payable to Fumedica</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34.3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39.2</w:t>
            </w:r>
          </w:p>
        </w:tc>
      </w:tr>
      <w:tr>
        <w:trPr>
          <w:trHeight w:val="157"/>
        </w:trPr>
        <w:tc>
          <w:tcPr>
            <w:tcW w:w="7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line from Dompé</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51.8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96.7</w:t>
            </w:r>
          </w:p>
        </w:tc>
      </w:tr>
      <w:tr>
        <w:trPr>
          <w:trHeight w:val="30"/>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June 2007, in connection with the tender offer described in Note 20, Tender Offer, we entered into a $1,500.0 million term loan facility. On July 2, 2007, in connection with the funding of the tender offer, we borrowed the full $1,500.0 million available under this facility. We expect to repay this term loan facility in 2008 with proceeds from an offering of long term debt securities.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June 2007, we also entered into a five year $400 million Senior Unsecured Revolving Credit Facility, which we may use for working capital and general corporate purposes. No amounts have been drawn under this facility.</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 May 2007, holders of the senior notes due 2032 with an aggregate principal amount at maturity of $10.1 million, exercised their right under the indenture governing the senior notes to require us to repurchase the notes. We paid $6.6 million in cash to repurchase substantially all of the senior notes.</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In January and July 2007, holders of the subordinated notes due 2019 with an aggregate principal amount at maturity of $70.5 million and $4.5 million, respectively, exercised their right under the indenture governing the notes to require us to issue shares of common stock. We issued 2.8 million and 0.2 million, shares of common stock, respectively.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2006 we completed the following significant financing transactions:</w:t>
      </w:r>
    </w:p>
    <w:p>
      <w:pPr>
        <w:spacing w:after="0" w:line="96" w:lineRule="exact"/>
        <w:rPr>
          <w:sz w:val="20"/>
          <w:szCs w:val="20"/>
          <w:color w:val="auto"/>
        </w:rPr>
      </w:pPr>
    </w:p>
    <w:p>
      <w:pPr>
        <w:ind w:left="1280" w:right="24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October 2006, Biogen-Dompe SRL a consolidated joint venture in which we are a 50% partner, obtained a 24 million Euros line of credit from us and Dompé Farmaceutici SpA, our partner.</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December 2006, in connection with the settlement of various agreements associated with Fumedica, we entered into two notes payable, the aggregate amount of which, at present value, was 47.7 million Swiss Francs ($39.2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description of our principal indebtedness as of December 31, 2007.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Term loan facility</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June 2007, in connection with the tender offer described in Note 20, Tender Offer, we entered into a $1,500.0 million term loan facility. The term loan facility has a term of 364 days and bears interest at a rate of LIBOR plus 45 basis points or a rate based on the prime lending rate of the agent bank at our option. The rate in effect on December 31, 2007 was 5.54%. The terms of this term loan facility include various covenants, including financial covenants that require us to meet a maximum leverage ratio and under certain circumstances, an interest coverage ratio. As of December 31, 2007 we were in compliance with these covenants. We expect to repay this term loan facility in 2008 with proceeds from an offering of long-term debt securities.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facility</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June 2007, we entered into a five year $400 million Senior Unsecured Revolving Credit Facility, which we may use for working capital and general corporate purposes. This credit facility bears interest at a rate of LIBOR plus 45 basis points or a rate based on the prime lending rate of the agent bank, at our option. The terms of this revolving credit facility include various covenants, including financial covenants that require us to meet a maximum leverage ratio and under certain circumstances, an interest coverage ratio. Since the inception of the credit facility, there have been no borrowings outstanding under this credit facility and we were in compliance with these covenants.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Subordinated notes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2007, we have $0.2 million of the subordinated notes due 2019 outstanding, representing an aggregate principal amount at maturity of $0.4 million. The subordinated notes are zero coupon and were priced with a yield to maturity of 5.5%. Each $1,000 aggregate principal face value subordinated note is convertible at the holder’s option at any time through maturity into 40.404 shares of our common stock. The remaining holders of the subordinated notes may require us to purchase the subordinated notes on February 16, 2009 or 2014 at a price equal to the issue price plus accrued original issue discount to the date of purchase with us having the option to repay the subordinated notes plus accrued original issue discount in cash, common stock or a combination of cash and stock. We have the right to redeem, at a price equal to the issue price plus the accrued original issue discount to the date of redemption, all or a portion of the subordinated notes for cash at any time.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Biogen-Dompe</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As of December 31, 2007, Biogen-Dompe SRL, a consolidated joint venture, has a loan balance of 12 million Euros ($17.5 million). This balance represents a line of credit from us and Dompé Farmaceutici SpA of 24 million Euros, half of which has been eliminated as it is an intercompany loan for purposes of presenting our consolidated financial position. Borrowings are to be made equally between the partners, and any repayments are to be paid in a similar manner. The interest rate of the line of credit is at a rate of 3 month Euro LIBOR plus 25 basis points, and was 5.10% at December 31, 2007. The interest rate is reset quarterly and payable quarterly in arrears. Any borrowings on the line of credit are due, in full, June 1, 2009.</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Notes Payable to Fumedica</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December 31, 2007, the notes payable to Fumedica have a present value of 50.5 million Swiss Francs ($44.6 million). The notes, which were entered into in connection with the settlement of various agreements associated with Fumedica, are non-interest bearing, have been discounted for financial statement presentation purposes and are being accreted at a rate of 5.75% and are payable in series of payments over the period from 2008 to 2018. See Note 2, Acquisitions and Dispositions.</w:t>
      </w:r>
    </w:p>
    <w:p>
      <w:pPr>
        <w:spacing w:after="0" w:line="14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2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Debt Maturity</w:t>
            </w:r>
          </w:p>
        </w:tc>
        <w:tc>
          <w:tcPr>
            <w:tcW w:w="2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6"/>
        </w:trPr>
        <w:tc>
          <w:tcPr>
            <w:tcW w:w="7220" w:type="dxa"/>
            <w:vAlign w:val="bottom"/>
          </w:tcPr>
          <w:p>
            <w:pPr>
              <w:ind w:left="400"/>
              <w:spacing w:after="0"/>
              <w:rPr>
                <w:sz w:val="20"/>
                <w:szCs w:val="20"/>
                <w:color w:val="auto"/>
              </w:rPr>
            </w:pPr>
            <w:r>
              <w:rPr>
                <w:rFonts w:ascii="Arial" w:cs="Arial" w:eastAsia="Arial" w:hAnsi="Arial"/>
                <w:sz w:val="13"/>
                <w:szCs w:val="13"/>
                <w:color w:val="auto"/>
              </w:rPr>
              <w:t>As of December 31, 2007, our total debt matures as follows (in millions):</w:t>
            </w:r>
          </w:p>
        </w:tc>
        <w:tc>
          <w:tcPr>
            <w:tcW w:w="2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00"/>
        </w:trPr>
        <w:tc>
          <w:tcPr>
            <w:tcW w:w="72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57"/>
        </w:trPr>
        <w:tc>
          <w:tcPr>
            <w:tcW w:w="722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21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1,511.1</w:t>
            </w:r>
          </w:p>
        </w:tc>
      </w:tr>
      <w:tr>
        <w:trPr>
          <w:trHeight w:val="157"/>
        </w:trPr>
        <w:tc>
          <w:tcPr>
            <w:tcW w:w="7220" w:type="dxa"/>
            <w:vAlign w:val="bottom"/>
          </w:tcPr>
          <w:p>
            <w:pPr>
              <w:spacing w:after="0"/>
              <w:rPr>
                <w:sz w:val="20"/>
                <w:szCs w:val="20"/>
                <w:color w:val="auto"/>
              </w:rPr>
            </w:pPr>
            <w:r>
              <w:rPr>
                <w:rFonts w:ascii="Arial" w:cs="Arial" w:eastAsia="Arial" w:hAnsi="Arial"/>
                <w:sz w:val="13"/>
                <w:szCs w:val="13"/>
                <w:color w:val="auto"/>
              </w:rPr>
              <w:t>2009</w:t>
            </w:r>
          </w:p>
        </w:tc>
        <w:tc>
          <w:tcPr>
            <w:tcW w:w="21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24.8</w:t>
            </w:r>
          </w:p>
        </w:tc>
      </w:tr>
      <w:tr>
        <w:trPr>
          <w:trHeight w:val="157"/>
        </w:trPr>
        <w:tc>
          <w:tcPr>
            <w:tcW w:w="722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1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9.2</w:t>
            </w:r>
          </w:p>
        </w:tc>
      </w:tr>
      <w:tr>
        <w:trPr>
          <w:trHeight w:val="157"/>
        </w:trPr>
        <w:tc>
          <w:tcPr>
            <w:tcW w:w="7220" w:type="dxa"/>
            <w:vAlign w:val="bottom"/>
          </w:tcPr>
          <w:p>
            <w:pPr>
              <w:spacing w:after="0"/>
              <w:rPr>
                <w:sz w:val="20"/>
                <w:szCs w:val="20"/>
                <w:color w:val="auto"/>
              </w:rPr>
            </w:pPr>
            <w:r>
              <w:rPr>
                <w:rFonts w:ascii="Arial" w:cs="Arial" w:eastAsia="Arial" w:hAnsi="Arial"/>
                <w:sz w:val="13"/>
                <w:szCs w:val="13"/>
                <w:color w:val="auto"/>
              </w:rPr>
              <w:t>2011</w:t>
            </w:r>
          </w:p>
        </w:tc>
        <w:tc>
          <w:tcPr>
            <w:tcW w:w="21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2.3</w:t>
            </w:r>
          </w:p>
        </w:tc>
      </w:tr>
      <w:tr>
        <w:trPr>
          <w:trHeight w:val="157"/>
        </w:trPr>
        <w:tc>
          <w:tcPr>
            <w:tcW w:w="722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1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2.2</w:t>
            </w:r>
          </w:p>
        </w:tc>
      </w:tr>
      <w:tr>
        <w:trPr>
          <w:trHeight w:val="165"/>
        </w:trPr>
        <w:tc>
          <w:tcPr>
            <w:tcW w:w="7220" w:type="dxa"/>
            <w:vAlign w:val="bottom"/>
          </w:tcPr>
          <w:p>
            <w:pPr>
              <w:spacing w:after="0"/>
              <w:rPr>
                <w:sz w:val="20"/>
                <w:szCs w:val="20"/>
                <w:color w:val="auto"/>
              </w:rPr>
            </w:pPr>
            <w:r>
              <w:rPr>
                <w:rFonts w:ascii="Arial" w:cs="Arial" w:eastAsia="Arial" w:hAnsi="Arial"/>
                <w:sz w:val="13"/>
                <w:szCs w:val="13"/>
                <w:color w:val="auto"/>
              </w:rPr>
              <w:t>2013 and thereafter</w:t>
            </w:r>
          </w:p>
        </w:tc>
        <w:tc>
          <w:tcPr>
            <w:tcW w:w="21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13.3</w:t>
            </w:r>
          </w:p>
        </w:tc>
      </w:tr>
      <w:tr>
        <w:trPr>
          <w:trHeight w:val="316"/>
        </w:trPr>
        <w:tc>
          <w:tcPr>
            <w:tcW w:w="72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Fair Values</w:t>
            </w:r>
          </w:p>
        </w:tc>
        <w:tc>
          <w:tcPr>
            <w:tcW w:w="2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6"/>
        </w:trPr>
        <w:tc>
          <w:tcPr>
            <w:tcW w:w="7220" w:type="dxa"/>
            <w:vAlign w:val="bottom"/>
          </w:tcPr>
          <w:p>
            <w:pPr>
              <w:ind w:left="400"/>
              <w:spacing w:after="0"/>
              <w:rPr>
                <w:sz w:val="20"/>
                <w:szCs w:val="20"/>
                <w:color w:val="auto"/>
              </w:rPr>
            </w:pPr>
            <w:r>
              <w:rPr>
                <w:rFonts w:ascii="Arial" w:cs="Arial" w:eastAsia="Arial" w:hAnsi="Arial"/>
                <w:sz w:val="13"/>
                <w:szCs w:val="13"/>
                <w:color w:val="auto"/>
              </w:rPr>
              <w:t>At December 31, 2007, the fair values of our debt instruments were as follows (in millions):</w:t>
            </w:r>
          </w:p>
        </w:tc>
        <w:tc>
          <w:tcPr>
            <w:tcW w:w="2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00"/>
        </w:trPr>
        <w:tc>
          <w:tcPr>
            <w:tcW w:w="72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57"/>
        </w:trPr>
        <w:tc>
          <w:tcPr>
            <w:tcW w:w="7220" w:type="dxa"/>
            <w:vAlign w:val="bottom"/>
            <w:shd w:val="clear" w:color="auto" w:fill="CCEEFF"/>
          </w:tcPr>
          <w:p>
            <w:pPr>
              <w:spacing w:after="0"/>
              <w:rPr>
                <w:sz w:val="20"/>
                <w:szCs w:val="20"/>
                <w:color w:val="auto"/>
              </w:rPr>
            </w:pPr>
            <w:r>
              <w:rPr>
                <w:rFonts w:ascii="Arial" w:cs="Arial" w:eastAsia="Arial" w:hAnsi="Arial"/>
                <w:sz w:val="13"/>
                <w:szCs w:val="13"/>
                <w:color w:val="auto"/>
              </w:rPr>
              <w:t>Term loan facility</w:t>
            </w:r>
          </w:p>
        </w:tc>
        <w:tc>
          <w:tcPr>
            <w:tcW w:w="21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1,492.5</w:t>
            </w:r>
          </w:p>
        </w:tc>
      </w:tr>
      <w:tr>
        <w:trPr>
          <w:trHeight w:val="157"/>
        </w:trPr>
        <w:tc>
          <w:tcPr>
            <w:tcW w:w="7220" w:type="dxa"/>
            <w:vAlign w:val="bottom"/>
          </w:tcPr>
          <w:p>
            <w:pPr>
              <w:spacing w:after="0"/>
              <w:rPr>
                <w:sz w:val="20"/>
                <w:szCs w:val="20"/>
                <w:color w:val="auto"/>
              </w:rPr>
            </w:pPr>
            <w:r>
              <w:rPr>
                <w:rFonts w:ascii="Arial" w:cs="Arial" w:eastAsia="Arial" w:hAnsi="Arial"/>
                <w:sz w:val="13"/>
                <w:szCs w:val="13"/>
                <w:color w:val="auto"/>
              </w:rPr>
              <w:t>Credit line from Dompé</w:t>
            </w:r>
          </w:p>
        </w:tc>
        <w:tc>
          <w:tcPr>
            <w:tcW w:w="21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17.5</w:t>
            </w:r>
          </w:p>
        </w:tc>
      </w:tr>
      <w:tr>
        <w:trPr>
          <w:trHeight w:val="157"/>
        </w:trPr>
        <w:tc>
          <w:tcPr>
            <w:tcW w:w="7220" w:type="dxa"/>
            <w:vAlign w:val="bottom"/>
            <w:shd w:val="clear" w:color="auto" w:fill="CCEEFF"/>
          </w:tcPr>
          <w:p>
            <w:pPr>
              <w:spacing w:after="0"/>
              <w:rPr>
                <w:sz w:val="20"/>
                <w:szCs w:val="20"/>
                <w:color w:val="auto"/>
              </w:rPr>
            </w:pPr>
            <w:r>
              <w:rPr>
                <w:rFonts w:ascii="Arial" w:cs="Arial" w:eastAsia="Arial" w:hAnsi="Arial"/>
                <w:sz w:val="13"/>
                <w:szCs w:val="13"/>
                <w:color w:val="auto"/>
              </w:rPr>
              <w:t>Notes payable to Fumedica</w:t>
            </w:r>
          </w:p>
        </w:tc>
        <w:tc>
          <w:tcPr>
            <w:tcW w:w="21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44.6</w:t>
            </w:r>
          </w:p>
        </w:tc>
      </w:tr>
      <w:tr>
        <w:trPr>
          <w:trHeight w:val="165"/>
        </w:trPr>
        <w:tc>
          <w:tcPr>
            <w:tcW w:w="7220" w:type="dxa"/>
            <w:vAlign w:val="bottom"/>
          </w:tcPr>
          <w:p>
            <w:pPr>
              <w:spacing w:after="0"/>
              <w:rPr>
                <w:sz w:val="20"/>
                <w:szCs w:val="20"/>
                <w:color w:val="auto"/>
              </w:rPr>
            </w:pPr>
            <w:r>
              <w:rPr>
                <w:rFonts w:ascii="Arial" w:cs="Arial" w:eastAsia="Arial" w:hAnsi="Arial"/>
                <w:sz w:val="13"/>
                <w:szCs w:val="13"/>
                <w:color w:val="auto"/>
              </w:rPr>
              <w:t>20-year subordinated convertible promissory notes, due 2019</w:t>
            </w:r>
          </w:p>
        </w:tc>
        <w:tc>
          <w:tcPr>
            <w:tcW w:w="21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0.9</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the debt is estimated based on market prices for the same or similar issues or on the current rates offered for debt of the same maturity.</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and Goodwill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and goodwill, net of accumulated amortization, impairment charges and adjustments, are as follows (in millions):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1"/>
              </w:rPr>
              <w:t>December 31, 2007</w:t>
            </w: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9"/>
                <w:szCs w:val="9"/>
                <w:b w:val="1"/>
                <w:bCs w:val="1"/>
                <w:color w:val="auto"/>
                <w:w w:val="93"/>
              </w:rPr>
              <w:t>December 31, 2006</w:t>
            </w: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2"/>
          </w:tcPr>
          <w:p>
            <w:pPr>
              <w:jc w:val="right"/>
              <w:ind w:right="320"/>
              <w:spacing w:after="0" w:line="7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tcPr>
          <w:p>
            <w:pPr>
              <w:jc w:val="right"/>
              <w:ind w:right="340"/>
              <w:spacing w:after="0" w:line="75" w:lineRule="exact"/>
              <w:rPr>
                <w:sz w:val="20"/>
                <w:szCs w:val="20"/>
                <w:color w:val="auto"/>
              </w:rPr>
            </w:pPr>
            <w:r>
              <w:rPr>
                <w:rFonts w:ascii="Arial" w:cs="Arial" w:eastAsia="Arial" w:hAnsi="Arial"/>
                <w:sz w:val="8"/>
                <w:szCs w:val="8"/>
                <w:b w:val="1"/>
                <w:bCs w:val="1"/>
                <w:color w:val="auto"/>
              </w:rPr>
              <w:t>Accumulated</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820" w:type="dxa"/>
            <w:vAlign w:val="bottom"/>
          </w:tcPr>
          <w:p>
            <w:pPr>
              <w:spacing w:after="0"/>
              <w:rPr>
                <w:sz w:val="9"/>
                <w:szCs w:val="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Estimated Life</w:t>
            </w:r>
          </w:p>
        </w:tc>
        <w:tc>
          <w:tcPr>
            <w:tcW w:w="140" w:type="dxa"/>
            <w:vAlign w:val="bottom"/>
          </w:tcPr>
          <w:p>
            <w:pPr>
              <w:spacing w:after="0"/>
              <w:rPr>
                <w:sz w:val="9"/>
                <w:szCs w:val="9"/>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w w:val="98"/>
              </w:rPr>
              <w:t>Amortization</w:t>
            </w:r>
          </w:p>
        </w:tc>
        <w:tc>
          <w:tcPr>
            <w:tcW w:w="160" w:type="dxa"/>
            <w:vAlign w:val="bottom"/>
          </w:tcPr>
          <w:p>
            <w:pPr>
              <w:spacing w:after="0"/>
              <w:rPr>
                <w:sz w:val="9"/>
                <w:szCs w:val="9"/>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9"/>
                <w:szCs w:val="9"/>
                <w:b w:val="1"/>
                <w:bCs w:val="1"/>
                <w:color w:val="auto"/>
              </w:rPr>
              <w:t>Net</w:t>
            </w:r>
          </w:p>
        </w:tc>
        <w:tc>
          <w:tcPr>
            <w:tcW w:w="140" w:type="dxa"/>
            <w:vAlign w:val="bottom"/>
          </w:tcPr>
          <w:p>
            <w:pPr>
              <w:spacing w:after="0"/>
              <w:rPr>
                <w:sz w:val="9"/>
                <w:szCs w:val="9"/>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9"/>
                <w:szCs w:val="9"/>
                <w:b w:val="1"/>
                <w:bCs w:val="1"/>
                <w:color w:val="auto"/>
              </w:rPr>
              <w:t>Cost</w:t>
            </w:r>
          </w:p>
        </w:tc>
        <w:tc>
          <w:tcPr>
            <w:tcW w:w="100" w:type="dxa"/>
            <w:vAlign w:val="bottom"/>
          </w:tcPr>
          <w:p>
            <w:pPr>
              <w:spacing w:after="0"/>
              <w:rPr>
                <w:sz w:val="9"/>
                <w:szCs w:val="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w w:val="98"/>
              </w:rPr>
              <w:t>Amortization</w:t>
            </w:r>
          </w:p>
        </w:tc>
        <w:tc>
          <w:tcPr>
            <w:tcW w:w="140" w:type="dxa"/>
            <w:vAlign w:val="bottom"/>
          </w:tcPr>
          <w:p>
            <w:pPr>
              <w:spacing w:after="0"/>
              <w:rPr>
                <w:sz w:val="9"/>
                <w:szCs w:val="9"/>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Net</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Out-licensed patents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 years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(199.1)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378.9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578.0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(150.9)</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427.1</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Core/developed technology</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15-20 years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3,003.0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(965.2)</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2,037.8</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3,001.5</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(760.2)</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2,241.3</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Trademarks &amp; tradenames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Indefinite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64.0</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In-licensed patents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14 years</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(0.7)</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2.3</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(0.5)</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Assembled workforce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 years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(0.7)</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7"/>
        </w:trPr>
        <w:tc>
          <w:tcPr>
            <w:tcW w:w="3820" w:type="dxa"/>
            <w:vAlign w:val="bottom"/>
          </w:tcPr>
          <w:p>
            <w:pPr>
              <w:spacing w:after="0"/>
              <w:rPr>
                <w:sz w:val="20"/>
                <w:szCs w:val="20"/>
                <w:color w:val="auto"/>
              </w:rPr>
            </w:pPr>
            <w:r>
              <w:rPr>
                <w:rFonts w:ascii="Arial" w:cs="Arial" w:eastAsia="Arial" w:hAnsi="Arial"/>
                <w:sz w:val="12"/>
                <w:szCs w:val="12"/>
                <w:color w:val="auto"/>
              </w:rPr>
              <w:t>Distribution rights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 years</w:t>
            </w: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(3.8)</w:t>
            </w:r>
          </w:p>
        </w:tc>
        <w:tc>
          <w:tcPr>
            <w:tcW w:w="1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8.0</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8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(1,169.5)</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2,492.4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3,659.0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(911.8)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2,747.2</w:t>
            </w:r>
          </w:p>
        </w:tc>
        <w:tc>
          <w:tcPr>
            <w:tcW w:w="0" w:type="dxa"/>
            <w:vAlign w:val="bottom"/>
          </w:tcPr>
          <w:p>
            <w:pPr>
              <w:spacing w:after="0"/>
              <w:rPr>
                <w:sz w:val="1"/>
                <w:szCs w:val="1"/>
                <w:color w:val="auto"/>
              </w:rPr>
            </w:pPr>
          </w:p>
        </w:tc>
      </w:tr>
      <w:tr>
        <w:trPr>
          <w:trHeight w:val="29"/>
        </w:trPr>
        <w:tc>
          <w:tcPr>
            <w:tcW w:w="3820" w:type="dxa"/>
            <w:vAlign w:val="bottom"/>
            <w:vMerge w:val="restart"/>
          </w:tcPr>
          <w:p>
            <w:pPr>
              <w:spacing w:after="0"/>
              <w:rPr>
                <w:sz w:val="20"/>
                <w:szCs w:val="20"/>
                <w:color w:val="auto"/>
              </w:rPr>
            </w:pPr>
            <w:r>
              <w:rPr>
                <w:rFonts w:ascii="Arial" w:cs="Arial" w:eastAsia="Arial" w:hAnsi="Arial"/>
                <w:sz w:val="12"/>
                <w:szCs w:val="12"/>
                <w:color w:val="auto"/>
              </w:rPr>
              <w:t>Goodwill</w:t>
            </w: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2"/>
                <w:szCs w:val="12"/>
                <w:color w:val="auto"/>
              </w:rPr>
              <w:t>Indefinite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1,137.4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1,137.4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1,154.8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1,154.8</w:t>
            </w: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Intangibles, other than Goodwill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assembled workforce increased by $0.7 million as a result of the acquisition of Syntonix.</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In 2006, core/developed technology increased by $26.4 million as a result of the acquisition of Fumapharm. The assembled workforce intangible asset increased $1.4 million as a result of the acquisition of Conforma and we obtained $11.1 million of distribution rights in connection with the buy out of an agreement with Fumedica. See Note 2, Acquisitions and Dispositions, for further discussion of these transactions.</w:t>
      </w:r>
    </w:p>
    <w:p>
      <w:pPr>
        <w:spacing w:after="0" w:line="67"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During 2005, we recorded impairment charges of $7.9 million related to certain core technology and related to AVONEX in Japan and $5.7 million related to ZEVALIN patents. The AVONEX charge arose as a result of our decision to terminate certain clinical trials. As a result of the annual impairment analysis, the ZEVALIN patents were determined to be impaired. In both cases the charge reduced our carrying value to estimated net realizable value and was recorded as additional amortization expense.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expense was $257.5 million, $267.0 million, and $302.3 million for 2007, 2006, and 2005,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on intangible assets is expected to be in the range of approximately $234.8 million to $262.4 million for each of the next five years.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Goodwill decreased $17.4 million in 2007, primarily as a result of certain tax adjustments. Approximately $9.1 million of the adjustments relate to the adoption of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w:t>
      </w:r>
      <w:r>
        <w:rPr>
          <w:rFonts w:ascii="Arial" w:cs="Arial" w:eastAsia="Arial" w:hAnsi="Arial"/>
          <w:sz w:val="13"/>
          <w:szCs w:val="13"/>
          <w:i w:val="1"/>
          <w:iCs w:val="1"/>
          <w:color w:val="auto"/>
        </w:rPr>
        <w:t>an Interpretation of FASB Statement No. 109</w:t>
      </w:r>
      <w:r>
        <w:rPr>
          <w:rFonts w:ascii="Arial" w:cs="Arial" w:eastAsia="Arial" w:hAnsi="Arial"/>
          <w:sz w:val="13"/>
          <w:szCs w:val="13"/>
          <w:color w:val="auto"/>
        </w:rPr>
        <w:t>, or FIN 48. (See Note 14, Income Taxes, for discussion on income tax). Goodwill increased $18.5 million in 2006, due to the acquisition of Fumapharm. We also recorded an increase to goodwill of $5.4 million to correct reserves for product returns at the time of the Merger in 2003. See discussion of our revenue recognition policy in Note 1, Business Overview and Summary of Significant Accounting Policies, for additional discussion of this adjustment.</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9.</w:t>
            </w:r>
          </w:p>
        </w:tc>
        <w:tc>
          <w:tcPr>
            <w:tcW w:w="7960" w:type="dxa"/>
            <w:vAlign w:val="bottom"/>
            <w:gridSpan w:val="2"/>
          </w:tcPr>
          <w:p>
            <w:pPr>
              <w:jc w:val="right"/>
              <w:ind w:right="6180"/>
              <w:spacing w:after="0"/>
              <w:rPr>
                <w:sz w:val="20"/>
                <w:szCs w:val="20"/>
                <w:color w:val="auto"/>
              </w:rPr>
            </w:pPr>
            <w:r>
              <w:rPr>
                <w:rFonts w:ascii="Arial" w:cs="Arial" w:eastAsia="Arial" w:hAnsi="Arial"/>
                <w:sz w:val="13"/>
                <w:szCs w:val="13"/>
                <w:b w:val="1"/>
                <w:bCs w:val="1"/>
                <w:color w:val="auto"/>
                <w:w w:val="92"/>
              </w:rPr>
              <w:t>Property, Plant and Equipment</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7960" w:type="dxa"/>
            <w:vAlign w:val="bottom"/>
            <w:gridSpan w:val="2"/>
          </w:tcPr>
          <w:p>
            <w:pPr>
              <w:jc w:val="right"/>
              <w:ind w:right="4240"/>
              <w:spacing w:after="0"/>
              <w:rPr>
                <w:sz w:val="20"/>
                <w:szCs w:val="20"/>
                <w:color w:val="auto"/>
              </w:rPr>
            </w:pPr>
            <w:r>
              <w:rPr>
                <w:rFonts w:ascii="Arial" w:cs="Arial" w:eastAsia="Arial" w:hAnsi="Arial"/>
                <w:sz w:val="13"/>
                <w:szCs w:val="13"/>
                <w:color w:val="auto"/>
                <w:w w:val="95"/>
              </w:rPr>
              <w:t>Property, plant and equipment consists of the following (in millions):</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30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79.9</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Buildings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610.1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495.6</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71.5</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Furniture and fixtures</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35.8</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592.2</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388.2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314.0</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cost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1,917.7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1,589.0</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(420.3)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(308.6)</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1,497.4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1,280.4</w:t>
            </w: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$122.6 million, $108.4 million, and $135.8 million for 2007, 2006, and 2005, respectively.</w:t>
      </w:r>
    </w:p>
    <w:p>
      <w:pPr>
        <w:spacing w:after="0" w:line="96" w:lineRule="exact"/>
        <w:rPr>
          <w:sz w:val="20"/>
          <w:szCs w:val="20"/>
          <w:color w:val="auto"/>
        </w:rPr>
      </w:pPr>
    </w:p>
    <w:p>
      <w:pPr>
        <w:jc w:val="both"/>
        <w:ind w:left="680" w:right="860" w:firstLine="399"/>
        <w:spacing w:after="0" w:line="276" w:lineRule="auto"/>
        <w:rPr>
          <w:sz w:val="20"/>
          <w:szCs w:val="20"/>
          <w:color w:val="auto"/>
        </w:rPr>
      </w:pPr>
      <w:r>
        <w:rPr>
          <w:rFonts w:ascii="Arial" w:cs="Arial" w:eastAsia="Arial" w:hAnsi="Arial"/>
          <w:sz w:val="13"/>
          <w:szCs w:val="13"/>
          <w:color w:val="auto"/>
        </w:rPr>
        <w:t>During 2007 and 2006, we capitalized to construction in progress approximately $10.1 million and $2.1 million, respectively, of interest costs primarily related to the development of our large-scale biologic manufacturing facility in Hillerød, Denmark.</w:t>
      </w:r>
    </w:p>
    <w:p>
      <w:pPr>
        <w:spacing w:after="0" w:line="59"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color w:val="auto"/>
        </w:rPr>
        <w:t>At December 31, 2007, $300.4 million of the construction in progress balance was related to construction of Hillerød, Denmark. The first phase is complete and involved the construction of an administrative building, partial construction of a bulk manufacturing facility, a labeling and packaging facility and a facility to provide utilities to the Hillerød campus. The administrative building was in use in 2006, and the label and packaging facility and lab facility and a portion of the utilities facility were placed into service in the first quarter of 2007. The second phase of the project involves the completion and fit out of a large-scale manufacturing facility and construction of a warehouse, and is expected to be ready for commercial production in 2009. The utilities facility is expected to be in full use upon completion of the second phase.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24, Facility Impairments and Loss (Gain) on Disposition, of details of impairment charges taken.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10.</w:t>
            </w:r>
          </w:p>
        </w:tc>
        <w:tc>
          <w:tcPr>
            <w:tcW w:w="3800" w:type="dxa"/>
            <w:vAlign w:val="bottom"/>
          </w:tcPr>
          <w:p>
            <w:pPr>
              <w:ind w:left="140"/>
              <w:spacing w:after="0"/>
              <w:rPr>
                <w:sz w:val="20"/>
                <w:szCs w:val="20"/>
                <w:color w:val="auto"/>
              </w:rPr>
            </w:pPr>
            <w:r>
              <w:rPr>
                <w:rFonts w:ascii="Arial" w:cs="Arial" w:eastAsia="Arial" w:hAnsi="Arial"/>
                <w:sz w:val="13"/>
                <w:szCs w:val="13"/>
                <w:b w:val="1"/>
                <w:bCs w:val="1"/>
                <w:color w:val="auto"/>
              </w:rPr>
              <w:t>Other current assets</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0" w:type="dxa"/>
            <w:vAlign w:val="bottom"/>
          </w:tcPr>
          <w:p>
            <w:pPr>
              <w:ind w:left="40"/>
              <w:spacing w:after="0"/>
              <w:rPr>
                <w:sz w:val="20"/>
                <w:szCs w:val="20"/>
                <w:color w:val="auto"/>
              </w:rPr>
            </w:pPr>
            <w:r>
              <w:rPr>
                <w:rFonts w:ascii="Arial" w:cs="Arial" w:eastAsia="Arial" w:hAnsi="Arial"/>
                <w:sz w:val="13"/>
                <w:szCs w:val="13"/>
                <w:color w:val="auto"/>
              </w:rPr>
              <w:t>Other current assets consist of the following (in millions):</w:t>
            </w:r>
          </w:p>
        </w:tc>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 held for sale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Deferred tax assets</w:t>
            </w: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47.2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Receivable from collaborations</w:t>
            </w: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Prepaid expenses</w:t>
            </w: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3"/>
                <w:szCs w:val="13"/>
                <w:color w:val="auto"/>
              </w:rPr>
              <w:t>VAT refunds</w:t>
            </w:r>
          </w:p>
        </w:tc>
        <w:tc>
          <w:tcPr>
            <w:tcW w:w="4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380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183.4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154.7</w:t>
            </w:r>
          </w:p>
        </w:tc>
        <w:tc>
          <w:tcPr>
            <w:tcW w:w="800" w:type="dxa"/>
            <w:vAlign w:val="bottom"/>
          </w:tcPr>
          <w:p>
            <w:pPr>
              <w:spacing w:after="0"/>
              <w:rPr>
                <w:sz w:val="15"/>
                <w:szCs w:val="15"/>
                <w:color w:val="auto"/>
              </w:rPr>
            </w:pPr>
          </w:p>
        </w:tc>
      </w:tr>
      <w:tr>
        <w:trPr>
          <w:trHeight w:val="450"/>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340" w:type="dxa"/>
            <w:vAlign w:val="bottom"/>
          </w:tcPr>
          <w:p>
            <w:pPr>
              <w:ind w:left="720"/>
              <w:spacing w:after="0"/>
              <w:rPr>
                <w:sz w:val="20"/>
                <w:szCs w:val="20"/>
                <w:color w:val="auto"/>
              </w:rPr>
            </w:pPr>
            <w:r>
              <w:rPr>
                <w:rFonts w:ascii="Arial" w:cs="Arial" w:eastAsia="Arial" w:hAnsi="Arial"/>
                <w:sz w:val="13"/>
                <w:szCs w:val="13"/>
                <w:color w:val="auto"/>
              </w:rPr>
              <w:t>F-40</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60" w:type="dxa"/>
            <w:vAlign w:val="bottom"/>
          </w:tcPr>
          <w:p>
            <w:pPr>
              <w:spacing w:after="0"/>
              <w:rPr>
                <w:sz w:val="20"/>
                <w:szCs w:val="20"/>
                <w:color w:val="auto"/>
              </w:rPr>
            </w:pPr>
            <w:r>
              <w:rPr>
                <w:rFonts w:ascii="Arial" w:cs="Arial" w:eastAsia="Arial" w:hAnsi="Arial"/>
                <w:sz w:val="13"/>
                <w:szCs w:val="13"/>
                <w:b w:val="1"/>
                <w:bCs w:val="1"/>
                <w:color w:val="auto"/>
              </w:rPr>
              <w:t>11.</w:t>
            </w:r>
          </w:p>
        </w:tc>
        <w:tc>
          <w:tcPr>
            <w:tcW w:w="8140" w:type="dxa"/>
            <w:vAlign w:val="bottom"/>
          </w:tcPr>
          <w:p>
            <w:pPr>
              <w:ind w:left="140"/>
              <w:spacing w:after="0"/>
              <w:rPr>
                <w:sz w:val="20"/>
                <w:szCs w:val="20"/>
                <w:color w:val="auto"/>
              </w:rPr>
            </w:pPr>
            <w:r>
              <w:rPr>
                <w:rFonts w:ascii="Arial" w:cs="Arial" w:eastAsia="Arial" w:hAnsi="Arial"/>
                <w:sz w:val="13"/>
                <w:szCs w:val="13"/>
                <w:b w:val="1"/>
                <w:bCs w:val="1"/>
                <w:color w:val="auto"/>
              </w:rPr>
              <w:t>Accrued expenses and other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6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3"/>
                <w:szCs w:val="13"/>
                <w:color w:val="auto"/>
              </w:rPr>
              <w:t>Accrued expenses and other consists of the following (in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36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3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Employee compensation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76.4</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Royalties and licensing fees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51.6</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Collaboration expenses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Clinical development expenses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Revenue-related rebates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CIP Accrual</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r>
      <w:tr>
        <w:trPr>
          <w:trHeight w:val="157"/>
        </w:trPr>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137.1</w:t>
            </w:r>
          </w:p>
        </w:tc>
      </w:tr>
      <w:tr>
        <w:trPr>
          <w:trHeight w:val="20"/>
        </w:trPr>
        <w:tc>
          <w:tcPr>
            <w:tcW w:w="3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6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367.9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336.9</w:t>
            </w:r>
          </w:p>
        </w:tc>
      </w:tr>
      <w:tr>
        <w:trPr>
          <w:trHeight w:val="30"/>
        </w:trPr>
        <w:tc>
          <w:tcPr>
            <w:tcW w:w="3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Employee Savings Plan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maintain a 401(k) Savings Plan, or 401(k) Plan, which is available to substantially all U.S. regular employees over the age of 21. Participants may make voluntary contributions. We make matching contributions according to the 401(k) Plan’s matching formula. The matching contributions vested over four years of service by the employee. Beginning in January 2008, all past and current matching contributions will vest immediately. Participant contributions vest immediately. The 401(k) Plan also holds certain transition contributions on behalf of participants who previously participated in the Biogen, Inc. Retirement Plan. Employer contributions for 2007, 2006 and 2005 totaled $17.8 million, $12.0 million, and $16.8 million,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Compensation Plan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maintain a non-qualified deferred compensation plan that allows a select group of management and highly compensated U.S. employees to defer a portion of their compensation and that provides for certain company credits, known as the Restoration Match, to participants’ accounts. This arrangement is known as the Supplemental Savings Plan, or SSP. The deferred compensation amounts are accrued when earned. Such deferred compensation is distributable in cash in accordance with the rules of the SSP. Deferred compensation amounts under such plan at December 31, 2007 and 2006, totaled approximately $50.3 million and $47.8 million, respectively, and are included in other long-term liabilities in the accompanying consolidated balance sheets. The SSP also holds certain transition contributions on behalf of participants who previously participated in the Biogen Inc. Retirement Plan. The Restoration Match and transition contributions vested over four and seven years of service, respectively, by the employee. Beginning in 2008, the company credits vest immediately. Participant contributions vest immediately. Distributions to participants can be either in one lump sum payment or annual installments as elected by the participants.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Retiree Medical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2003, we began to provide medical plan benefits to retirees under the age of 65. Net periodic (benefit) cost for 2007, 2006, and 2005, was $(6.7) million, $1.4,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 million, respectively. In 2007, we recognized a benefit, which was primarily related to a modification of the plan in 2007. In 2006 and 2005, the majority of the expense was related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service cost. Our liability at December 31, 2006 related to this benefit arrangement was approximately $6.8 million. The plan terms were modified in 2007 and accordingly, no liability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remained at December 31, 2007.</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maintain two retiree benefit plans: a Supplemental Employee Retirement Plan and a defined benefit plan for certain employees in Germany.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obligations under the remaining plans totaled $5.0 million and $4.9 million at December 31, 2007 and 2006,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periodic pension cost for 2007, 2006 and 2005 was $1.3 million, $1.2 million, and $1.0 million, respectively. The majority of the net period pension costs related to service cost.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Policy Change</w:t>
      </w:r>
    </w:p>
    <w:p>
      <w:pPr>
        <w:spacing w:after="0" w:line="96"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 xml:space="preserve">In connection with the adoption of Statement of Financial Accounting Standards No. 158, </w:t>
      </w:r>
      <w:r>
        <w:rPr>
          <w:rFonts w:ascii="Arial" w:cs="Arial" w:eastAsia="Arial" w:hAnsi="Arial"/>
          <w:sz w:val="13"/>
          <w:szCs w:val="13"/>
          <w:i w:val="1"/>
          <w:iCs w:val="1"/>
          <w:color w:val="auto"/>
        </w:rPr>
        <w:t>Employers’ Accounting for Defined Benefit Pension and Other Postretirement Plans — an</w:t>
      </w:r>
      <w:r>
        <w:rPr>
          <w:rFonts w:ascii="Arial" w:cs="Arial" w:eastAsia="Arial" w:hAnsi="Arial"/>
          <w:sz w:val="13"/>
          <w:szCs w:val="13"/>
          <w:color w:val="auto"/>
        </w:rPr>
        <w:t xml:space="preserve"> </w:t>
      </w:r>
      <w:r>
        <w:rPr>
          <w:rFonts w:ascii="Arial" w:cs="Arial" w:eastAsia="Arial" w:hAnsi="Arial"/>
          <w:sz w:val="13"/>
          <w:szCs w:val="13"/>
          <w:i w:val="1"/>
          <w:iCs w:val="1"/>
          <w:color w:val="auto"/>
        </w:rPr>
        <w:t>amendment of FASB Statements No. 87, 88, 106, and 132(R)</w:t>
      </w:r>
      <w:r>
        <w:rPr>
          <w:rFonts w:ascii="Arial" w:cs="Arial" w:eastAsia="Arial" w:hAnsi="Arial"/>
          <w:sz w:val="13"/>
          <w:szCs w:val="13"/>
          <w:color w:val="auto"/>
        </w:rPr>
        <w:t>, or SFAS 158, we recorded an increase to the liability for the pension and post-retirement medical plans of $1.2 million in 2006,</w:t>
      </w:r>
      <w:r>
        <w:rPr>
          <w:rFonts w:ascii="Arial" w:cs="Arial" w:eastAsia="Arial" w:hAnsi="Arial"/>
          <w:sz w:val="13"/>
          <w:szCs w:val="13"/>
          <w:i w:val="1"/>
          <w:iCs w:val="1"/>
          <w:color w:val="auto"/>
        </w:rPr>
        <w:t xml:space="preserve"> </w:t>
      </w:r>
      <w:r>
        <w:rPr>
          <w:rFonts w:ascii="Arial" w:cs="Arial" w:eastAsia="Arial" w:hAnsi="Arial"/>
          <w:sz w:val="13"/>
          <w:szCs w:val="13"/>
          <w:color w:val="auto"/>
        </w:rPr>
        <w:t>with a corresponding increase in accumulated other comprehensive income.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3"/>
                <w:szCs w:val="13"/>
                <w:b w:val="1"/>
                <w:bCs w:val="1"/>
                <w:color w:val="auto"/>
              </w:rPr>
              <w:t>13.</w:t>
            </w:r>
          </w:p>
        </w:tc>
        <w:tc>
          <w:tcPr>
            <w:tcW w:w="4200" w:type="dxa"/>
            <w:vAlign w:val="bottom"/>
          </w:tcPr>
          <w:p>
            <w:pPr>
              <w:ind w:left="140"/>
              <w:spacing w:after="0"/>
              <w:rPr>
                <w:sz w:val="20"/>
                <w:szCs w:val="20"/>
                <w:color w:val="auto"/>
              </w:rPr>
            </w:pPr>
            <w:r>
              <w:rPr>
                <w:rFonts w:ascii="Arial" w:cs="Arial" w:eastAsia="Arial" w:hAnsi="Arial"/>
                <w:sz w:val="13"/>
                <w:szCs w:val="13"/>
                <w:b w:val="1"/>
                <w:bCs w:val="1"/>
                <w:color w:val="auto"/>
              </w:rPr>
              <w:t>Other Income (Expense), Net</w:t>
            </w: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0" w:type="dxa"/>
            <w:vAlign w:val="bottom"/>
          </w:tcPr>
          <w:p>
            <w:pPr>
              <w:ind w:left="40"/>
              <w:spacing w:after="0"/>
              <w:rPr>
                <w:sz w:val="20"/>
                <w:szCs w:val="20"/>
                <w:color w:val="auto"/>
              </w:rPr>
            </w:pPr>
            <w:r>
              <w:rPr>
                <w:rFonts w:ascii="Arial" w:cs="Arial" w:eastAsia="Arial" w:hAnsi="Arial"/>
                <w:sz w:val="13"/>
                <w:szCs w:val="13"/>
                <w:color w:val="auto"/>
              </w:rPr>
              <w:t>Total other income (expense), net, consists of the following (in millions):</w:t>
            </w:r>
          </w:p>
        </w:tc>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5"/>
              </w:rPr>
              <w:t>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Minority interest</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58.4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(40.5)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other income (expense), net</w:t>
            </w:r>
          </w:p>
        </w:tc>
        <w:tc>
          <w:tcPr>
            <w:tcW w:w="30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r>
              <w:rPr>
                <w:rFonts w:ascii="Arial" w:cs="Arial" w:eastAsia="Arial" w:hAnsi="Arial"/>
                <w:sz w:val="13"/>
                <w:szCs w:val="13"/>
                <w:u w:val="single" w:color="auto"/>
                <w:color w:val="auto"/>
              </w:rPr>
              <w:t>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0" w:type="dxa"/>
            <w:vAlign w:val="bottom"/>
          </w:tcPr>
          <w:p>
            <w:pPr>
              <w:ind w:left="40"/>
              <w:spacing w:after="0"/>
              <w:rPr>
                <w:sz w:val="20"/>
                <w:szCs w:val="20"/>
                <w:color w:val="auto"/>
              </w:rPr>
            </w:pPr>
            <w:r>
              <w:rPr>
                <w:rFonts w:ascii="Arial" w:cs="Arial" w:eastAsia="Arial" w:hAnsi="Arial"/>
                <w:sz w:val="13"/>
                <w:szCs w:val="13"/>
                <w:color w:val="auto"/>
              </w:rPr>
              <w:t>Other, net included the following (in millions):</w:t>
            </w:r>
          </w:p>
        </w:tc>
        <w:tc>
          <w:tcPr>
            <w:tcW w:w="30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5"/>
              </w:rPr>
              <w:t>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Impairments of investments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Foreign exchange gains (losses), net</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(Loss) on sales of investments, net</w:t>
            </w: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3"/>
                <w:szCs w:val="13"/>
                <w:color w:val="auto"/>
              </w:rPr>
              <w:t>Settlement of litigation and claims</w:t>
            </w:r>
          </w:p>
        </w:tc>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20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60" w:type="dxa"/>
            <w:vAlign w:val="bottom"/>
            <w:gridSpan w:val="2"/>
            <w:vMerge w:val="restart"/>
          </w:tcPr>
          <w:p>
            <w:pPr>
              <w:spacing w:after="0"/>
              <w:rPr>
                <w:sz w:val="20"/>
                <w:szCs w:val="20"/>
                <w:color w:val="auto"/>
              </w:rPr>
            </w:pPr>
            <w:r>
              <w:rPr>
                <w:rFonts w:ascii="Arial" w:cs="Arial" w:eastAsia="Arial" w:hAnsi="Arial"/>
                <w:sz w:val="13"/>
                <w:szCs w:val="13"/>
                <w:color w:val="auto"/>
              </w:rPr>
              <w:t>Total other, net</w:t>
            </w: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040" w:type="dxa"/>
            <w:vAlign w:val="bottom"/>
          </w:tcPr>
          <w:p>
            <w:pPr>
              <w:ind w:left="320"/>
              <w:spacing w:after="0"/>
              <w:rPr>
                <w:sz w:val="20"/>
                <w:szCs w:val="20"/>
                <w:color w:val="auto"/>
              </w:rPr>
            </w:pPr>
            <w:r>
              <w:rPr>
                <w:rFonts w:ascii="Arial" w:cs="Arial" w:eastAsia="Arial" w:hAnsi="Arial"/>
                <w:sz w:val="13"/>
                <w:szCs w:val="13"/>
                <w:color w:val="auto"/>
              </w:rPr>
              <w:t>F-42</w:t>
            </w: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before income taxes and of income tax are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 (benefit):</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Domestic</w:t>
            </w:r>
          </w:p>
        </w:tc>
        <w:tc>
          <w:tcPr>
            <w:tcW w:w="2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693.9</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525.2</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193.6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216.7</w:t>
            </w: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910.6</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492.2</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256.2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28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Current</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301.7</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State</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22.3</w:t>
            </w: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354.0</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384.7</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194.3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28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Federal</w:t>
            </w:r>
          </w:p>
        </w:tc>
        <w:tc>
          <w:tcPr>
            <w:tcW w:w="2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(76.7)</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(105.3)</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(96.1)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w:t>
            </w: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Foreign</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(81.6)</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(106.3)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vMerge w:val="restart"/>
          </w:tcPr>
          <w:p>
            <w:pPr>
              <w:spacing w:after="0"/>
              <w:rPr>
                <w:sz w:val="20"/>
                <w:szCs w:val="20"/>
                <w:color w:val="auto"/>
              </w:rPr>
            </w:pPr>
            <w:r>
              <w:rPr>
                <w:rFonts w:ascii="Arial" w:cs="Arial" w:eastAsia="Arial" w:hAnsi="Arial"/>
                <w:sz w:val="13"/>
                <w:szCs w:val="13"/>
                <w:color w:val="auto"/>
              </w:rPr>
              <w:t>Total income tax expense</w:t>
            </w: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620" w:type="dxa"/>
            <w:vAlign w:val="bottom"/>
            <w:vMerge w:val="continue"/>
          </w:tcPr>
          <w:p>
            <w:pPr>
              <w:spacing w:after="0"/>
              <w:rPr>
                <w:sz w:val="15"/>
                <w:szCs w:val="15"/>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272.4</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278.4</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95.5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462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Deferred tax assets and liabilities</w:t>
            </w:r>
          </w:p>
        </w:tc>
        <w:tc>
          <w:tcPr>
            <w:tcW w:w="28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620" w:type="dxa"/>
            <w:vAlign w:val="bottom"/>
          </w:tcPr>
          <w:p>
            <w:pPr>
              <w:ind w:left="400"/>
              <w:spacing w:after="0"/>
              <w:rPr>
                <w:sz w:val="20"/>
                <w:szCs w:val="20"/>
                <w:color w:val="auto"/>
              </w:rPr>
            </w:pPr>
            <w:r>
              <w:rPr>
                <w:rFonts w:ascii="Arial" w:cs="Arial" w:eastAsia="Arial" w:hAnsi="Arial"/>
                <w:sz w:val="13"/>
                <w:szCs w:val="13"/>
                <w:color w:val="auto"/>
                <w:w w:val="99"/>
              </w:rPr>
              <w:t>Deferred tax assets (liabilities) are comprised of the following (in millions):</w:t>
            </w: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6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Tax credits</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right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Inventory and other reserves</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32.2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Capitalized costs</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Intangibles, net</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77.2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70.5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3"/>
                <w:szCs w:val="13"/>
                <w:color w:val="auto"/>
              </w:rPr>
              <w:t>Deferred tax assets</w:t>
            </w: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20" w:type="dxa"/>
            <w:vAlign w:val="bottom"/>
            <w:vMerge w:val="continue"/>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340.4</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229.0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Fair value adjustment</w:t>
            </w: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(632.7)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(692.6)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Interest expense on notes payable</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on investments and cumulative translation adjustment</w:t>
            </w:r>
          </w:p>
        </w:tc>
        <w:tc>
          <w:tcPr>
            <w:tcW w:w="2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Depreciation, amortization and other</w:t>
            </w: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(129.8)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(765.5)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980" w:type="dxa"/>
            <w:vAlign w:val="bottom"/>
            <w:gridSpan w:val="2"/>
          </w:tcPr>
          <w:p>
            <w:pPr>
              <w:jc w:val="right"/>
              <w:ind w:right="2480"/>
              <w:spacing w:after="0"/>
              <w:rPr>
                <w:sz w:val="20"/>
                <w:szCs w:val="20"/>
                <w:color w:val="auto"/>
              </w:rPr>
            </w:pPr>
            <w:r>
              <w:rPr>
                <w:rFonts w:ascii="Arial" w:cs="Arial" w:eastAsia="Arial" w:hAnsi="Arial"/>
                <w:sz w:val="13"/>
                <w:szCs w:val="13"/>
                <w:color w:val="auto"/>
              </w:rPr>
              <w:t>F-43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U.S. federal statutory tax rate to the effective tax rate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w w:val="96"/>
              </w:rPr>
              <w:t>Year Ended December 31,</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6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38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460" w:type="dxa"/>
            <w:vAlign w:val="bottom"/>
          </w:tcPr>
          <w:p>
            <w:pPr>
              <w:spacing w:after="0"/>
              <w:rPr>
                <w:sz w:val="8"/>
                <w:szCs w:val="8"/>
                <w:color w:val="auto"/>
              </w:rPr>
            </w:pPr>
          </w:p>
        </w:tc>
        <w:tc>
          <w:tcPr>
            <w:tcW w:w="32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7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35.0%</w:t>
            </w: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960" w:type="dxa"/>
            <w:vAlign w:val="bottom"/>
          </w:tcPr>
          <w:p>
            <w:pPr>
              <w:spacing w:after="0"/>
              <w:rPr>
                <w:sz w:val="20"/>
                <w:szCs w:val="20"/>
                <w:color w:val="auto"/>
              </w:rPr>
            </w:pPr>
            <w:r>
              <w:rPr>
                <w:rFonts w:ascii="Arial" w:cs="Arial" w:eastAsia="Arial" w:hAnsi="Arial"/>
                <w:sz w:val="13"/>
                <w:szCs w:val="13"/>
                <w:color w:val="auto"/>
              </w:rPr>
              <w:t>State taxes</w:t>
            </w: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3.0</w:t>
            </w:r>
          </w:p>
        </w:tc>
        <w:tc>
          <w:tcPr>
            <w:tcW w:w="840" w:type="dxa"/>
            <w:vAlign w:val="bottom"/>
            <w:gridSpan w:val="2"/>
          </w:tcPr>
          <w:p>
            <w:pPr>
              <w:jc w:val="right"/>
              <w:ind w:right="460"/>
              <w:spacing w:after="0"/>
              <w:rPr>
                <w:sz w:val="20"/>
                <w:szCs w:val="20"/>
                <w:color w:val="auto"/>
              </w:rPr>
            </w:pPr>
            <w:r>
              <w:rPr>
                <w:rFonts w:ascii="Arial" w:cs="Arial" w:eastAsia="Arial" w:hAnsi="Arial"/>
                <w:sz w:val="13"/>
                <w:szCs w:val="13"/>
                <w:color w:val="auto"/>
              </w:rPr>
              <w:t>3.0</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Foreign taxes</w:t>
            </w: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(7.6)</w:t>
            </w:r>
          </w:p>
        </w:tc>
        <w:tc>
          <w:tcPr>
            <w:tcW w:w="8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7"/>
        </w:trPr>
        <w:tc>
          <w:tcPr>
            <w:tcW w:w="7960" w:type="dxa"/>
            <w:vAlign w:val="bottom"/>
          </w:tcPr>
          <w:p>
            <w:pPr>
              <w:spacing w:after="0"/>
              <w:rPr>
                <w:sz w:val="20"/>
                <w:szCs w:val="20"/>
                <w:color w:val="auto"/>
              </w:rPr>
            </w:pPr>
            <w:r>
              <w:rPr>
                <w:rFonts w:ascii="Arial" w:cs="Arial" w:eastAsia="Arial" w:hAnsi="Arial"/>
                <w:sz w:val="13"/>
                <w:szCs w:val="13"/>
                <w:color w:val="auto"/>
              </w:rPr>
              <w:t>Credits and net operating loss utilization</w:t>
            </w: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(3.1)</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(0.6)</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w:t>
            </w:r>
          </w:p>
        </w:tc>
        <w:tc>
          <w:tcPr>
            <w:tcW w:w="8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960" w:type="dxa"/>
            <w:vAlign w:val="bottom"/>
          </w:tcPr>
          <w:p>
            <w:pPr>
              <w:spacing w:after="0"/>
              <w:rPr>
                <w:sz w:val="20"/>
                <w:szCs w:val="20"/>
                <w:color w:val="auto"/>
              </w:rPr>
            </w:pPr>
            <w:r>
              <w:rPr>
                <w:rFonts w:ascii="Arial" w:cs="Arial" w:eastAsia="Arial" w:hAnsi="Arial"/>
                <w:sz w:val="13"/>
                <w:szCs w:val="13"/>
                <w:color w:val="auto"/>
              </w:rPr>
              <w:t>Fair value adjustment</w:t>
            </w: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3.5</w:t>
            </w:r>
          </w:p>
        </w:tc>
        <w:tc>
          <w:tcPr>
            <w:tcW w:w="840" w:type="dxa"/>
            <w:vAlign w:val="bottom"/>
            <w:gridSpan w:val="2"/>
          </w:tcPr>
          <w:p>
            <w:pPr>
              <w:jc w:val="right"/>
              <w:ind w:right="460"/>
              <w:spacing w:after="0"/>
              <w:rPr>
                <w:sz w:val="20"/>
                <w:szCs w:val="20"/>
                <w:color w:val="auto"/>
              </w:rPr>
            </w:pPr>
            <w:r>
              <w:rPr>
                <w:rFonts w:ascii="Arial" w:cs="Arial" w:eastAsia="Arial" w:hAnsi="Arial"/>
                <w:sz w:val="13"/>
                <w:szCs w:val="13"/>
                <w:color w:val="auto"/>
              </w:rPr>
              <w:t>6.2</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IPR&amp;D</w:t>
            </w: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0.7</w:t>
            </w:r>
          </w:p>
        </w:tc>
        <w:tc>
          <w:tcPr>
            <w:tcW w:w="8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27.9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60" w:type="dxa"/>
            <w:vAlign w:val="bottom"/>
          </w:tcPr>
          <w:p>
            <w:pPr>
              <w:spacing w:after="0"/>
              <w:rPr>
                <w:sz w:val="20"/>
                <w:szCs w:val="20"/>
                <w:color w:val="auto"/>
              </w:rPr>
            </w:pPr>
            <w:r>
              <w:rPr>
                <w:rFonts w:ascii="Arial" w:cs="Arial" w:eastAsia="Arial" w:hAnsi="Arial"/>
                <w:sz w:val="13"/>
                <w:szCs w:val="13"/>
                <w:color w:val="auto"/>
              </w:rPr>
              <w:t>Non-deductible items</w:t>
            </w:r>
          </w:p>
        </w:tc>
        <w:tc>
          <w:tcPr>
            <w:tcW w:w="740" w:type="dxa"/>
            <w:vAlign w:val="bottom"/>
            <w:gridSpan w:val="2"/>
          </w:tcPr>
          <w:p>
            <w:pPr>
              <w:jc w:val="right"/>
              <w:ind w:right="308"/>
              <w:spacing w:after="0"/>
              <w:rPr>
                <w:sz w:val="20"/>
                <w:szCs w:val="20"/>
                <w:color w:val="auto"/>
              </w:rPr>
            </w:pPr>
            <w:r>
              <w:rPr>
                <w:rFonts w:ascii="Arial" w:cs="Arial" w:eastAsia="Arial" w:hAnsi="Arial"/>
                <w:sz w:val="13"/>
                <w:szCs w:val="13"/>
                <w:color w:val="auto"/>
              </w:rPr>
              <w:t>(0.6)</w:t>
            </w:r>
          </w:p>
        </w:tc>
        <w:tc>
          <w:tcPr>
            <w:tcW w:w="840" w:type="dxa"/>
            <w:vAlign w:val="bottom"/>
            <w:gridSpan w:val="2"/>
          </w:tcPr>
          <w:p>
            <w:pPr>
              <w:jc w:val="right"/>
              <w:ind w:right="460"/>
              <w:spacing w:after="0"/>
              <w:rPr>
                <w:sz w:val="20"/>
                <w:szCs w:val="20"/>
                <w:color w:val="auto"/>
              </w:rPr>
            </w:pPr>
            <w:r>
              <w:rPr>
                <w:rFonts w:ascii="Arial" w:cs="Arial" w:eastAsia="Arial" w:hAnsi="Arial"/>
                <w:sz w:val="13"/>
                <w:szCs w:val="13"/>
                <w:color w:val="auto"/>
              </w:rPr>
              <w:t>0.8</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3"/>
                <w:szCs w:val="13"/>
                <w:color w:val="auto"/>
              </w:rPr>
              <w:t>Tax on repatriation</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3"/>
                <w:szCs w:val="13"/>
                <w:color w:val="auto"/>
              </w:rPr>
              <w:t>Effective tax rate</w:t>
            </w: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60" w:type="dxa"/>
            <w:vAlign w:val="bottom"/>
            <w:vMerge w:val="continue"/>
          </w:tcPr>
          <w:p>
            <w:pPr>
              <w:spacing w:after="0"/>
              <w:rPr>
                <w:sz w:val="13"/>
                <w:szCs w:val="13"/>
                <w:color w:val="auto"/>
              </w:rPr>
            </w:pPr>
          </w:p>
        </w:tc>
        <w:tc>
          <w:tcPr>
            <w:tcW w:w="740" w:type="dxa"/>
            <w:vAlign w:val="bottom"/>
            <w:gridSpan w:val="2"/>
          </w:tcPr>
          <w:p>
            <w:pPr>
              <w:jc w:val="right"/>
              <w:ind w:right="248"/>
              <w:spacing w:after="0"/>
              <w:rPr>
                <w:sz w:val="20"/>
                <w:szCs w:val="20"/>
                <w:color w:val="auto"/>
              </w:rPr>
            </w:pPr>
            <w:r>
              <w:rPr>
                <w:rFonts w:ascii="Arial" w:cs="Arial" w:eastAsia="Arial" w:hAnsi="Arial"/>
                <w:sz w:val="13"/>
                <w:szCs w:val="13"/>
                <w:color w:val="auto"/>
              </w:rPr>
              <w:t>29.9%</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56.6%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At December 31, 2007, we had net operating losses and general business credit carryforwards for federal income tax purposes of approximately $72.1 million and $3.2 million, respectively, which begin to expire in 2020. Additionally, for state income tax purposes, we had net operating loss carryforwards of approximately $49.4 million, which have no prescribed expiration date. For state income tax purposes, we also had research credit carryforwards of approximately $3.5 million, of which approximately $1.2 million will begin to expire in 2015 and the remainder have no prescribed expiration date.</w:t>
      </w:r>
    </w:p>
    <w:p>
      <w:pPr>
        <w:spacing w:after="0" w:line="70"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benefits of our entire deferred tax assets. In the event that actual results differ from our estimates or we adjust our estimates in future periods, we may need to establish a valuation allowance, which could materially impact our financial position and results of operations.</w:t>
      </w:r>
    </w:p>
    <w:p>
      <w:pPr>
        <w:spacing w:after="0" w:line="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December 31, 2007, undistributed foreign earnings of non-U.S. subsidiaries included in consolidated retained earnings aggregated approximately $1,111 million, exclusive of earnings that would result in little or no net income tax expense under current U.S. tax law. We intend to reinvest these earnings indefinitely in operations outside the U.S. It is not practicable to estimate the amount of additional tax that might be payable if such earnings were remitted to the U.S.</w:t>
      </w:r>
    </w:p>
    <w:p>
      <w:pPr>
        <w:spacing w:after="0" w:line="67"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On October 22, 2004, the American Jobs Creation Act of 2004, or the Act, was signed into law. The Act created a temporary incentive, which expired on December 31, 2005, for U.S. multinational companies to repatriate accumulated income earned outside the U.S. at an effective tax rate that could be as low as 5.25%. On December 21, 2004, the FASB issued FASB staff position 109-2, </w:t>
      </w:r>
      <w:r>
        <w:rPr>
          <w:rFonts w:ascii="Arial" w:cs="Arial" w:eastAsia="Arial" w:hAnsi="Arial"/>
          <w:sz w:val="12"/>
          <w:szCs w:val="12"/>
          <w:i w:val="1"/>
          <w:iCs w:val="1"/>
          <w:color w:val="auto"/>
        </w:rPr>
        <w:t>Accounting and Disclosure Guidance for the Foreign Earnings Repatriation Provision within the American Jobs Creation Act of 2004</w:t>
      </w:r>
      <w:r>
        <w:rPr>
          <w:rFonts w:ascii="Arial" w:cs="Arial" w:eastAsia="Arial" w:hAnsi="Arial"/>
          <w:sz w:val="12"/>
          <w:szCs w:val="12"/>
          <w:color w:val="auto"/>
        </w:rPr>
        <w:t>, or FSP FAS 109-2. FSP</w:t>
      </w:r>
    </w:p>
    <w:p>
      <w:pPr>
        <w:spacing w:after="0" w:line="1" w:lineRule="exact"/>
        <w:rPr>
          <w:sz w:val="20"/>
          <w:szCs w:val="20"/>
          <w:color w:val="auto"/>
        </w:rPr>
      </w:pPr>
    </w:p>
    <w:p>
      <w:pPr>
        <w:ind w:left="680" w:right="360"/>
        <w:spacing w:after="0" w:line="264" w:lineRule="auto"/>
        <w:rPr>
          <w:sz w:val="20"/>
          <w:szCs w:val="20"/>
          <w:color w:val="auto"/>
        </w:rPr>
      </w:pPr>
      <w:r>
        <w:rPr>
          <w:rFonts w:ascii="Arial" w:cs="Arial" w:eastAsia="Arial" w:hAnsi="Arial"/>
          <w:sz w:val="13"/>
          <w:szCs w:val="13"/>
          <w:color w:val="auto"/>
        </w:rPr>
        <w:t xml:space="preserve">FAS 109-2 allowed companies additional time to evaluate the effect of the law on whether unrepatriated foreign earnings continue to qualify for the Financial Statement of Accounting Standards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or SFAS 109</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180"/>
        <w:spacing w:after="0" w:line="320" w:lineRule="auto"/>
        <w:rPr>
          <w:sz w:val="20"/>
          <w:szCs w:val="20"/>
          <w:color w:val="auto"/>
        </w:rPr>
      </w:pPr>
      <w:r>
        <w:rPr>
          <w:rFonts w:ascii="Arial" w:cs="Arial" w:eastAsia="Arial" w:hAnsi="Arial"/>
          <w:sz w:val="12"/>
          <w:szCs w:val="12"/>
          <w:color w:val="auto"/>
        </w:rPr>
        <w:t>exception to recognizing deferred tax liabilities. A total distribution of $196 million was made by one of our foreign subsidiaries to one of our U.S. subsidiaries in December 2005. We incurred a charge to our consolidated results of operations of approximately $11.0 million in the fourth quarter of 2005 for the tax cost related to the distribution.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IRS Settlement</w:t>
      </w:r>
    </w:p>
    <w:p>
      <w:pPr>
        <w:spacing w:after="0" w:line="96" w:lineRule="exact"/>
        <w:rPr>
          <w:sz w:val="20"/>
          <w:szCs w:val="20"/>
          <w:color w:val="auto"/>
        </w:rPr>
      </w:pPr>
    </w:p>
    <w:p>
      <w:pPr>
        <w:ind w:left="680" w:right="800" w:firstLine="399"/>
        <w:spacing w:after="0" w:line="285" w:lineRule="auto"/>
        <w:rPr>
          <w:sz w:val="20"/>
          <w:szCs w:val="20"/>
          <w:color w:val="auto"/>
        </w:rPr>
      </w:pPr>
      <w:r>
        <w:rPr>
          <w:rFonts w:ascii="Arial" w:cs="Arial" w:eastAsia="Arial" w:hAnsi="Arial"/>
          <w:sz w:val="12"/>
          <w:szCs w:val="12"/>
          <w:color w:val="auto"/>
        </w:rPr>
        <w:t>During the fourth quarter of 2005, the Internal Revenue Service, or IRS, completed its examination of legacy Biogen, Inc.’s, now Biogen Idec MA, Inc.’s, consolidated federal income tax returns for the fiscal years 2001 and 2002 and issued an assessment. We subsequently paid the majority of the amounts assessed and are appealing one issue. As a result of this and other income tax audit activity, Biogen Idec MA, Inc. reassessed its liability for income tax contingencies to reflect the IRS findings and recorded a $13.8 million reduction in these liabilities during the fourth quarter of 2005. The corresponding effects of the adjustments to the liability for income tax contingencies through 2004 resulted in a reduction in goodwill of $20.7 million for amounts related to periods prior to the Merger and an increase in income tax expense associated with continuing operations of $6.9 million.</w:t>
      </w:r>
    </w:p>
    <w:p>
      <w:pPr>
        <w:spacing w:after="0" w:line="55" w:lineRule="exact"/>
        <w:rPr>
          <w:sz w:val="20"/>
          <w:szCs w:val="20"/>
          <w:color w:val="auto"/>
        </w:rPr>
      </w:pPr>
    </w:p>
    <w:p>
      <w:pPr>
        <w:ind w:left="680" w:right="920" w:firstLine="399"/>
        <w:spacing w:after="0" w:line="296" w:lineRule="auto"/>
        <w:rPr>
          <w:sz w:val="20"/>
          <w:szCs w:val="20"/>
          <w:color w:val="auto"/>
        </w:rPr>
      </w:pPr>
      <w:r>
        <w:rPr>
          <w:rFonts w:ascii="Arial" w:cs="Arial" w:eastAsia="Arial" w:hAnsi="Arial"/>
          <w:sz w:val="12"/>
          <w:szCs w:val="12"/>
          <w:color w:val="auto"/>
        </w:rPr>
        <w:t>During the second quarter of 2007, the IRS completed its examination of Biogen Idec Inc.’s consolidated federal income tax returns for the fiscal years 2003 and 2004 and issued an assessment. We subsequently paid amounts related to issues agreed to with the IRS and are appealing several issues. As a result of this examination activity, we reassessed our liability for income tax contingencies to reflect the IRS findings and recorded a $14.7 million reduction in our liabilities for income tax contingencies during the second quarter of 2007.</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Contingency</w:t>
      </w:r>
    </w:p>
    <w:p>
      <w:pPr>
        <w:spacing w:after="0" w:line="96" w:lineRule="exact"/>
        <w:rPr>
          <w:sz w:val="20"/>
          <w:szCs w:val="20"/>
          <w:color w:val="auto"/>
        </w:rPr>
      </w:pPr>
    </w:p>
    <w:p>
      <w:pPr>
        <w:jc w:val="both"/>
        <w:ind w:left="680" w:right="840" w:firstLine="399"/>
        <w:spacing w:after="0" w:line="289" w:lineRule="auto"/>
        <w:rPr>
          <w:sz w:val="20"/>
          <w:szCs w:val="20"/>
          <w:color w:val="auto"/>
        </w:rPr>
      </w:pPr>
      <w:r>
        <w:rPr>
          <w:rFonts w:ascii="Arial" w:cs="Arial" w:eastAsia="Arial" w:hAnsi="Arial"/>
          <w:sz w:val="12"/>
          <w:szCs w:val="12"/>
          <w:color w:val="auto"/>
        </w:rPr>
        <w:t>On September 12, 2006, we received a Notice of Assessment from the Massachusetts Department of Revenue for $38.9 million, which includes penalties and interest, with respect to the 2001, 2002 and 2003 tax years. We believe that we have meritorious defenses to the proposed adjustment and will vigorously oppose the assessment. We believe that the assessment does not impact the level of liabilities for income tax contingencies. However, there is a possibility that we may not prevail in all of our assertions. If this is resolved unfavorably in the future, this could have a material impact on our future effective tax rate and our results of operations in the period in which an event would occur.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FASB Interpretation No. 48</w:t>
      </w:r>
    </w:p>
    <w:p>
      <w:pPr>
        <w:spacing w:after="0" w:line="96" w:lineRule="exact"/>
        <w:rPr>
          <w:sz w:val="20"/>
          <w:szCs w:val="20"/>
          <w:color w:val="auto"/>
        </w:rPr>
      </w:pPr>
    </w:p>
    <w:p>
      <w:pPr>
        <w:ind w:left="680" w:right="960" w:firstLine="399"/>
        <w:spacing w:after="0" w:line="289" w:lineRule="auto"/>
        <w:rPr>
          <w:sz w:val="20"/>
          <w:szCs w:val="20"/>
          <w:color w:val="auto"/>
        </w:rPr>
      </w:pPr>
      <w:r>
        <w:rPr>
          <w:rFonts w:ascii="Arial" w:cs="Arial" w:eastAsia="Arial" w:hAnsi="Arial"/>
          <w:sz w:val="12"/>
          <w:szCs w:val="12"/>
          <w:color w:val="auto"/>
        </w:rPr>
        <w:t>Effective January 1, 2007, we adopted FIN 48. FIN 48 clarifies the accounting for uncertainty in income taxes recognized in an enterprise’s financial statements in accordance with SFAS 109. FIN 48 also prescribes a recognition threshold and measurement attribute for the financial statement recognition and measurement of each tax position taken or expected to be taken in a tax return. As a result of the adoption of 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5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$ 196.8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5940" w:type="dxa"/>
            <w:vAlign w:val="bottom"/>
            <w:gridSpan w:val="3"/>
          </w:tcPr>
          <w:p>
            <w:pPr>
              <w:jc w:val="right"/>
              <w:ind w:right="40"/>
              <w:spacing w:after="0"/>
              <w:rPr>
                <w:sz w:val="20"/>
                <w:szCs w:val="20"/>
                <w:color w:val="auto"/>
              </w:rPr>
            </w:pPr>
            <w:r>
              <w:rPr>
                <w:rFonts w:ascii="Arial" w:cs="Arial" w:eastAsia="Arial" w:hAnsi="Arial"/>
                <w:sz w:val="13"/>
                <w:szCs w:val="13"/>
                <w:color w:val="auto"/>
              </w:rPr>
              <w:t>29.7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5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83.5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5940" w:type="dxa"/>
            <w:vAlign w:val="bottom"/>
            <w:gridSpan w:val="3"/>
          </w:tcPr>
          <w:p>
            <w:pPr>
              <w:jc w:val="right"/>
              <w:spacing w:after="0"/>
              <w:rPr>
                <w:sz w:val="20"/>
                <w:szCs w:val="20"/>
                <w:color w:val="auto"/>
              </w:rPr>
            </w:pPr>
            <w:r>
              <w:rPr>
                <w:rFonts w:ascii="Arial" w:cs="Arial" w:eastAsia="Arial" w:hAnsi="Arial"/>
                <w:sz w:val="13"/>
                <w:szCs w:val="13"/>
                <w:color w:val="auto"/>
              </w:rPr>
              <w:t>(70.2)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55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Balance at December 31, 2007</w:t>
            </w:r>
          </w:p>
        </w:tc>
        <w:tc>
          <w:tcPr>
            <w:tcW w:w="550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7"/>
              </w:rPr>
              <w:t>$ 221.1</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0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0"/>
        </w:trPr>
        <w:tc>
          <w:tcPr>
            <w:tcW w:w="6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940" w:type="dxa"/>
            <w:vAlign w:val="bottom"/>
            <w:gridSpan w:val="3"/>
          </w:tcPr>
          <w:p>
            <w:pPr>
              <w:jc w:val="right"/>
              <w:ind w:right="4860"/>
              <w:spacing w:after="0"/>
              <w:rPr>
                <w:sz w:val="20"/>
                <w:szCs w:val="20"/>
                <w:color w:val="auto"/>
              </w:rPr>
            </w:pPr>
            <w:r>
              <w:rPr>
                <w:rFonts w:ascii="Arial" w:cs="Arial" w:eastAsia="Arial" w:hAnsi="Arial"/>
                <w:sz w:val="13"/>
                <w:szCs w:val="13"/>
                <w:color w:val="auto"/>
              </w:rPr>
              <w:t>F-45</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40" w:type="dxa"/>
            <w:vAlign w:val="bottom"/>
            <w:tcBorders>
              <w:bottom w:val="single" w:sz="8" w:color="808080"/>
            </w:tcBorders>
          </w:tcPr>
          <w:p>
            <w:pPr>
              <w:spacing w:after="0"/>
              <w:rPr>
                <w:sz w:val="14"/>
                <w:szCs w:val="14"/>
                <w:color w:val="auto"/>
              </w:rPr>
            </w:pPr>
          </w:p>
        </w:tc>
        <w:tc>
          <w:tcPr>
            <w:tcW w:w="5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Included in the balance of unrecognized tax benefits at December 31, 2007 and January 1, 2007, are $110.5 million and $98.2 million (net of the federal benefit on state issues), respectively, of unrecognized tax benefits that, if recognized, would affect the effective income tax rate in any future periods. We do not anticipate any significant changes in our positions in the next twelve months.</w:t>
      </w:r>
    </w:p>
    <w:p>
      <w:pPr>
        <w:spacing w:after="0" w:line="67"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We recognize interest and penalties accrued related to unrecognized tax benefits in income tax expense. During 2007 and 2006, we recognized approximately $14.5 million and $11.4 million in interest. Additionally, during 2007, we reduced our interest accrual by $3.3 million due to the completion of an IRS examination as described below. We had accrued approximately $31.6 million and $20.3 million for the payment of interest at December 31, 2007 and January 1, 2007, respectively.</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file income tax returns in the U.S. federal jurisdiction, and various states and foreign jurisdictions. With few exceptions, we are no longer subject to U.S. federal, state and local, or non-U.S. income tax examinations by tax authorities for years before 2001.</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the adoption of FIN 48, we reclassified approximately $113 million in reserves for uncertain tax positions from current taxes payable to long-term liabilities.</w:t>
      </w:r>
    </w:p>
    <w:p>
      <w:pPr>
        <w:spacing w:after="0" w:line="182"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Research Collaborations</w:t>
      </w:r>
    </w:p>
    <w:p>
      <w:pPr>
        <w:spacing w:after="0" w:line="100"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In connection with our research and development efforts, we have entered into various collaboration arrangements which provide us with rights to develop, produce and market products using certain know-how, technology and patent rights maintained by the parties. Terms of the various license agreements may require us to make milestone payments upon the achievement of certain product development objectives and pay royalties on future sales, if any, of commercial products resulting from the collaboration.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Neurimmune</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November 2007, we entered into an agreement with Neurimmune SubOne AG, or Neurimmune, for the worldwide development and commercialization of human antibodies for the treatment of Alzheimer’s disease, or AD. Neurimmune will conduct research to identify potential therapeutic antibodies and we will be responsible for the development and commercialization of all products. Under the terms of the agreement, we paid a $2.0 million upfront payment and may pay up to $378.0 million in milestone payments, as well as a royalty on net sales of any resulting commercial products. We also will reimburse Neurimmune for certain research and development costs incurred. We have determined that we are the primary beneficiary under FIN 46(R). As a result, we have consolidated the results of Neurimmune and recorded an IPR&amp;D charge of $34.3 million. The amount allocated to IPR&amp;D relates to the development of the Beta-Amyloid antibody. At the effective date of the agreement, this compound had not reached technological feasibility and had no alternative future use. We have allocated the $34.3 million to the minority interest, as the charge represents the fair value of the Beta-Amyloid antibody retained by the minority interest holders. As a result, we have recorded a credit in minority interest, which is recorded in other income (expense). Through December 31, 2007, we have spent an additional $0.6 million to develop the Beta-Amyloid antibody. We expect to incur approximately an additional $310 million to develop the Beta-Amyloid antibody for all indications under development. The estimated revenues from the Beta-Amyloid antibody are expected to be recognized beginning in 2017. A discount rate of 15% was used to value this project, which we believe to be commensurate with the stage of development of the Beta-Amyloid antibody and the uncertainties in the economic estimates described above.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Cardiokine Biopharma LLC</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 August 2007, our agreement with Cardiokine Biopharma LLC became effective. The agreement is for the joint development of lixivaptan, an oral compound for the potential treatment of hyponatremia in patients with</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congestive heart failure. We will be responsible for the global commercialization of lixivaptan and Cardiokine Biopharma LLC has an option for limited co-promotion in the U.S.</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Under the terms of the agreement, we paid a $50.0 million upfront payment and will pay up to $170.0 million in milestone payments for successful development and global commercialization of lixivaptan, as well as royalties on commercial sales. The $50.0 million is reflected as research and development expense in the accompanying consolidated statement of income. We have determined that we are the primary beneficiary under FIN 46(R). As a result, we have consolidated the results of Cardiokine Biopharma LLC and recorded an IPR&amp;D charge of approximately $30 million. The amount allocated to IPR&amp;D relates to the development of lixivaptan. At the effective date of the agreement, this compound had not reached technological feasibility and had no alternative future use. We have allocated the approximately $30 million to the minority interest, as the charge represents the fair value of the lixivaptan compound retained by the minority interest holders. As a result, we recorded a credit in minority interest, which is recorded in other income (expense). Through December 31, 2007, we have spent an additional $15.5 million to develop lixivaptan since the agreement became effective. We expect to incur approximately an additional $260 million to develop lixivaptan for all indications under development. The estimated revenues from lixivaptan are expected to be recognized beginning in 2011. A discount rate of 11% was used to value this project, which we believe to be commensurate with the stage of development of lixivaptan and the uncertainties in the economic estimates described above.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mondo</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September 14, 2006, we entered into an exclusive collaboration and license agreement with mondoBIOTECH, AG, or mondo, a private Swiss biotechnology company, to develop, manufacture and commercialize Aviptadil, a clinical compound for the treatment of pulmonary arterial hypertension, or PAH. In accordance with the agreement, we will be responsible for the global manufacturing, clinical development, regulatory approval and commercialization of Aviptadil. We finalized the development plan for Aviptadil and had mondo initiate additional clinical work in 2007.</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Under the terms of the agreement, we paid mondo a $7.5 million upfront payment and will pay up to $30.0 million in milestones payments for successful development and commercialization of Aviptadil in PAH in the U.S. and Europe, as well as royalty payments on commercial sales. The $7.5 million upfront amount was recorded as research and development expense in 2006. Through December 31, 2007, we have spent an additional $15.4 million on the development of Aviptadil and expect to incur an additional $143.5 million to develop Aviptadil. We have determined that we are the primary beneficiary under FIN 46(R) and as a result, we consolidate the results of mondo.</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we have indicated our intention to make a minority equity investment of $5.0 million in mondo in the event that it undertakes an initial public offering.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Alnylam</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September 2006, we entered into a collaboration agreement with Alnylam Pharmaceuticals, Inc., or Alnylam, related to discovery and development of RNAi therapeutics for the potential treatment of PML.</w:t>
      </w:r>
    </w:p>
    <w:p>
      <w:pPr>
        <w:spacing w:after="0" w:line="5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Under the terms of the collaboration, we and Alnylam will initially conduct investigative research into the potential of using RNAi technology to develop up to three therapeutics to treat PML. Of the therapeutics presented, we will select one development candidate and one back up candidate and will be responsible for the development and commercialization of the selected candidate. We would also have the option to develop and commercialize the backup candidate at our discretion. We will fund all research and development activities.</w:t>
      </w:r>
    </w:p>
    <w:p>
      <w:pPr>
        <w:spacing w:after="0" w:line="5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paid Alnylam an upfront payment of $5.0 million and agreed to additional payments of up to $51.3 million in milestone payments, plus royalties in the event of successful development and utilization of any product resulting</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from the collaboration. The $5.0 million upfront payment was recorded as research and development expense in 2006.</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UCB</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September 2006, we entered into a global collaboration with UCB, S.A., or UCB, to jointly develop and commercialize CDP323 for the treatment of relapsing-remitting MS and other potential indications. CDP323 is an orally active small molecule alpha-4 integrin inhibitor in Phase 2 clinical trials.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Under terms of the agreement, we paid UCB an upfront payment of $30.0 million and agreed to make development milestone payments to UCB for the first indication of up to</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$93.0 million, with total milestone payments of up to $71.3 million payable for any additional indications. We will also pay UCB up to $75.0 million in commercialization milestones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will contribute significantly to clinical costs for Phase 2 and Phase 3 studies. All commercialization costs and profits will be shared equally. The $30.0 million upfront payment was recorded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research and development expense in 2006.</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PDL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August 2005, we entered in a collaborative agreement with PDL BioPharma, Inc., or PDL, for the joint development, manufacture and commercialization of three Phase 2 antibody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products. Under this agreement, we and PDL will share in the development and commercialization of Daclizumab in MS and indications other than transplant and respiratory diseases,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development and commercialization of M200, or volociximab, and HuZAF, or fontolizumab, in all indications. Fontolizumab was discontinued during 2006. Both companies will share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equally the costs of all development activities and all operating profits from each collaboration product within the U.S. and Europe. We paid PDL a non-refundable upfront licensing fee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$40.0 million for these product candidates, which we concluded had no alternative future uses and was therefore included in research and development expenses in 2005. We also accrued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$10.0 million in research and development expense in 2005 for future payments that were determined to be unavoidable. The terms of the collaborative agreement require us to make certain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and commercialization milestone payments upon the achievement of certain program objectives totaling up to $660.0 million over the life of the agreement, of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$560.0 million relates to development and $100.0 million relates to the commercialization of collaboration products.</w:t>
      </w:r>
    </w:p>
    <w:p>
      <w:pPr>
        <w:spacing w:after="0" w:line="89"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In addition to the collaborative agreement, we purchased approximately $100.0 million of common stock, or 3.5% of its common stock, from PDL. We recorded an impairment charge of $18.3 million during 2006 to reflect an other than temporary impairment in the value of the stock we own. In 2007, we sold our entire investment in PDL for $99.5 million, resulting in a gain of $17.2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Sunesis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In December 2002, we entered into a collaboration agreement with Sunesis Pharmaceuticals, Inc., or Sunesis, related to the discovery and development of oral therapeutics for the treatment of inflammatory and autoimmune diseases. In August 2004, we entered into a collaborative agreement with Sunesis to discover and develop small molecule cancer therapeutics targeting primarily kinases. Under the agreement, we acquired exclusive licenses to develop and commercialize certain compounds resulting from the collaboration. Upon signing the agreement, we paid Sunesis a non-refundable upfront license fee of $7.0 million, which was recorded in research and development expenses in 2004. During 2005, we recorded $1.0 million to research and development expense for milestones achieved through the collaboration with Sunesis, of which $0.5 million was paid to Sunesis in 2005. We have committed to paying Sunesis additional amounts upon the completion of certain future research milestones and first and second indication development milestones. If all the milestones were to be achieved based on our plan of research, we would be required to pay up to an additional $302.0 million to Sunesis, excluding royalties.</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Under the terms of the agreements, we purchased approximately 4.2 million shares of preferred stock of Sunesis for $20.0 million and, in September 2005, we purchased $5.0 million of common stock of Sunesis as part of their initial public offering, or IPO. At the time of the IPO, our preferred stock was converted into shares of Sunesis common stock and, based on the IPO valuation, we wrote-down the value of our investment in Sunesis by $4.6 million as we had determined that the impairment was other than temporary. Following the IPO, we owned approximately 2.9 million shares, or 9.9% of the common stock. We recorded impairment charges of $7.4 million and $7.2 million during 2007 and 2006, respectively, to reflect an other than temporary impairments in the value of the stock we own. We now hold a total of 2.9 million shares of Sunesis, representing 8% of total shares outstanding. Our investment in Sunesis is included in investments and other assets and has a fair value of $5.8 million at December 31,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Vernalis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June 2004, we entered into a collaborative research and development agreement with Vernalis plc, or Vernalis, aimed at advancing research into Vernalis’ adenosine A2A receptor antagonist program, which targets Parkinson’s disease and other central nervous system disorders. Under the agreement, we received exclusive worldwide rights to develop and commercialize Vernalis’ lead compound, BIIB014, formerly V2006. We paid Vernalis an initial license fee of $10.0 million in July 2004, which was recorded in research and development expenses in 2004. Terms of the collaborative agreement may require us to make milestone payments upon the achievement of certain program objectives and pay royalties on future sales, if any, of commercial products resulting from the collaboration. In June 2004, we made an investment of $5.5 million through subscription for approximately 6.2 million new Vernalis common shares, representing 4.19% of Vernalis’ post-financing issued share capital, and committed to purchase an additional $4.0 million in the event of future Vernalis financing. In March 2005, we purchased approximately 1.4 million additional shares under a qualified offering for $1.8 million, which fully satisfies our investment obligation to Vernalis. We paid development milestones of $3.0 million in 2006. If all the milestones were to be achieved, we would be required to pay up to an additional $85.0 million, excluding royalties, over the remaining life of the agreement. We account for our investment in Vernalis using the cost method of accounting, subject to periodic review of impairment. In 2007, we recorded an impairment charge of $6.3 million, representing an other than temporary investment in the stock we own. We now hold a total of approximately 7.6 million shares of Vernalis, representing 2% of total shares outstanding. Our investment in Vernalis is included in investments and other assets and has a fair value of $0.9 million at December 31, 2007.</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MPM</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May 2006, we became a limited partner in MPM Bioventures IV- Strategic Fund, LP, a limited partnership that invests in entities that are engaged in the research, development, manufacture, marketing and/or sale of novel biological products or technologies. Due to our percentage of ownership, we account for our investment in this fund under the equity method of accounting. We have committed to contribute up to $10.0 million to the LP and made an initial contribution of $1.1 million to the LP. Through December 31, 2007, we have contributed $1.9 million into the LP, which is included in investments and other assets in our consolidated balance sheets.</w:t>
      </w:r>
    </w:p>
    <w:p>
      <w:pPr>
        <w:spacing w:after="0" w:line="7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February 2006, we became a limited partner in MPM Bioventures IV-QP, LP, a limited partnership that invests in entities that are engaged in the research, development, manufacture, marketing and/or sale of novel biological products or technologies. Due to our percentage of ownership, we account for our investment in this fund under the cost method of accounting. We have committed to contribute up to $10.0 million to the LP and made an initial contribution of $1.0 million to the LP. Through December 31, 2007, we have contributed $2.55 million into the LP, which is included in investments and other assets in our consolidated balance sheets.</w:t>
      </w:r>
    </w:p>
    <w:p>
      <w:pPr>
        <w:spacing w:after="0" w:line="7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In May 2004, we entered into a limited partnership agreement as a limited partner with MPM Bioventures III GP, LP, to create MPM Bioventures Strategic Fund, LP, or the Strategic Fund. The purpose of the Strategic Fund is to make, manage, and supervise investments in biotechnology companies with novel products or technologies that</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260"/>
        <w:spacing w:after="0" w:line="296" w:lineRule="auto"/>
        <w:rPr>
          <w:sz w:val="20"/>
          <w:szCs w:val="20"/>
          <w:color w:val="auto"/>
        </w:rPr>
      </w:pPr>
      <w:r>
        <w:rPr>
          <w:rFonts w:ascii="Arial" w:cs="Arial" w:eastAsia="Arial" w:hAnsi="Arial"/>
          <w:sz w:val="12"/>
          <w:szCs w:val="12"/>
          <w:color w:val="auto"/>
        </w:rPr>
        <w:t>fit strategically with Biogen Idec. Due to our percentage of ownership, we account for our investment in this fund under the equity method of accounting. The Strategic Fund takes only minority positions in the equity of its investments, and does not seek to engage in day-to-day management of the entities. In February 2006, we adjusted our commitment to the Strategic Fund to approximately $32 million over a three-year period. Through December 31, 2007, we contributed $24.8 million to the Strategic Fund.</w:t>
      </w:r>
    </w:p>
    <w:p>
      <w:pPr>
        <w:spacing w:after="0" w:line="5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April 2004, we became a limited partner in MPM Bioventures III-QP, LP, a limited partnership that invests in entities that are engaged in the research, development, manufacture, marketing and/or sale of novel biological products or technologies. Due to our percentage of ownership, we account for our investment in this fund under the cost method of accounting. We have committed to contribute $4.0 million to the LP. Through December 31, 2007, we have contributed $3.7 million into the LP, which is included in investments and other assets in our consolidated balance sheets.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Vetter</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August 2003, Biogen, Inc. entered into a collaboration agreement with Vetter Pharma-Fertigung GmbH &amp; Co. KG, or Vetter, for the fill-finish of our products, including liquid AVONEX and TYSABRI. As of December 31, 2007, we have made milestone payments to Vetter of 35.0 million euros in return for its reserving certain manufacturing capacity for us at its fill-finish facility. Under the terms of the agreement, these payments will reduce payments due on our future purchases of inventory from Vetter over a seven-year period, which commenced in 2007. During 2007, we consumed approximately $5.6 million of this asset. Accordingly, as of December 31, 2007, we have recorded $7.3 million and $29.4 million of these payments in other current assets and in investments and other assets, respectively, in our consolidated balance sheets. The related portion of the asset will be reclassified to inventory when purchases from Vetter are made.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Schering</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June 1999, we entered into a collaboration and license agreement with Schering AG, aimed at the development and commercialization of ZEVALIN. Under the terms of the agreement, we may receive milestone and research and development support payments totaling up to $47.5 million, subject to the attainment of product development objectives. Schering AG received exclusive marketing and distribution rights to ZEVALIN outside the U.S., and we will continue to receive royalties on product sales by Schering AG. Under the terms of a separate supply agreement, we are obligated to meet Schering AG’s clinical and commercial requirements for ZEVALIN. Schering AG may terminate these agreements for any reason. Under the above agreement, amounts earned by us and recognized as revenue for contract research and development approximate the research and development expenses incurred under the related agreement. Although in December 2007, we sold our rights to market, sell, manufacture and develop ZEVALIN in the U.S., we still participate in this agreement and we are reimbursed by CTI for our costs incurred in fulfilling our obligation.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Targeted</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had previous agreements that have expired with Targeted Genetics Corporation, or Targeted, for gene therapy and research. We have no ongoing commitments with respect to Targeted. In connection with the expired agreements, however, we acquired shares of Targeted. In 2005, we recognized $9.2 million for impairments of our Targeted investment that was determined to be other-than-temporary. In 2006, we received one million shares of Targeted and $0.5 million in cash in exchange for forgiveness of $5.7 million of debt owed by Targeted to us. We recorded a gain of $3.4 million upon receipt of the shares and the cash payment. As a result of the transactions, as of December 31, 2006, we owned 19.9% of the outstanding shares of Targeted. We account for our investment in Targeted using the cost method. During 2007, we recorded an impairment charge of $1.7 million related to Targeted and at December 31, 2007, we held 2.2 million shares, representing 11% of the outstanding shares, with a fair</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market value of $3.3 million. This amount is included in investments and other assets on our consolidated balance sheet.</w:t>
      </w:r>
    </w:p>
    <w:p>
      <w:pPr>
        <w:spacing w:after="0" w:line="171"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Unconsolidated Joint Business Arrangement</w:t>
      </w:r>
    </w:p>
    <w:p>
      <w:pPr>
        <w:spacing w:after="0" w:line="100"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2"/>
          <w:szCs w:val="12"/>
          <w:color w:val="auto"/>
        </w:rPr>
        <w:t>We copromote RITUXAN in the U.S. in collaboration with Genentech, Inc., or Genentech, under a collaboration agreement between the parties. Under the collaboration agreement, we granted Genentech a worldwide license to develop, commercialize and market RITUXAN in multiple indications. In exchange for these worldwide rights, we have copromotion rights in the U.S. and a contractual arrangement under which Genentech shares a portion of the pretax U.S. copromotion profits of RITUXAN with us. This collaboration was created through a contractual arrangement, not through a joint venture or other legal entity. In June 2003, we amended and restated our collaboration agreement with Genentech to include the development and commercialization of one or more anti-CD20 antibodies targeting B-cell disorders, in addition to RITUXAN, for a broad range of indications.</w:t>
      </w:r>
    </w:p>
    <w:p>
      <w:pPr>
        <w:spacing w:after="0" w:line="55" w:lineRule="exact"/>
        <w:rPr>
          <w:sz w:val="20"/>
          <w:szCs w:val="20"/>
          <w:color w:val="auto"/>
        </w:rPr>
      </w:pPr>
    </w:p>
    <w:p>
      <w:pPr>
        <w:ind w:left="680" w:right="840" w:firstLine="399"/>
        <w:spacing w:after="0" w:line="296" w:lineRule="auto"/>
        <w:rPr>
          <w:sz w:val="20"/>
          <w:szCs w:val="20"/>
          <w:color w:val="auto"/>
        </w:rPr>
      </w:pPr>
      <w:r>
        <w:rPr>
          <w:rFonts w:ascii="Arial" w:cs="Arial" w:eastAsia="Arial" w:hAnsi="Arial"/>
          <w:sz w:val="12"/>
          <w:szCs w:val="12"/>
          <w:color w:val="auto"/>
        </w:rPr>
        <w:t>In the U.S., we contribute resources to selling and the continued development of RITUXAN. Genentech is responsible for worldwide manufacturing of RITUXAN. Genentech also is responsible for the primary support functions for the commercialization of RITUXAN in the U.S. including selling and marketing, customer service, order entry, distribution, shipping and billing. Genentech also incurs the majority of continuing development costs for RITUXAN. Under the arrangement, we have a limited sales force as well as limited development activity.</w:t>
      </w:r>
    </w:p>
    <w:p>
      <w:pPr>
        <w:spacing w:after="0" w:line="50"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Under the terms of separate sublicense agreements between Genentech and F. Hoffman-La Roche Ltd., or Roche, commercialization of RITUXAN outside the U.S. is the responsibility of Roche, except in Japan where Roche copromotes RITUXAN in collaboration with Zenyaku Kogyo Co Ltd., or Zenyaku. There is no direct contractual arrangement between us and Roche or Zenyaku.</w:t>
      </w:r>
    </w:p>
    <w:p>
      <w:pPr>
        <w:spacing w:after="0" w:line="67"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Revenue from unconsolidated joint business consists of our share of pretax copromotion profits, which is calculated by Genentech, and includes consideration of our RITUXAN-related sales force and development expenses, and royalty revenue from sales of RITUXAN outside the U.S. by Roche and Zenyaku. Pre-tax copromotion profit consists of U.S. sales of RITUXAN to third-party customers net of discounts and allowances and less the cost to manufacture RITUXAN, third-party royalty expenses, distribution, selling and marketing expenses, and joint development expenses incurred by Genentech and us.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amended and restated collaboration agreement, our current pretax copromotion profit-sharing formula, which resets annually,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3140" w:type="dxa"/>
            <w:vAlign w:val="bottom"/>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opromotion Operating Profits</w:t>
            </w:r>
          </w:p>
        </w:tc>
        <w:tc>
          <w:tcPr>
            <w:tcW w:w="7640" w:type="dxa"/>
            <w:vAlign w:val="bottom"/>
            <w:gridSpan w:val="2"/>
          </w:tcPr>
          <w:p>
            <w:pPr>
              <w:ind w:left="4960"/>
              <w:spacing w:after="0"/>
              <w:rPr>
                <w:sz w:val="20"/>
                <w:szCs w:val="20"/>
                <w:color w:val="auto"/>
              </w:rPr>
            </w:pPr>
            <w:r>
              <w:rPr>
                <w:rFonts w:ascii="Arial" w:cs="Arial" w:eastAsia="Arial" w:hAnsi="Arial"/>
                <w:sz w:val="10"/>
                <w:szCs w:val="10"/>
                <w:b w:val="1"/>
                <w:bCs w:val="1"/>
                <w:color w:val="auto"/>
              </w:rPr>
              <w:t>Biogen Idec’s Share of Copromotion Profits</w:t>
            </w:r>
          </w:p>
        </w:tc>
      </w:tr>
      <w:tr>
        <w:trPr>
          <w:trHeight w:val="49"/>
        </w:trPr>
        <w:tc>
          <w:tcPr>
            <w:tcW w:w="6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8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57"/>
        </w:trPr>
        <w:tc>
          <w:tcPr>
            <w:tcW w:w="68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First $50 million</w:t>
            </w:r>
          </w:p>
        </w:tc>
        <w:tc>
          <w:tcPr>
            <w:tcW w:w="6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Greater than $50 million</w:t>
            </w:r>
          </w:p>
        </w:tc>
        <w:tc>
          <w:tcPr>
            <w:tcW w:w="6840" w:type="dxa"/>
            <w:vAlign w:val="bottom"/>
          </w:tcPr>
          <w:p>
            <w:pPr>
              <w:jc w:val="right"/>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640" w:type="dxa"/>
            <w:vAlign w:val="bottom"/>
            <w:gridSpan w:val="2"/>
          </w:tcPr>
          <w:p>
            <w:pPr>
              <w:ind w:left="1740"/>
              <w:spacing w:after="0"/>
              <w:rPr>
                <w:sz w:val="20"/>
                <w:szCs w:val="20"/>
                <w:color w:val="auto"/>
              </w:rPr>
            </w:pPr>
            <w:r>
              <w:rPr>
                <w:rFonts w:ascii="Arial" w:cs="Arial" w:eastAsia="Arial" w:hAnsi="Arial"/>
                <w:sz w:val="13"/>
                <w:szCs w:val="13"/>
                <w:color w:val="auto"/>
              </w:rPr>
              <w:t>F-51</w:t>
            </w:r>
          </w:p>
        </w:tc>
      </w:tr>
      <w:tr>
        <w:trPr>
          <w:trHeight w:val="163"/>
        </w:trPr>
        <w:tc>
          <w:tcPr>
            <w:tcW w:w="68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68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-633095</wp:posOffset>
            </wp:positionV>
            <wp:extent cx="1841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2007, 2006 and 2005, the 40% threshold was met during the first quarter. For each calendar year or portion thereof following the approval date of the first new anti-CD20 product, the pretax copromotion profit-sharing formula for RITUXAN and other anti-CD20 products sold by us and Genentech will change to the following:</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320" w:type="dxa"/>
            <w:vAlign w:val="bottom"/>
          </w:tcPr>
          <w:p>
            <w:pPr>
              <w:jc w:val="center"/>
              <w:ind w:left="977"/>
              <w:spacing w:after="0"/>
              <w:rPr>
                <w:sz w:val="20"/>
                <w:szCs w:val="20"/>
                <w:color w:val="auto"/>
              </w:rPr>
            </w:pPr>
            <w:r>
              <w:rPr>
                <w:rFonts w:ascii="Arial" w:cs="Arial" w:eastAsia="Arial" w:hAnsi="Arial"/>
                <w:sz w:val="10"/>
                <w:szCs w:val="10"/>
                <w:b w:val="1"/>
                <w:bCs w:val="1"/>
                <w:color w:val="auto"/>
                <w:w w:val="97"/>
              </w:rPr>
              <w:t>New Anti-CD20 U.S.</w:t>
            </w:r>
          </w:p>
        </w:tc>
        <w:tc>
          <w:tcPr>
            <w:tcW w:w="19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Biogen Idec’s Share</w:t>
            </w:r>
          </w:p>
        </w:tc>
      </w:tr>
      <w:tr>
        <w:trPr>
          <w:trHeight w:val="135"/>
        </w:trPr>
        <w:tc>
          <w:tcPr>
            <w:tcW w:w="2760" w:type="dxa"/>
            <w:vAlign w:val="bottom"/>
            <w:gridSpan w:val="2"/>
          </w:tcPr>
          <w:p>
            <w:pPr>
              <w:spacing w:after="0"/>
              <w:rPr>
                <w:sz w:val="20"/>
                <w:szCs w:val="20"/>
                <w:color w:val="auto"/>
              </w:rPr>
            </w:pPr>
            <w:r>
              <w:rPr>
                <w:rFonts w:ascii="Arial" w:cs="Arial" w:eastAsia="Arial" w:hAnsi="Arial"/>
                <w:sz w:val="10"/>
                <w:szCs w:val="10"/>
                <w:b w:val="1"/>
                <w:bCs w:val="1"/>
                <w:color w:val="auto"/>
              </w:rPr>
              <w:t>Copromotion Operating Profits</w:t>
            </w:r>
          </w:p>
        </w:tc>
        <w:tc>
          <w:tcPr>
            <w:tcW w:w="532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G</w:t>
            </w:r>
            <w:r>
              <w:rPr>
                <w:rFonts w:ascii="Arial" w:cs="Arial" w:eastAsia="Arial" w:hAnsi="Arial"/>
                <w:sz w:val="10"/>
                <w:szCs w:val="10"/>
                <w:b w:val="1"/>
                <w:bCs w:val="1"/>
                <w:color w:val="auto"/>
              </w:rPr>
              <w:t>ross Product Sales</w:t>
            </w:r>
          </w:p>
        </w:tc>
        <w:tc>
          <w:tcPr>
            <w:tcW w:w="1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of Copromotion Profits</w:t>
            </w:r>
          </w:p>
        </w:tc>
      </w:tr>
      <w:tr>
        <w:trPr>
          <w:trHeight w:val="29"/>
        </w:trPr>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2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$50 million(1)</w:t>
            </w:r>
          </w:p>
        </w:tc>
        <w:tc>
          <w:tcPr>
            <w:tcW w:w="5320" w:type="dxa"/>
            <w:vAlign w:val="bottom"/>
            <w:shd w:val="clear" w:color="auto" w:fill="CCEEFF"/>
          </w:tcPr>
          <w:p>
            <w:pPr>
              <w:jc w:val="center"/>
              <w:ind w:left="977"/>
              <w:spacing w:after="0"/>
              <w:rPr>
                <w:sz w:val="20"/>
                <w:szCs w:val="20"/>
                <w:color w:val="auto"/>
              </w:rPr>
            </w:pPr>
            <w:r>
              <w:rPr>
                <w:rFonts w:ascii="Arial" w:cs="Arial" w:eastAsia="Arial" w:hAnsi="Arial"/>
                <w:sz w:val="13"/>
                <w:szCs w:val="13"/>
                <w:color w:val="auto"/>
              </w:rPr>
              <w:t>N/A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2760" w:type="dxa"/>
            <w:vAlign w:val="bottom"/>
            <w:gridSpan w:val="2"/>
          </w:tcPr>
          <w:p>
            <w:pPr>
              <w:spacing w:after="0"/>
              <w:rPr>
                <w:sz w:val="20"/>
                <w:szCs w:val="20"/>
                <w:color w:val="auto"/>
              </w:rPr>
            </w:pPr>
            <w:r>
              <w:rPr>
                <w:rFonts w:ascii="Arial" w:cs="Arial" w:eastAsia="Arial" w:hAnsi="Arial"/>
                <w:sz w:val="13"/>
                <w:szCs w:val="13"/>
                <w:color w:val="auto"/>
              </w:rPr>
              <w:t>Greater than $50 million</w:t>
            </w:r>
          </w:p>
        </w:tc>
        <w:tc>
          <w:tcPr>
            <w:tcW w:w="5320" w:type="dxa"/>
            <w:vAlign w:val="bottom"/>
          </w:tcPr>
          <w:p>
            <w:pPr>
              <w:ind w:left="1340"/>
              <w:spacing w:after="0"/>
              <w:rPr>
                <w:sz w:val="20"/>
                <w:szCs w:val="20"/>
                <w:color w:val="auto"/>
              </w:rPr>
            </w:pPr>
            <w:r>
              <w:rPr>
                <w:rFonts w:ascii="Arial" w:cs="Arial" w:eastAsia="Arial" w:hAnsi="Arial"/>
                <w:sz w:val="13"/>
                <w:szCs w:val="13"/>
                <w:color w:val="auto"/>
              </w:rPr>
              <w:t>Until such sales exceed $150 million</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1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32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 any calendar year(2)</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320" w:type="dxa"/>
            <w:vAlign w:val="bottom"/>
          </w:tcPr>
          <w:p>
            <w:pPr>
              <w:jc w:val="center"/>
              <w:ind w:left="977"/>
              <w:spacing w:after="0"/>
              <w:rPr>
                <w:sz w:val="20"/>
                <w:szCs w:val="20"/>
                <w:color w:val="auto"/>
              </w:rPr>
            </w:pPr>
            <w:r>
              <w:rPr>
                <w:rFonts w:ascii="Arial" w:cs="Arial" w:eastAsia="Arial" w:hAnsi="Arial"/>
                <w:sz w:val="13"/>
                <w:szCs w:val="13"/>
                <w:color w:val="auto"/>
                <w:w w:val="82"/>
              </w:rPr>
              <w:t>Or</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1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32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After such sales exceed $150 million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48"/>
        </w:trPr>
        <w:tc>
          <w:tcPr>
            <w:tcW w:w="1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320" w:type="dxa"/>
            <w:vAlign w:val="bottom"/>
          </w:tcPr>
          <w:p>
            <w:pPr>
              <w:ind w:left="1340"/>
              <w:spacing w:after="0" w:line="149" w:lineRule="exact"/>
              <w:rPr>
                <w:sz w:val="20"/>
                <w:szCs w:val="20"/>
                <w:color w:val="auto"/>
              </w:rPr>
            </w:pPr>
            <w:r>
              <w:rPr>
                <w:rFonts w:ascii="Arial" w:cs="Arial" w:eastAsia="Arial" w:hAnsi="Arial"/>
                <w:sz w:val="13"/>
                <w:szCs w:val="13"/>
                <w:color w:val="auto"/>
              </w:rPr>
              <w:t>in any calendar year and until such sales exceed $350 million in any</w:t>
            </w: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320" w:type="dxa"/>
            <w:vAlign w:val="bottom"/>
          </w:tcPr>
          <w:p>
            <w:pPr>
              <w:ind w:left="1340"/>
              <w:spacing w:after="0"/>
              <w:rPr>
                <w:sz w:val="20"/>
                <w:szCs w:val="20"/>
                <w:color w:val="auto"/>
              </w:rPr>
            </w:pPr>
            <w:r>
              <w:rPr>
                <w:rFonts w:ascii="Arial" w:cs="Arial" w:eastAsia="Arial" w:hAnsi="Arial"/>
                <w:sz w:val="13"/>
                <w:szCs w:val="13"/>
                <w:color w:val="auto"/>
              </w:rPr>
              <w:t>calendar year(3)</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1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320" w:type="dxa"/>
            <w:vAlign w:val="bottom"/>
            <w:shd w:val="clear" w:color="auto" w:fill="CCEEFF"/>
          </w:tcPr>
          <w:p>
            <w:pPr>
              <w:jc w:val="center"/>
              <w:ind w:left="977"/>
              <w:spacing w:after="0"/>
              <w:rPr>
                <w:sz w:val="20"/>
                <w:szCs w:val="20"/>
                <w:color w:val="auto"/>
              </w:rPr>
            </w:pPr>
            <w:r>
              <w:rPr>
                <w:rFonts w:ascii="Arial" w:cs="Arial" w:eastAsia="Arial" w:hAnsi="Arial"/>
                <w:sz w:val="13"/>
                <w:szCs w:val="13"/>
                <w:color w:val="auto"/>
                <w:w w:val="82"/>
              </w:rPr>
              <w:t>Or</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320" w:type="dxa"/>
            <w:vAlign w:val="bottom"/>
          </w:tcPr>
          <w:p>
            <w:pPr>
              <w:ind w:left="1340"/>
              <w:spacing w:after="0"/>
              <w:rPr>
                <w:sz w:val="20"/>
                <w:szCs w:val="20"/>
                <w:color w:val="auto"/>
              </w:rPr>
            </w:pPr>
            <w:r>
              <w:rPr>
                <w:rFonts w:ascii="Arial" w:cs="Arial" w:eastAsia="Arial" w:hAnsi="Arial"/>
                <w:sz w:val="13"/>
                <w:szCs w:val="13"/>
                <w:color w:val="auto"/>
              </w:rPr>
              <w:t>After such sales exceed $350 million</w:t>
            </w: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7"/>
        </w:trPr>
        <w:tc>
          <w:tcPr>
            <w:tcW w:w="13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5320" w:type="dxa"/>
            <w:vAlign w:val="bottom"/>
            <w:shd w:val="clear" w:color="auto" w:fill="CCEEFF"/>
          </w:tcPr>
          <w:p>
            <w:pPr>
              <w:ind w:left="1340"/>
              <w:spacing w:after="0"/>
              <w:rPr>
                <w:sz w:val="20"/>
                <w:szCs w:val="20"/>
                <w:color w:val="auto"/>
              </w:rPr>
            </w:pPr>
            <w:r>
              <w:rPr>
                <w:rFonts w:ascii="Arial" w:cs="Arial" w:eastAsia="Arial" w:hAnsi="Arial"/>
                <w:sz w:val="13"/>
                <w:szCs w:val="13"/>
                <w:color w:val="auto"/>
              </w:rPr>
              <w:t>in any calendar year(4)</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-1097915</wp:posOffset>
            </wp:positionV>
            <wp:extent cx="2476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180" w:right="280" w:hanging="243"/>
        <w:spacing w:after="0" w:line="276" w:lineRule="auto"/>
        <w:tabs>
          <w:tab w:leader="none" w:pos="11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not applicable in the calendar year the first new anti-CD20 product is approved if $50 million in copromotion operating profits has already been achieved in such calendar year through sales of RITUXAN.</w:t>
      </w:r>
    </w:p>
    <w:p>
      <w:pPr>
        <w:spacing w:after="0" w:line="10" w:lineRule="exact"/>
        <w:rPr>
          <w:rFonts w:ascii="Arial" w:cs="Arial" w:eastAsia="Arial" w:hAnsi="Arial"/>
          <w:sz w:val="13"/>
          <w:szCs w:val="13"/>
          <w:color w:val="auto"/>
        </w:rPr>
      </w:pPr>
    </w:p>
    <w:p>
      <w:pPr>
        <w:jc w:val="both"/>
        <w:ind w:left="1180" w:hanging="243"/>
        <w:spacing w:after="0" w:line="264" w:lineRule="auto"/>
        <w:tabs>
          <w:tab w:leader="none" w:pos="11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we are recording our share of RITUXAN copromotion profits at 40%, upon the approval date of the first new anti-CD20 product, our share of copromotion profits for RITUXAN and the new anti-CD20 product will be immediately reduced to 38% following the approval date of the first new anti-CD20 product until the $150 million new product sales level is achieved.</w:t>
      </w:r>
    </w:p>
    <w:p>
      <w:pPr>
        <w:spacing w:after="0" w:line="17" w:lineRule="exact"/>
        <w:rPr>
          <w:rFonts w:ascii="Arial" w:cs="Arial" w:eastAsia="Arial" w:hAnsi="Arial"/>
          <w:sz w:val="13"/>
          <w:szCs w:val="13"/>
          <w:color w:val="auto"/>
        </w:rPr>
      </w:pPr>
    </w:p>
    <w:p>
      <w:pPr>
        <w:ind w:left="1180" w:right="60" w:hanging="243"/>
        <w:spacing w:after="0" w:line="296" w:lineRule="auto"/>
        <w:tabs>
          <w:tab w:leader="none" w:pos="11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if $150 million in new product sales is achieved in the same calendar year the first new anti-CD20 product receives approval, then the 35% copromotion profit-sharing rate will not be effective until January 1 of the following calendar year. Once the $150 million new product sales level is achieved then our share of copromotion profits for the balance of the year and all subsequent years’ (after the first $50 million in copromotion operating profits in such years) will be 35% until the $350 million new product sales level is achieved.</w:t>
      </w:r>
    </w:p>
    <w:p>
      <w:pPr>
        <w:ind w:left="1180" w:right="40" w:hanging="243"/>
        <w:spacing w:after="0" w:line="260" w:lineRule="auto"/>
        <w:tabs>
          <w:tab w:leader="none" w:pos="11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$350 million in new product sales is achieved in the same calendar year that $150 million in new product sales is achieved, then the 30% copromotion profit-sharing rate will not be effective until January 1 of the following calendar year (or January 1 of the second following calendar year if the first new anti-CD20 product receives approval and, in the same calendar year, the $150 million and $350 million new product sales levels are achieved). Once the $350 million new product sales level is achieved then our share of copromotion profits for the balance of the year and all subsequent years will be 30%.</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Currently, we record our share of expenses incurred for the development of new anti-CD20 products in research and development expense until such time as a new product is approved, at which time we will record our share of pretax copromotion profits related to the new product in revenues from unconsolidated joint business. We record our royalty revenue on sales of RITUXAN outside the U.S. on a cash basis. Under the amended and restated collaboration agreement, we will receive lower royalty revenue from Genentech on sales by Roche and Zenyaku of new anti-CD20 products, as compared to royalty revenue received on sales of RITUXAN. The royalty period with respect to all products is 11 years from the first commercial sale of such product on a country-by-country basis.</w:t>
      </w:r>
    </w:p>
    <w:p>
      <w:pPr>
        <w:spacing w:after="0" w:line="71"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The amended and restated collaboration agreement provides that, upon the occurrence of a Biogen Idec change-in-control as described in the agreement, within 90 days of that change-in-control, Genentech may present an offer to us to purchase our rights to RITUXAN. We must then accept Genentech’s offer or purchase Genentech’s rights to RITUXAN for an amount proportioned (using the profit sharing ratio between us) to Genentech’s offer. If</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80"/>
        <w:spacing w:after="0" w:line="258" w:lineRule="auto"/>
        <w:rPr>
          <w:sz w:val="20"/>
          <w:szCs w:val="20"/>
          <w:color w:val="auto"/>
        </w:rPr>
      </w:pPr>
      <w:r>
        <w:rPr>
          <w:rFonts w:ascii="Arial" w:cs="Arial" w:eastAsia="Arial" w:hAnsi="Arial"/>
          <w:sz w:val="13"/>
          <w:szCs w:val="13"/>
          <w:color w:val="auto"/>
        </w:rPr>
        <w:t>Genentech presents such an offer in such a situation, then Genentech will be deemed concurrently to have exercised a right, in exchange for a share in the operating profits or net sales in the U.S. of any new products developed under the agreement, to purchase our interest in each such product. As discussed in Note 18, Litigation, Genentech asserted for the first time that the November 2003 transaction in which Idec acquired Biogen and became Biogen Idec was a change of control of our company under the Collaboration Agreement. We strongly disagree that the Merger was a change of control of our company, but if it was, our position is that Genentech’s rights under the change-in-control provision in the Collaboration Agreement have long since expired.</w:t>
      </w:r>
    </w:p>
    <w:p>
      <w:pPr>
        <w:spacing w:after="0" w:line="71" w:lineRule="exact"/>
        <w:rPr>
          <w:sz w:val="20"/>
          <w:szCs w:val="20"/>
          <w:color w:val="auto"/>
        </w:rPr>
      </w:pPr>
    </w:p>
    <w:p>
      <w:pPr>
        <w:ind w:left="680" w:right="840" w:firstLine="399"/>
        <w:spacing w:after="0" w:line="320" w:lineRule="auto"/>
        <w:rPr>
          <w:sz w:val="20"/>
          <w:szCs w:val="20"/>
          <w:color w:val="auto"/>
        </w:rPr>
      </w:pPr>
      <w:r>
        <w:rPr>
          <w:rFonts w:ascii="Arial" w:cs="Arial" w:eastAsia="Arial" w:hAnsi="Arial"/>
          <w:sz w:val="12"/>
          <w:szCs w:val="12"/>
          <w:color w:val="auto"/>
        </w:rPr>
        <w:t>Concurrent with the original collaboration agreement, we also entered into an expression technology license agreement with Genentech (for a proprietary gene expression technology developed by us) and a preferred stock purchase agreement providing for certain equity investments in us by Genentech (see Note 19, Shareholders’ Equity).</w:t>
      </w:r>
    </w:p>
    <w:p>
      <w:pPr>
        <w:spacing w:after="0" w:line="35"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Under the terms of separate agreements with Genentech, commercialization of RITUXAN outside the U.S. is the responsibility of Roche, except in Japan where it copromotes RITUXAN in collaboration with Zenyaku. We receive royalties from Genentech on sales by Roche and Zenyaku of RITUXAN outside the U.S., except in Canada. Royalties on sales of RITUXAN in Canada are received directly from Roche (and are included in revenues from unconsolidated joint business arrangement in the accompanying consolidated statements of income). Under our amended and restated collaborative agreement with Genentech, we will receive lower royalty revenue from Genentech on sales by Roche and Zenyaku of new anti-CD20 products and only for the first 11 years from the date of first commercial sale of such new anti-CD20 products.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revenues from unconsolidated joint business consist of the following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2007</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8"/>
                <w:szCs w:val="8"/>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513.8</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Reimbursement of selling and development expenses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58.5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47.6</w:t>
            </w: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Royalty revenue on sales of RITUXAN outside the U.S.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147.5</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926.1</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810.9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708.9</w:t>
            </w: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color w:val="auto"/>
        </w:rPr>
        <w:t>The royalty period with respect to all products is 11 years from the first commercial sale of such product on a country by country basis. RITUXAN was launched in 1998 in most European countries and in 2001 in Japan.</w:t>
      </w:r>
    </w:p>
    <w:p>
      <w:pPr>
        <w:spacing w:after="0" w:line="134"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We rent laboratory and office space and certain equipment under noncancellable operating leases. The rental expense under these leases, which terminate at various dates through 2015, amounted to $33.1 million in 2007, $26.2 million in 2006, and $32.2 million in 2005. The lease agreements contain various clauses for renewal at our option and, in certain cases, escalation clauses typically linked to rates of inflation.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2007, minimum annual rental commitments under noncancellable leases were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2008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jc w:val="right"/>
              <w:ind w:right="38"/>
              <w:spacing w:after="0"/>
              <w:rPr>
                <w:sz w:val="20"/>
                <w:szCs w:val="20"/>
                <w:color w:val="auto"/>
              </w:rPr>
            </w:pPr>
            <w:r>
              <w:rPr>
                <w:rFonts w:ascii="Arial" w:cs="Arial" w:eastAsia="Arial" w:hAnsi="Arial"/>
                <w:sz w:val="10"/>
                <w:szCs w:val="10"/>
                <w:b w:val="1"/>
                <w:bCs w:val="1"/>
                <w:color w:val="auto"/>
                <w:w w:val="80"/>
              </w:rPr>
              <w:t>2011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2012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Thereafter</w:t>
            </w:r>
          </w:p>
        </w:tc>
        <w:tc>
          <w:tcPr>
            <w:tcW w:w="100" w:type="dxa"/>
            <w:vAlign w:val="bottom"/>
          </w:tcPr>
          <w:p>
            <w:pPr>
              <w:spacing w:after="0"/>
              <w:rPr>
                <w:sz w:val="10"/>
                <w:szCs w:val="1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Minimum lease payments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Income from subleases</w:t>
            </w:r>
          </w:p>
        </w:tc>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Net minimum lease payments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00" w:type="dxa"/>
            <w:vAlign w:val="bottom"/>
          </w:tcPr>
          <w:p>
            <w:pPr>
              <w:ind w:left="1660"/>
              <w:spacing w:after="0"/>
              <w:rPr>
                <w:sz w:val="20"/>
                <w:szCs w:val="20"/>
                <w:color w:val="auto"/>
              </w:rPr>
            </w:pPr>
            <w:r>
              <w:rPr>
                <w:rFonts w:ascii="Arial" w:cs="Arial" w:eastAsia="Arial" w:hAnsi="Arial"/>
                <w:sz w:val="13"/>
                <w:szCs w:val="13"/>
                <w:color w:val="auto"/>
              </w:rPr>
              <w:t>F-53</w:t>
            </w: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Construction Commitments</w:t>
      </w:r>
    </w:p>
    <w:p>
      <w:pPr>
        <w:spacing w:after="0" w:line="96"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As discussed in Note 9, Property Plant and Equipment, in 2004, we restarted construction of our large-scale biologic manufacturing facility in Hillerød, Denmark. In 2005, after our voluntary suspension of TYSABRI, we reconsidered our construction plans and determined that we would proceed with the bulk-manufacturing component, add a labeling and packaging component but would no longer proceed with the fill-finish component of that facility. As of December 31, 2007, we have substantially completed this phase of the project including the partial construction of the bulk manufacturing facility and installation of major equipment. We are in the process of completing the second phase of the project, a large scale bulk manufacturing component and construction of a warehouse. In October 2006, our Board of Directors approved this phase, which is expected to cost an additional $225.0 million. As of December 31, 2007, we had contractual commitments of approximately $207 million for the second phase, of which approximately $117 million had been paid. This phase of the project is expected to be ready for commercial production in 2009.</w:t>
      </w:r>
    </w:p>
    <w:p>
      <w:pPr>
        <w:spacing w:after="0" w:line="148" w:lineRule="exact"/>
        <w:rPr>
          <w:sz w:val="20"/>
          <w:szCs w:val="20"/>
          <w:color w:val="auto"/>
        </w:rPr>
      </w:pPr>
    </w:p>
    <w:p>
      <w:pPr>
        <w:ind w:left="1180" w:hanging="493"/>
        <w:spacing w:after="0"/>
        <w:tabs>
          <w:tab w:leader="none" w:pos="118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On March 2, 2005, we, along with William H. Rastetter, our former Executive Chairman, and James C. Mullen, our Chief Executive Officer, were named as defendants in a purported class action lawsuit, captioned Brown v. Biogen Idec Inc., et al. (“Brown”), filed in the U.S. District Court for the District of Massachusetts (the “Court”).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our insiders benefited personally from the inflated price by selling our stock. The plaintiff seeks unspecified damages, as well as interest, costs and attorneys’ fees. Substantially similar actions, captioned Grill v. Biogen Idec Inc., et al. and Lobel v. Biogen Idec Inc., et al., were filed on March 10, 2005 and April 21, 2005, respectively, in the same court by other purported class representatives. Those actions have been consolidated with the Brown case. On October 13, 2006, the plaintiffs filed an amended consolidated complaint which, among other amendments to the allegations, adds as defendants Peter N. Kellogg, our former Chief Financial Officer, William R. Rohn, our former Chief Operating Officer, Burt A. Adelman, our former Executive Vice President, Portfolio Strategy, and Thomas J. Bucknum, our former General Counsel. On September 14, 2007, the District Court Judge entered an Order allowing the Motions to Dismiss of all defendants. On October 15, 2007, the plaintiffs filed a notice of appeal to the United States Court of Appeals for the First Circuit. Plaintiff filed its principal brief on appeal on February 6, 2008.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6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October 4, 2004, Genentech, Inc. received a subpoena from the U.S. Department of Justice requesting documents related to the promotion of RITUXAN. We market RITUXAN in the U.S. in collaboration with Genentech. Genentech has disclosed that it is cooperating with the associated investigation which they disclosed that they have been advised is both civil and criminal in nature. Genentech has reported further that the government has called and is expected to call former and current Genentech employees to appear before a grand jury in connection with this investigation. We are cooperating with the U.S. Department of Justice in its investigation of Genentech. The potential outcome of this matter and its impact on us cannot be determined at this time.</w:t>
      </w:r>
    </w:p>
    <w:p>
      <w:pPr>
        <w:spacing w:after="0" w:line="71"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Along with several other major pharmaceutical and biotechnology companies, Biogen, Inc. (now Biogen Idec MA, Inc., one of our wholly-owned subsidiaries) or, in certain cases, Biogen Idec Inc., was named as a defendant in lawsuits filed by the City of New York and numerous Counties of the State of New York. All of the cases — except</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for cases filed by the County of Erie, County of Oswego and County of Schenectady — are the subject of a Consolidated Complaint (“Consolidated Complaint”), which was filed on June 15, 2005, and amended on June 8, 2007, in the U.S. District Court for the District of Massachusetts in Multi-District Litigation No. 1456 (“the MDL proceedings”). The County of Nassau joined in the amended Consolidated Complaint on June 8, 2007. On September 17, 2007, the County of Erie, County of Oswego and County of Schenectady cases were remanded to state court in New York.</w:t>
      </w:r>
    </w:p>
    <w:p>
      <w:pPr>
        <w:spacing w:after="0" w:line="70"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All of the complaints in these cases allege that the defendants (i) fraudulently reported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 (iii) 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 Secretary of Health and Human Services pursuant to rebate agreements, and excluded from their reporting certain discounts and other rebates that would have reduced the “best price.”</w:t>
      </w:r>
    </w:p>
    <w:p>
      <w:pPr>
        <w:spacing w:after="0" w:line="73"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On September 7, 2006, a New York State court granted in part and denied in part Biogen Idec’s motion to dismiss the County of Erie complaint. On April 2, 2007, the defendants’ joint motion to dismiss the original Consolidated Complaint and the County of Nassau’s second amended complaint were granted in part, but certain claims against Biogen Idec remained. Biogen Idec’s individual motion to dismiss these complaints remains pending. We have not formed an opinion that an unfavorable outcome is either “probable” or “remote” and do not express an opinion at this time as to the likely outcome of the matter or as to the magnitude or range of any potential loss. We believe that we have good and valid defenses to these complaints and intend to vigorously defend the case.</w:t>
      </w:r>
    </w:p>
    <w:p>
      <w:pPr>
        <w:spacing w:after="0" w:line="71"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Along with several other major pharmaceutical and biotechnology companies, we were also named as a defendant in a lawsuit filed by the Attorney General of Arizona. The lawsuit was filed in the Superior Court of the State of Arizona and transferred to the MDL proceedings. The complaint, as amended on March 13, 2007, is brought on behalf of Arizona consumers and other payors for drugs, and alleges that the defendants violated the state consumer fraud statute by fraudulently reporting the Average Wholesale Price for certain drugs covered by various private and public insurance mechanisms and by marketing these drugs to providers based on the providers’ ability to collect inflated payments from third-party payors. Motions to dismiss the complaint have not yet been filed and briefed.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3" w:lineRule="exact"/>
        <w:rPr>
          <w:sz w:val="20"/>
          <w:szCs w:val="20"/>
          <w:color w:val="auto"/>
        </w:rPr>
      </w:pPr>
    </w:p>
    <w:p>
      <w:pPr>
        <w:ind w:left="680" w:right="60" w:firstLine="399"/>
        <w:spacing w:after="0" w:line="305" w:lineRule="auto"/>
        <w:rPr>
          <w:sz w:val="20"/>
          <w:szCs w:val="20"/>
          <w:color w:val="auto"/>
        </w:rPr>
      </w:pPr>
      <w:r>
        <w:rPr>
          <w:rFonts w:ascii="Arial" w:cs="Arial" w:eastAsia="Arial" w:hAnsi="Arial"/>
          <w:sz w:val="11"/>
          <w:szCs w:val="11"/>
          <w:color w:val="auto"/>
        </w:rPr>
        <w:t>On January 6, 2006, we were served with a lawsuit, captioned United States of America ex rel. Paul P. McDermott v. Genentech, Inc. and Biogen Idec, Inc., filed in the United States District Court of the District of Maine (“Court”). The lawsuit was filed under seal on July 29, 2005 by a former employee of our co-defendant Genentech pursuant to the False Claims Act,</w:t>
      </w:r>
    </w:p>
    <w:p>
      <w:pPr>
        <w:spacing w:after="0" w:line="1" w:lineRule="exact"/>
        <w:rPr>
          <w:sz w:val="20"/>
          <w:szCs w:val="20"/>
          <w:color w:val="auto"/>
        </w:rPr>
      </w:pPr>
    </w:p>
    <w:p>
      <w:pPr>
        <w:ind w:left="680" w:right="20"/>
        <w:spacing w:after="0" w:line="254" w:lineRule="auto"/>
        <w:rPr>
          <w:sz w:val="20"/>
          <w:szCs w:val="20"/>
          <w:color w:val="auto"/>
        </w:rPr>
      </w:pPr>
      <w:r>
        <w:rPr>
          <w:rFonts w:ascii="Arial" w:cs="Arial" w:eastAsia="Arial" w:hAnsi="Arial"/>
          <w:sz w:val="13"/>
          <w:szCs w:val="13"/>
          <w:color w:val="auto"/>
        </w:rPr>
        <w:t>31 U.S.C. section 3729 et. seq. On December 20, 2005, the U.S. government elected not to intervene, and the complaint was subsequently unsealed and served. On April 4, 2006, the plaintiff filed his first amended complaint alleging, among other things, that we directly solicited physicians and their staff members to illegally market off-label uses of RITUXAN for treating rheumatoid arthritis, provided illegal kickbacks to physicians to promote off-label uses, trained our employees in methods of avoiding the detection of these off-label sales and marketing activities, formed a network of employees whose assigned duties involved off-label promotion of RITUXAN, intended and caused the off-label promotion of RITUXAN to result in the submission of false claims to the government, and conspired with Genentech to defraud the government. The plaintiff seeks entry of judgment on behalf of the United States of America against the</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defendants, an award to the plaintiff as relator, and all costs, expenses, attorneys’ fees, interest and other appropriate relief. On July 24, 2007, the District Court granted Biogen Idec’s motion to dismiss on the grounds that the Court lacks subject matter jurisdiction, the complaint fails to state a claim and the claims were not pleaded with particularity. Certain of plaintiff’s claims against Genentech are still pending. On August 14, 2007, the plaintiff filed a motion requesting that the Court allow the plaintiff to file an interlocutory appeal of the granting of Biogen Idec’s motion to dismiss. The court denied the motion on October 22, 2007.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72"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On June 17, 2006, Biogen Idec filed a Demand for Arbitration against Genentech, Inc. with the American Arbitration Association (“AAA”), which was amended on December 5, 2006 and January 29, 2008. Biogen Idec alleges that Genentech breached the parties’ Amended and Restated Collaboration Agreement dated June 19, 2003 (the “Collaboration Agreement”), by failing to honor Biogen Idec’s contractual right to participate in strategic decisions affecting the parties’ joint development and commercialization of certain pharmaceutical products, including humanized anti-CD20 antibodies. Genentech filed an Answering Statement in response to Biogen Idec’s Demand in which Genentech denied that it had breached the Collaboration Agreement and alleged that Biogen Idec had breached the Collaboration Agreement. Genentech also asserted for the first time that the November 2003 transaction in which Idec acquired Biogen and became Biogen Idec was a change of control under the Collaboration Agreement, a position with which we disagree strongly. It is our position that the Biogen Idec merger did not constitute a change of control under the Collaboration Agreement and that, even if it did, Genentech’s rights under the change of control provision, which must be asserted within 90 days of the change of control event, have long since expired. We have not formed an opinion that an unfavorable outcome is either “probable” or “remote” and do not express an opinion at this time as to the likely outcome of the matter or as to the magnitude or range of any potential loss. We believe that we have good and valid defenses to Genentech’s allegations in the collaboration and intend to vigorously defend against these allegations.</w:t>
      </w:r>
    </w:p>
    <w:p>
      <w:pPr>
        <w:spacing w:after="0" w:line="6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September 12, 2006, the Massachusetts Department of Revenue (“DOR”) issued a notice of assessment against Biogen Idec MA, Inc. for $38.9 million of corporate excise tax for 2002, which includes associated interest and penalties. On December 6, 2006, we filed an abatement application with the DOR, seeking abatements for 2001-2003. The abatement application was denied on July 24, 2007. On July 25, 2007, we filed a petition with the Massachusetts Appellate Tax Board, seeking abatements of corporate excise tax for the 2001-2003 tax years and adjustments in certain credits and credit carryforwards for the 2001-2003 years. Issues before the Board include the computation of Biogen MA’s sales factor for 2001-2003, computation of Biogen MA’s research credits for those same years, and the availability of deductions for certain expenses and partnership flow-through items. We intend to contest this matter vigorously. We believe that the assessment does not impact the level of liabilities for income tax contingencies.</w:t>
      </w:r>
    </w:p>
    <w:p>
      <w:pPr>
        <w:spacing w:after="0" w:line="59"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On August 10, 2004, Classen Immunotherapies, Inc. filed suit against us, GlaxoSmithKline, Chiron Corporation, Merck &amp; Co., Inc., and Kaiser-Permanente, Inc. in the U.S. District Court for the District of Maryland contending that we induced infringement of U.S. Patent Nos, 6,420,139, 6,638,739, 5,728,383, and 5,723,283, all of which are directed to various methods of immunization or determination of immunization schedules. All Counts asserted against us by Classen were dismissed by the Court upon various motions filed by the Parties. In early December 2006, Classen filed its initial appeal brief with the United States Court of Appeals for the Federal Circuit. On March 7, 2007, we filed our brief in response. The Court of Appeals held oral argument on August 8, 2007.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4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On January 30, 2007, the Estate of Thaddeus Leoniak commenced a civil lawsuit in the Court of Common Pleas, Philadelphia County, Pennsylvania, against Biogen Idec, the Fox Chase Cancer Center and three physicians.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82" w:lineRule="auto"/>
        <w:rPr>
          <w:sz w:val="20"/>
          <w:szCs w:val="20"/>
          <w:color w:val="auto"/>
        </w:rPr>
      </w:pPr>
      <w:r>
        <w:rPr>
          <w:rFonts w:ascii="Arial" w:cs="Arial" w:eastAsia="Arial" w:hAnsi="Arial"/>
          <w:sz w:val="12"/>
          <w:szCs w:val="12"/>
          <w:color w:val="auto"/>
        </w:rPr>
        <w:t>The complaint alleges that Thaddeus Leoniak died as a result of taking the drug ZEVALIN, and seeks to hold Biogen Idec strictly liable for placing an allegedly “unreasonably dangerous” product in the stream of commerce without proper warnings. The complaint also seeks to hold us liable for alleged negligence in the design, manufacture, advertising, marketing, promoting, distributing, supplying and selling of ZEVALIN. The lawsuit seeks damages for pecuniary losses suffered by the decedent’s survivors and for compensatory damages for decedent’s pain and suffering, loss of earnings and deprivation of normal activities, all in an amount “in excess of $50,000.” On January 31, 2007, the Plaintiff’s counsel demanded $7.0 million to settle the lawsuit. We have not formed an opinion that an unfavorable outcome is either “probable” or “remote” and do not express an opinion at this time as to the likely outcome of the matter or as to the magnitude or range of any potential loss. We believe that we have good and valid defenses to the complaint and intend to vigorously defend the case.</w:t>
      </w:r>
    </w:p>
    <w:p>
      <w:pPr>
        <w:spacing w:after="0" w:line="59"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In addition, we are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80" w:type="dxa"/>
            <w:vAlign w:val="bottom"/>
          </w:tcPr>
          <w:p>
            <w:pPr>
              <w:spacing w:after="0"/>
              <w:rPr>
                <w:sz w:val="20"/>
                <w:szCs w:val="20"/>
                <w:color w:val="auto"/>
              </w:rPr>
            </w:pPr>
            <w:r>
              <w:rPr>
                <w:rFonts w:ascii="Arial" w:cs="Arial" w:eastAsia="Arial" w:hAnsi="Arial"/>
                <w:sz w:val="13"/>
                <w:szCs w:val="13"/>
                <w:b w:val="1"/>
                <w:bCs w:val="1"/>
                <w:color w:val="auto"/>
                <w:w w:val="88"/>
              </w:rPr>
              <w:t>19.</w:t>
            </w:r>
          </w:p>
        </w:tc>
        <w:tc>
          <w:tcPr>
            <w:tcW w:w="4140" w:type="dxa"/>
            <w:vAlign w:val="bottom"/>
          </w:tcPr>
          <w:p>
            <w:pPr>
              <w:ind w:left="320"/>
              <w:spacing w:after="0"/>
              <w:rPr>
                <w:sz w:val="20"/>
                <w:szCs w:val="20"/>
                <w:color w:val="auto"/>
              </w:rPr>
            </w:pPr>
            <w:r>
              <w:rPr>
                <w:rFonts w:ascii="Arial" w:cs="Arial" w:eastAsia="Arial" w:hAnsi="Arial"/>
                <w:sz w:val="13"/>
                <w:szCs w:val="13"/>
                <w:b w:val="1"/>
                <w:bCs w:val="1"/>
                <w:color w:val="auto"/>
              </w:rPr>
              <w:t>Shareholders’ Equity</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Preferred Stock</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80" w:type="dxa"/>
            <w:vAlign w:val="bottom"/>
          </w:tcPr>
          <w:p>
            <w:pPr>
              <w:spacing w:after="0"/>
              <w:rPr>
                <w:sz w:val="21"/>
                <w:szCs w:val="21"/>
                <w:color w:val="auto"/>
              </w:rPr>
            </w:pPr>
          </w:p>
        </w:tc>
        <w:tc>
          <w:tcPr>
            <w:tcW w:w="4140" w:type="dxa"/>
            <w:vAlign w:val="bottom"/>
          </w:tcPr>
          <w:p>
            <w:pPr>
              <w:ind w:left="220"/>
              <w:spacing w:after="0"/>
              <w:rPr>
                <w:sz w:val="20"/>
                <w:szCs w:val="20"/>
                <w:color w:val="auto"/>
              </w:rPr>
            </w:pPr>
            <w:r>
              <w:rPr>
                <w:rFonts w:ascii="Arial" w:cs="Arial" w:eastAsia="Arial" w:hAnsi="Arial"/>
                <w:sz w:val="13"/>
                <w:szCs w:val="13"/>
                <w:color w:val="auto"/>
              </w:rPr>
              <w:t>Preferred stock was comprised of the following (in thousands):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December 31, 2007</w:t>
            </w:r>
          </w:p>
        </w:tc>
        <w:tc>
          <w:tcPr>
            <w:tcW w:w="78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7"/>
              </w:rPr>
              <w:t>December 31, 2006</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80" w:type="dxa"/>
            <w:vAlign w:val="bottom"/>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Authorized</w:t>
            </w:r>
          </w:p>
        </w:tc>
        <w:tc>
          <w:tcPr>
            <w:tcW w:w="42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1"/>
              </w:rPr>
              <w:t>Issued</w:t>
            </w:r>
          </w:p>
        </w:tc>
        <w:tc>
          <w:tcPr>
            <w:tcW w:w="400" w:type="dxa"/>
            <w:vAlign w:val="bottom"/>
          </w:tcPr>
          <w:p>
            <w:pPr>
              <w:spacing w:after="0"/>
              <w:rPr>
                <w:sz w:val="8"/>
                <w:szCs w:val="8"/>
                <w:color w:val="auto"/>
              </w:rPr>
            </w:pPr>
          </w:p>
        </w:tc>
        <w:tc>
          <w:tcPr>
            <w:tcW w:w="78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Outstanding</w:t>
            </w:r>
          </w:p>
        </w:tc>
        <w:tc>
          <w:tcPr>
            <w:tcW w:w="400" w:type="dxa"/>
            <w:vAlign w:val="bottom"/>
          </w:tcPr>
          <w:p>
            <w:pPr>
              <w:spacing w:after="0"/>
              <w:rPr>
                <w:sz w:val="8"/>
                <w:szCs w:val="8"/>
                <w:color w:val="auto"/>
              </w:rPr>
            </w:pPr>
          </w:p>
        </w:tc>
        <w:tc>
          <w:tcPr>
            <w:tcW w:w="68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Authorized</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8"/>
              </w:rPr>
              <w:t>Issued</w:t>
            </w:r>
          </w:p>
        </w:tc>
        <w:tc>
          <w:tcPr>
            <w:tcW w:w="380" w:type="dxa"/>
            <w:vAlign w:val="bottom"/>
          </w:tcPr>
          <w:p>
            <w:pPr>
              <w:spacing w:after="0"/>
              <w:rPr>
                <w:sz w:val="8"/>
                <w:szCs w:val="8"/>
                <w:color w:val="auto"/>
              </w:rPr>
            </w:pPr>
          </w:p>
        </w:tc>
        <w:tc>
          <w:tcPr>
            <w:tcW w:w="800" w:type="dxa"/>
            <w:vAlign w:val="bottom"/>
            <w:tcBorders>
              <w:bottom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Outstanding</w:t>
            </w:r>
          </w:p>
        </w:tc>
        <w:tc>
          <w:tcPr>
            <w:tcW w:w="100" w:type="dxa"/>
            <w:vAlign w:val="bottom"/>
          </w:tcPr>
          <w:p>
            <w:pPr>
              <w:spacing w:after="0"/>
              <w:rPr>
                <w:sz w:val="8"/>
                <w:szCs w:val="8"/>
                <w:color w:val="auto"/>
              </w:rPr>
            </w:pPr>
          </w:p>
        </w:tc>
      </w:tr>
      <w:tr>
        <w:trPr>
          <w:trHeight w:val="147"/>
        </w:trPr>
        <w:tc>
          <w:tcPr>
            <w:tcW w:w="43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Series A Preferred Stock</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1,750</w:t>
            </w:r>
          </w:p>
        </w:tc>
        <w:tc>
          <w:tcPr>
            <w:tcW w:w="11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8</w:t>
            </w:r>
          </w:p>
        </w:tc>
        <w:tc>
          <w:tcPr>
            <w:tcW w:w="11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8</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1,750</w:t>
            </w:r>
          </w:p>
        </w:tc>
        <w:tc>
          <w:tcPr>
            <w:tcW w:w="980" w:type="dxa"/>
            <w:vAlign w:val="bottom"/>
            <w:gridSpan w:val="3"/>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8</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w:t>
            </w: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Series X Junior Participating Preferred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1,000</w:t>
            </w:r>
          </w:p>
        </w:tc>
        <w:tc>
          <w:tcPr>
            <w:tcW w:w="4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3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Undesignated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w:t>
            </w: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5,250</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1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8,000</w:t>
            </w:r>
          </w:p>
        </w:tc>
        <w:tc>
          <w:tcPr>
            <w:tcW w:w="4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8</w:t>
            </w:r>
          </w:p>
        </w:tc>
        <w:tc>
          <w:tcPr>
            <w:tcW w:w="4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8,000</w:t>
            </w: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r>
      <w:tr>
        <w:trPr>
          <w:trHeight w:val="30"/>
        </w:trPr>
        <w:tc>
          <w:tcPr>
            <w:tcW w:w="1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have 8,000,000 shares of Preferred Stock authorized, of which 1,750,000 shares have been designated as Series A Preferred Stock and 1,000,000 shares have been designated as Series X Junior Participating Preferred Stock. The balance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stock certificate. Any such Preferred Stock may rank prior to common stock as to dividend rights, liquidation preference or both, and may have full or limited voting rights and may be convertible into shares of common stock. As of December 31, 2007 and 2006, there were 8,221 shares of Series A Preferred Stock issued and outstanding. These shares carry a liquidation preference of $67 and are convertible into 60 shares of common stock per share of Preferred Stock. No other shares of Preferred Stock are issued and outstanding as of December 31, 2007 and 2006.</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Stockholder Rights Plan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Effective July 26, 2001, our Board of Directors amended and restated the terms of our stockholder rights plan, originally adopted by the Board of Directors in 1997. Under the plan, we declared a dividend distribution of one “Right” for each outstanding share of our common stock to stockholders of record at the close of business on August 11, 1997. Since that time, we have issued one Right with each newly issued share of common stock. As amended, each Right, when exercisable, entitles the holder to purchase from us one one-thousandth of a share of our Series X Junior Participating Preferred Stock at a purchase price of $500.00. In general, under the amended and restated plan, if a person or affiliated group acquires beneficial ownership of 15% or more of our shares of common stock, then each Right (other than those held by such acquiring person or affiliated group) will entitle the holder to</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July 26, 2011.</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Repurchase Programs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October 2004, our Board of Directors authorized the repurchase of up to 20.0 million shares of our common stock. The repurchased stock will provide us with treasury shares for general corporate purposes, such as common stock to be issued under our employee equity and stock purchase plans. This repurchase program expired October 4, 2006. During 2006, we repurchased 7.5 million shares at a cost of $320.3 million. During 2005, we repurchased 7.5 million shares at a cost of $324.3 million.</w:t>
      </w:r>
    </w:p>
    <w:p>
      <w:pPr>
        <w:spacing w:after="0" w:line="5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October 2006, our Board of Directors authorized the repurchase of up to an additional 20.0 million shares of our common stock. The repurchased stock will provide us with treasury shares for general corporate purposes, such as common stock to be issued under our employee equity and stock purchase plans. This repurchase program does not have an expiration date. No shares have been repurchased under the program as of December 31,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the year ended December 31, 2007, we reclassified amounts within the statement of shareholder’s equity, resulting in an approximately $48 million correction in the treasury stock and common stock balances.</w:t>
      </w:r>
    </w:p>
    <w:p>
      <w:pPr>
        <w:spacing w:after="0" w:line="134" w:lineRule="exact"/>
        <w:rPr>
          <w:sz w:val="20"/>
          <w:szCs w:val="20"/>
          <w:color w:val="auto"/>
        </w:rPr>
      </w:pPr>
    </w:p>
    <w:p>
      <w:pPr>
        <w:ind w:left="1180" w:hanging="493"/>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Tender Offer</w:t>
      </w:r>
    </w:p>
    <w:p>
      <w:pPr>
        <w:spacing w:after="0" w:line="100" w:lineRule="exact"/>
        <w:rPr>
          <w:sz w:val="20"/>
          <w:szCs w:val="20"/>
          <w:color w:val="auto"/>
        </w:rPr>
      </w:pPr>
    </w:p>
    <w:p>
      <w:pPr>
        <w:ind w:left="680" w:right="340" w:firstLine="399"/>
        <w:spacing w:after="0" w:line="303" w:lineRule="auto"/>
        <w:rPr>
          <w:sz w:val="20"/>
          <w:szCs w:val="20"/>
          <w:color w:val="auto"/>
        </w:rPr>
      </w:pPr>
      <w:r>
        <w:rPr>
          <w:rFonts w:ascii="Arial" w:cs="Arial" w:eastAsia="Arial" w:hAnsi="Arial"/>
          <w:sz w:val="11"/>
          <w:szCs w:val="11"/>
          <w:color w:val="auto"/>
        </w:rPr>
        <w:t xml:space="preserve">On June 27, 2007, pursuant to the terms of a tender offer, we accepted for payment 56,424,155 shares of our common stock at a price of $53.00 per share for a purchase price of $2,990.5 million. As the obligation of $2,990.5 million was incurred on June 27, 2007 and funded on July 2, 2007, pursuant to Statement of Financial Accounting Standards No. 150, </w:t>
      </w:r>
      <w:r>
        <w:rPr>
          <w:rFonts w:ascii="Arial" w:cs="Arial" w:eastAsia="Arial" w:hAnsi="Arial"/>
          <w:sz w:val="11"/>
          <w:szCs w:val="11"/>
          <w:i w:val="1"/>
          <w:iCs w:val="1"/>
          <w:color w:val="auto"/>
        </w:rPr>
        <w:t>Accounting for Certain Financial Instruments with Characteristics of both Liabilities and Equity</w:t>
      </w:r>
      <w:r>
        <w:rPr>
          <w:rFonts w:ascii="Arial" w:cs="Arial" w:eastAsia="Arial" w:hAnsi="Arial"/>
          <w:sz w:val="11"/>
          <w:szCs w:val="11"/>
          <w:color w:val="auto"/>
        </w:rPr>
        <w:t>, or SFAS 150, we recorded the present value of the obligation of $2,988.2 million on</w:t>
      </w:r>
    </w:p>
    <w:p>
      <w:pPr>
        <w:ind w:left="680"/>
        <w:spacing w:after="0" w:line="290" w:lineRule="auto"/>
        <w:rPr>
          <w:sz w:val="20"/>
          <w:szCs w:val="20"/>
          <w:color w:val="auto"/>
        </w:rPr>
      </w:pPr>
      <w:r>
        <w:rPr>
          <w:rFonts w:ascii="Arial" w:cs="Arial" w:eastAsia="Arial" w:hAnsi="Arial"/>
          <w:sz w:val="12"/>
          <w:szCs w:val="12"/>
          <w:color w:val="auto"/>
        </w:rPr>
        <w:t>June 27, 2007, and the $2.3 million difference between the present value of the obligation and funded amount was recognized as interest expense. We funded the tender offer through existing cash and cash equivalents of $1,490.5 million and $1,500.0 million borrowed under our short-term loan facility as described in Note 7, Indebtedness. We retired all of these shares in July 2007. In connection with this retirement, in accordance with our policy, we recorded an approximately $2,991 million reduction in treasury stock and additional paid-in-capital.</w:t>
      </w:r>
    </w:p>
    <w:p>
      <w:pPr>
        <w:spacing w:after="0" w:line="127"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We operate in one business segment, which is the business of development, manufacturing and commercialization of novel therapeutics for human healthcare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by product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0"/>
                <w:szCs w:val="10"/>
                <w:b w:val="1"/>
                <w:bCs w:val="1"/>
                <w:color w:val="auto"/>
              </w:rPr>
              <w:t>Year Ended December 31,</w:t>
            </w: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36"/>
              <w:spacing w:after="0" w:line="98" w:lineRule="exact"/>
              <w:rPr>
                <w:sz w:val="20"/>
                <w:szCs w:val="20"/>
                <w:color w:val="auto"/>
              </w:rPr>
            </w:pPr>
            <w:r>
              <w:rPr>
                <w:rFonts w:ascii="Arial" w:cs="Arial" w:eastAsia="Arial" w:hAnsi="Arial"/>
                <w:sz w:val="10"/>
                <w:szCs w:val="10"/>
                <w:b w:val="1"/>
                <w:bCs w:val="1"/>
                <w:color w:val="auto"/>
                <w:w w:val="98"/>
              </w:rPr>
              <w:t>2006</w:t>
            </w: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4"/>
          </w:tcPr>
          <w:p>
            <w:pPr>
              <w:jc w:val="right"/>
              <w:ind w:right="200"/>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US</w:t>
            </w:r>
          </w:p>
        </w:tc>
        <w:tc>
          <w:tcPr>
            <w:tcW w:w="6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8"/>
              </w:rPr>
              <w:t>Rest of</w:t>
            </w:r>
          </w:p>
        </w:tc>
        <w:tc>
          <w:tcPr>
            <w:tcW w:w="140" w:type="dxa"/>
            <w:vAlign w:val="bottom"/>
          </w:tcPr>
          <w:p>
            <w:pPr>
              <w:spacing w:after="0"/>
              <w:rPr>
                <w:sz w:val="7"/>
                <w:szCs w:val="7"/>
                <w:color w:val="auto"/>
              </w:rPr>
            </w:pPr>
          </w:p>
        </w:tc>
        <w:tc>
          <w:tcPr>
            <w:tcW w:w="660" w:type="dxa"/>
            <w:vAlign w:val="bottom"/>
            <w:gridSpan w:val="3"/>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60" w:type="dxa"/>
            <w:vAlign w:val="bottom"/>
            <w:gridSpan w:val="3"/>
            <w:vMerge w:val="restart"/>
          </w:tcPr>
          <w:p>
            <w:pPr>
              <w:jc w:val="right"/>
              <w:ind w:right="480"/>
              <w:spacing w:after="0"/>
              <w:rPr>
                <w:sz w:val="20"/>
                <w:szCs w:val="20"/>
                <w:color w:val="auto"/>
              </w:rPr>
            </w:pPr>
            <w:r>
              <w:rPr>
                <w:rFonts w:ascii="Arial" w:cs="Arial" w:eastAsia="Arial" w:hAnsi="Arial"/>
                <w:sz w:val="10"/>
                <w:szCs w:val="10"/>
                <w:b w:val="1"/>
                <w:bCs w:val="1"/>
                <w:color w:val="auto"/>
              </w:rPr>
              <w:t>US</w:t>
            </w:r>
          </w:p>
        </w:tc>
        <w:tc>
          <w:tcPr>
            <w:tcW w:w="34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w w:val="91"/>
              </w:rPr>
              <w:t>Rest of</w:t>
            </w: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7"/>
                <w:szCs w:val="7"/>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US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right"/>
              <w:ind w:right="240"/>
              <w:spacing w:after="0" w:line="81" w:lineRule="exact"/>
              <w:rPr>
                <w:sz w:val="20"/>
                <w:szCs w:val="20"/>
                <w:color w:val="auto"/>
              </w:rPr>
            </w:pPr>
            <w:r>
              <w:rPr>
                <w:rFonts w:ascii="Arial" w:cs="Arial" w:eastAsia="Arial" w:hAnsi="Arial"/>
                <w:sz w:val="9"/>
                <w:szCs w:val="9"/>
                <w:b w:val="1"/>
                <w:bCs w:val="1"/>
                <w:color w:val="auto"/>
              </w:rPr>
              <w:t>Rest of</w:t>
            </w:r>
          </w:p>
        </w:tc>
        <w:tc>
          <w:tcPr>
            <w:tcW w:w="120" w:type="dxa"/>
            <w:vAlign w:val="bottom"/>
          </w:tcPr>
          <w:p>
            <w:pPr>
              <w:spacing w:after="0"/>
              <w:rPr>
                <w:sz w:val="7"/>
                <w:szCs w:val="7"/>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World</w:t>
            </w:r>
          </w:p>
        </w:tc>
        <w:tc>
          <w:tcPr>
            <w:tcW w:w="1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rPr>
              <w:t>World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World</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1,085.0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$ 782.8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1,867.8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1,022.2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73"/>
              </w:rPr>
              <w:t>$ 684.5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1,706.7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$ 938.7</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$ 604.4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1,543.1</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AMEVIVE</w:t>
            </w: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0.3</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0.4</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0.7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6.5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11.5</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3"/>
                <w:szCs w:val="13"/>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ZEVALIN</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FUMADERM</w:t>
            </w:r>
          </w:p>
        </w:tc>
        <w:tc>
          <w:tcPr>
            <w:tcW w:w="14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9.5</w:t>
            </w:r>
          </w:p>
        </w:tc>
        <w:tc>
          <w:tcPr>
            <w:tcW w:w="1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TYSABRI</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125.5</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229.9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35.8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color w:val="auto"/>
              </w:rPr>
              <w:t>Total product revenues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2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1,203.6</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$ 933.2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2,136.8</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color w:val="auto"/>
              </w:rPr>
              <w:t>1,069.5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w w:val="73"/>
              </w:rPr>
              <w:t>$ 711.8</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rPr>
              <w:t>1,781.3</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$ 997.7</w:t>
            </w:r>
          </w:p>
        </w:tc>
        <w:tc>
          <w:tcPr>
            <w:tcW w:w="100" w:type="dxa"/>
            <w:vAlign w:val="bottom"/>
          </w:tcPr>
          <w:p>
            <w:pPr>
              <w:spacing w:after="0"/>
              <w:rPr>
                <w:sz w:val="14"/>
                <w:szCs w:val="14"/>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3"/>
                <w:szCs w:val="13"/>
                <w:color w:val="auto"/>
              </w:rPr>
              <w:t>$ 619.3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1,617.0</w:t>
            </w:r>
          </w:p>
        </w:tc>
        <w:tc>
          <w:tcPr>
            <w:tcW w:w="0" w:type="dxa"/>
            <w:vAlign w:val="bottom"/>
          </w:tcPr>
          <w:p>
            <w:pPr>
              <w:spacing w:after="0"/>
              <w:rPr>
                <w:sz w:val="1"/>
                <w:szCs w:val="1"/>
                <w:color w:val="auto"/>
              </w:rPr>
            </w:pPr>
          </w:p>
        </w:tc>
      </w:tr>
      <w:tr>
        <w:trPr>
          <w:trHeight w:val="254"/>
        </w:trPr>
        <w:tc>
          <w:tcPr>
            <w:tcW w:w="3720" w:type="dxa"/>
            <w:vAlign w:val="bottom"/>
          </w:tcPr>
          <w:p>
            <w:pPr>
              <w:ind w:left="400"/>
              <w:spacing w:after="0"/>
              <w:rPr>
                <w:sz w:val="20"/>
                <w:szCs w:val="20"/>
                <w:color w:val="auto"/>
              </w:rPr>
            </w:pPr>
            <w:r>
              <w:rPr>
                <w:rFonts w:ascii="Arial" w:cs="Arial" w:eastAsia="Arial" w:hAnsi="Arial"/>
                <w:sz w:val="13"/>
                <w:szCs w:val="13"/>
                <w:color w:val="auto"/>
              </w:rPr>
              <w:t>Our geographic information is as follows (in millions):</w:t>
            </w: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20"/>
              <w:spacing w:after="0"/>
              <w:rPr>
                <w:sz w:val="20"/>
                <w:szCs w:val="20"/>
                <w:color w:val="auto"/>
              </w:rPr>
            </w:pPr>
            <w:r>
              <w:rPr>
                <w:rFonts w:ascii="Arial" w:cs="Arial" w:eastAsia="Arial" w:hAnsi="Arial"/>
                <w:sz w:val="10"/>
                <w:szCs w:val="10"/>
                <w:b w:val="1"/>
                <w:bCs w:val="1"/>
                <w:color w:val="auto"/>
                <w:w w:val="86"/>
              </w:rPr>
              <w:t>US</w:t>
            </w:r>
          </w:p>
        </w:tc>
        <w:tc>
          <w:tcPr>
            <w:tcW w:w="10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w w:val="98"/>
              </w:rPr>
              <w:t>Europe</w:t>
            </w:r>
          </w:p>
        </w:tc>
        <w:tc>
          <w:tcPr>
            <w:tcW w:w="320" w:type="dxa"/>
            <w:vAlign w:val="bottom"/>
          </w:tcPr>
          <w:p>
            <w:pPr>
              <w:spacing w:after="0"/>
              <w:rPr>
                <w:sz w:val="18"/>
                <w:szCs w:val="18"/>
                <w:color w:val="auto"/>
              </w:rPr>
            </w:pPr>
          </w:p>
        </w:tc>
        <w:tc>
          <w:tcPr>
            <w:tcW w:w="740" w:type="dxa"/>
            <w:vAlign w:val="bottom"/>
            <w:gridSpan w:val="5"/>
          </w:tcPr>
          <w:p>
            <w:pPr>
              <w:jc w:val="right"/>
              <w:ind w:right="480"/>
              <w:spacing w:after="0"/>
              <w:rPr>
                <w:sz w:val="20"/>
                <w:szCs w:val="20"/>
                <w:color w:val="auto"/>
              </w:rPr>
            </w:pPr>
            <w:r>
              <w:rPr>
                <w:rFonts w:ascii="Arial" w:cs="Arial" w:eastAsia="Arial" w:hAnsi="Arial"/>
                <w:sz w:val="10"/>
                <w:szCs w:val="10"/>
                <w:b w:val="1"/>
                <w:bCs w:val="1"/>
                <w:color w:val="auto"/>
              </w:rPr>
              <w:t>Asia</w:t>
            </w:r>
          </w:p>
        </w:tc>
        <w:tc>
          <w:tcPr>
            <w:tcW w:w="7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74"/>
              <w:spacing w:after="0"/>
              <w:rPr>
                <w:sz w:val="20"/>
                <w:szCs w:val="20"/>
                <w:color w:val="auto"/>
              </w:rPr>
            </w:pPr>
            <w:r>
              <w:rPr>
                <w:rFonts w:ascii="Arial" w:cs="Arial" w:eastAsia="Arial" w:hAnsi="Arial"/>
                <w:sz w:val="13"/>
                <w:szCs w:val="13"/>
                <w:color w:val="auto"/>
                <w:w w:val="96"/>
              </w:rPr>
              <w:t>1,203.6</w:t>
            </w: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797.0</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1"/>
              <w:spacing w:after="0"/>
              <w:rPr>
                <w:sz w:val="20"/>
                <w:szCs w:val="20"/>
                <w:color w:val="auto"/>
              </w:rPr>
            </w:pPr>
            <w:r>
              <w:rPr>
                <w:rFonts w:ascii="Arial" w:cs="Arial" w:eastAsia="Arial" w:hAnsi="Arial"/>
                <w:sz w:val="13"/>
                <w:szCs w:val="13"/>
                <w:color w:val="auto"/>
                <w:w w:val="88"/>
              </w:rPr>
              <w:t>4.2</w:t>
            </w:r>
          </w:p>
        </w:tc>
        <w:tc>
          <w:tcPr>
            <w:tcW w:w="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134"/>
              <w:spacing w:after="0"/>
              <w:rPr>
                <w:sz w:val="20"/>
                <w:szCs w:val="20"/>
                <w:color w:val="auto"/>
              </w:rPr>
            </w:pPr>
            <w:r>
              <w:rPr>
                <w:rFonts w:ascii="Arial" w:cs="Arial" w:eastAsia="Arial" w:hAnsi="Arial"/>
                <w:sz w:val="13"/>
                <w:szCs w:val="13"/>
                <w:color w:val="auto"/>
                <w:w w:val="82"/>
              </w:rPr>
              <w:t>$ 132.0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2,136.8</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74"/>
              <w:spacing w:after="0"/>
              <w:rPr>
                <w:sz w:val="20"/>
                <w:szCs w:val="20"/>
                <w:color w:val="auto"/>
              </w:rPr>
            </w:pPr>
            <w:r>
              <w:rPr>
                <w:rFonts w:ascii="Arial" w:cs="Arial" w:eastAsia="Arial" w:hAnsi="Arial"/>
                <w:sz w:val="13"/>
                <w:szCs w:val="13"/>
                <w:color w:val="auto"/>
              </w:rPr>
              <w:t>675.3</w:t>
            </w:r>
          </w:p>
        </w:tc>
        <w:tc>
          <w:tcPr>
            <w:tcW w:w="26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200.2</w:t>
            </w:r>
          </w:p>
        </w:tc>
        <w:tc>
          <w:tcPr>
            <w:tcW w:w="1040" w:type="dxa"/>
            <w:vAlign w:val="bottom"/>
            <w:gridSpan w:val="5"/>
          </w:tcPr>
          <w:p>
            <w:pPr>
              <w:jc w:val="right"/>
              <w:ind w:right="321"/>
              <w:spacing w:after="0"/>
              <w:rPr>
                <w:sz w:val="20"/>
                <w:szCs w:val="20"/>
                <w:color w:val="auto"/>
              </w:rPr>
            </w:pPr>
            <w:r>
              <w:rPr>
                <w:rFonts w:ascii="Arial" w:cs="Arial" w:eastAsia="Arial" w:hAnsi="Arial"/>
                <w:sz w:val="13"/>
                <w:szCs w:val="13"/>
                <w:color w:val="auto"/>
              </w:rPr>
              <w:t>$ 18.1</w:t>
            </w: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134"/>
              <w:spacing w:after="0"/>
              <w:rPr>
                <w:sz w:val="20"/>
                <w:szCs w:val="20"/>
                <w:color w:val="auto"/>
              </w:rPr>
            </w:pPr>
            <w:r>
              <w:rPr>
                <w:rFonts w:ascii="Arial" w:cs="Arial" w:eastAsia="Arial" w:hAnsi="Arial"/>
                <w:sz w:val="13"/>
                <w:szCs w:val="13"/>
                <w:color w:val="auto"/>
              </w:rPr>
              <w:t>32.5</w:t>
            </w:r>
          </w:p>
        </w:tc>
        <w:tc>
          <w:tcPr>
            <w:tcW w:w="2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78.1</w:t>
            </w: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4"/>
              </w:rPr>
              <w:t>27.4</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1"/>
              <w:spacing w:after="0"/>
              <w:rPr>
                <w:sz w:val="20"/>
                <w:szCs w:val="20"/>
                <w:color w:val="auto"/>
              </w:rPr>
            </w:pPr>
            <w:r>
              <w:rPr>
                <w:rFonts w:ascii="Arial" w:cs="Arial" w:eastAsia="Arial" w:hAnsi="Arial"/>
                <w:sz w:val="13"/>
                <w:szCs w:val="13"/>
                <w:color w:val="auto"/>
                <w:w w:val="88"/>
              </w:rPr>
              <w:t>3.2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20"/>
                <w:szCs w:val="20"/>
                <w:color w:val="auto"/>
              </w:rPr>
            </w:pPr>
            <w:r>
              <w:rPr>
                <w:rFonts w:ascii="Arial" w:cs="Arial" w:eastAsia="Arial" w:hAnsi="Arial"/>
                <w:sz w:val="13"/>
                <w:szCs w:val="13"/>
                <w:color w:val="auto"/>
              </w:rPr>
              <w:t>Long-lived assets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74"/>
              <w:spacing w:after="0"/>
              <w:rPr>
                <w:sz w:val="20"/>
                <w:szCs w:val="20"/>
                <w:color w:val="auto"/>
              </w:rPr>
            </w:pPr>
            <w:r>
              <w:rPr>
                <w:rFonts w:ascii="Arial" w:cs="Arial" w:eastAsia="Arial" w:hAnsi="Arial"/>
                <w:sz w:val="13"/>
                <w:szCs w:val="13"/>
                <w:color w:val="auto"/>
                <w:w w:val="96"/>
              </w:rPr>
              <w:t>1,021.3</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1,516.6</w:t>
            </w:r>
          </w:p>
        </w:tc>
        <w:tc>
          <w:tcPr>
            <w:tcW w:w="4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60" w:type="dxa"/>
            <w:vAlign w:val="bottom"/>
            <w:gridSpan w:val="2"/>
          </w:tcPr>
          <w:p>
            <w:pPr>
              <w:jc w:val="right"/>
              <w:ind w:right="321"/>
              <w:spacing w:after="0"/>
              <w:rPr>
                <w:sz w:val="20"/>
                <w:szCs w:val="20"/>
                <w:color w:val="auto"/>
              </w:rPr>
            </w:pPr>
            <w:r>
              <w:rPr>
                <w:rFonts w:ascii="Arial" w:cs="Arial" w:eastAsia="Arial" w:hAnsi="Arial"/>
                <w:sz w:val="13"/>
                <w:szCs w:val="13"/>
                <w:color w:val="auto"/>
                <w:w w:val="88"/>
              </w:rPr>
              <w:t>3.1</w:t>
            </w: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134"/>
              <w:spacing w:after="0"/>
              <w:rPr>
                <w:sz w:val="20"/>
                <w:szCs w:val="20"/>
                <w:color w:val="auto"/>
              </w:rPr>
            </w:pPr>
            <w:r>
              <w:rPr>
                <w:rFonts w:ascii="Arial" w:cs="Arial" w:eastAsia="Arial" w:hAnsi="Arial"/>
                <w:sz w:val="13"/>
                <w:szCs w:val="13"/>
                <w:color w:val="auto"/>
              </w:rPr>
              <w:t>89.7</w:t>
            </w:r>
          </w:p>
        </w:tc>
        <w:tc>
          <w:tcPr>
            <w:tcW w:w="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2,630.7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2007, we recorded revenue from two wholesale distributors accounting for a total of 19.4% and 15.2% of total product revenue, respectively.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0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2006</w:t>
            </w:r>
          </w:p>
        </w:tc>
        <w:tc>
          <w:tcPr>
            <w:tcW w:w="140" w:type="dxa"/>
            <w:vAlign w:val="bottom"/>
          </w:tcPr>
          <w:p>
            <w:pPr>
              <w:spacing w:after="0"/>
              <w:rPr>
                <w:sz w:val="11"/>
                <w:szCs w:val="11"/>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6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591.0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120.4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1,781.3</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616.8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150.2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16.7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27.2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810.9</w:t>
            </w: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w:t>
            </w:r>
          </w:p>
        </w:tc>
      </w:tr>
      <w:tr>
        <w:trPr>
          <w:trHeight w:val="165"/>
        </w:trPr>
        <w:tc>
          <w:tcPr>
            <w:tcW w:w="6000" w:type="dxa"/>
            <w:vAlign w:val="bottom"/>
          </w:tcPr>
          <w:p>
            <w:pPr>
              <w:spacing w:after="0"/>
              <w:rPr>
                <w:sz w:val="20"/>
                <w:szCs w:val="20"/>
                <w:color w:val="auto"/>
              </w:rPr>
            </w:pPr>
            <w:r>
              <w:rPr>
                <w:rFonts w:ascii="Arial" w:cs="Arial" w:eastAsia="Arial" w:hAnsi="Arial"/>
                <w:sz w:val="13"/>
                <w:szCs w:val="13"/>
                <w:color w:val="auto"/>
              </w:rPr>
              <w:t>Long-lived assets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2,110.8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790.3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2,938.2</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2006, we recorded revenue from one specialty distributor and three wholesale distributors accounting for a total of 15%, 18%, 14%, and 12% of total product revenue, respectively.</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60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2005</w:t>
            </w:r>
          </w:p>
        </w:tc>
        <w:tc>
          <w:tcPr>
            <w:tcW w:w="140" w:type="dxa"/>
            <w:vAlign w:val="bottom"/>
          </w:tcPr>
          <w:p>
            <w:pPr>
              <w:spacing w:after="0"/>
              <w:rPr>
                <w:sz w:val="11"/>
                <w:szCs w:val="11"/>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US</w:t>
            </w:r>
          </w:p>
        </w:tc>
        <w:tc>
          <w:tcPr>
            <w:tcW w:w="780" w:type="dxa"/>
            <w:vAlign w:val="bottom"/>
            <w:gridSpan w:val="3"/>
          </w:tcPr>
          <w:p>
            <w:pPr>
              <w:jc w:val="right"/>
              <w:ind w:right="420"/>
              <w:spacing w:after="0"/>
              <w:rPr>
                <w:sz w:val="20"/>
                <w:szCs w:val="20"/>
                <w:color w:val="auto"/>
              </w:rPr>
            </w:pPr>
            <w:r>
              <w:rPr>
                <w:rFonts w:ascii="Arial" w:cs="Arial" w:eastAsia="Arial" w:hAnsi="Arial"/>
                <w:sz w:val="10"/>
                <w:szCs w:val="10"/>
                <w:b w:val="1"/>
                <w:bCs w:val="1"/>
                <w:color w:val="auto"/>
                <w:w w:val="98"/>
              </w:rPr>
              <w:t>Europe</w:t>
            </w: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0"/>
                <w:szCs w:val="10"/>
                <w:b w:val="1"/>
                <w:bCs w:val="1"/>
                <w:color w:val="auto"/>
              </w:rPr>
              <w:t>Asia</w:t>
            </w:r>
          </w:p>
        </w:tc>
        <w:tc>
          <w:tcPr>
            <w:tcW w:w="8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r>
      <w:tr>
        <w:trPr>
          <w:trHeight w:val="29"/>
        </w:trPr>
        <w:tc>
          <w:tcPr>
            <w:tcW w:w="6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from external customers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500.2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118.9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1,617.0</w:t>
            </w: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Revenues from unconsolidated joint business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561.4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109.3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16.3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708.9</w:t>
            </w: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external customers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4"/>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96.6</w:t>
            </w:r>
          </w:p>
        </w:tc>
      </w:tr>
      <w:tr>
        <w:trPr>
          <w:trHeight w:val="165"/>
        </w:trPr>
        <w:tc>
          <w:tcPr>
            <w:tcW w:w="6000" w:type="dxa"/>
            <w:vAlign w:val="bottom"/>
          </w:tcPr>
          <w:p>
            <w:pPr>
              <w:spacing w:after="0"/>
              <w:rPr>
                <w:sz w:val="20"/>
                <w:szCs w:val="20"/>
                <w:color w:val="auto"/>
              </w:rPr>
            </w:pPr>
            <w:r>
              <w:rPr>
                <w:rFonts w:ascii="Arial" w:cs="Arial" w:eastAsia="Arial" w:hAnsi="Arial"/>
                <w:sz w:val="13"/>
                <w:szCs w:val="13"/>
                <w:color w:val="auto"/>
              </w:rPr>
              <w:t>Long-lived assets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2,051.5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586.6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2,642.8</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2005, we recorded revenue from one specialty distributor and three wholesale distributors accounting for a total of 17%, 18%, 15%, and 12% of total product revenue, respectively.</w:t>
      </w:r>
    </w:p>
    <w:p>
      <w:pPr>
        <w:spacing w:after="0" w:line="11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Approximately 29%, 30%, and 29% of our total revenues in 2007, 2006, and 2005, respectively, are derived from our joint business arrangement with Genentech (see Note 16, Unconsolidated Joint Business Arrangement).</w:t>
      </w:r>
    </w:p>
    <w:p>
      <w:pPr>
        <w:spacing w:after="0" w:line="134" w:lineRule="exact"/>
        <w:rPr>
          <w:sz w:val="20"/>
          <w:szCs w:val="20"/>
          <w:color w:val="auto"/>
        </w:rPr>
      </w:pPr>
    </w:p>
    <w:p>
      <w:pPr>
        <w:ind w:left="1180" w:hanging="493"/>
        <w:spacing w:after="0"/>
        <w:tabs>
          <w:tab w:leader="none" w:pos="1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Severance and Other Restructuring Costs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2007 Restructurings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2007, we incurred $1.8 million in restructuring costs, primarily related to the Syntonix acquisition and the ZEVALIN divestiture, which are included in selling, general and administrative expense. At December 31, 2007, there are no material remaining restructuring accruals on our consolidated balance sheets.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2006 Restructurings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During 2006, we incurred restructuring costs associated with acquisitions and planned dispositions. Specifically, we incurred $1.2 million in severance costs associated with the acquisition of Conforma, and $1.7 million related in headcount reductions related to the planned disposition of our ZEVALIN product line.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2005 Strategic Plan</w:t>
      </w:r>
    </w:p>
    <w:p>
      <w:pPr>
        <w:spacing w:after="0" w:line="96" w:lineRule="exact"/>
        <w:rPr>
          <w:sz w:val="20"/>
          <w:szCs w:val="20"/>
          <w:color w:val="auto"/>
        </w:rPr>
      </w:pPr>
    </w:p>
    <w:p>
      <w:pPr>
        <w:ind w:left="680" w:right="240" w:firstLine="399"/>
        <w:spacing w:after="0" w:line="282" w:lineRule="auto"/>
        <w:rPr>
          <w:sz w:val="20"/>
          <w:szCs w:val="20"/>
          <w:color w:val="auto"/>
        </w:rPr>
      </w:pPr>
      <w:r>
        <w:rPr>
          <w:rFonts w:ascii="Arial" w:cs="Arial" w:eastAsia="Arial" w:hAnsi="Arial"/>
          <w:sz w:val="12"/>
          <w:szCs w:val="12"/>
          <w:color w:val="auto"/>
        </w:rPr>
        <w:t>In September 2005, we began implementing a comprehensive strategic plan, or the 2005 Strategic Plan, in conjunction with which we consolidated or eliminated certain internal management layers and staff functions, resulting in the reduction of our workforce that represented approximately 17%, or approximately 650 positions worldwide at that time. These adjustments took place across company functions, departments and sites, and were substantially implemented by the end of 2005. We recorded restructuring charges of $31.4 million in connection with these activities, of which $28.3 million related to severance and other employee termination costs, including health benefits, outplacement and bonuses. Other costs were $3.1 million and included write-downs of certain research assets that will no longer be utilized, consulting costs in connection with the restructuring effort, and costs related to the acceleration of restricted stock, offset by the reversal of previously recognized compensation due to unvested restricted stock cancellations.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Remaining Reserve Balance</w:t>
      </w:r>
    </w:p>
    <w:p>
      <w:pPr>
        <w:spacing w:after="0" w:line="96"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color w:val="auto"/>
        </w:rPr>
        <w:t>The remaining liability at December 31, 2006 associated with the 2005 Strategic Plan and the 2006 Restructurings, which is included in accrued expenses and other in our consolidated balance sheet, is as follows (in millions). There were no material restructuring liabilities at Decmber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6"/>
              </w:rPr>
              <w:t>Costs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4"/>
              </w:rPr>
              <w:t>Paid/Settled</w:t>
            </w: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Remaining</w:t>
            </w:r>
          </w:p>
        </w:tc>
        <w:tc>
          <w:tcPr>
            <w:tcW w:w="8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3"/>
              </w:rPr>
              <w:t>Costs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Remaining</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Liability at</w:t>
            </w: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92"/>
              </w:rPr>
              <w:t>Adjustments</w:t>
            </w:r>
          </w:p>
        </w:tc>
        <w:tc>
          <w:tcPr>
            <w:tcW w:w="100" w:type="dxa"/>
            <w:vAlign w:val="bottom"/>
          </w:tcPr>
          <w:p>
            <w:pPr>
              <w:spacing w:after="0"/>
              <w:rPr>
                <w:sz w:val="9"/>
                <w:szCs w:val="9"/>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w w:val="94"/>
              </w:rPr>
              <w:t>Paid/Settled</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rPr>
              <w:t>Liability at</w:t>
            </w: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Incurred</w:t>
            </w: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9"/>
              </w:rPr>
              <w:t>During</w:t>
            </w: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9"/>
                <w:szCs w:val="9"/>
                <w:color w:val="auto"/>
              </w:rPr>
            </w:pPr>
          </w:p>
        </w:tc>
        <w:tc>
          <w:tcPr>
            <w:tcW w:w="9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Incurred</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December31,</w:t>
            </w: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During 2005</w:t>
            </w:r>
          </w:p>
        </w:tc>
        <w:tc>
          <w:tcPr>
            <w:tcW w:w="100" w:type="dxa"/>
            <w:vAlign w:val="bottom"/>
          </w:tcPr>
          <w:p>
            <w:pPr>
              <w:spacing w:after="0"/>
              <w:rPr>
                <w:sz w:val="10"/>
                <w:szCs w:val="10"/>
                <w:color w:val="auto"/>
              </w:rPr>
            </w:pPr>
          </w:p>
        </w:tc>
        <w:tc>
          <w:tcPr>
            <w:tcW w:w="700" w:type="dxa"/>
            <w:vAlign w:val="bottom"/>
          </w:tcPr>
          <w:p>
            <w:pPr>
              <w:jc w:val="center"/>
              <w:ind w:right="21"/>
              <w:spacing w:after="0"/>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2"/>
              <w:spacing w:after="0"/>
              <w:rPr>
                <w:sz w:val="20"/>
                <w:szCs w:val="20"/>
                <w:color w:val="auto"/>
              </w:rPr>
            </w:pPr>
            <w:r>
              <w:rPr>
                <w:rFonts w:ascii="Arial" w:cs="Arial" w:eastAsia="Arial" w:hAnsi="Arial"/>
                <w:sz w:val="10"/>
                <w:szCs w:val="10"/>
                <w:b w:val="1"/>
                <w:bCs w:val="1"/>
                <w:color w:val="auto"/>
                <w:w w:val="98"/>
              </w:rPr>
              <w:t>2005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During 2006</w:t>
            </w:r>
          </w:p>
        </w:tc>
        <w:tc>
          <w:tcPr>
            <w:tcW w:w="100" w:type="dxa"/>
            <w:vAlign w:val="bottom"/>
          </w:tcPr>
          <w:p>
            <w:pPr>
              <w:spacing w:after="0"/>
              <w:rPr>
                <w:sz w:val="10"/>
                <w:szCs w:val="1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7"/>
              </w:rPr>
              <w:t>During 2006</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7"/>
              </w:rPr>
              <w:t>During 2006</w:t>
            </w:r>
          </w:p>
        </w:tc>
        <w:tc>
          <w:tcPr>
            <w:tcW w:w="80" w:type="dxa"/>
            <w:vAlign w:val="bottom"/>
          </w:tcPr>
          <w:p>
            <w:pPr>
              <w:spacing w:after="0"/>
              <w:rPr>
                <w:sz w:val="10"/>
                <w:szCs w:val="10"/>
                <w:color w:val="auto"/>
              </w:rPr>
            </w:pPr>
          </w:p>
        </w:tc>
        <w:tc>
          <w:tcPr>
            <w:tcW w:w="720" w:type="dxa"/>
            <w:vAlign w:val="bottom"/>
          </w:tcPr>
          <w:p>
            <w:pPr>
              <w:jc w:val="center"/>
              <w:ind w:right="2"/>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Severance and employee termination costs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3020" w:type="dxa"/>
            <w:vAlign w:val="bottom"/>
          </w:tcPr>
          <w:p>
            <w:pPr>
              <w:spacing w:after="0"/>
              <w:rPr>
                <w:sz w:val="20"/>
                <w:szCs w:val="20"/>
                <w:color w:val="auto"/>
              </w:rPr>
            </w:pPr>
            <w:r>
              <w:rPr>
                <w:rFonts w:ascii="Arial" w:cs="Arial" w:eastAsia="Arial" w:hAnsi="Arial"/>
                <w:sz w:val="13"/>
                <w:szCs w:val="13"/>
                <w:color w:val="auto"/>
              </w:rPr>
              <w:t>Other costs</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0.0</w:t>
            </w:r>
          </w:p>
        </w:tc>
        <w:tc>
          <w:tcPr>
            <w:tcW w:w="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Items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Effective on December 31, 2005, our former Executive Chairman and Chairman of the Board retired and resigned from the Board. The charges related to this retirement amounted to $7.1 million and were all paid in 2005.</w:t>
      </w:r>
    </w:p>
    <w:p>
      <w:pPr>
        <w:spacing w:after="0" w:line="134"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Guarantees</w:t>
      </w:r>
    </w:p>
    <w:p>
      <w:pPr>
        <w:spacing w:after="0" w:line="100"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 xml:space="preserve">In November 2002, the FASB issued FASB Interpretation No. 45, </w:t>
      </w:r>
      <w:r>
        <w:rPr>
          <w:rFonts w:ascii="Arial" w:cs="Arial" w:eastAsia="Arial" w:hAnsi="Arial"/>
          <w:sz w:val="11"/>
          <w:szCs w:val="11"/>
          <w:i w:val="1"/>
          <w:iCs w:val="1"/>
          <w:color w:val="auto"/>
        </w:rPr>
        <w:t>Guarantor’s Accounting and Disclosure Requirements for Guarantees, Including Indirect Guarantees of</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Indebtedness of Others, an interpretation of FASB Statements No. 5, 57, and 107 and Rescission of FASB Interpretation No. 34, </w:t>
      </w:r>
      <w:r>
        <w:rPr>
          <w:rFonts w:ascii="Arial" w:cs="Arial" w:eastAsia="Arial" w:hAnsi="Arial"/>
          <w:sz w:val="11"/>
          <w:szCs w:val="11"/>
          <w:color w:val="auto"/>
        </w:rPr>
        <w:t>or FIN 45. FIN 45 elaborates on the disclosures to be made by</w:t>
      </w:r>
      <w:r>
        <w:rPr>
          <w:rFonts w:ascii="Arial" w:cs="Arial" w:eastAsia="Arial" w:hAnsi="Arial"/>
          <w:sz w:val="11"/>
          <w:szCs w:val="11"/>
          <w:i w:val="1"/>
          <w:iCs w:val="1"/>
          <w:color w:val="auto"/>
        </w:rPr>
        <w:t xml:space="preserve"> </w:t>
      </w:r>
      <w:r>
        <w:rPr>
          <w:rFonts w:ascii="Arial" w:cs="Arial" w:eastAsia="Arial" w:hAnsi="Arial"/>
          <w:sz w:val="11"/>
          <w:szCs w:val="11"/>
          <w:color w:val="auto"/>
        </w:rPr>
        <w:t>a guarantor inside its interim and annual financial statements about its obligations under certain guarantees that it has issued. It also requires that a guarantor recognize, at the inception of a guarantee, a liability for the fair value of certain guarantees. The initial recognition and initial measurement provisions of FIN No. 45 are applicable on a prospective basis to guarantees issued or modified after December 31, 2002. At December 31, 2007, we have no liabilities recorded for guarantees, as defined by FIN 45, as the value of our guarantees are not material.</w:t>
      </w:r>
    </w:p>
    <w:p>
      <w:pPr>
        <w:spacing w:after="0" w:line="4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220"/>
        <w:spacing w:after="0" w:line="264" w:lineRule="auto"/>
        <w:rPr>
          <w:sz w:val="20"/>
          <w:szCs w:val="20"/>
          <w:color w:val="auto"/>
        </w:rPr>
      </w:pPr>
      <w:r>
        <w:rPr>
          <w:rFonts w:ascii="Arial" w:cs="Arial" w:eastAsia="Arial" w:hAnsi="Arial"/>
          <w:sz w:val="13"/>
          <w:szCs w:val="13"/>
          <w:color w:val="auto"/>
        </w:rPr>
        <w:t>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2007.</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connection with the relocation from leased facilities to our new research and corporate campus in San Diego, California, we entered into a lease assignment, in January 2005, with Tanox West, Inc., or Tanox, for a manufacturing facility in San Diego for which we have outstanding lease obligations through September 2008. Under the lease assignment, Tanox was assigned all of our rights, title, and interest in the amended lease and assumed all of the terms, covenants, conditions and obligations required to be kept, performed and fulfilled under the amended lease, including the making of all payments under the amended lease. However, if Tanox were to fail to perform under the lease assignment we would be responsible for all obligations under the amended lease through September 2008. At December 31, 2007, our estimate of the maximum potential of future payments under the amended lease through September 2008 is $3.6 million. Under the lease assignment, Tanox has agreed to indemnify and hold us harmless from and against any and all claims, proceedings and demands and all costs, expenses and liabilities arising out of their performance or failure to perform under the lease assignment.</w:t>
      </w:r>
    </w:p>
    <w:p>
      <w:pPr>
        <w:spacing w:after="0" w:line="133"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Facility Impairments and Loss (Gain) on Dispositions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2007, we sold approximately 28 acres of land in Oceanside, California for $16.5 million. We recorded a pre-tax gain of approximately $7.2 million on the sale, which is included in other income (expense) on the accompanying consolidated statement of operations, as this land was not utilized in our operations.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December 2006, we completed the sale of a research building at our Cambridge, Massachusetts facility. Proceeds from the sale were approximately $39.5 million. We recorded a pre-tax gain of $15.6 million on the sale. We continue to occupy a minor portion of the building under a leasing arrangement.</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April 2006, we sold the worldwide rights and other assets of AMEVIVE for $59.8 million, including $43.7 million of inventory on hand, to Astellas Pharma US, Inc. As of December 31, 2005, our AMEVIVE assets held for sale included $8.0 million, net, related to intangible assets, and $5.4 million of property, plant and equipment, net, and were reported separately in current assets on the consolidated balance sheet. The pre-tax gain on this sale of approximately $2.8 million was deferred and is being recognized over the period of a related long-term supply contract.</w:t>
      </w:r>
    </w:p>
    <w:p>
      <w:pPr>
        <w:spacing w:after="0" w:line="7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February 2006, we sold our clinical manufacturing facility in Oceanside, California, known as NICO. The assets associated with the facility were included in assets held for sale on our consolidated balance sheet as of December 31, 2005. Total consideration was $29.0 million. In 2005, we recorded impairment charges totaling $28.0 million to reduce the carrying value of NICO to its net realizable value. No additional loss resulted from completion of the sale.</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June 2005, we sold our large-scale biologics manufacturing facility in Oceanside, California, known as NIMO, along with approximately 60 acres of real property located in Oceanside, California upon which NIMO is located, together with improvements, related property rights, and certain personal property intangibles and contracts at or related to the real property. Total consideration for the purchase was $408.1 million. The loss from this transaction was $83.5 million which consisted primarily of the write-down of NIMO to net selling price, sales and transfer taxes, and other associated transaction costs.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As of March 31, 2005, after our voluntary suspension of TYSABRI, we reconsidered our construction plans and determined that we would proceed with the bulk manufacturing component of our large-scale biologic manufacturing facility in Hillerød, Denmark. Additionally, we added a labeling and packaging component to the project, but determined that we would no longer proceed with the fill-finish component of the large-scale biological manufacturing facility. As a result, we recorded an impairment charge of approximately $6.2 million in 2005 related to the fill-finish component that had previously been capitalized. See Footnote 9, Property, Plant and Equipment, and Footnote 17, Commitments and Contingencies.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80" w:type="dxa"/>
            <w:vAlign w:val="bottom"/>
          </w:tcPr>
          <w:p>
            <w:pPr>
              <w:spacing w:after="0"/>
              <w:rPr>
                <w:sz w:val="20"/>
                <w:szCs w:val="20"/>
                <w:color w:val="auto"/>
              </w:rPr>
            </w:pPr>
            <w:r>
              <w:rPr>
                <w:rFonts w:ascii="Arial" w:cs="Arial" w:eastAsia="Arial" w:hAnsi="Arial"/>
                <w:sz w:val="13"/>
                <w:szCs w:val="13"/>
                <w:b w:val="1"/>
                <w:bCs w:val="1"/>
                <w:color w:val="auto"/>
              </w:rPr>
              <w:t>25.</w:t>
            </w:r>
          </w:p>
        </w:tc>
        <w:tc>
          <w:tcPr>
            <w:tcW w:w="3520" w:type="dxa"/>
            <w:vAlign w:val="bottom"/>
          </w:tcPr>
          <w:p>
            <w:pPr>
              <w:ind w:left="120"/>
              <w:spacing w:after="0"/>
              <w:rPr>
                <w:sz w:val="20"/>
                <w:szCs w:val="20"/>
                <w:color w:val="auto"/>
              </w:rPr>
            </w:pPr>
            <w:r>
              <w:rPr>
                <w:rFonts w:ascii="Arial" w:cs="Arial" w:eastAsia="Arial" w:hAnsi="Arial"/>
                <w:sz w:val="13"/>
                <w:szCs w:val="13"/>
                <w:b w:val="1"/>
                <w:bCs w:val="1"/>
                <w:color w:val="auto"/>
              </w:rPr>
              <w:t>Quarterly Financial Data (Unaudited)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First</w:t>
            </w:r>
          </w:p>
        </w:tc>
        <w:tc>
          <w:tcPr>
            <w:tcW w:w="100" w:type="dxa"/>
            <w:vAlign w:val="bottom"/>
          </w:tcPr>
          <w:p>
            <w:pPr>
              <w:spacing w:after="0"/>
              <w:rPr>
                <w:sz w:val="16"/>
                <w:szCs w:val="16"/>
                <w:color w:val="auto"/>
              </w:rPr>
            </w:pPr>
          </w:p>
        </w:tc>
        <w:tc>
          <w:tcPr>
            <w:tcW w:w="1180" w:type="dxa"/>
            <w:vAlign w:val="bottom"/>
            <w:gridSpan w:val="2"/>
          </w:tcPr>
          <w:p>
            <w:pPr>
              <w:jc w:val="right"/>
              <w:ind w:right="628"/>
              <w:spacing w:after="0"/>
              <w:rPr>
                <w:sz w:val="20"/>
                <w:szCs w:val="20"/>
                <w:color w:val="auto"/>
              </w:rPr>
            </w:pPr>
            <w:r>
              <w:rPr>
                <w:rFonts w:ascii="Arial" w:cs="Arial" w:eastAsia="Arial" w:hAnsi="Arial"/>
                <w:sz w:val="10"/>
                <w:szCs w:val="10"/>
                <w:b w:val="1"/>
                <w:bCs w:val="1"/>
                <w:color w:val="auto"/>
              </w:rPr>
              <w:t>Second</w:t>
            </w:r>
          </w:p>
        </w:tc>
        <w:tc>
          <w:tcPr>
            <w:tcW w:w="12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0"/>
                <w:szCs w:val="10"/>
                <w:b w:val="1"/>
                <w:bCs w:val="1"/>
                <w:color w:val="auto"/>
              </w:rPr>
              <w:t>Third</w:t>
            </w:r>
          </w:p>
        </w:tc>
        <w:tc>
          <w:tcPr>
            <w:tcW w:w="12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4"/>
              </w:rPr>
              <w:t>Fourth</w:t>
            </w:r>
          </w:p>
        </w:tc>
        <w:tc>
          <w:tcPr>
            <w:tcW w:w="5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 Year</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97"/>
              </w:rPr>
              <w:t>Quarter(a),(e)</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Quarter(f),(g)</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rPr>
              <w:t>Quarter (b),(c)</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0"/>
                <w:szCs w:val="10"/>
                <w:b w:val="1"/>
                <w:bCs w:val="1"/>
                <w:color w:val="auto"/>
              </w:rPr>
              <w:t>Quarter (d),(h)</w:t>
            </w:r>
          </w:p>
        </w:tc>
        <w:tc>
          <w:tcPr>
            <w:tcW w:w="400" w:type="dxa"/>
            <w:vAlign w:val="bottom"/>
          </w:tcPr>
          <w:p>
            <w:pPr>
              <w:spacing w:after="0"/>
              <w:rPr>
                <w:sz w:val="10"/>
                <w:szCs w:val="10"/>
                <w:color w:val="auto"/>
              </w:rPr>
            </w:pPr>
          </w:p>
        </w:tc>
        <w:tc>
          <w:tcPr>
            <w:tcW w:w="58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jc w:val="right"/>
              <w:spacing w:after="0"/>
              <w:rPr>
                <w:sz w:val="20"/>
                <w:szCs w:val="20"/>
                <w:color w:val="auto"/>
              </w:rPr>
            </w:pPr>
            <w:r>
              <w:rPr>
                <w:rFonts w:ascii="Arial" w:cs="Arial" w:eastAsia="Arial" w:hAnsi="Arial"/>
                <w:sz w:val="10"/>
                <w:szCs w:val="10"/>
                <w:b w:val="1"/>
                <w:bCs w:val="1"/>
                <w:color w:val="auto"/>
                <w:w w:val="88"/>
              </w:rPr>
              <w:t>millions,</w:t>
            </w:r>
          </w:p>
        </w:tc>
        <w:tc>
          <w:tcPr>
            <w:tcW w:w="1380" w:type="dxa"/>
            <w:vAlign w:val="bottom"/>
            <w:gridSpan w:val="3"/>
          </w:tcPr>
          <w:p>
            <w:pPr>
              <w:ind w:left="80"/>
              <w:spacing w:after="0"/>
              <w:rPr>
                <w:sz w:val="20"/>
                <w:szCs w:val="20"/>
                <w:color w:val="auto"/>
              </w:rPr>
            </w:pPr>
            <w:r>
              <w:rPr>
                <w:rFonts w:ascii="Arial" w:cs="Arial" w:eastAsia="Arial" w:hAnsi="Arial"/>
                <w:sz w:val="10"/>
                <w:szCs w:val="10"/>
                <w:b w:val="1"/>
                <w:bCs w:val="1"/>
                <w:color w:val="auto"/>
              </w:rPr>
              <w:t>except per share amounts)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3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715.9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773.2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789.2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893.3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3,171.6</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484.4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518.6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2,136.8</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Unconsolidated joint business revenue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207.2</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230.6</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234.6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926.1</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revenue</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Total expenses and taxes</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606.1</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618.6</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714.7</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724.8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2,664.2</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31.5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44.9</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186.1</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119.4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638.2</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0.55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Diluted earnings per share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0.38</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0.54</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0.41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57"/>
        </w:trPr>
        <w:tc>
          <w:tcPr>
            <w:tcW w:w="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3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611.2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660.0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703.5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708.3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2,683.0</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406.5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436.1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1,781.3</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Unconsolidated joint business revenue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206.1</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203.8</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217.6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810.9</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revenue</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Total expenses and taxes</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510.7</w:t>
            </w:r>
          </w:p>
        </w:tc>
        <w:tc>
          <w:tcPr>
            <w:tcW w:w="100" w:type="dxa"/>
            <w:vAlign w:val="bottom"/>
          </w:tcPr>
          <w:p>
            <w:pPr>
              <w:spacing w:after="0"/>
              <w:rPr>
                <w:sz w:val="13"/>
                <w:szCs w:val="13"/>
                <w:color w:val="auto"/>
              </w:rPr>
            </w:pPr>
          </w:p>
        </w:tc>
        <w:tc>
          <w:tcPr>
            <w:tcW w:w="1180" w:type="dxa"/>
            <w:vAlign w:val="bottom"/>
            <w:gridSpan w:val="2"/>
          </w:tcPr>
          <w:p>
            <w:pPr>
              <w:jc w:val="right"/>
              <w:ind w:right="328"/>
              <w:spacing w:after="0"/>
              <w:rPr>
                <w:sz w:val="20"/>
                <w:szCs w:val="20"/>
                <w:color w:val="auto"/>
              </w:rPr>
            </w:pPr>
            <w:r>
              <w:rPr>
                <w:rFonts w:ascii="Arial" w:cs="Arial" w:eastAsia="Arial" w:hAnsi="Arial"/>
                <w:sz w:val="13"/>
                <w:szCs w:val="13"/>
                <w:color w:val="auto"/>
              </w:rPr>
              <w:t>852.4</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569.2</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589.1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2,521.4</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Income before cumulative effect of accounting change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119.2</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(170.6)</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156.6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108.5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213.7</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(170.6)</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156.6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108.5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217.5</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earnings (loss) per share: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Income (loss) before cumulative effect of accounting change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0.35</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0.63</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Basic earnings (loss) per share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0.64</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00" w:type="dxa"/>
            <w:vAlign w:val="bottom"/>
            <w:gridSpan w:val="2"/>
          </w:tcPr>
          <w:p>
            <w:pPr>
              <w:ind w:left="140"/>
              <w:spacing w:after="0"/>
              <w:rPr>
                <w:sz w:val="20"/>
                <w:szCs w:val="20"/>
                <w:color w:val="auto"/>
              </w:rPr>
            </w:pPr>
            <w:r>
              <w:rPr>
                <w:rFonts w:ascii="Arial" w:cs="Arial" w:eastAsia="Arial" w:hAnsi="Arial"/>
                <w:sz w:val="13"/>
                <w:szCs w:val="13"/>
                <w:color w:val="auto"/>
              </w:rPr>
              <w:t>Income (loss) before cumulative effect of accounting change</w:t>
            </w:r>
          </w:p>
        </w:tc>
        <w:tc>
          <w:tcPr>
            <w:tcW w:w="12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0.35</w:t>
            </w:r>
          </w:p>
        </w:tc>
        <w:tc>
          <w:tcPr>
            <w:tcW w:w="100" w:type="dxa"/>
            <w:vAlign w:val="bottom"/>
          </w:tcPr>
          <w:p>
            <w:pPr>
              <w:spacing w:after="0"/>
              <w:rPr>
                <w:sz w:val="13"/>
                <w:szCs w:val="13"/>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0.62</w:t>
            </w:r>
          </w:p>
        </w:tc>
        <w:tc>
          <w:tcPr>
            <w:tcW w:w="0" w:type="dxa"/>
            <w:vAlign w:val="bottom"/>
          </w:tcPr>
          <w:p>
            <w:pPr>
              <w:spacing w:after="0"/>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effect of accounting change, net of income tax</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65"/>
        </w:trPr>
        <w:tc>
          <w:tcPr>
            <w:tcW w:w="3900" w:type="dxa"/>
            <w:vAlign w:val="bottom"/>
            <w:gridSpan w:val="2"/>
          </w:tcPr>
          <w:p>
            <w:pPr>
              <w:spacing w:after="0"/>
              <w:rPr>
                <w:sz w:val="20"/>
                <w:szCs w:val="20"/>
                <w:color w:val="auto"/>
              </w:rPr>
            </w:pPr>
            <w:r>
              <w:rPr>
                <w:rFonts w:ascii="Arial" w:cs="Arial" w:eastAsia="Arial" w:hAnsi="Arial"/>
                <w:sz w:val="13"/>
                <w:szCs w:val="13"/>
                <w:color w:val="auto"/>
              </w:rPr>
              <w:t>Diluted earnings (loss) per share</w:t>
            </w:r>
          </w:p>
        </w:tc>
        <w:tc>
          <w:tcPr>
            <w:tcW w:w="12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14"/>
                <w:szCs w:val="14"/>
                <w:color w:val="auto"/>
              </w:rPr>
            </w:pPr>
          </w:p>
        </w:tc>
        <w:tc>
          <w:tcPr>
            <w:tcW w:w="1180" w:type="dxa"/>
            <w:vAlign w:val="bottom"/>
            <w:gridSpan w:val="2"/>
          </w:tcPr>
          <w:p>
            <w:pPr>
              <w:jc w:val="right"/>
              <w:ind w:right="288"/>
              <w:spacing w:after="0"/>
              <w:rPr>
                <w:sz w:val="20"/>
                <w:szCs w:val="20"/>
                <w:color w:val="auto"/>
              </w:rPr>
            </w:pPr>
            <w:r>
              <w:rPr>
                <w:rFonts w:ascii="Arial" w:cs="Arial" w:eastAsia="Arial" w:hAnsi="Arial"/>
                <w:sz w:val="13"/>
                <w:szCs w:val="13"/>
                <w:color w:val="auto"/>
              </w:rPr>
              <w:t>(0.50)</w:t>
            </w: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235"/>
        <w:spacing w:after="0"/>
        <w:tabs>
          <w:tab w:leader="none" w:pos="11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first quarter of 2007 includes a charge of $18.4 million for in-process research and development related to the acquisition of Syntonix.</w:t>
      </w:r>
    </w:p>
    <w:p>
      <w:pPr>
        <w:spacing w:after="0" w:line="47" w:lineRule="exact"/>
        <w:rPr>
          <w:rFonts w:ascii="Arial" w:cs="Arial" w:eastAsia="Arial" w:hAnsi="Arial"/>
          <w:sz w:val="13"/>
          <w:szCs w:val="13"/>
          <w:color w:val="auto"/>
        </w:rPr>
      </w:pPr>
    </w:p>
    <w:p>
      <w:pPr>
        <w:ind w:left="1180" w:right="220" w:hanging="243"/>
        <w:spacing w:after="0" w:line="276" w:lineRule="auto"/>
        <w:tabs>
          <w:tab w:leader="none" w:pos="11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third quarter of 2007 includes a charge of approximately $30 million for in-process research and development related to our collaboration with Cardiokine Biopharma LLC. This amount was offset by</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minority interest income of approximately $30 million, representing the value of the underlying technology retained by the parent company of Cardiokine Biopharma LLC.</w:t>
      </w:r>
    </w:p>
    <w:p>
      <w:pPr>
        <w:spacing w:after="0" w:line="59" w:lineRule="exact"/>
        <w:rPr>
          <w:sz w:val="20"/>
          <w:szCs w:val="20"/>
          <w:color w:val="auto"/>
        </w:rPr>
      </w:pPr>
    </w:p>
    <w:p>
      <w:pPr>
        <w:ind w:left="1180" w:hanging="235"/>
        <w:spacing w:after="0" w:line="276" w:lineRule="auto"/>
        <w:tabs>
          <w:tab w:leader="none" w:pos="11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In July 2007, we purchased 56,424,155 shares of our common stock pursuant to a tender offer. We funded the transaction in July 2007 through existing cash and cash equivalents of $1,490.5 million and by obtaining a short term loan for $1,500.0 million.</w:t>
      </w:r>
    </w:p>
    <w:p>
      <w:pPr>
        <w:spacing w:after="0" w:line="10" w:lineRule="exact"/>
        <w:rPr>
          <w:rFonts w:ascii="Arial" w:cs="Arial" w:eastAsia="Arial" w:hAnsi="Arial"/>
          <w:sz w:val="13"/>
          <w:szCs w:val="13"/>
          <w:color w:val="auto"/>
        </w:rPr>
      </w:pPr>
    </w:p>
    <w:p>
      <w:pPr>
        <w:ind w:left="1180" w:right="180" w:hanging="243"/>
        <w:spacing w:after="0" w:line="307" w:lineRule="auto"/>
        <w:tabs>
          <w:tab w:leader="none" w:pos="11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The fourth quarter of 2007 includes a charge of $34.3 million for in-process research and development related to our collaboration with Neurimmune. This amount was offset by minority interest income of $34.3 million, representing the value of the underlying technology retained by the parent company of Neurimmune.</w:t>
      </w:r>
    </w:p>
    <w:p>
      <w:pPr>
        <w:ind w:left="1180" w:hanging="235"/>
        <w:spacing w:after="0"/>
        <w:tabs>
          <w:tab w:leader="none" w:pos="11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In connection with the adoption of SFAS 123(R), we recorded the cumulative effect of an accounting change of $3.8 million, net, as of January 1, 2006.</w:t>
      </w:r>
    </w:p>
    <w:p>
      <w:pPr>
        <w:spacing w:after="0" w:line="47" w:lineRule="exact"/>
        <w:rPr>
          <w:rFonts w:ascii="Arial" w:cs="Arial" w:eastAsia="Arial" w:hAnsi="Arial"/>
          <w:sz w:val="13"/>
          <w:szCs w:val="13"/>
          <w:color w:val="auto"/>
        </w:rPr>
      </w:pPr>
    </w:p>
    <w:p>
      <w:pPr>
        <w:ind w:left="1180" w:hanging="221"/>
        <w:spacing w:after="0"/>
        <w:tabs>
          <w:tab w:leader="none" w:pos="1180" w:val="left"/>
        </w:tabs>
        <w:numPr>
          <w:ilvl w:val="1"/>
          <w:numId w:val="60"/>
        </w:numPr>
        <w:rPr>
          <w:rFonts w:ascii="Arial" w:cs="Arial" w:eastAsia="Arial" w:hAnsi="Arial"/>
          <w:sz w:val="12"/>
          <w:szCs w:val="12"/>
          <w:color w:val="auto"/>
        </w:rPr>
      </w:pPr>
      <w:r>
        <w:rPr>
          <w:rFonts w:ascii="Arial" w:cs="Arial" w:eastAsia="Arial" w:hAnsi="Arial"/>
          <w:sz w:val="12"/>
          <w:szCs w:val="12"/>
          <w:color w:val="auto"/>
        </w:rPr>
        <w:t>The second quarter of 2006 includes a charge of $330.5 million for in-process research and development and a gain of $34.2 related to the settlement of a license agreement.</w:t>
      </w:r>
    </w:p>
    <w:p>
      <w:pPr>
        <w:spacing w:after="0" w:line="58" w:lineRule="exact"/>
        <w:rPr>
          <w:rFonts w:ascii="Arial" w:cs="Arial" w:eastAsia="Arial" w:hAnsi="Arial"/>
          <w:sz w:val="12"/>
          <w:szCs w:val="12"/>
          <w:color w:val="auto"/>
        </w:rPr>
      </w:pPr>
    </w:p>
    <w:p>
      <w:pPr>
        <w:ind w:left="1180" w:right="160" w:hanging="243"/>
        <w:spacing w:after="0" w:line="276" w:lineRule="auto"/>
        <w:tabs>
          <w:tab w:leader="none" w:pos="11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In the second quarter of 2006, we recorded a charge of $6.9 million to increase certain reserves for expired products. We determined that the charge related to prior years but was not material to any period. (See Note 1, Business Overview and Summary of Significant Accounting Policies, for further discussion).</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1"/>
          <w:numId w:val="60"/>
        </w:numPr>
        <w:rPr>
          <w:rFonts w:ascii="Arial" w:cs="Arial" w:eastAsia="Arial" w:hAnsi="Arial"/>
          <w:sz w:val="13"/>
          <w:szCs w:val="13"/>
          <w:color w:val="auto"/>
        </w:rPr>
      </w:pPr>
      <w:r>
        <w:rPr>
          <w:rFonts w:ascii="Arial" w:cs="Arial" w:eastAsia="Arial" w:hAnsi="Arial"/>
          <w:sz w:val="13"/>
          <w:szCs w:val="13"/>
          <w:color w:val="auto"/>
        </w:rPr>
        <w:t>In the fourth quarter of 2006, we recorded a charge of $28.1 million related to the loss on settlement of an agreement with Fumedica.</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 xml:space="preserve">On December 12, 2007, EITF 07-01, </w:t>
      </w:r>
      <w:r>
        <w:rPr>
          <w:rFonts w:ascii="Arial" w:cs="Arial" w:eastAsia="Arial" w:hAnsi="Arial"/>
          <w:sz w:val="13"/>
          <w:szCs w:val="13"/>
          <w:i w:val="1"/>
          <w:iCs w:val="1"/>
          <w:color w:val="auto"/>
        </w:rPr>
        <w:t>Accounting for Collaborative Arrangements Related to the Development and Commercialization of Intellectual Property</w:t>
      </w:r>
      <w:r>
        <w:rPr>
          <w:rFonts w:ascii="Arial" w:cs="Arial" w:eastAsia="Arial" w:hAnsi="Arial"/>
          <w:sz w:val="13"/>
          <w:szCs w:val="13"/>
          <w:color w:val="auto"/>
        </w:rPr>
        <w:t>, or EITF 07-01, was issued. EITF- 07-01 prescribes the accounting for collaborations. It requires certain transactions between collaborators to be recorded in the income statement on either a gross or net basis within expenses when certain characteristics exist in the collaboration relationship. EITF 07-01 is effective for all of our collaborations existing after January 1, 2009. We are evaluating the impact this standard will have on our financial statements.</w:t>
      </w:r>
    </w:p>
    <w:p>
      <w:pPr>
        <w:spacing w:after="0" w:line="7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 xml:space="preserve">On December 4, 2007, Statement of Financial Standard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or SFAS 141(R), was issued. This Standard will require an acquiring company to measure all assets acquired and liabilities assumed, including contingent considerations and all contractual contingencies, at fair value as of the acquisition date. In addition, an acquiring company is required to capitalize IPR&amp;D and either amortize it over the life of the product, or write it off if the project is abandoned or impaired. The Standard is effective for transactions occurring on or after January 1, 2009. We are evaluating the impact this standard will have on our financial statements.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On December 4, 2007, Statement of Financial Standard No. 160, </w:t>
      </w:r>
      <w:r>
        <w:rPr>
          <w:rFonts w:ascii="Arial" w:cs="Arial" w:eastAsia="Arial" w:hAnsi="Arial"/>
          <w:sz w:val="13"/>
          <w:szCs w:val="13"/>
          <w:i w:val="1"/>
          <w:iCs w:val="1"/>
          <w:color w:val="auto"/>
        </w:rPr>
        <w:t>Noncontrolling Interests in Consolidated Financial Statements, an amendment of ARB No. 51</w:t>
      </w:r>
      <w:r>
        <w:rPr>
          <w:rFonts w:ascii="Arial" w:cs="Arial" w:eastAsia="Arial" w:hAnsi="Arial"/>
          <w:sz w:val="13"/>
          <w:szCs w:val="13"/>
          <w:color w:val="auto"/>
        </w:rPr>
        <w:t>, or SFAS 160, was issued. This Standard changes the accounting for and reporting of noncontrolling or minority interests (now called noncontrolling interest) in consolidated financial statements. This Standard is effective January 1, 2009. When implemented, prior periods will be recast for the changes required by SFAS 160. We are evaluating the impact, if any, this standard will have on our financial statements.</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 xml:space="preserve">On June 27, 2007, EITF 07-3 </w:t>
      </w:r>
      <w:r>
        <w:rPr>
          <w:rFonts w:ascii="Arial" w:cs="Arial" w:eastAsia="Arial" w:hAnsi="Arial"/>
          <w:sz w:val="12"/>
          <w:szCs w:val="12"/>
          <w:i w:val="1"/>
          <w:iCs w:val="1"/>
          <w:color w:val="auto"/>
        </w:rPr>
        <w:t>Accounting for Nonrefundable Advance Payments for Goods or Services Received for Use in Future Research and Development Activities</w:t>
      </w:r>
      <w:r>
        <w:rPr>
          <w:rFonts w:ascii="Arial" w:cs="Arial" w:eastAsia="Arial" w:hAnsi="Arial"/>
          <w:sz w:val="12"/>
          <w:szCs w:val="12"/>
          <w:color w:val="auto"/>
        </w:rPr>
        <w:t xml:space="preserve">, or EITF 07-3, was issued. </w:t>
      </w:r>
      <w:r>
        <w:rPr>
          <w:rFonts w:ascii="Arial" w:cs="Arial" w:eastAsia="Arial" w:hAnsi="Arial"/>
          <w:sz w:val="12"/>
          <w:szCs w:val="12"/>
          <w:i w:val="1"/>
          <w:iCs w:val="1"/>
          <w:color w:val="auto"/>
        </w:rPr>
        <w:t>EITF</w:t>
      </w:r>
      <w:r>
        <w:rPr>
          <w:rFonts w:ascii="Arial" w:cs="Arial" w:eastAsia="Arial" w:hAnsi="Arial"/>
          <w:sz w:val="12"/>
          <w:szCs w:val="12"/>
          <w:color w:val="auto"/>
        </w:rPr>
        <w:t xml:space="preserve"> 07-3 requires that nonrefundable advance payments made for goods or services to be used in future research and development activities be deferred and capitalized until such time as the related goods are delivered or services are performed, at which point the amounts would be recognized as an expense. This standard was effective for new contracts entered into after January 1, 2008. We are evaluating the impact, if any, this EITF will have on our financial statements.</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 xml:space="preserve">On February 15, 2007, Statement of Financial Standard No.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xml:space="preserve">, </w:t>
      </w:r>
      <w:r>
        <w:rPr>
          <w:rFonts w:ascii="Arial" w:cs="Arial" w:eastAsia="Arial" w:hAnsi="Arial"/>
          <w:sz w:val="13"/>
          <w:szCs w:val="13"/>
          <w:i w:val="1"/>
          <w:iCs w:val="1"/>
          <w:color w:val="auto"/>
        </w:rPr>
        <w:t>Including an Amendment of FASB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No. 115</w:t>
      </w:r>
      <w:r>
        <w:rPr>
          <w:rFonts w:ascii="Arial" w:cs="Arial" w:eastAsia="Arial" w:hAnsi="Arial"/>
          <w:sz w:val="13"/>
          <w:szCs w:val="13"/>
          <w:color w:val="auto"/>
        </w:rPr>
        <w:t>, or SFAS 159, was issued. This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919"/>
        <w:spacing w:after="0"/>
        <w:rPr>
          <w:sz w:val="20"/>
          <w:szCs w:val="20"/>
          <w:color w:val="auto"/>
        </w:rPr>
      </w:pPr>
      <w:r>
        <w:rPr>
          <w:rFonts w:ascii="Arial" w:cs="Arial" w:eastAsia="Arial" w:hAnsi="Arial"/>
          <w:sz w:val="13"/>
          <w:szCs w:val="13"/>
          <w:b w:val="1"/>
          <w:bCs w:val="1"/>
          <w:color w:val="auto"/>
        </w:rPr>
        <w:t>BIOGEN IDEC INC. AND SUBSIDIARIES</w:t>
      </w:r>
    </w:p>
    <w:p>
      <w:pPr>
        <w:spacing w:after="0" w:line="96" w:lineRule="exact"/>
        <w:rPr>
          <w:sz w:val="20"/>
          <w:szCs w:val="20"/>
          <w:color w:val="auto"/>
        </w:rPr>
      </w:pPr>
    </w:p>
    <w:p>
      <w:pPr>
        <w:jc w:val="center"/>
        <w:ind w:right="-9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Standard permits us to choose to measure many financial instruments and certain other items at fair value. It also establishes presentation and disclosure requirements. This Standard was effective January 1, 2008 for the Company. We are evaluating the impact, if any, this standard will have on our financial statements.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On September 6, 2006, Statement of Financial Standard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or SFAS 157, was issued. This Standard defines fair value, establishes a framework for measuring fair value in generally accepted accounting principles, or GAAP, and expands disclosures about fair value measurements. This Standard is effective January 1, 2008 for the company. We are evaluating the impact, if any, this standard will have on our financial statements.</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20"/>
          </w:cols>
          <w:pgMar w:left="220" w:top="343" w:right="125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720" w:firstLine="2747"/>
        <w:spacing w:after="0" w:line="397" w:lineRule="auto"/>
        <w:rPr>
          <w:sz w:val="20"/>
          <w:szCs w:val="20"/>
          <w:color w:val="auto"/>
        </w:rPr>
      </w:pPr>
      <w:r>
        <w:rPr>
          <w:rFonts w:ascii="Arial" w:cs="Arial" w:eastAsia="Arial" w:hAnsi="Arial"/>
          <w:sz w:val="13"/>
          <w:szCs w:val="13"/>
          <w:b w:val="1"/>
          <w:bCs w:val="1"/>
          <w:color w:val="auto"/>
        </w:rPr>
        <w:t>REPORT OF INDEPENDENT REGISTERED PUBLIC ACCOUNTING FIRM To the Board of Directors and Shareholders of Biogen Idec Inc.:</w:t>
      </w:r>
    </w:p>
    <w:p>
      <w:pPr>
        <w:spacing w:after="0" w:line="1"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our opinion, the accompanying consolidated balance sheets and the related consolidated statements of income, shareholders equity and cash flows present fairly, in all material respects, the financial position of Biogen Idec Inc. and its subsidiaries at December 31, 2007 and 2006, and the results of their operations and their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3"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As discussed in Note 5 to the consolidated financial statements, the Company changed the manner in which it accounts for share-based compensation in 2006. As discussed in Note 14 to the consolidated financial statements, the Company changed the manner in which it accounts for income tax contingencies in 2007.</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RICEWATERHOUSE</w:t>
      </w:r>
      <w:r>
        <w:rPr>
          <w:rFonts w:ascii="Arial" w:cs="Arial" w:eastAsia="Arial" w:hAnsi="Arial"/>
          <w:sz w:val="13"/>
          <w:szCs w:val="13"/>
          <w:color w:val="auto"/>
        </w:rPr>
        <w:t>C</w:t>
      </w:r>
      <w:r>
        <w:rPr>
          <w:rFonts w:ascii="Arial" w:cs="Arial" w:eastAsia="Arial" w:hAnsi="Arial"/>
          <w:sz w:val="8"/>
          <w:szCs w:val="8"/>
          <w:color w:val="auto"/>
        </w:rPr>
        <w:t>OOPERS</w:t>
      </w:r>
      <w:r>
        <w:rPr>
          <w:rFonts w:ascii="Arial" w:cs="Arial" w:eastAsia="Arial" w:hAnsi="Arial"/>
          <w:sz w:val="13"/>
          <w:szCs w:val="13"/>
          <w:color w:val="auto"/>
        </w:rPr>
        <w:t xml:space="preserve">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14, 2008</w:t>
      </w:r>
    </w:p>
    <w:p>
      <w:pPr>
        <w:spacing w:after="0" w:line="29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F-65</w:t>
      </w:r>
    </w:p>
    <w:p>
      <w:pPr>
        <w:sectPr>
          <w:pgSz w:w="11900" w:h="16838" w:orient="portrait"/>
          <w:cols w:equalWidth="0" w:num="1">
            <w:col w:w="10640"/>
          </w:cols>
          <w:pgMar w:left="220" w:top="343" w:right="10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3"/>
          <w:szCs w:val="13"/>
          <w:b w:val="1"/>
          <w:bCs w:val="1"/>
          <w:color w:val="auto"/>
        </w:rPr>
        <w:t>Exhibit 10.22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1985 NON-QUALIFIED STOCK OPTION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 amended and restated through April 11, 2003, effective as of April 11, 2003)</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I. PURPOSE OF THE PLAN</w:t>
      </w:r>
    </w:p>
    <w:p>
      <w:pPr>
        <w:spacing w:after="0" w:line="86" w:lineRule="exact"/>
        <w:rPr>
          <w:sz w:val="20"/>
          <w:szCs w:val="20"/>
          <w:color w:val="auto"/>
        </w:rPr>
      </w:pPr>
    </w:p>
    <w:p>
      <w:pPr>
        <w:ind w:left="1" w:right="260" w:firstLine="161"/>
        <w:spacing w:after="0" w:line="276" w:lineRule="auto"/>
        <w:rPr>
          <w:sz w:val="20"/>
          <w:szCs w:val="20"/>
          <w:color w:val="auto"/>
        </w:rPr>
      </w:pPr>
      <w:r>
        <w:rPr>
          <w:rFonts w:ascii="Arial" w:cs="Arial" w:eastAsia="Arial" w:hAnsi="Arial"/>
          <w:sz w:val="13"/>
          <w:szCs w:val="13"/>
          <w:color w:val="auto"/>
        </w:rPr>
        <w:t>The Plan is intended to encourage ownership of shares of the Common Stock by certain Employees and Directors of the Company and its Affiliates and to provide an additional incentive to those Employees and Directors to promote the success of the Company and its Affiliates.</w:t>
      </w:r>
    </w:p>
    <w:p>
      <w:pPr>
        <w:spacing w:after="0" w:line="128" w:lineRule="exact"/>
        <w:rPr>
          <w:sz w:val="20"/>
          <w:szCs w:val="20"/>
          <w:color w:val="auto"/>
        </w:rPr>
      </w:pPr>
    </w:p>
    <w:p>
      <w:pPr>
        <w:ind w:left="161" w:hanging="161"/>
        <w:spacing w:after="0"/>
        <w:tabs>
          <w:tab w:leader="none" w:pos="161" w:val="left"/>
        </w:tabs>
        <w:numPr>
          <w:ilvl w:val="0"/>
          <w:numId w:val="62"/>
        </w:numPr>
        <w:rPr>
          <w:rFonts w:ascii="Arial" w:cs="Arial" w:eastAsia="Arial" w:hAnsi="Arial"/>
          <w:sz w:val="13"/>
          <w:szCs w:val="13"/>
          <w:color w:val="auto"/>
        </w:rPr>
      </w:pPr>
      <w:r>
        <w:rPr>
          <w:rFonts w:ascii="Arial" w:cs="Arial" w:eastAsia="Arial" w:hAnsi="Arial"/>
          <w:sz w:val="13"/>
          <w:szCs w:val="13"/>
          <w:color w:val="auto"/>
        </w:rPr>
        <w:t>DEFINITIONS</w:t>
      </w:r>
    </w:p>
    <w:p>
      <w:pPr>
        <w:spacing w:after="0" w:line="86" w:lineRule="exact"/>
        <w:rPr>
          <w:rFonts w:ascii="Arial" w:cs="Arial" w:eastAsia="Arial" w:hAnsi="Arial"/>
          <w:sz w:val="13"/>
          <w:szCs w:val="13"/>
          <w:color w:val="auto"/>
        </w:rPr>
      </w:pPr>
    </w:p>
    <w:p>
      <w:pPr>
        <w:ind w:left="301" w:hanging="138"/>
        <w:spacing w:after="0"/>
        <w:tabs>
          <w:tab w:leader="none" w:pos="301" w:val="left"/>
        </w:tabs>
        <w:numPr>
          <w:ilvl w:val="1"/>
          <w:numId w:val="62"/>
        </w:numPr>
        <w:rPr>
          <w:rFonts w:ascii="Arial" w:cs="Arial" w:eastAsia="Arial" w:hAnsi="Arial"/>
          <w:sz w:val="12"/>
          <w:szCs w:val="12"/>
          <w:color w:val="auto"/>
        </w:rPr>
      </w:pPr>
      <w:r>
        <w:rPr>
          <w:rFonts w:ascii="Arial" w:cs="Arial" w:eastAsia="Arial" w:hAnsi="Arial"/>
          <w:sz w:val="12"/>
          <w:szCs w:val="12"/>
          <w:color w:val="auto"/>
        </w:rPr>
        <w:t>“Affiliate” means (a) a corporation in respect of which the Company owns directly or indirectly fifty percent (50%) or more of the voting securities thereof or which is otherwise controlled by the Company; or</w:t>
      </w:r>
    </w:p>
    <w:p>
      <w:pPr>
        <w:spacing w:after="0" w:line="26" w:lineRule="exact"/>
        <w:rPr>
          <w:rFonts w:ascii="Arial" w:cs="Arial" w:eastAsia="Arial" w:hAnsi="Arial"/>
          <w:sz w:val="12"/>
          <w:szCs w:val="12"/>
          <w:color w:val="auto"/>
        </w:rPr>
      </w:pPr>
    </w:p>
    <w:p>
      <w:pPr>
        <w:ind w:left="1"/>
        <w:spacing w:after="0" w:line="256" w:lineRule="auto"/>
        <w:rPr>
          <w:rFonts w:ascii="Arial" w:cs="Arial" w:eastAsia="Arial" w:hAnsi="Arial"/>
          <w:sz w:val="12"/>
          <w:szCs w:val="12"/>
          <w:color w:val="auto"/>
        </w:rPr>
      </w:pPr>
      <w:r>
        <w:rPr>
          <w:rFonts w:ascii="Arial" w:cs="Arial" w:eastAsia="Arial" w:hAnsi="Arial"/>
          <w:sz w:val="13"/>
          <w:szCs w:val="13"/>
          <w:color w:val="auto"/>
        </w:rPr>
        <w:t>(b) to the extent not inconsistent with Section 424 of the Code, an unincorporated trade or business controlled by the Company which has elected, for federal income tax purposes, to be either (i) classified as an association taxable as a corporation or (ii) disregarded as an entity separate from its owner (as provided in Section 301.7701-3 of the federal income tax regulations). For purposes of this definition, the Company shall be deemed to control another entity if the Company possesses, directly or indirectly, the power to direct or cause the direction of the management and policies of such entity, whether through ownership of voting securities, by contract or otherwise.</w:t>
      </w:r>
    </w:p>
    <w:p>
      <w:pPr>
        <w:spacing w:after="0" w:line="62" w:lineRule="exact"/>
        <w:rPr>
          <w:rFonts w:ascii="Arial" w:cs="Arial" w:eastAsia="Arial" w:hAnsi="Arial"/>
          <w:sz w:val="12"/>
          <w:szCs w:val="12"/>
          <w:color w:val="auto"/>
        </w:rPr>
      </w:pPr>
    </w:p>
    <w:p>
      <w:pPr>
        <w:ind w:left="301" w:hanging="138"/>
        <w:spacing w:after="0"/>
        <w:tabs>
          <w:tab w:leader="none" w:pos="301"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“Code” means the Internal Revenue Code of 1986, as amended from time to time.</w:t>
      </w:r>
    </w:p>
    <w:p>
      <w:pPr>
        <w:spacing w:after="0" w:line="86" w:lineRule="exact"/>
        <w:rPr>
          <w:rFonts w:ascii="Arial" w:cs="Arial" w:eastAsia="Arial" w:hAnsi="Arial"/>
          <w:sz w:val="13"/>
          <w:szCs w:val="13"/>
          <w:color w:val="auto"/>
        </w:rPr>
      </w:pPr>
    </w:p>
    <w:p>
      <w:pPr>
        <w:ind w:left="1" w:right="160" w:firstLine="162"/>
        <w:spacing w:after="0" w:line="276" w:lineRule="auto"/>
        <w:tabs>
          <w:tab w:leader="none" w:pos="296"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“Committee” means the Stock and Option Plan Administration Committee of the Board of Directors of the Company or, if such committee ceases to exist, the Board of Directors of the Company or a committee thereof to which responsibility for administering the Plan shall have been delegated.</w:t>
      </w:r>
    </w:p>
    <w:p>
      <w:pPr>
        <w:spacing w:after="0" w:line="49" w:lineRule="exact"/>
        <w:rPr>
          <w:rFonts w:ascii="Arial" w:cs="Arial" w:eastAsia="Arial" w:hAnsi="Arial"/>
          <w:sz w:val="13"/>
          <w:szCs w:val="13"/>
          <w:color w:val="auto"/>
        </w:rPr>
      </w:pPr>
    </w:p>
    <w:p>
      <w:pPr>
        <w:ind w:left="301" w:hanging="138"/>
        <w:spacing w:after="0"/>
        <w:tabs>
          <w:tab w:leader="none" w:pos="301"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“Common Stock” means the common stock of the Company, par value $0.01 per share.</w:t>
      </w:r>
    </w:p>
    <w:p>
      <w:pPr>
        <w:spacing w:after="0" w:line="86" w:lineRule="exact"/>
        <w:rPr>
          <w:rFonts w:ascii="Arial" w:cs="Arial" w:eastAsia="Arial" w:hAnsi="Arial"/>
          <w:sz w:val="13"/>
          <w:szCs w:val="13"/>
          <w:color w:val="auto"/>
        </w:rPr>
      </w:pPr>
    </w:p>
    <w:p>
      <w:pPr>
        <w:ind w:left="301" w:hanging="138"/>
        <w:spacing w:after="0"/>
        <w:tabs>
          <w:tab w:leader="none" w:pos="301"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“Company” means Biogen, Inc., a Massachusetts corporation.</w:t>
      </w:r>
    </w:p>
    <w:p>
      <w:pPr>
        <w:spacing w:after="0" w:line="86" w:lineRule="exact"/>
        <w:rPr>
          <w:rFonts w:ascii="Arial" w:cs="Arial" w:eastAsia="Arial" w:hAnsi="Arial"/>
          <w:sz w:val="13"/>
          <w:szCs w:val="13"/>
          <w:color w:val="auto"/>
        </w:rPr>
      </w:pPr>
    </w:p>
    <w:p>
      <w:pPr>
        <w:ind w:left="301" w:hanging="138"/>
        <w:spacing w:after="0"/>
        <w:tabs>
          <w:tab w:leader="none" w:pos="301" w:val="left"/>
        </w:tabs>
        <w:numPr>
          <w:ilvl w:val="1"/>
          <w:numId w:val="62"/>
        </w:numPr>
        <w:rPr>
          <w:rFonts w:ascii="Arial" w:cs="Arial" w:eastAsia="Arial" w:hAnsi="Arial"/>
          <w:sz w:val="13"/>
          <w:szCs w:val="13"/>
          <w:color w:val="auto"/>
        </w:rPr>
      </w:pPr>
      <w:r>
        <w:rPr>
          <w:rFonts w:ascii="Arial" w:cs="Arial" w:eastAsia="Arial" w:hAnsi="Arial"/>
          <w:sz w:val="13"/>
          <w:szCs w:val="13"/>
          <w:color w:val="auto"/>
        </w:rPr>
        <w:t>“Corporate Change in Control” shall be deemed to have occurred upon:</w:t>
      </w:r>
    </w:p>
    <w:p>
      <w:pPr>
        <w:spacing w:after="0" w:line="86" w:lineRule="exact"/>
        <w:rPr>
          <w:rFonts w:ascii="Arial" w:cs="Arial" w:eastAsia="Arial" w:hAnsi="Arial"/>
          <w:sz w:val="13"/>
          <w:szCs w:val="13"/>
          <w:color w:val="auto"/>
        </w:rPr>
      </w:pPr>
    </w:p>
    <w:p>
      <w:pPr>
        <w:ind w:left="461" w:right="200" w:firstLine="161"/>
        <w:spacing w:after="0" w:line="264" w:lineRule="auto"/>
        <w:tabs>
          <w:tab w:leader="none" w:pos="782" w:val="left"/>
        </w:tabs>
        <w:numPr>
          <w:ilvl w:val="2"/>
          <w:numId w:val="62"/>
        </w:numPr>
        <w:rPr>
          <w:rFonts w:ascii="Arial" w:cs="Arial" w:eastAsia="Arial" w:hAnsi="Arial"/>
          <w:sz w:val="13"/>
          <w:szCs w:val="13"/>
          <w:color w:val="auto"/>
        </w:rPr>
      </w:pPr>
      <w:r>
        <w:rPr>
          <w:rFonts w:ascii="Arial" w:cs="Arial" w:eastAsia="Arial" w:hAnsi="Arial"/>
          <w:sz w:val="13"/>
          <w:szCs w:val="13"/>
          <w:color w:val="auto"/>
        </w:rPr>
        <w:t>the acquisition of beneficial ownership (as determined pursuant to the provisions of Rule 13d-3 under the Exchange Act) of securities of the Company representing more than fifty percent (50%) of the combined voting power of the Company’s then outstanding securities by a person, entity or “group”, within the meaning of Section 13(d)(3) or 14(d)(2) of the Exchange Act (excluding for this purpose, the Company or its Affiliates, or any employee benefit plan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149" w:name="page150"/>
    <w:bookmarkEnd w:id="149"/>
    <w:p>
      <w:pPr>
        <w:ind w:left="158"/>
        <w:spacing w:after="0"/>
        <w:rPr>
          <w:sz w:val="20"/>
          <w:szCs w:val="20"/>
          <w:color w:val="auto"/>
        </w:rPr>
      </w:pPr>
      <w:r>
        <w:rPr>
          <w:rFonts w:ascii="Arial" w:cs="Arial" w:eastAsia="Arial" w:hAnsi="Arial"/>
          <w:sz w:val="13"/>
          <w:szCs w:val="13"/>
          <w:color w:val="auto"/>
        </w:rPr>
        <w:t>pursuant to a transaction or series of related transactions which the Board of Directors does not approve; or</w:t>
      </w:r>
    </w:p>
    <w:p>
      <w:pPr>
        <w:spacing w:after="0" w:line="86" w:lineRule="exact"/>
        <w:rPr>
          <w:sz w:val="20"/>
          <w:szCs w:val="20"/>
          <w:color w:val="auto"/>
        </w:rPr>
      </w:pPr>
    </w:p>
    <w:p>
      <w:pPr>
        <w:ind w:left="298" w:firstLine="161"/>
        <w:spacing w:after="0" w:line="258" w:lineRule="auto"/>
        <w:tabs>
          <w:tab w:leader="none" w:pos="654" w:val="left"/>
        </w:tabs>
        <w:numPr>
          <w:ilvl w:val="1"/>
          <w:numId w:val="63"/>
        </w:numPr>
        <w:rPr>
          <w:rFonts w:ascii="Arial" w:cs="Arial" w:eastAsia="Arial" w:hAnsi="Arial"/>
          <w:sz w:val="13"/>
          <w:szCs w:val="13"/>
          <w:color w:val="auto"/>
        </w:rPr>
      </w:pPr>
      <w:r>
        <w:rPr>
          <w:rFonts w:ascii="Arial" w:cs="Arial" w:eastAsia="Arial" w:hAnsi="Arial"/>
          <w:sz w:val="13"/>
          <w:szCs w:val="13"/>
          <w:color w:val="auto"/>
        </w:rPr>
        <w:t>at such time as individuals who as of April 27, 2001 constitute the Board of Directors (the “Incumbent Board”) cease for any reason to constitute a majority of the Board of Directors of the Company, provided that any person becoming a director subsequent to April 27, 2001 whose election or nomination for election by the Company’s stockholders was approved by a vote of at least a majority of the directors then comprising the Incumbent Board, shall, for purposes of the Plan, be considered as though such person were a member of the Incumbent Board (other than an individual whose initial assumption of office is in connection with an actual or threatened election contest related to the election of the directors of the Company, as such terms are used in Rule 14a-11 of Regulation 14A promulgated under the Exchange Act); or</w:t>
      </w:r>
    </w:p>
    <w:p>
      <w:pPr>
        <w:spacing w:after="0" w:line="61" w:lineRule="exact"/>
        <w:rPr>
          <w:rFonts w:ascii="Arial" w:cs="Arial" w:eastAsia="Arial" w:hAnsi="Arial"/>
          <w:sz w:val="13"/>
          <w:szCs w:val="13"/>
          <w:color w:val="auto"/>
        </w:rPr>
      </w:pPr>
    </w:p>
    <w:p>
      <w:pPr>
        <w:ind w:left="698" w:hanging="239"/>
        <w:spacing w:after="0"/>
        <w:tabs>
          <w:tab w:leader="none" w:pos="698"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occurrence of any other event which the Incumbent Board in its sole discretion determines should be considered a Corporate Change of Control.</w:t>
      </w:r>
    </w:p>
    <w:p>
      <w:pPr>
        <w:spacing w:after="0" w:line="86" w:lineRule="exact"/>
        <w:rPr>
          <w:rFonts w:ascii="Arial" w:cs="Arial" w:eastAsia="Arial" w:hAnsi="Arial"/>
          <w:sz w:val="13"/>
          <w:szCs w:val="13"/>
          <w:color w:val="auto"/>
        </w:rPr>
      </w:pPr>
    </w:p>
    <w:p>
      <w:pPr>
        <w:ind w:left="138" w:hanging="138"/>
        <w:spacing w:after="0"/>
        <w:tabs>
          <w:tab w:leader="none" w:pos="138" w:val="left"/>
        </w:tabs>
        <w:numPr>
          <w:ilvl w:val="0"/>
          <w:numId w:val="64"/>
        </w:numPr>
        <w:rPr>
          <w:rFonts w:ascii="Arial" w:cs="Arial" w:eastAsia="Arial" w:hAnsi="Arial"/>
          <w:sz w:val="13"/>
          <w:szCs w:val="13"/>
          <w:color w:val="auto"/>
        </w:rPr>
      </w:pPr>
      <w:r>
        <w:rPr>
          <w:rFonts w:ascii="Arial" w:cs="Arial" w:eastAsia="Arial" w:hAnsi="Arial"/>
          <w:sz w:val="13"/>
          <w:szCs w:val="13"/>
          <w:color w:val="auto"/>
        </w:rPr>
        <w:t>“Corporate Transaction” shall mean the following unless and until the transaction becomes a Corporate Change in Control:</w:t>
      </w:r>
    </w:p>
    <w:p>
      <w:pPr>
        <w:spacing w:after="0" w:line="86" w:lineRule="exact"/>
        <w:rPr>
          <w:rFonts w:ascii="Arial" w:cs="Arial" w:eastAsia="Arial" w:hAnsi="Arial"/>
          <w:sz w:val="13"/>
          <w:szCs w:val="13"/>
          <w:color w:val="auto"/>
        </w:rPr>
      </w:pPr>
    </w:p>
    <w:p>
      <w:pPr>
        <w:ind w:left="298" w:right="320" w:firstLine="161"/>
        <w:spacing w:after="0" w:line="320" w:lineRule="auto"/>
        <w:tabs>
          <w:tab w:leader="none" w:pos="618" w:val="left"/>
        </w:tabs>
        <w:numPr>
          <w:ilvl w:val="1"/>
          <w:numId w:val="64"/>
        </w:numPr>
        <w:rPr>
          <w:rFonts w:ascii="Arial" w:cs="Arial" w:eastAsia="Arial" w:hAnsi="Arial"/>
          <w:sz w:val="12"/>
          <w:szCs w:val="12"/>
          <w:color w:val="auto"/>
        </w:rPr>
      </w:pPr>
      <w:r>
        <w:rPr>
          <w:rFonts w:ascii="Arial" w:cs="Arial" w:eastAsia="Arial" w:hAnsi="Arial"/>
          <w:sz w:val="12"/>
          <w:szCs w:val="12"/>
          <w:color w:val="auto"/>
        </w:rPr>
        <w:t>a reorganization, recapitalization, merger or consolidation unless more than fifty percent (50%) of the Company’s outstanding voting stock or the voting stock of the corporation resulting from the transaction (or the parent of such corporation) is held subsequent to the transaction by the persons who held the stock of the Company immediately prior to such transaction, or</w:t>
      </w:r>
    </w:p>
    <w:p>
      <w:pPr>
        <w:spacing w:after="0" w:line="25" w:lineRule="exact"/>
        <w:rPr>
          <w:rFonts w:ascii="Arial" w:cs="Arial" w:eastAsia="Arial" w:hAnsi="Arial"/>
          <w:sz w:val="12"/>
          <w:szCs w:val="12"/>
          <w:color w:val="auto"/>
        </w:rPr>
      </w:pPr>
    </w:p>
    <w:p>
      <w:pPr>
        <w:ind w:left="658" w:hanging="199"/>
        <w:spacing w:after="0"/>
        <w:tabs>
          <w:tab w:leader="none" w:pos="658"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the sale, transfer or other disposition of all or substantially all of the assets of the Company to a successor in interest to the business of the Company.</w:t>
      </w:r>
    </w:p>
    <w:p>
      <w:pPr>
        <w:spacing w:after="0" w:line="86" w:lineRule="exact"/>
        <w:rPr>
          <w:rFonts w:ascii="Arial" w:cs="Arial" w:eastAsia="Arial" w:hAnsi="Arial"/>
          <w:sz w:val="13"/>
          <w:szCs w:val="13"/>
          <w:color w:val="auto"/>
        </w:rPr>
      </w:pPr>
    </w:p>
    <w:p>
      <w:pPr>
        <w:ind w:left="-162" w:right="320" w:firstLine="162"/>
        <w:spacing w:after="0" w:line="276" w:lineRule="auto"/>
        <w:tabs>
          <w:tab w:leader="none" w:pos="132" w:val="left"/>
        </w:tabs>
        <w:numPr>
          <w:ilvl w:val="0"/>
          <w:numId w:val="64"/>
        </w:numPr>
        <w:rPr>
          <w:rFonts w:ascii="Arial" w:cs="Arial" w:eastAsia="Arial" w:hAnsi="Arial"/>
          <w:sz w:val="13"/>
          <w:szCs w:val="13"/>
          <w:color w:val="auto"/>
        </w:rPr>
      </w:pPr>
      <w:r>
        <w:rPr>
          <w:rFonts w:ascii="Arial" w:cs="Arial" w:eastAsia="Arial" w:hAnsi="Arial"/>
          <w:sz w:val="13"/>
          <w:szCs w:val="13"/>
          <w:color w:val="auto"/>
        </w:rPr>
        <w:t>“Designated Employee” means an Employee or Director designated by the Committee, in its sole discretion, as a “Designated Employee” for purposes of the Plan at any time prior to the effective date of a Corporate Transaction.</w:t>
      </w:r>
    </w:p>
    <w:p>
      <w:pPr>
        <w:spacing w:after="0" w:line="49" w:lineRule="exact"/>
        <w:rPr>
          <w:rFonts w:ascii="Arial" w:cs="Arial" w:eastAsia="Arial" w:hAnsi="Arial"/>
          <w:sz w:val="13"/>
          <w:szCs w:val="13"/>
          <w:color w:val="auto"/>
        </w:rPr>
      </w:pPr>
    </w:p>
    <w:p>
      <w:pPr>
        <w:ind w:left="138" w:hanging="138"/>
        <w:spacing w:after="0"/>
        <w:tabs>
          <w:tab w:leader="none" w:pos="138" w:val="left"/>
        </w:tabs>
        <w:numPr>
          <w:ilvl w:val="0"/>
          <w:numId w:val="64"/>
        </w:numPr>
        <w:rPr>
          <w:rFonts w:ascii="Arial" w:cs="Arial" w:eastAsia="Arial" w:hAnsi="Arial"/>
          <w:sz w:val="13"/>
          <w:szCs w:val="13"/>
          <w:color w:val="auto"/>
        </w:rPr>
      </w:pPr>
      <w:r>
        <w:rPr>
          <w:rFonts w:ascii="Arial" w:cs="Arial" w:eastAsia="Arial" w:hAnsi="Arial"/>
          <w:sz w:val="13"/>
          <w:szCs w:val="13"/>
          <w:color w:val="auto"/>
        </w:rPr>
        <w:t>“Director” means a member of the Board of Directors of the Company or an Affiliate.</w:t>
      </w:r>
    </w:p>
    <w:p>
      <w:pPr>
        <w:spacing w:after="0" w:line="86" w:lineRule="exact"/>
        <w:rPr>
          <w:rFonts w:ascii="Arial" w:cs="Arial" w:eastAsia="Arial" w:hAnsi="Arial"/>
          <w:sz w:val="13"/>
          <w:szCs w:val="13"/>
          <w:color w:val="auto"/>
        </w:rPr>
      </w:pPr>
    </w:p>
    <w:p>
      <w:pPr>
        <w:ind w:left="-162" w:right="40" w:firstLine="162"/>
        <w:spacing w:after="0" w:line="289" w:lineRule="auto"/>
        <w:tabs>
          <w:tab w:leader="none" w:pos="198" w:val="left"/>
        </w:tabs>
        <w:numPr>
          <w:ilvl w:val="0"/>
          <w:numId w:val="64"/>
        </w:numPr>
        <w:rPr>
          <w:rFonts w:ascii="Arial" w:cs="Arial" w:eastAsia="Arial" w:hAnsi="Arial"/>
          <w:sz w:val="12"/>
          <w:szCs w:val="12"/>
          <w:color w:val="auto"/>
        </w:rPr>
      </w:pPr>
      <w:r>
        <w:rPr>
          <w:rFonts w:ascii="Arial" w:cs="Arial" w:eastAsia="Arial" w:hAnsi="Arial"/>
          <w:sz w:val="12"/>
          <w:szCs w:val="12"/>
          <w:color w:val="auto"/>
        </w:rPr>
        <w:t>“Employee” means an individual employed by the Company or an Affiliate as a common law employee (determined under the regular personnel policies, practices and classifications of the Company or the Affiliate, as applicable). An individual is not considered an Employee for purposes of the Plan if the individual is classified as a consultant or contractor under the Company or an Affiliate’s regular personnel classifications and practices, or if the individual is a party to an agreement to provide services to the Company or an Affiliate without participating in the Plan, notwithstanding that such individual may be treated as a common law employee for payroll tax, coverage requirements under Section 410(b) of the Code, nondiscrimination requirements under Section 401(a)(4) or other legal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266700</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58"/>
          </w:cols>
          <w:pgMar w:left="382" w:top="720" w:right="359" w:bottom="1440" w:gutter="0" w:footer="0" w:header="0"/>
        </w:sectPr>
      </w:pPr>
    </w:p>
    <w:bookmarkStart w:id="150" w:name="page151"/>
    <w:bookmarkEnd w:id="150"/>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“Exchange Act” means the United States Securities Exchange Act of 1934, as amended from time to time.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“Fair Market Value” shall have the meaning set forth in Section VI.A.</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“For Cause” shall have the meaning set forth in Section VI.G.</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“Incumbent Board” shall have the meaning set forth in the definition of “Corporate Change of Control.”</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“Involuntary Employment Action” shall have the meaning set forth in Section VI.R.</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“ISO Plan” shall have the meaning set forth in Article III.</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“Option” means a stock option granted under this Plan.</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2"/>
          <w:szCs w:val="12"/>
          <w:color w:val="auto"/>
        </w:rPr>
      </w:pPr>
      <w:r>
        <w:rPr>
          <w:rFonts w:ascii="Arial" w:cs="Arial" w:eastAsia="Arial" w:hAnsi="Arial"/>
          <w:sz w:val="12"/>
          <w:szCs w:val="12"/>
          <w:color w:val="auto"/>
        </w:rPr>
        <w:t>“Option Certificate” means a certificate delivered to an Option holder by the Company pursuant to the Plan, in such form as the Committee shall approve, which sets forth the terms and conditions of an Option.</w:t>
      </w:r>
    </w:p>
    <w:p>
      <w:pPr>
        <w:spacing w:after="0" w:line="97" w:lineRule="exact"/>
        <w:rPr>
          <w:rFonts w:ascii="Arial" w:cs="Arial" w:eastAsia="Arial" w:hAnsi="Arial"/>
          <w:sz w:val="12"/>
          <w:szCs w:val="12"/>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“Plan” shall mean this 1985 Non-Qualified Stock Option Plan, as amended and/or restated from time to time.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“Retirement” shall have the meaning set forth in Section VI.J.</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1"/>
          <w:numId w:val="65"/>
        </w:numPr>
        <w:rPr>
          <w:rFonts w:ascii="Arial" w:cs="Arial" w:eastAsia="Arial" w:hAnsi="Arial"/>
          <w:sz w:val="13"/>
          <w:szCs w:val="13"/>
          <w:color w:val="auto"/>
        </w:rPr>
      </w:pPr>
      <w:r>
        <w:rPr>
          <w:rFonts w:ascii="Arial" w:cs="Arial" w:eastAsia="Arial" w:hAnsi="Arial"/>
          <w:sz w:val="13"/>
          <w:szCs w:val="13"/>
          <w:color w:val="auto"/>
        </w:rPr>
        <w:t>“Securities Act” shall mean the United States Securities Act of 1933, as amended from time to time.</w:t>
      </w:r>
    </w:p>
    <w:p>
      <w:pPr>
        <w:spacing w:after="0" w:line="16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III. SHARES SUBJECT TO THE PLAN</w:t>
      </w:r>
    </w:p>
    <w:p>
      <w:pPr>
        <w:spacing w:after="0" w:line="86"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The aggregate number of shares as to which Options may be granted from time to time shall be 54,208,000 shares of the Common Stock; provided, however that such aggregate number shall be reduced by the number of shares which has been sold under, or may be sold pursuant to options granted from time to time under, the Company’s 1982 Incentive Stock Option Plan (the “ISO Plan”), to the same extent as if such sales had been made or options granted pursuant to the Plan.</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Notwithstanding the foregoing, on the first day of each fiscal year of the Company (beginning in 2003) the number of shares as to which Options may be granted from time to time pursuant to the Plan shall be increased by an amount equal to the lesser of (i) 3,695,000 shares or the equivalent of such number of shares of the Common Stock after the Committee, in its sole discretion, has interpreted the effect of any stock split, stock dividend, combination, recapitalization or similar transaction in accordance with Article VIII of this Plan; or (ii) 2.5% of the number of outstanding shares of the Common Stock on the last trading day of the immediately preceding fiscal year. Notwithstanding the immediately preceding sentence, in the event that the stockholders of the Company approve the adoption of the Company’s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51" w:name="page152"/>
    <w:bookmarkEnd w:id="151"/>
    <w:p>
      <w:pPr>
        <w:spacing w:after="0" w:line="276" w:lineRule="auto"/>
        <w:rPr>
          <w:sz w:val="20"/>
          <w:szCs w:val="20"/>
          <w:color w:val="auto"/>
        </w:rPr>
      </w:pPr>
      <w:r>
        <w:rPr>
          <w:rFonts w:ascii="Arial" w:cs="Arial" w:eastAsia="Arial" w:hAnsi="Arial"/>
          <w:sz w:val="13"/>
          <w:szCs w:val="13"/>
          <w:color w:val="auto"/>
        </w:rPr>
        <w:t>Omnibus Equity Plan at the 2003 annual meeting of the Company’s shareholders, the aggregate number of shares of Common Stock that may be issued under this Plan shall be the number determined in accordance with the first paragraph of this Article III.</w:t>
      </w:r>
    </w:p>
    <w:p>
      <w:pPr>
        <w:spacing w:after="0" w:line="4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If any Option granted under the Plan or the ISO Plan ceases to be “outstanding”, in whole or in part, other than by reason of the exercise of such Option, the shares which were subject to such Option shall be available for the granting of other Options. Any Option shall be treated as “outstanding” until such Option is exercised in full, terminates under the provisions of the Plan or the ISO Plan, as the case may be, or expires by reason of lapse of time.</w:t>
      </w:r>
    </w:p>
    <w:p>
      <w:pPr>
        <w:spacing w:after="0" w:line="57"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Except as expressly provided above, the aggregate number of shares as to which Options may be granted shall be subject to change only by means of an amendment adopted in accordance with Article XI below, subject to the provisions of Article VIII.</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IV. ADMINISTRATION OF THE PLAN</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Plan shall be administered by the Committee. The membership of the Committee shall be determined, and shall be subject to change without cause and without notice from time to time, by the Board of Directors of the Company.</w:t>
      </w:r>
    </w:p>
    <w:p>
      <w:pPr>
        <w:spacing w:after="0" w:line="49" w:lineRule="exact"/>
        <w:rPr>
          <w:sz w:val="20"/>
          <w:szCs w:val="20"/>
          <w:color w:val="auto"/>
        </w:rPr>
      </w:pPr>
    </w:p>
    <w:p>
      <w:pPr>
        <w:ind w:right="80" w:firstLine="161"/>
        <w:spacing w:after="0" w:line="260" w:lineRule="auto"/>
        <w:rPr>
          <w:sz w:val="20"/>
          <w:szCs w:val="20"/>
          <w:color w:val="auto"/>
        </w:rPr>
      </w:pPr>
      <w:r>
        <w:rPr>
          <w:rFonts w:ascii="Arial" w:cs="Arial" w:eastAsia="Arial" w:hAnsi="Arial"/>
          <w:sz w:val="13"/>
          <w:szCs w:val="13"/>
          <w:color w:val="auto"/>
        </w:rPr>
        <w:t>The Committee is authorized to interpret the provisions of the Plan or of any Option and to make all rules and determinations necessary or advisable for the administration of the Plan. The interpretation and construction by the Committee of any provision of the Plan or of any Option granted under it shall be final, unless otherwise determined by the Incumbent Board. The Committee’s determinations under the Plan do not need to be uniform and may be made by it selectively among persons who receive, or are eligible to receive, Options under the Plan (whether or not such persons are similarly situated). Subject to the provisions of the Plan, Options may be granted upon such terms and conditions as the Committee may prescribe.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V. ELIGIBILITY FOR PARTICIPATION</w:t>
      </w:r>
    </w:p>
    <w:p>
      <w:pPr>
        <w:spacing w:after="0" w:line="86" w:lineRule="exact"/>
        <w:rPr>
          <w:sz w:val="20"/>
          <w:szCs w:val="20"/>
          <w:color w:val="auto"/>
        </w:rPr>
      </w:pPr>
    </w:p>
    <w:p>
      <w:pPr>
        <w:jc w:val="both"/>
        <w:ind w:firstLine="161"/>
        <w:spacing w:after="0" w:line="276" w:lineRule="auto"/>
        <w:rPr>
          <w:sz w:val="20"/>
          <w:szCs w:val="20"/>
          <w:color w:val="auto"/>
        </w:rPr>
      </w:pPr>
      <w:r>
        <w:rPr>
          <w:rFonts w:ascii="Arial" w:cs="Arial" w:eastAsia="Arial" w:hAnsi="Arial"/>
          <w:sz w:val="13"/>
          <w:szCs w:val="13"/>
          <w:color w:val="auto"/>
        </w:rPr>
        <w:t>The Committee shall determine which Employees and Directors shall be eligible to participate in the Plan. Without limiting the generality of the foregoing, Options may be awarded for reasons of performance, merit, promotion, bonus or upon new Employees joining the Company or any Affiliate.</w:t>
      </w:r>
    </w:p>
    <w:p>
      <w:pPr>
        <w:spacing w:after="0" w:line="49"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3"/>
          <w:szCs w:val="13"/>
          <w:color w:val="auto"/>
        </w:rPr>
        <w:t>The Committee may grant to one or more such Employees or Directors one or more Options, and shall designate the number of shares to be optioned under each Option so granted; provided, however, that no Options shall be granted after December 31, 2011. In no event shall any Employee be granted in any calendar year Options to purchase or receive more than 2,400,000 shares, as adjusted pursuant to Article VIII, of the Common Stock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2" w:name="page153"/>
    <w:bookmarkEnd w:id="152"/>
    <w:p>
      <w:pPr>
        <w:ind w:left="1"/>
        <w:spacing w:after="0"/>
        <w:rPr>
          <w:sz w:val="20"/>
          <w:szCs w:val="20"/>
          <w:color w:val="auto"/>
        </w:rPr>
      </w:pPr>
      <w:r>
        <w:rPr>
          <w:rFonts w:ascii="Arial" w:cs="Arial" w:eastAsia="Arial" w:hAnsi="Arial"/>
          <w:sz w:val="13"/>
          <w:szCs w:val="13"/>
          <w:color w:val="auto"/>
        </w:rPr>
        <w:t>VI. TERMS AND CONDITIONS OF OPTIONS</w:t>
      </w:r>
    </w:p>
    <w:p>
      <w:pPr>
        <w:spacing w:after="0" w:line="86" w:lineRule="exact"/>
        <w:rPr>
          <w:sz w:val="20"/>
          <w:szCs w:val="20"/>
          <w:color w:val="auto"/>
        </w:rPr>
      </w:pPr>
    </w:p>
    <w:p>
      <w:pPr>
        <w:ind w:left="1" w:right="80" w:firstLine="164"/>
        <w:spacing w:after="0" w:line="296" w:lineRule="auto"/>
        <w:rPr>
          <w:sz w:val="20"/>
          <w:szCs w:val="20"/>
          <w:color w:val="auto"/>
        </w:rPr>
      </w:pPr>
      <w:r>
        <w:rPr>
          <w:rFonts w:ascii="Arial" w:cs="Arial" w:eastAsia="Arial" w:hAnsi="Arial"/>
          <w:sz w:val="12"/>
          <w:szCs w:val="12"/>
          <w:color w:val="auto"/>
        </w:rPr>
        <w:t>No Option issued pursuant to the Plan shall be an incentive stock option under Section 422 of the Code. No purported grant of any Option shall be effective until such Option shall have been approved by the Committee, except as otherwise provided in Section VI.N below. The Committee may provide that Options be granted subject to such conditions as the Committee may deem appropriate, including without limitation, subsequent approval by the shareholders of the Company of the Plan or any amendments thereto. Each Option shall be subject to at least the following terms and conditions:</w:t>
      </w:r>
    </w:p>
    <w:p>
      <w:pPr>
        <w:spacing w:after="0" w:line="40" w:lineRule="exact"/>
        <w:rPr>
          <w:sz w:val="20"/>
          <w:szCs w:val="20"/>
          <w:color w:val="auto"/>
        </w:rPr>
      </w:pPr>
    </w:p>
    <w:p>
      <w:pPr>
        <w:ind w:left="1" w:firstLine="157"/>
        <w:spacing w:after="0" w:line="301" w:lineRule="auto"/>
        <w:rPr>
          <w:sz w:val="20"/>
          <w:szCs w:val="20"/>
          <w:color w:val="auto"/>
        </w:rPr>
      </w:pPr>
      <w:r>
        <w:rPr>
          <w:rFonts w:ascii="Arial" w:cs="Arial" w:eastAsia="Arial" w:hAnsi="Arial"/>
          <w:sz w:val="11"/>
          <w:szCs w:val="11"/>
          <w:color w:val="auto"/>
        </w:rPr>
        <w:t xml:space="preserve">A. </w:t>
      </w:r>
      <w:r>
        <w:rPr>
          <w:rFonts w:ascii="Arial" w:cs="Arial" w:eastAsia="Arial" w:hAnsi="Arial"/>
          <w:sz w:val="11"/>
          <w:szCs w:val="11"/>
          <w:u w:val="single" w:color="auto"/>
          <w:color w:val="auto"/>
        </w:rPr>
        <w:t>Option Price</w:t>
      </w:r>
      <w:r>
        <w:rPr>
          <w:rFonts w:ascii="Arial" w:cs="Arial" w:eastAsia="Arial" w:hAnsi="Arial"/>
          <w:sz w:val="11"/>
          <w:szCs w:val="11"/>
          <w:color w:val="auto"/>
        </w:rPr>
        <w:t xml:space="preserve">: Each Option Certificate shall state the Option price per share of the Common Stock covered by such Option grant. Except as otherwise determined by the Committee, the Option price per share for Options granted under the Plan shall be equal to the fair market value per share of Common Stock (the “Fair Market Value”) on the date of grant of the Option; provided, however, that in no event shall the Option price be less than the par value per share of Common Stock. Fair Market Value shall be calculated as follows: (i) if the Common Stock is listed on a national securities exchange or traded on the Nasdaq National Market or the Nasdaq SmallCap Market </w:t>
      </w:r>
      <w:r>
        <w:rPr>
          <w:rFonts w:ascii="Arial" w:cs="Arial" w:eastAsia="Arial" w:hAnsi="Arial"/>
          <w:sz w:val="11"/>
          <w:szCs w:val="11"/>
          <w:u w:val="single" w:color="auto"/>
          <w:color w:val="auto"/>
        </w:rPr>
        <w:t>and</w:t>
      </w:r>
      <w:r>
        <w:rPr>
          <w:rFonts w:ascii="Arial" w:cs="Arial" w:eastAsia="Arial" w:hAnsi="Arial"/>
          <w:sz w:val="11"/>
          <w:szCs w:val="11"/>
          <w:color w:val="auto"/>
        </w:rPr>
        <w:t xml:space="preserve"> sale prices are regularly reported for the Common Stock, then the Fair Market Value shall be the arithmetic mean between the “high” and “low” sale prices for the Common Stock reported on the applicable composite tape or other comparable reporting system on the date of grant, or if the date of grant is not a trading day, on the most recent trading day immediately prior to the date of grant; or</w:t>
      </w:r>
    </w:p>
    <w:p>
      <w:pPr>
        <w:spacing w:after="0" w:line="1" w:lineRule="exact"/>
        <w:rPr>
          <w:sz w:val="20"/>
          <w:szCs w:val="20"/>
          <w:color w:val="auto"/>
        </w:rPr>
      </w:pPr>
    </w:p>
    <w:p>
      <w:pPr>
        <w:ind w:left="1" w:right="200" w:hanging="1"/>
        <w:spacing w:after="0" w:line="290" w:lineRule="auto"/>
        <w:tabs>
          <w:tab w:leader="none" w:pos="194" w:val="left"/>
        </w:tabs>
        <w:numPr>
          <w:ilvl w:val="0"/>
          <w:numId w:val="66"/>
        </w:numPr>
        <w:rPr>
          <w:rFonts w:ascii="Arial" w:cs="Arial" w:eastAsia="Arial" w:hAnsi="Arial"/>
          <w:sz w:val="12"/>
          <w:szCs w:val="12"/>
          <w:color w:val="auto"/>
        </w:rPr>
      </w:pPr>
      <w:r>
        <w:rPr>
          <w:rFonts w:ascii="Arial" w:cs="Arial" w:eastAsia="Arial" w:hAnsi="Arial"/>
          <w:sz w:val="12"/>
          <w:szCs w:val="12"/>
          <w:color w:val="auto"/>
        </w:rPr>
        <w:t>if sale prices are not regularly reported for the Common Stock as described in clause (i) above but bid and asked prices for the Common Stock are regularly reported, then the Fair Market Value shall be the arithmetic mean between the closing or last bid and asked prices for the Common Stock on the date of grant or, if the date of grant is not a trading day, on the most recent trading day immediately prior to the date of grant; or (iii) if sale prices are not regularly reported for the Common Stock as described in clause (i) or (ii) above, then the Fair Market Value shall be such value as the Committee in good faith determines.</w:t>
      </w:r>
    </w:p>
    <w:p>
      <w:pPr>
        <w:spacing w:after="0" w:line="42" w:lineRule="exact"/>
        <w:rPr>
          <w:rFonts w:ascii="Arial" w:cs="Arial" w:eastAsia="Arial" w:hAnsi="Arial"/>
          <w:sz w:val="12"/>
          <w:szCs w:val="12"/>
          <w:color w:val="auto"/>
        </w:rPr>
      </w:pPr>
    </w:p>
    <w:p>
      <w:pPr>
        <w:ind w:left="321" w:hanging="158"/>
        <w:spacing w:after="0"/>
        <w:tabs>
          <w:tab w:leader="none" w:pos="321"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 Each Option Certificate shall state the number of shares of the Common Stock to which it pertains.</w:t>
      </w:r>
    </w:p>
    <w:p>
      <w:pPr>
        <w:spacing w:after="0" w:line="86" w:lineRule="exact"/>
        <w:rPr>
          <w:rFonts w:ascii="Arial" w:cs="Arial" w:eastAsia="Arial" w:hAnsi="Arial"/>
          <w:sz w:val="13"/>
          <w:szCs w:val="13"/>
          <w:color w:val="auto"/>
        </w:rPr>
      </w:pPr>
    </w:p>
    <w:p>
      <w:pPr>
        <w:ind w:left="1" w:right="120" w:firstLine="162"/>
        <w:spacing w:after="0" w:line="276" w:lineRule="auto"/>
        <w:tabs>
          <w:tab w:leader="none" w:pos="318"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Term of Option</w:t>
      </w:r>
      <w:r>
        <w:rPr>
          <w:rFonts w:ascii="Arial" w:cs="Arial" w:eastAsia="Arial" w:hAnsi="Arial"/>
          <w:sz w:val="13"/>
          <w:szCs w:val="13"/>
          <w:color w:val="auto"/>
        </w:rPr>
        <w:t>: Each Option Certificate shall state the term of the Option which shall be ten (10) years from the date of the grant thereof, or at such earlier or later time as the Committee shall expressly state in the Option Certificate.</w:t>
      </w:r>
    </w:p>
    <w:p>
      <w:pPr>
        <w:spacing w:after="0" w:line="49" w:lineRule="exact"/>
        <w:rPr>
          <w:rFonts w:ascii="Arial" w:cs="Arial" w:eastAsia="Arial" w:hAnsi="Arial"/>
          <w:sz w:val="13"/>
          <w:szCs w:val="13"/>
          <w:color w:val="auto"/>
        </w:rPr>
      </w:pPr>
    </w:p>
    <w:p>
      <w:pPr>
        <w:jc w:val="both"/>
        <w:ind w:left="1" w:right="40" w:firstLine="162"/>
        <w:spacing w:after="0" w:line="264" w:lineRule="auto"/>
        <w:tabs>
          <w:tab w:leader="none" w:pos="325"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Date of Exercise</w:t>
      </w:r>
      <w:r>
        <w:rPr>
          <w:rFonts w:ascii="Arial" w:cs="Arial" w:eastAsia="Arial" w:hAnsi="Arial"/>
          <w:sz w:val="13"/>
          <w:szCs w:val="13"/>
          <w:color w:val="auto"/>
        </w:rPr>
        <w:t>: Each Option Certificate shall state the date or dates on which the Option becomes exercisable, and may provide that the Option rights accrue or become exercisable in installments over a period of months or years, or upon the attainment of stated goals or events or through other circumstances or programs approved by the Committee. The Committee shall have the right to accelerate the date of exercise of any installment of any Option.</w:t>
      </w:r>
    </w:p>
    <w:p>
      <w:pPr>
        <w:spacing w:after="0" w:line="57" w:lineRule="exact"/>
        <w:rPr>
          <w:rFonts w:ascii="Arial" w:cs="Arial" w:eastAsia="Arial" w:hAnsi="Arial"/>
          <w:sz w:val="13"/>
          <w:szCs w:val="13"/>
          <w:color w:val="auto"/>
        </w:rPr>
      </w:pPr>
    </w:p>
    <w:p>
      <w:pPr>
        <w:ind w:left="1" w:right="20" w:firstLine="162"/>
        <w:spacing w:after="0" w:line="276" w:lineRule="auto"/>
        <w:tabs>
          <w:tab w:leader="none" w:pos="311" w:val="left"/>
        </w:tabs>
        <w:numPr>
          <w:ilvl w:val="1"/>
          <w:numId w:val="66"/>
        </w:numPr>
        <w:rPr>
          <w:rFonts w:ascii="Arial" w:cs="Arial" w:eastAsia="Arial" w:hAnsi="Arial"/>
          <w:sz w:val="13"/>
          <w:szCs w:val="13"/>
          <w:color w:val="auto"/>
        </w:rPr>
      </w:pPr>
      <w:r>
        <w:rPr>
          <w:rFonts w:ascii="Arial" w:cs="Arial" w:eastAsia="Arial" w:hAnsi="Arial"/>
          <w:sz w:val="13"/>
          <w:szCs w:val="13"/>
          <w:u w:val="single" w:color="auto"/>
          <w:color w:val="auto"/>
        </w:rPr>
        <w:t>Cancellation and Repurchase Rights</w:t>
      </w:r>
      <w:r>
        <w:rPr>
          <w:rFonts w:ascii="Arial" w:cs="Arial" w:eastAsia="Arial" w:hAnsi="Arial"/>
          <w:sz w:val="13"/>
          <w:szCs w:val="13"/>
          <w:color w:val="auto"/>
        </w:rPr>
        <w:t>: An Option Certificate may stipulate that an Option which becomes exercisable shall be subject to cancellation or that shares purchased upon the exercise of such Option shall be subject to repurchase rights in favor of the Company. In such event the Committee shall determine the date or dates, or event or events, upon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1" w:right="27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color w:val="auto"/>
        </w:rPr>
        <w:t>cancellation or repurchase rights shall become effective or shall lapse, as the case may be and those provisions shall be set forth in the Option Certificate.</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u w:val="single" w:color="auto"/>
          <w:color w:val="auto"/>
        </w:rPr>
        <w:t>Medium of Payment</w:t>
      </w:r>
      <w:r>
        <w:rPr>
          <w:rFonts w:ascii="Arial" w:cs="Arial" w:eastAsia="Arial" w:hAnsi="Arial"/>
          <w:sz w:val="12"/>
          <w:szCs w:val="12"/>
          <w:color w:val="auto"/>
        </w:rPr>
        <w:t>: The Option price shall be payable upon the exercise of the Option. It shall be payable (a) in United States dollars in cash or by check, (b) if permitted by the Committee, in shares of the Common Stock held by the Option holder for at least six months having a fair market value (determined in the manner provided in Section VI.A above as of the date of exercise) equal to the cash exercise price of the Option, (c) at the discretion of the Committee, by delivery of the Option holder’s personal note, for full, partial or no recourse, bearing interest payable not less than annually at market rate on the date of exercise and no less than 100% of the applicable Federal rate, as defined in Section 1274(d) of the Code, with or without the pledge of shares of the Common Stock as collateral, (d) at the discretion of the Committee, in accordance with a cashless exercise program established with a securities brokerage firm, or (e) at the discretion of the Committee, by any combination of (a), (b), (c) and (d) above.</w:t>
      </w:r>
    </w:p>
    <w:p>
      <w:pPr>
        <w:spacing w:after="0" w:line="46" w:lineRule="exact"/>
        <w:rPr>
          <w:sz w:val="20"/>
          <w:szCs w:val="20"/>
          <w:color w:val="auto"/>
        </w:rPr>
      </w:pPr>
    </w:p>
    <w:p>
      <w:pPr>
        <w:ind w:right="20" w:firstLine="164"/>
        <w:spacing w:after="0" w:line="280" w:lineRule="auto"/>
        <w:rPr>
          <w:sz w:val="20"/>
          <w:szCs w:val="20"/>
          <w:color w:val="auto"/>
        </w:rPr>
      </w:pPr>
      <w:r>
        <w:rPr>
          <w:rFonts w:ascii="Arial" w:cs="Arial" w:eastAsia="Arial" w:hAnsi="Arial"/>
          <w:sz w:val="12"/>
          <w:szCs w:val="12"/>
          <w:color w:val="auto"/>
        </w:rPr>
        <w:t xml:space="preserve">G. </w:t>
      </w: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An Option holder who ceases (for any reason other than death, total and permanent disability, Retirement or termination of employment For Cause) to be an Employee or Director of the Company or of an Affiliate may exercise any Option granted to the extent that the right to purchase shares thereunder has accrued on the date of such termination. Except as set forth in the next sentence or as otherwise set forth in the Plan, such Option shall be exercisable only within three (3) months after such date of termination, or, if earlier, within the originally prescribed term of the Option, unless the Committee shall set forth a different period in the Option Certificate. Notwithstanding anything in this Plan to the contrary, unless a different time period is specified in the Option Certificate, an Option holder (or permitted transferee of such individual) who ceases (for any reason other than For Cause) to be a member of the Board of Directors of the Company after the completion of at least six (6) full years of services on the Board may exercise any Option granted within the originally prescribed term of the Option but solely to the extent the right to purchase shares thereunder has accrued on the date of such termination. For purposes of the Plan, employment shall not be deemed terminated by reason of a transfer to another employer which is the Company or an Affiliate. If any Option is not exercised following the Option holder’s termination within the time specified, the Option shall terminate and the shares covered by such Option shall revert to the Plan.</w:t>
      </w:r>
    </w:p>
    <w:p>
      <w:pPr>
        <w:spacing w:after="0" w:line="49" w:lineRule="exact"/>
        <w:rPr>
          <w:sz w:val="20"/>
          <w:szCs w:val="20"/>
          <w:color w:val="auto"/>
        </w:rPr>
      </w:pPr>
    </w:p>
    <w:p>
      <w:pPr>
        <w:ind w:right="20" w:firstLine="157"/>
        <w:spacing w:after="0" w:line="257" w:lineRule="auto"/>
        <w:rPr>
          <w:sz w:val="20"/>
          <w:szCs w:val="20"/>
          <w:color w:val="auto"/>
        </w:rPr>
      </w:pPr>
      <w:r>
        <w:rPr>
          <w:rFonts w:ascii="Arial" w:cs="Arial" w:eastAsia="Arial" w:hAnsi="Arial"/>
          <w:sz w:val="13"/>
          <w:szCs w:val="13"/>
          <w:color w:val="auto"/>
        </w:rPr>
        <w:t>An Option holder whose employment with the Company or an Affiliate is terminated For Cause or a Director who is removed from the Board of Directors For Cause shall forthwith immediately upon notice of such termination cease to have any right to exercise any Option, and the Option shall terminate and the shares covered by such Option shall revert to the Plan. For purposes of the Plan, termination “For Cause” shall be deemed to include (and is not limited to) dishonesty with respect to the Company or any Affiliate, insubordination, substantial malfeasance or non-feasance of duty, unauthorized disclosure of confidential information, breach by an Option holder of any provision of any employment, nondisclosure, non-competition or similar agreement between the Option holder and the Company or any Affiliate, and conduct substantially prejudicial to the business of the Company or an Affiliate. The determination of the Committee as to the existence of cause shall be conclusive. Any definition in an agreement between an Option holder and the Company or an Affiliate, which contains a conflicting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definition of For Cause and which is in effect at the time of such termination, shall supersede the definition in the Plan with respect to the Option holder.</w:t>
      </w:r>
    </w:p>
    <w:p>
      <w:pPr>
        <w:spacing w:after="0" w:line="86" w:lineRule="exact"/>
        <w:rPr>
          <w:sz w:val="20"/>
          <w:szCs w:val="20"/>
          <w:color w:val="auto"/>
        </w:rPr>
      </w:pPr>
    </w:p>
    <w:p>
      <w:pPr>
        <w:ind w:right="80" w:firstLine="157"/>
        <w:spacing w:after="0" w:line="264" w:lineRule="auto"/>
        <w:rPr>
          <w:sz w:val="20"/>
          <w:szCs w:val="20"/>
          <w:color w:val="auto"/>
        </w:rPr>
      </w:pPr>
      <w:r>
        <w:rPr>
          <w:rFonts w:ascii="Arial" w:cs="Arial" w:eastAsia="Arial" w:hAnsi="Arial"/>
          <w:sz w:val="13"/>
          <w:szCs w:val="13"/>
          <w:color w:val="auto"/>
        </w:rPr>
        <w:t>An Option holder to whom an Option has been granted under the Plan who is absent from work with the Company or with an Affiliate because of temporary disability, or who is on a permitted leave of absence for any purpose, shall not, during the period of any such absence, be deemed by virtue of such absence alone, to have terminated his employment with the Company or with an Affiliate except as the Committee may otherwise expressly provide in the Option Certificate.</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H. </w:t>
      </w:r>
      <w:r>
        <w:rPr>
          <w:rFonts w:ascii="Arial" w:cs="Arial" w:eastAsia="Arial" w:hAnsi="Arial"/>
          <w:sz w:val="13"/>
          <w:szCs w:val="13"/>
          <w:u w:val="single" w:color="auto"/>
          <w:color w:val="auto"/>
        </w:rPr>
        <w:t>Total and Permanent Disability</w:t>
      </w:r>
      <w:r>
        <w:rPr>
          <w:rFonts w:ascii="Arial" w:cs="Arial" w:eastAsia="Arial" w:hAnsi="Arial"/>
          <w:sz w:val="13"/>
          <w:szCs w:val="13"/>
          <w:color w:val="auto"/>
        </w:rPr>
        <w:t>: If an Option holder ceases to be an Employee or Director of the Company or of an Affiliate by reason of total and permanent disability, as determined by the Committee, any Option held by him or her on the date of disability shall be exercisable as to all or any part of the shares subject to the Option, all of which shares shall be fully vested as of the date of such disability. A disabled Option holder may exercise such Option only within a period of one (1) year after the date as of which the Committee determines that he or she became disabled or within such different period as may be determined by the Committee and set forth in the Option Certificate, or, if earlier, within the originally prescribed term of the Option. If any Option is not exercised following the Option holder’s total and permanent disability within the time specified, the Option shall terminate and the shares covered by such Option shall revert to the Plan</w:t>
      </w:r>
      <w:r>
        <w:rPr>
          <w:rFonts w:ascii="Arial" w:cs="Arial" w:eastAsia="Arial" w:hAnsi="Arial"/>
          <w:sz w:val="13"/>
          <w:szCs w:val="13"/>
          <w:b w:val="1"/>
          <w:bCs w:val="1"/>
          <w:color w:val="auto"/>
        </w:rPr>
        <w:t>.</w:t>
      </w:r>
    </w:p>
    <w:p>
      <w:pPr>
        <w:spacing w:after="0" w:line="61"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u w:val="single" w:color="auto"/>
          <w:color w:val="auto"/>
        </w:rPr>
        <w:t>Death</w:t>
      </w:r>
      <w:r>
        <w:rPr>
          <w:rFonts w:ascii="Arial" w:cs="Arial" w:eastAsia="Arial" w:hAnsi="Arial"/>
          <w:sz w:val="13"/>
          <w:szCs w:val="13"/>
          <w:color w:val="auto"/>
        </w:rPr>
        <w:t>: If an Option holder dies while the he is an Employee or Director of the Company or of an Affiliate, any Option held by him at the date of death shall be exercisable as to all or any part of the shares subject to the Option, all of which shares shall be fully vested as of the date of the Option holder’s death. A deceased Option holder’s legal representatives or one who acquires the Option by will or by the laws of descent and distribution may exercise such Option only within a period of one (1) year after the date of death or within such different period as may be determined by the Committee and set forth in the Option Certificate, or, if earlier, within the originally prescribed term of the Option. If any Option is not exercised following the Option holder’s death within the time specified, the Option shall terminate and the shares covered by such Option shall revert to the Plan.</w:t>
      </w:r>
    </w:p>
    <w:p>
      <w:pPr>
        <w:spacing w:after="0" w:line="61"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J. </w:t>
      </w:r>
      <w:r>
        <w:rPr>
          <w:rFonts w:ascii="Arial" w:cs="Arial" w:eastAsia="Arial" w:hAnsi="Arial"/>
          <w:sz w:val="12"/>
          <w:szCs w:val="12"/>
          <w:u w:val="single" w:color="auto"/>
          <w:color w:val="auto"/>
        </w:rPr>
        <w:t>Retirement</w:t>
      </w:r>
      <w:r>
        <w:rPr>
          <w:rFonts w:ascii="Arial" w:cs="Arial" w:eastAsia="Arial" w:hAnsi="Arial"/>
          <w:sz w:val="12"/>
          <w:szCs w:val="12"/>
          <w:color w:val="auto"/>
        </w:rPr>
        <w:t>: Unless otherwise set forth in an Option Certificate, immediately upon an Option holder’s Retirement, such individual’s then unvested Options, including those held by a permitted transferee of such individual, shall automatically accelerate and become fully vested for fifty percent (50%) of the number of shares covered by such unvested Options and for an additional ten percent (10%) of the number of shares covered by such unvested Options for every year of employment by the Company or any of its Affiliates beyond ten (10) years, up to the remaining number of unvested Options. Upon Retirement, a retired Option holder (or permitted transferee of such individual) may exercise any then outstanding Options solely to the extent the right to purchase shares has accrued or has been accelerated only within a period of three (3) years after the date of Retirement or within such different period as may be determined by the Committee and set forth in the Option Certificate, or, if earlier, within the originally prescribed term of the Option. If any Option is not exercised following the Option holder’s Retirement within the time specified, the Option shall terminate and the shares covered by such Option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5" w:name="page156"/>
    <w:bookmarkEnd w:id="155"/>
    <w:p>
      <w:pPr>
        <w:ind w:left="1" w:right="120"/>
        <w:spacing w:after="0" w:line="264" w:lineRule="auto"/>
        <w:rPr>
          <w:sz w:val="20"/>
          <w:szCs w:val="20"/>
          <w:color w:val="auto"/>
        </w:rPr>
      </w:pPr>
      <w:r>
        <w:rPr>
          <w:rFonts w:ascii="Arial" w:cs="Arial" w:eastAsia="Arial" w:hAnsi="Arial"/>
          <w:sz w:val="13"/>
          <w:szCs w:val="13"/>
          <w:color w:val="auto"/>
        </w:rPr>
        <w:t>revert to the Plan. For purposes of the Plan, the term “Retirement” as to any Employee or Director of the Company or any of its Affiliates shall mean such person’s leaving the employment of the Company and its Affiliates after reaching age 55 with ten (10) years of service with the Company or its Affiliates, but not including pursuant to any termination For Cause or pursuant to any termination for insufficient performance, as determined by the Company.</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provisions of this Section VI.J shall be retroactive and shall apply to all outstanding Options granted under the Plan, regardless of the date of grant.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K. </w:t>
      </w:r>
      <w:r>
        <w:rPr>
          <w:rFonts w:ascii="Arial" w:cs="Arial" w:eastAsia="Arial" w:hAnsi="Arial"/>
          <w:sz w:val="12"/>
          <w:szCs w:val="12"/>
          <w:u w:val="single" w:color="auto"/>
          <w:color w:val="auto"/>
        </w:rPr>
        <w:t>Exercise of Option and Issue of Shares</w:t>
      </w:r>
      <w:r>
        <w:rPr>
          <w:rFonts w:ascii="Arial" w:cs="Arial" w:eastAsia="Arial" w:hAnsi="Arial"/>
          <w:sz w:val="12"/>
          <w:szCs w:val="12"/>
          <w:color w:val="auto"/>
        </w:rPr>
        <w:t>: Options shall be exercised by giving written notice to the Company or its designee, together with provision for payment of the Option price in accordance with</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Section VI.F. Such written notice shall be signed by the person exercising the Option, shall state the number of shares of the Common Stock with respect to which the Option is being exercised, and shall contain any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2"/>
          <w:szCs w:val="12"/>
          <w:color w:val="auto"/>
        </w:rPr>
        <w:t>warranty required by Article VII of the Plan. The issuance of the shares of the Common Stock upon exercise of the Option may be delayed by the Company if any law or regulation requires the Company to take any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action with respect to the shares prior to the issuance thereof. Without limiting the generality of the foregoing, nothing contained herein shall be deemed to require the Company to issue any shares of the Common Stock</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3"/>
          <w:szCs w:val="13"/>
          <w:color w:val="auto"/>
        </w:rPr>
        <w:t>if prohibited by law or applicable regulation.</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shares of the Common Stock shall, upon issuance, be paid-up, non-assessable shares.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L. </w:t>
      </w:r>
      <w:r>
        <w:rPr>
          <w:rFonts w:ascii="Arial" w:cs="Arial" w:eastAsia="Arial" w:hAnsi="Arial"/>
          <w:sz w:val="12"/>
          <w:szCs w:val="12"/>
          <w:u w:val="single" w:color="auto"/>
          <w:color w:val="auto"/>
        </w:rPr>
        <w:t>Assignability and Transferability of Option</w:t>
      </w:r>
      <w:r>
        <w:rPr>
          <w:rFonts w:ascii="Arial" w:cs="Arial" w:eastAsia="Arial" w:hAnsi="Arial"/>
          <w:sz w:val="12"/>
          <w:szCs w:val="12"/>
          <w:color w:val="auto"/>
        </w:rPr>
        <w:t>: By its terms, an Option granted to an Option holder shall not be transferable by such Option holder other than (i) by will or by the laws of descent and distribution, or</w:t>
      </w:r>
    </w:p>
    <w:p>
      <w:pPr>
        <w:spacing w:after="0" w:line="27" w:lineRule="exact"/>
        <w:rPr>
          <w:sz w:val="20"/>
          <w:szCs w:val="20"/>
          <w:color w:val="auto"/>
        </w:rPr>
      </w:pPr>
    </w:p>
    <w:p>
      <w:pPr>
        <w:jc w:val="both"/>
        <w:ind w:left="1" w:right="140" w:hanging="1"/>
        <w:spacing w:after="0" w:line="255" w:lineRule="auto"/>
        <w:tabs>
          <w:tab w:leader="none" w:pos="194" w:val="left"/>
        </w:tabs>
        <w:numPr>
          <w:ilvl w:val="0"/>
          <w:numId w:val="67"/>
        </w:numPr>
        <w:rPr>
          <w:rFonts w:ascii="Arial" w:cs="Arial" w:eastAsia="Arial" w:hAnsi="Arial"/>
          <w:sz w:val="13"/>
          <w:szCs w:val="13"/>
          <w:color w:val="auto"/>
        </w:rPr>
      </w:pPr>
      <w:r>
        <w:rPr>
          <w:rFonts w:ascii="Arial" w:cs="Arial" w:eastAsia="Arial" w:hAnsi="Arial"/>
          <w:sz w:val="13"/>
          <w:szCs w:val="13"/>
          <w:color w:val="auto"/>
        </w:rPr>
        <w:t>pursuant to a qualified domestic relations order, as defined by the Code or Title 1 of the Employee Retirement Income Security Act or the rules thereunder, or (iii) as otherwise determined by the Committee. The designation of a beneficiary of an Option by an Option holder shall not be deemed a transfer prohibited by this Section. Except as provided in the preceding sentence, an Option shall be exercisable, during an Option holder’s lifetime, only by the Option holder (or by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Option or of any rights granted thereunder contrary to the provisions of this Section, or the levy of any attachment or similar process upon an Option or other such rights, shall be null and void.</w:t>
      </w:r>
    </w:p>
    <w:p>
      <w:pPr>
        <w:spacing w:after="0" w:line="63" w:lineRule="exact"/>
        <w:rPr>
          <w:rFonts w:ascii="Arial" w:cs="Arial" w:eastAsia="Arial" w:hAnsi="Arial"/>
          <w:sz w:val="13"/>
          <w:szCs w:val="13"/>
          <w:color w:val="auto"/>
        </w:rPr>
      </w:pPr>
    </w:p>
    <w:p>
      <w:pPr>
        <w:ind w:left="341" w:hanging="178"/>
        <w:spacing w:after="0"/>
        <w:tabs>
          <w:tab w:leader="none" w:pos="341" w:val="left"/>
        </w:tabs>
        <w:numPr>
          <w:ilvl w:val="1"/>
          <w:numId w:val="67"/>
        </w:numPr>
        <w:rPr>
          <w:rFonts w:ascii="Arial" w:cs="Arial" w:eastAsia="Arial" w:hAnsi="Arial"/>
          <w:sz w:val="12"/>
          <w:szCs w:val="12"/>
          <w:color w:val="auto"/>
        </w:rPr>
      </w:pPr>
      <w:r>
        <w:rPr>
          <w:rFonts w:ascii="Arial" w:cs="Arial" w:eastAsia="Arial" w:hAnsi="Arial"/>
          <w:sz w:val="12"/>
          <w:szCs w:val="12"/>
          <w:u w:val="single" w:color="auto"/>
          <w:color w:val="auto"/>
        </w:rPr>
        <w:t>Other Provisions</w:t>
      </w:r>
      <w:r>
        <w:rPr>
          <w:rFonts w:ascii="Arial" w:cs="Arial" w:eastAsia="Arial" w:hAnsi="Arial"/>
          <w:sz w:val="12"/>
          <w:szCs w:val="12"/>
          <w:color w:val="auto"/>
        </w:rPr>
        <w:t>: The Option Certificates shall be subject to such other terms and conditions, including, without limitation, restrictions upon the exercise of the Option, as the Committee shall deem advisable.</w:t>
      </w:r>
    </w:p>
    <w:p>
      <w:pPr>
        <w:spacing w:after="0" w:line="97" w:lineRule="exact"/>
        <w:rPr>
          <w:rFonts w:ascii="Arial" w:cs="Arial" w:eastAsia="Arial" w:hAnsi="Arial"/>
          <w:sz w:val="12"/>
          <w:szCs w:val="12"/>
          <w:color w:val="auto"/>
        </w:rPr>
      </w:pPr>
    </w:p>
    <w:p>
      <w:pPr>
        <w:ind w:left="1" w:right="140" w:firstLine="162"/>
        <w:spacing w:after="0" w:line="320" w:lineRule="auto"/>
        <w:tabs>
          <w:tab w:leader="none" w:pos="325" w:val="left"/>
        </w:tabs>
        <w:numPr>
          <w:ilvl w:val="1"/>
          <w:numId w:val="67"/>
        </w:numPr>
        <w:rPr>
          <w:rFonts w:ascii="Arial" w:cs="Arial" w:eastAsia="Arial" w:hAnsi="Arial"/>
          <w:sz w:val="12"/>
          <w:szCs w:val="12"/>
          <w:color w:val="auto"/>
        </w:rPr>
      </w:pPr>
      <w:r>
        <w:rPr>
          <w:rFonts w:ascii="Arial" w:cs="Arial" w:eastAsia="Arial" w:hAnsi="Arial"/>
          <w:sz w:val="12"/>
          <w:szCs w:val="12"/>
          <w:u w:val="single" w:color="auto"/>
          <w:color w:val="auto"/>
        </w:rPr>
        <w:t>Non-Employee Director Options</w:t>
      </w:r>
      <w:r>
        <w:rPr>
          <w:rFonts w:ascii="Arial" w:cs="Arial" w:eastAsia="Arial" w:hAnsi="Arial"/>
          <w:sz w:val="12"/>
          <w:szCs w:val="12"/>
          <w:color w:val="auto"/>
        </w:rPr>
        <w:t>: Each Director of the Company who is not an Employee of the Company or any of its Affiliates and who is appointed or elected to the Board of Directors of the Company on or after February 7, 2003, upon first being appointed or elected to the Board shall be automatically granted an Option to purchase 20,000 shares of Common Stock (each, an “Initial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56" w:name="page157"/>
    <w:bookmarkEnd w:id="156"/>
    <w:p>
      <w:pPr>
        <w:ind w:left="1" w:right="100" w:firstLine="164"/>
        <w:spacing w:after="0" w:line="289" w:lineRule="auto"/>
        <w:rPr>
          <w:sz w:val="20"/>
          <w:szCs w:val="20"/>
          <w:color w:val="auto"/>
        </w:rPr>
      </w:pPr>
      <w:r>
        <w:rPr>
          <w:rFonts w:ascii="Arial" w:cs="Arial" w:eastAsia="Arial" w:hAnsi="Arial"/>
          <w:sz w:val="12"/>
          <w:szCs w:val="12"/>
          <w:color w:val="auto"/>
        </w:rPr>
        <w:t>Each Director of the Company who is not an Employee of the Company or any of its Affiliates shall be automatically granted an Option to purchase an additional 10,000 shares of Common Stock (each a “Subsequent Grant”); provided that on the date of grant such person is still a member of the Board of Directors of the Company. The date of grant of each Subsequent Grant to any Director appointed or elected to the Board of Directors of the Company on or after February 7, 2003 shall be the anniversary date of such Director’s initial appointment or election to the Board. The date of grant of each Subsequent Grant to any Director appointed or elected to the Board of Directors of the Company prior to February 7, 2003 shall be the anniversary date of such Director’s most recent prior Option grant under the Plan.</w:t>
      </w:r>
    </w:p>
    <w:p>
      <w:pPr>
        <w:spacing w:after="0" w:line="43" w:lineRule="exact"/>
        <w:rPr>
          <w:sz w:val="20"/>
          <w:szCs w:val="20"/>
          <w:color w:val="auto"/>
        </w:rPr>
      </w:pPr>
    </w:p>
    <w:p>
      <w:pPr>
        <w:ind w:left="1" w:right="80" w:firstLine="161"/>
        <w:spacing w:after="0" w:line="260" w:lineRule="auto"/>
        <w:rPr>
          <w:sz w:val="20"/>
          <w:szCs w:val="20"/>
          <w:color w:val="auto"/>
        </w:rPr>
      </w:pPr>
      <w:r>
        <w:rPr>
          <w:rFonts w:ascii="Arial" w:cs="Arial" w:eastAsia="Arial" w:hAnsi="Arial"/>
          <w:sz w:val="13"/>
          <w:szCs w:val="13"/>
          <w:color w:val="auto"/>
        </w:rPr>
        <w:t>The Initial Grant shall be exercisable as to 8,000 of the shares subject thereto upon completion of one full year of service on the Board of Directors of the Company after the date of grant, and as to an additional 6,000 shares upon completion of the second full year of such service, and as to the remaining 6,000 shares upon completion of the third full year of such service. Each Subsequent Grant shall be exercisable as to 4,000 of the shares subject thereto upon completion of one full year of service on the Board of Directors of the Company after the date of grant, and as to an additional 3,000 shares upon completion of the second full year of such service, and as to the remaining 3,000 shares upon completion of the third full year of such service.</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1"/>
          <w:szCs w:val="11"/>
          <w:color w:val="auto"/>
        </w:rPr>
        <w:t>Each Option granted under this Section VI.N shall have an exercise price equal to the fair market value per share of Common Stock on the date of grant, as determined under Section VI.A. above, and a term of ten</w:t>
      </w:r>
    </w:p>
    <w:p>
      <w:pPr>
        <w:spacing w:after="0" w:line="38" w:lineRule="exact"/>
        <w:rPr>
          <w:sz w:val="20"/>
          <w:szCs w:val="20"/>
          <w:color w:val="auto"/>
        </w:rPr>
      </w:pPr>
    </w:p>
    <w:p>
      <w:pPr>
        <w:ind w:left="1" w:right="360" w:hanging="1"/>
        <w:spacing w:after="0" w:line="264" w:lineRule="auto"/>
        <w:tabs>
          <w:tab w:leader="none" w:pos="252" w:val="left"/>
        </w:tabs>
        <w:numPr>
          <w:ilvl w:val="0"/>
          <w:numId w:val="68"/>
        </w:numPr>
        <w:rPr>
          <w:rFonts w:ascii="Arial" w:cs="Arial" w:eastAsia="Arial" w:hAnsi="Arial"/>
          <w:sz w:val="13"/>
          <w:szCs w:val="13"/>
          <w:color w:val="auto"/>
        </w:rPr>
      </w:pPr>
      <w:r>
        <w:rPr>
          <w:rFonts w:ascii="Arial" w:cs="Arial" w:eastAsia="Arial" w:hAnsi="Arial"/>
          <w:sz w:val="13"/>
          <w:szCs w:val="13"/>
          <w:color w:val="auto"/>
        </w:rPr>
        <w:t>years, unless earlier terminated pursuant to the other provisions of the Plan or the terms of the grant. Section VI.G, which cancels the Options of any Option holder determined by the Committee to have been terminated For Cause, shall not apply to the awards under this Section VI.N.</w:t>
      </w:r>
    </w:p>
    <w:p>
      <w:pPr>
        <w:spacing w:after="0" w:line="56" w:lineRule="exact"/>
        <w:rPr>
          <w:rFonts w:ascii="Arial" w:cs="Arial" w:eastAsia="Arial" w:hAnsi="Arial"/>
          <w:sz w:val="13"/>
          <w:szCs w:val="13"/>
          <w:color w:val="auto"/>
        </w:rPr>
      </w:pPr>
    </w:p>
    <w:p>
      <w:pPr>
        <w:ind w:left="1" w:firstLine="162"/>
        <w:spacing w:after="0" w:line="281" w:lineRule="auto"/>
        <w:tabs>
          <w:tab w:leader="none" w:pos="325" w:val="left"/>
        </w:tabs>
        <w:numPr>
          <w:ilvl w:val="1"/>
          <w:numId w:val="68"/>
        </w:numPr>
        <w:rPr>
          <w:rFonts w:ascii="Arial" w:cs="Arial" w:eastAsia="Arial" w:hAnsi="Arial"/>
          <w:sz w:val="12"/>
          <w:szCs w:val="12"/>
          <w:color w:val="auto"/>
        </w:rPr>
      </w:pPr>
      <w:r>
        <w:rPr>
          <w:rFonts w:ascii="Arial" w:cs="Arial" w:eastAsia="Arial" w:hAnsi="Arial"/>
          <w:sz w:val="12"/>
          <w:szCs w:val="12"/>
          <w:u w:val="single" w:color="auto"/>
          <w:color w:val="auto"/>
        </w:rPr>
        <w:t>Tax Withholding</w:t>
      </w:r>
      <w:r>
        <w:rPr>
          <w:rFonts w:ascii="Arial" w:cs="Arial" w:eastAsia="Arial" w:hAnsi="Arial"/>
          <w:sz w:val="12"/>
          <w:szCs w:val="12"/>
          <w:color w:val="auto"/>
        </w:rPr>
        <w:t>: In the event that any federal, state, or local income taxes, employment taxes, Federal Insurance Contributions Act withholdings or other amounts are required by applicable law or governmental regulation to be withheld from the Option holder’s salary in connection with the exercise of an Option, the Option holder shall advance in cash to the Company, or to any Affiliate of the Company which employs or employed the Option holder, the amount of such withholdings unless a different withholding arrangement, including the use of shares of the Common Stock, is authorized by the Committee (and permitted by law), provided, however, that with respect to persons subject to Section 16 of the Exchange Act, any such withholding arrangement involving use of shares shall be in compliance with any applicable provisions of Rule 16b-3 promulgated under Section 16 of the Exchange Act. If the Committee allows withholding through use of shares of the Common Stock, it shall be only to the statutory minimum amount. For purposes hereof, the fair market value of the shares withheld for purposes of payroll withholding shall be determined in the manner provided in Section VI.A. as of the date of exercise. If the fair market value of the shares withheld is less than the amount of payroll withholdings required, the Option holder may be required to advance the difference in cash to the Company or the Affiliate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57" w:name="page158"/>
    <w:bookmarkEnd w:id="157"/>
    <w:p>
      <w:pPr>
        <w:ind w:left="1" w:right="100" w:firstLine="164"/>
        <w:spacing w:after="0" w:line="281" w:lineRule="auto"/>
        <w:rPr>
          <w:sz w:val="20"/>
          <w:szCs w:val="20"/>
          <w:color w:val="auto"/>
        </w:rPr>
      </w:pPr>
      <w:r>
        <w:rPr>
          <w:rFonts w:ascii="Arial" w:cs="Arial" w:eastAsia="Arial" w:hAnsi="Arial"/>
          <w:sz w:val="12"/>
          <w:szCs w:val="12"/>
          <w:color w:val="auto"/>
        </w:rPr>
        <w:t xml:space="preserve">P. </w:t>
      </w:r>
      <w:r>
        <w:rPr>
          <w:rFonts w:ascii="Arial" w:cs="Arial" w:eastAsia="Arial" w:hAnsi="Arial"/>
          <w:sz w:val="12"/>
          <w:szCs w:val="12"/>
          <w:u w:val="single" w:color="auto"/>
          <w:color w:val="auto"/>
        </w:rPr>
        <w:t>Reload Options</w:t>
      </w:r>
      <w:r>
        <w:rPr>
          <w:rFonts w:ascii="Arial" w:cs="Arial" w:eastAsia="Arial" w:hAnsi="Arial"/>
          <w:sz w:val="12"/>
          <w:szCs w:val="12"/>
          <w:color w:val="auto"/>
        </w:rPr>
        <w:t>: The Committee may authorize reload Options (“Reload Options”) to purchase for cash or shares a number of shares of the Common Stock. The number of Reload Options shall equal (i) the number of shares of the Common Stock used to exercise the underlying Options and (ii) to the extent authorized by the Committee, the number of shares of the Common Stock used to satisfy any tax withholding requirement incident to the exercise of the underlying Options. The grant of a Reload Option will become effective upon the exercise of underlying Options through the use of shares of the Common Stock held by the option holder for at least 6 months. Reload Options must be evidenced in Option Certificates or agreements. The Option price per share of the Common Stock deliverable upon the exercise of a Reload Option shall be the Fair Market Value on the date the grant of the Reload Option becomes effective. The term of each Reload Option shall be equal to the remaining option term of the underlying Option. No additional Reload Options shall be granted to Option holders when Options and/or Reload Options are exercised pursuant to the terms of the Plan following termination of the Option holder’s employment or on account of death or total and permanent disability. All other provisions of the Plan with respect to Options shall apply equally to Reload Options.</w:t>
      </w:r>
    </w:p>
    <w:p>
      <w:pPr>
        <w:spacing w:after="0" w:line="49"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 xml:space="preserve">Q. </w:t>
      </w:r>
      <w:r>
        <w:rPr>
          <w:rFonts w:ascii="Arial" w:cs="Arial" w:eastAsia="Arial" w:hAnsi="Arial"/>
          <w:sz w:val="13"/>
          <w:szCs w:val="13"/>
          <w:u w:val="single" w:color="auto"/>
          <w:color w:val="auto"/>
        </w:rPr>
        <w:t>Rights as a Shareholder</w:t>
      </w:r>
      <w:r>
        <w:rPr>
          <w:rFonts w:ascii="Arial" w:cs="Arial" w:eastAsia="Arial" w:hAnsi="Arial"/>
          <w:sz w:val="13"/>
          <w:szCs w:val="13"/>
          <w:color w:val="auto"/>
        </w:rPr>
        <w:t>: No Option holder shall have rights as a shareholder with respect to any shares of the Common Stock covered by such Option except as to such shares as have been registered in the Company’s share register in the name of such person upon the due exercise of the Option.</w:t>
      </w:r>
    </w:p>
    <w:p>
      <w:pPr>
        <w:spacing w:after="0" w:line="49" w:lineRule="exact"/>
        <w:rPr>
          <w:sz w:val="20"/>
          <w:szCs w:val="20"/>
          <w:color w:val="auto"/>
        </w:rPr>
      </w:pPr>
    </w:p>
    <w:p>
      <w:pPr>
        <w:jc w:val="both"/>
        <w:ind w:left="1" w:right="80" w:firstLine="164"/>
        <w:spacing w:after="0" w:line="303" w:lineRule="auto"/>
        <w:rPr>
          <w:sz w:val="20"/>
          <w:szCs w:val="20"/>
          <w:color w:val="auto"/>
        </w:rPr>
      </w:pPr>
      <w:r>
        <w:rPr>
          <w:rFonts w:ascii="Arial" w:cs="Arial" w:eastAsia="Arial" w:hAnsi="Arial"/>
          <w:sz w:val="11"/>
          <w:szCs w:val="11"/>
          <w:color w:val="auto"/>
        </w:rPr>
        <w:t xml:space="preserve">R. </w:t>
      </w:r>
      <w:r>
        <w:rPr>
          <w:rFonts w:ascii="Arial" w:cs="Arial" w:eastAsia="Arial" w:hAnsi="Arial"/>
          <w:sz w:val="11"/>
          <w:szCs w:val="11"/>
          <w:u w:val="single" w:color="auto"/>
          <w:color w:val="auto"/>
        </w:rPr>
        <w:t>Effect of Corporate Transaction</w:t>
      </w:r>
      <w:r>
        <w:rPr>
          <w:rFonts w:ascii="Arial" w:cs="Arial" w:eastAsia="Arial" w:hAnsi="Arial"/>
          <w:sz w:val="11"/>
          <w:szCs w:val="11"/>
          <w:color w:val="auto"/>
        </w:rPr>
        <w:t>: In the event of a Corporate Transaction, the Committee shall, prior to the effective date of the Corporate Transaction, as to each outstanding Option under the Plan either (i) make appropriate provisions for the Options to be assumed by the successor corporation or its parent or be replaced with a comparable options to purchase shares of the capital stock of the successor corporation or its parent; or (ii) upon written notice to the Option holders provide that all Options must be exercised and the Plan will terminate (all Options having been made fully exercisable as set forth below in this Section VI.R); or</w:t>
      </w:r>
    </w:p>
    <w:p>
      <w:pPr>
        <w:ind w:left="1" w:right="140" w:hanging="1"/>
        <w:spacing w:after="0" w:line="356" w:lineRule="auto"/>
        <w:tabs>
          <w:tab w:leader="none" w:pos="231" w:val="left"/>
        </w:tabs>
        <w:numPr>
          <w:ilvl w:val="0"/>
          <w:numId w:val="69"/>
        </w:numPr>
        <w:rPr>
          <w:rFonts w:ascii="Arial" w:cs="Arial" w:eastAsia="Arial" w:hAnsi="Arial"/>
          <w:sz w:val="11"/>
          <w:szCs w:val="11"/>
          <w:color w:val="auto"/>
        </w:rPr>
      </w:pPr>
      <w:r>
        <w:rPr>
          <w:rFonts w:ascii="Arial" w:cs="Arial" w:eastAsia="Arial" w:hAnsi="Arial"/>
          <w:sz w:val="11"/>
          <w:szCs w:val="11"/>
          <w:color w:val="auto"/>
        </w:rPr>
        <w:t>terminate all Options in exchange for a cash payment equal to the excess of the then aggregate Fair Market Value of the shares subject to such Options (all Options having been made fully exercisable as set forth below in this Section VI.R) over the aggregate Option price thereof. The determination of comparability under this Section shall be made by the Committee and its determination shall be final, binding and conclusive.</w:t>
      </w:r>
    </w:p>
    <w:p>
      <w:pPr>
        <w:spacing w:after="0" w:line="10" w:lineRule="exact"/>
        <w:rPr>
          <w:sz w:val="20"/>
          <w:szCs w:val="20"/>
          <w:color w:val="auto"/>
        </w:rPr>
      </w:pPr>
    </w:p>
    <w:p>
      <w:pPr>
        <w:ind w:left="1" w:firstLine="164"/>
        <w:spacing w:after="0" w:line="258" w:lineRule="auto"/>
        <w:rPr>
          <w:sz w:val="20"/>
          <w:szCs w:val="20"/>
          <w:color w:val="auto"/>
        </w:rPr>
      </w:pPr>
      <w:r>
        <w:rPr>
          <w:rFonts w:ascii="Arial" w:cs="Arial" w:eastAsia="Arial" w:hAnsi="Arial"/>
          <w:sz w:val="13"/>
          <w:szCs w:val="13"/>
          <w:color w:val="auto"/>
        </w:rPr>
        <w:t>Each outstanding Option under the Plan which is assumed in connection with a Corporate Transaction or is otherwise to continue in effect shall be appropriately adjusted, immediately after such Corporate Transaction, to apply and pertain to the number and class of securities which would have been issued, in consummation of such Corporate Transaction, to an actual holder of the same number of shares of the Common Stock as are subject to such Option immediately prior to such Corporate Transaction. Appropriate adjustments shall also be made to the Option price payable per share, provided the aggregate Option price payable for such securities shall remain the same. In addition, the class and number of securities available for issuance under the Plan on both an aggregate and per participant basis shall be appropriately adjusted to reflect the effect of the Corporate Transaction upon the Company’s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158" w:name="page159"/>
    <w:bookmarkEnd w:id="158"/>
    <w:p>
      <w:pPr>
        <w:ind w:firstLine="164"/>
        <w:spacing w:after="0" w:line="278" w:lineRule="auto"/>
        <w:rPr>
          <w:sz w:val="20"/>
          <w:szCs w:val="20"/>
          <w:color w:val="auto"/>
        </w:rPr>
      </w:pPr>
      <w:r>
        <w:rPr>
          <w:rFonts w:ascii="Arial" w:cs="Arial" w:eastAsia="Arial" w:hAnsi="Arial"/>
          <w:sz w:val="12"/>
          <w:szCs w:val="12"/>
          <w:color w:val="auto"/>
        </w:rPr>
        <w:t>If at any time within two (2) years of the effective date of a Corporate Transaction there is an Involuntary Employment Action with respect to any Designated Employee, each then outstanding Option assumed or replaced under this Section and held by such Designated Employee (or a permitted transferee of such person) shall, upon the occurrence of such Involuntary Employment Action, automatically accelerate so that each such Option shall immediately become exercisable for the total number of shares of Common Stock at the time subject to such Option, as assumed or replaced, and may be exercised for all or any portion of those shares to the extent not previously exercised. Upon the occurrence of an Involuntary Employment Action with respect to a Designated Employee, any outstanding Options held by such Designated Employee (and his or her permitted transferees) shall be exercisable within one (1) year of the Involuntary Employment Action or, if earlier, within the originally prescribed term of the Option. An “Involuntary Employment Action” as to an Designated Employee shall mean the involuntary termination of the Designated Employee’s employment with the Company or an Affiliate other than For Cause, or the termination by the Designated Employee of his employment with the Company and its Affiliates upon the occurrence, without the Option holder’s express written consent, of any of the following circumstances unless such circumstances are corrected (provided such circumstances are capable of correction): (i) any adverse and material alteration and diminution in the Option holder’s position, title or responsibilities (other than a mere change in title or reporting relationship) as they existed immediately prior to the Corporate Transaction or as the same may be increased from time to time thereafter, (ii) a reduction of the Option holder’s annual base salary or targeted bonus opportunity, in each case as in effect on the date prior to the Corporate Transaction or as the same may be increased from time to time thereafter, or (iii) relocation of the offices at which the Option holder is employed which increases the Option holder’s daily commute by more than 100 miles on a round trip basis.</w:t>
      </w:r>
    </w:p>
    <w:p>
      <w:pPr>
        <w:spacing w:after="0" w:line="50"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In the event the Company terminates the Plan or elects to cash out the Options in accordance with clauses (ii) and (iii) of the first paragraph of this Section VI.R, then the exercisability of each Option outstanding under the Plan shall be automatically accelerated so that each such Option shall immediately prior to such Corporate Transaction, become exercisable for the full number of shares of the Common Stock purchasable under such Option to the extent not previously exercised and may be exercised prior to such Corporate Transaction for all or any portion of such shares. The Committee shall, in its discretion, determine the timing and mechanics required to implement the foregoing sentence.</w:t>
      </w:r>
    </w:p>
    <w:p>
      <w:pPr>
        <w:spacing w:after="0" w:line="60" w:lineRule="exact"/>
        <w:rPr>
          <w:sz w:val="20"/>
          <w:szCs w:val="20"/>
          <w:color w:val="auto"/>
        </w:rPr>
      </w:pPr>
    </w:p>
    <w:p>
      <w:pPr>
        <w:ind w:right="120" w:firstLine="164"/>
        <w:spacing w:after="0" w:line="258" w:lineRule="auto"/>
        <w:rPr>
          <w:sz w:val="20"/>
          <w:szCs w:val="20"/>
          <w:color w:val="auto"/>
        </w:rPr>
      </w:pPr>
      <w:r>
        <w:rPr>
          <w:rFonts w:ascii="Arial" w:cs="Arial" w:eastAsia="Arial" w:hAnsi="Arial"/>
          <w:sz w:val="13"/>
          <w:szCs w:val="13"/>
          <w:color w:val="auto"/>
        </w:rPr>
        <w:t xml:space="preserve">S. </w:t>
      </w:r>
      <w:r>
        <w:rPr>
          <w:rFonts w:ascii="Arial" w:cs="Arial" w:eastAsia="Arial" w:hAnsi="Arial"/>
          <w:sz w:val="13"/>
          <w:szCs w:val="13"/>
          <w:u w:val="single" w:color="auto"/>
          <w:color w:val="auto"/>
        </w:rPr>
        <w:t>Acceleration Upon Corporate Change in Control</w:t>
      </w:r>
      <w:r>
        <w:rPr>
          <w:rFonts w:ascii="Arial" w:cs="Arial" w:eastAsia="Arial" w:hAnsi="Arial"/>
          <w:sz w:val="13"/>
          <w:szCs w:val="13"/>
          <w:color w:val="auto"/>
        </w:rPr>
        <w:t>: In the event of a Corporate Change in Control then the exercisability of each Option outstanding under the Plan shall be automatically accelerated so that each such Option shall immediately prior to such Corporate Change in Control, become exercisable for the full number of shares of the Common Stock purchasable under such Option to the extent not previously exercised and may be exercised for all or any portion of such shares consistent with Article VIII within the originally prescribed term of the Option. The Committee shall, in its discretion, determine the timing and mechanics required to implement the foregoing sentence. However, an outstanding Option under the Plan shall not be accelerated under this Section if and to the extent one or more limitations imposed by the Committee at the time of grant preclude such acceleration upon a Corporate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9" w:name="page160"/>
    <w:bookmarkEnd w:id="159"/>
    <w:p>
      <w:pPr>
        <w:ind w:left="160"/>
        <w:spacing w:after="0"/>
        <w:rPr>
          <w:sz w:val="20"/>
          <w:szCs w:val="20"/>
          <w:color w:val="auto"/>
        </w:rPr>
      </w:pPr>
      <w:r>
        <w:rPr>
          <w:rFonts w:ascii="Arial" w:cs="Arial" w:eastAsia="Arial" w:hAnsi="Arial"/>
          <w:sz w:val="13"/>
          <w:szCs w:val="13"/>
          <w:color w:val="auto"/>
        </w:rPr>
        <w:t>T. The provisions of Sections VI.R and VI.S shall be retroactive and shall apply to all Options granted under the Plan, regardless of the date of grant.</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U. The grant of Options under the Plan shall in no way affect the right of the Company to adjust, reclassify, reorganize or otherwise change its capital or business structure or to merge, consolidate, dissolve, liquidate or sell or transfer all or any part of its business or assets.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VII. PURCHASE FOR INVESTMENT</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If and to the extent that the issuance of shares pursuant to the exercise of Options is deemed by the Company to be subject to the Securities Act, or to the securities law of any other jurisdiction, the Company shall be under no obligation to issue shares covered by such exercise unless the person or persons who exercises or who exercise such Option shall make such warranty or take such action as may be required by any applicable securities law of any applicable jurisdiction and shall, in the case of the applicability of the Securities Act, in the absence of an effective registration under the Securities Act with respect to such shares, warrant to the Company, at the time of such exercise, that such person is or that they are acquiring the shares to be issued to such person or to them, pursuant to such exercise of the Option, for investment and not with a view to, or for sale in connection with, the distribution of any such shares; and in such events the person or persons acquiring such shares shall be bound by the provisions of a legend endorsed upon any share certificates expressing the requirements of any applicable non-United States securities law, or, in cases deemed governed by the Securities Act, substantially the following legend, which shall be endorsed upon the certificate or certificates evidencing the shares issued by the Company pursuant to such exercise:</w:t>
      </w:r>
    </w:p>
    <w:p>
      <w:pPr>
        <w:spacing w:after="0" w:line="63" w:lineRule="exact"/>
        <w:rPr>
          <w:sz w:val="20"/>
          <w:szCs w:val="20"/>
          <w:color w:val="auto"/>
        </w:rPr>
      </w:pPr>
    </w:p>
    <w:p>
      <w:pPr>
        <w:jc w:val="both"/>
        <w:ind w:left="220" w:right="20"/>
        <w:spacing w:after="0" w:line="296" w:lineRule="auto"/>
        <w:rPr>
          <w:sz w:val="20"/>
          <w:szCs w:val="20"/>
          <w:color w:val="auto"/>
        </w:rPr>
      </w:pPr>
      <w:r>
        <w:rPr>
          <w:rFonts w:ascii="Arial" w:cs="Arial" w:eastAsia="Arial" w:hAnsi="Arial"/>
          <w:sz w:val="12"/>
          <w:szCs w:val="12"/>
          <w:color w:val="auto"/>
        </w:rPr>
        <w:t>“The shares have not been registered under the securities laws of any country, including the United States Securities Act of 1933, as amended, and the Company may refuse to permit the sale or transfer of all or any of the shares until (1) the Company has received an opinion of counsel satisfactory to the Company that any such transfer is exempt from registration under all applicable securities laws or (2) in the case of sales or transfers to which the United States Securities Act of 1933, as amended, is applicable, unless a registration statement with respect to such shares shall be effective under such Act, as amended.”</w:t>
      </w:r>
    </w:p>
    <w:p>
      <w:pPr>
        <w:spacing w:after="0" w:line="4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VIII. ADJUSTMENTS UPON CHANGES IN CAPITALIZATION</w:t>
      </w:r>
    </w:p>
    <w:p>
      <w:pPr>
        <w:spacing w:after="0" w:line="86"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In the event that outstanding shares of the Common Stock are changed into or exchanged for a different number or kind of shares or other securities of the Company or of another corporation by reason of any reorganization, merger, consolidation, recapitalization, reclassification, change in par value, stock split-up, combination of shares or dividend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ind w:right="60"/>
        <w:spacing w:after="0" w:line="260" w:lineRule="auto"/>
        <w:rPr>
          <w:sz w:val="20"/>
          <w:szCs w:val="20"/>
          <w:color w:val="auto"/>
        </w:rPr>
      </w:pPr>
      <w:r>
        <w:rPr>
          <w:rFonts w:ascii="Arial" w:cs="Arial" w:eastAsia="Arial" w:hAnsi="Arial"/>
          <w:sz w:val="13"/>
          <w:szCs w:val="13"/>
          <w:color w:val="auto"/>
        </w:rPr>
        <w:t>in capital stock, or the like except in a Corporate Transaction for which such adjustments are set forth in Section VI.R above, appropriate adjustment shall be made in the number and kind of shares for the purchase of which Options may be granted under the Plan, including Options to be granted pursuant to Section VI.N above, and, in addition, appropriate adjustment shall be made in the number and kind of shares and in the Option price per share subject to outstanding Options so that each Option holder shall be in a position equivalent to the position the Option holder would have been in had the Option holder exercised the Options immediately prior to the applicable event.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IX. DISSOLUTION OR LIQUIDATION OF THE COMPANY</w:t>
      </w:r>
    </w:p>
    <w:p>
      <w:pPr>
        <w:spacing w:after="0" w:line="86"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Upon the dissolution or liquidation of the Company other than in connection with transactions to which the preceding Article VIII is applicable, all Options granted hereunder shall terminate and become null and void; provided, however, that if the rights hereunder of an Option holder or one who acquired an Option by will or by the laws of descent and distribution have not otherwise terminated and expired, the Option holder or such person shall have the right immediately prior to such dissolution or liquidation to exercise any Option granted hereunder to the extent that the right to purchase shares thereunder has accrued as of the date of exercise immediately prior to such dissolution or liquidation.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X. TERMINATION OF THE PLAN</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Unless the Committee shall decide to reduce or, subject to shareholder approval, if required under Article XI, to extend the duration of the Plan, the Plan shall terminate on December 31, 2011. Termination of the Plan shall not affect any Options granted or any Option Certificates or agreements executed prior to the effective date of termination.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XI. AMENDMENT OF THE PLAN</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The Plan may be amended by the Committee or the Board of Directors of the Company; provided, however, that if the scope of any amendment is such as to require shareholder approval then such amendment shall require approval by the shareholders. Any amendment shall not affect any Options theretofore granted and any Option Certificates or agreements theretofore executed by the Company and any Option holder unless such amendment shall expressly so provide. No amendment shall adversely affect any Option holder with respect to an outstanding Option without the written consent of such Option holder. With the consent of the Option holder affected, the Committee may amend any outstanding Option Certificate or agreement in a manner not inconsistent with the Plan, including, without limitation, to accelerate the date of exercise of any installment of any Option.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XII. EMPLOYMENT RELATIONSHIP</w:t>
      </w:r>
    </w:p>
    <w:p>
      <w:pPr>
        <w:spacing w:after="0" w:line="86"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color w:val="auto"/>
        </w:rPr>
        <w:t>Nothing herein contained shall be deemed to prevent the Company or an Affiliate from terminating the employment of any Employee, nor to prevent any Employee from terminating his employment with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color w:val="auto"/>
        </w:rPr>
        <w:t>XIII. EFFECTIVE DATE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Plan first became effective on January 2, 1985.</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XIV GOVERNING LAW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Plan shall be construed and enforced in accordance with the law of The Commonwealth of Massachusetts.</w:t>
      </w:r>
    </w:p>
    <w:p>
      <w:pPr>
        <w:sectPr>
          <w:pgSz w:w="11900" w:h="16838" w:orient="portrait"/>
          <w:cols w:equalWidth="0" w:num="1">
            <w:col w:w="10239"/>
          </w:cols>
          <w:pgMar w:left="220" w:top="721"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4493895" cy="7175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493895" cy="71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 E M O R A N D U M</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O</w:t>
      </w:r>
      <w:r>
        <w:rPr>
          <w:rFonts w:ascii="Arial" w:cs="Arial" w:eastAsia="Arial" w:hAnsi="Arial"/>
          <w:sz w:val="13"/>
          <w:szCs w:val="13"/>
          <w:color w:val="auto"/>
        </w:rPr>
        <w:t>: File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ROM</w:t>
      </w:r>
      <w:r>
        <w:rPr>
          <w:rFonts w:ascii="Arial" w:cs="Arial" w:eastAsia="Arial" w:hAnsi="Arial"/>
          <w:sz w:val="13"/>
          <w:szCs w:val="13"/>
          <w:color w:val="auto"/>
        </w:rPr>
        <w:t>: Susan Alexander</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ATE</w:t>
      </w:r>
      <w:r>
        <w:rPr>
          <w:rFonts w:ascii="Arial" w:cs="Arial" w:eastAsia="Arial" w:hAnsi="Arial"/>
          <w:sz w:val="13"/>
          <w:szCs w:val="13"/>
          <w:color w:val="auto"/>
        </w:rPr>
        <w:t>: July 23, 2007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UBJECT</w:t>
      </w:r>
      <w:r>
        <w:rPr>
          <w:rFonts w:ascii="Arial" w:cs="Arial" w:eastAsia="Arial" w:hAnsi="Arial"/>
          <w:sz w:val="13"/>
          <w:szCs w:val="13"/>
          <w:color w:val="auto"/>
        </w:rPr>
        <w:t>: Director Fees and Expenses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retainers and meeting fees payable to directors from the 2007 Annual Meeting of Stockholders until the 2008 Annual Meeting of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Retainers and Fees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u w:val="single" w:color="auto"/>
          <w:color w:val="auto"/>
        </w:rPr>
        <w:t>Annual Retainers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20" w:type="dxa"/>
            <w:vAlign w:val="bottom"/>
          </w:tcPr>
          <w:p>
            <w:pPr>
              <w:spacing w:after="0"/>
              <w:rPr>
                <w:sz w:val="20"/>
                <w:szCs w:val="20"/>
                <w:color w:val="auto"/>
              </w:rPr>
            </w:pPr>
            <w:r>
              <w:rPr>
                <w:rFonts w:ascii="Arial" w:cs="Arial" w:eastAsia="Arial" w:hAnsi="Arial"/>
                <w:sz w:val="13"/>
                <w:szCs w:val="13"/>
                <w:color w:val="auto"/>
              </w:rPr>
              <w:t>$25,000</w:t>
            </w:r>
          </w:p>
        </w:tc>
        <w:tc>
          <w:tcPr>
            <w:tcW w:w="8640" w:type="dxa"/>
            <w:vAlign w:val="bottom"/>
          </w:tcPr>
          <w:p>
            <w:pPr>
              <w:ind w:left="180"/>
              <w:spacing w:after="0"/>
              <w:rPr>
                <w:sz w:val="20"/>
                <w:szCs w:val="20"/>
                <w:color w:val="auto"/>
              </w:rPr>
            </w:pPr>
            <w:r>
              <w:rPr>
                <w:rFonts w:ascii="Arial" w:cs="Arial" w:eastAsia="Arial" w:hAnsi="Arial"/>
                <w:sz w:val="13"/>
                <w:szCs w:val="13"/>
                <w:color w:val="auto"/>
              </w:rPr>
              <w:t>Board retainer</w:t>
            </w:r>
          </w:p>
        </w:tc>
      </w:tr>
      <w:tr>
        <w:trPr>
          <w:trHeight w:val="157"/>
        </w:trPr>
        <w:tc>
          <w:tcPr>
            <w:tcW w:w="620" w:type="dxa"/>
            <w:vAlign w:val="bottom"/>
          </w:tcPr>
          <w:p>
            <w:pPr>
              <w:spacing w:after="0"/>
              <w:rPr>
                <w:sz w:val="20"/>
                <w:szCs w:val="20"/>
                <w:color w:val="auto"/>
              </w:rPr>
            </w:pPr>
            <w:r>
              <w:rPr>
                <w:rFonts w:ascii="Arial" w:cs="Arial" w:eastAsia="Arial" w:hAnsi="Arial"/>
                <w:sz w:val="13"/>
                <w:szCs w:val="13"/>
                <w:color w:val="auto"/>
              </w:rPr>
              <w:t>$20,000</w:t>
            </w:r>
          </w:p>
        </w:tc>
        <w:tc>
          <w:tcPr>
            <w:tcW w:w="8640" w:type="dxa"/>
            <w:vAlign w:val="bottom"/>
          </w:tcPr>
          <w:p>
            <w:pPr>
              <w:ind w:left="180"/>
              <w:spacing w:after="0"/>
              <w:rPr>
                <w:sz w:val="20"/>
                <w:szCs w:val="20"/>
                <w:color w:val="auto"/>
              </w:rPr>
            </w:pPr>
            <w:r>
              <w:rPr>
                <w:rFonts w:ascii="Arial" w:cs="Arial" w:eastAsia="Arial" w:hAnsi="Arial"/>
                <w:sz w:val="13"/>
                <w:szCs w:val="13"/>
                <w:color w:val="auto"/>
              </w:rPr>
              <w:t>additional annual retainer for chair of Finance and Audit Committee</w:t>
            </w:r>
          </w:p>
        </w:tc>
      </w:tr>
      <w:tr>
        <w:trPr>
          <w:trHeight w:val="157"/>
        </w:trPr>
        <w:tc>
          <w:tcPr>
            <w:tcW w:w="620" w:type="dxa"/>
            <w:vAlign w:val="bottom"/>
          </w:tcPr>
          <w:p>
            <w:pPr>
              <w:spacing w:after="0"/>
              <w:rPr>
                <w:sz w:val="20"/>
                <w:szCs w:val="20"/>
                <w:color w:val="auto"/>
              </w:rPr>
            </w:pPr>
            <w:r>
              <w:rPr>
                <w:rFonts w:ascii="Arial" w:cs="Arial" w:eastAsia="Arial" w:hAnsi="Arial"/>
                <w:sz w:val="13"/>
                <w:szCs w:val="13"/>
                <w:color w:val="auto"/>
              </w:rPr>
              <w:t>$ 5,000</w:t>
            </w:r>
          </w:p>
        </w:tc>
        <w:tc>
          <w:tcPr>
            <w:tcW w:w="8640" w:type="dxa"/>
            <w:vAlign w:val="bottom"/>
          </w:tcPr>
          <w:p>
            <w:pPr>
              <w:ind w:left="180"/>
              <w:spacing w:after="0"/>
              <w:rPr>
                <w:sz w:val="20"/>
                <w:szCs w:val="20"/>
                <w:color w:val="auto"/>
              </w:rPr>
            </w:pPr>
            <w:r>
              <w:rPr>
                <w:rFonts w:ascii="Arial" w:cs="Arial" w:eastAsia="Arial" w:hAnsi="Arial"/>
                <w:sz w:val="13"/>
                <w:szCs w:val="13"/>
                <w:color w:val="auto"/>
              </w:rPr>
              <w:t>additional annual retainer for members of Finance and Audit Committee</w:t>
            </w:r>
          </w:p>
        </w:tc>
      </w:tr>
      <w:tr>
        <w:trPr>
          <w:trHeight w:val="157"/>
        </w:trPr>
        <w:tc>
          <w:tcPr>
            <w:tcW w:w="620" w:type="dxa"/>
            <w:vAlign w:val="bottom"/>
          </w:tcPr>
          <w:p>
            <w:pPr>
              <w:spacing w:after="0"/>
              <w:rPr>
                <w:sz w:val="20"/>
                <w:szCs w:val="20"/>
                <w:color w:val="auto"/>
              </w:rPr>
            </w:pPr>
            <w:r>
              <w:rPr>
                <w:rFonts w:ascii="Arial" w:cs="Arial" w:eastAsia="Arial" w:hAnsi="Arial"/>
                <w:sz w:val="13"/>
                <w:szCs w:val="13"/>
                <w:color w:val="auto"/>
              </w:rPr>
              <w:t>$10,000</w:t>
            </w:r>
          </w:p>
        </w:tc>
        <w:tc>
          <w:tcPr>
            <w:tcW w:w="8640" w:type="dxa"/>
            <w:vAlign w:val="bottom"/>
          </w:tcPr>
          <w:p>
            <w:pPr>
              <w:ind w:left="180"/>
              <w:spacing w:after="0"/>
              <w:rPr>
                <w:sz w:val="20"/>
                <w:szCs w:val="20"/>
                <w:color w:val="auto"/>
              </w:rPr>
            </w:pPr>
            <w:r>
              <w:rPr>
                <w:rFonts w:ascii="Arial" w:cs="Arial" w:eastAsia="Arial" w:hAnsi="Arial"/>
                <w:sz w:val="13"/>
                <w:szCs w:val="13"/>
                <w:color w:val="auto"/>
                <w:w w:val="91"/>
              </w:rPr>
              <w:t>additional annual retainer for chairs of Corporate Governance Committee, Compensation and Management Development Committee and Transaction Committee</w:t>
            </w:r>
          </w:p>
        </w:tc>
      </w:tr>
      <w:tr>
        <w:trPr>
          <w:trHeight w:val="165"/>
        </w:trPr>
        <w:tc>
          <w:tcPr>
            <w:tcW w:w="620" w:type="dxa"/>
            <w:vAlign w:val="bottom"/>
          </w:tcPr>
          <w:p>
            <w:pPr>
              <w:spacing w:after="0"/>
              <w:rPr>
                <w:sz w:val="20"/>
                <w:szCs w:val="20"/>
                <w:color w:val="auto"/>
              </w:rPr>
            </w:pPr>
            <w:r>
              <w:rPr>
                <w:rFonts w:ascii="Arial" w:cs="Arial" w:eastAsia="Arial" w:hAnsi="Arial"/>
                <w:sz w:val="13"/>
                <w:szCs w:val="13"/>
                <w:color w:val="auto"/>
              </w:rPr>
              <w:t>$60,000</w:t>
            </w:r>
          </w:p>
        </w:tc>
        <w:tc>
          <w:tcPr>
            <w:tcW w:w="8640" w:type="dxa"/>
            <w:vAlign w:val="bottom"/>
          </w:tcPr>
          <w:p>
            <w:pPr>
              <w:ind w:left="180"/>
              <w:spacing w:after="0"/>
              <w:rPr>
                <w:sz w:val="20"/>
                <w:szCs w:val="20"/>
                <w:color w:val="auto"/>
              </w:rPr>
            </w:pPr>
            <w:r>
              <w:rPr>
                <w:rFonts w:ascii="Arial" w:cs="Arial" w:eastAsia="Arial" w:hAnsi="Arial"/>
                <w:sz w:val="13"/>
                <w:szCs w:val="13"/>
                <w:color w:val="auto"/>
              </w:rPr>
              <w:t>additional annual retainer for Chairman of the Board</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Annual retainers will be paid in four equal quarterly installments.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u w:val="single" w:color="auto"/>
          <w:color w:val="auto"/>
        </w:rPr>
        <w:t>Meeting Fees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jc w:val="right"/>
              <w:ind w:right="154"/>
              <w:spacing w:after="0"/>
              <w:rPr>
                <w:sz w:val="20"/>
                <w:szCs w:val="20"/>
                <w:color w:val="auto"/>
              </w:rPr>
            </w:pPr>
            <w:r>
              <w:rPr>
                <w:rFonts w:ascii="Arial" w:cs="Arial" w:eastAsia="Arial" w:hAnsi="Arial"/>
                <w:sz w:val="13"/>
                <w:szCs w:val="13"/>
                <w:color w:val="auto"/>
                <w:w w:val="85"/>
              </w:rPr>
              <w:t>$2,500</w:t>
            </w:r>
          </w:p>
        </w:tc>
        <w:tc>
          <w:tcPr>
            <w:tcW w:w="3680" w:type="dxa"/>
            <w:vAlign w:val="bottom"/>
          </w:tcPr>
          <w:p>
            <w:pPr>
              <w:ind w:left="220"/>
              <w:spacing w:after="0"/>
              <w:rPr>
                <w:sz w:val="20"/>
                <w:szCs w:val="20"/>
                <w:color w:val="auto"/>
              </w:rPr>
            </w:pPr>
            <w:r>
              <w:rPr>
                <w:rFonts w:ascii="Arial" w:cs="Arial" w:eastAsia="Arial" w:hAnsi="Arial"/>
                <w:sz w:val="13"/>
                <w:szCs w:val="13"/>
                <w:color w:val="auto"/>
              </w:rPr>
              <w:t>each Board meeting attended (in person)</w:t>
            </w:r>
          </w:p>
        </w:tc>
      </w:tr>
      <w:tr>
        <w:trPr>
          <w:trHeight w:val="157"/>
        </w:trPr>
        <w:tc>
          <w:tcPr>
            <w:tcW w:w="580" w:type="dxa"/>
            <w:vAlign w:val="bottom"/>
          </w:tcPr>
          <w:p>
            <w:pPr>
              <w:jc w:val="right"/>
              <w:ind w:right="154"/>
              <w:spacing w:after="0"/>
              <w:rPr>
                <w:sz w:val="20"/>
                <w:szCs w:val="20"/>
                <w:color w:val="auto"/>
              </w:rPr>
            </w:pPr>
            <w:r>
              <w:rPr>
                <w:rFonts w:ascii="Arial" w:cs="Arial" w:eastAsia="Arial" w:hAnsi="Arial"/>
                <w:sz w:val="13"/>
                <w:szCs w:val="13"/>
                <w:color w:val="auto"/>
                <w:w w:val="85"/>
              </w:rPr>
              <w:t>$1,250</w:t>
            </w:r>
          </w:p>
        </w:tc>
        <w:tc>
          <w:tcPr>
            <w:tcW w:w="3680" w:type="dxa"/>
            <w:vAlign w:val="bottom"/>
          </w:tcPr>
          <w:p>
            <w:pPr>
              <w:ind w:left="220"/>
              <w:spacing w:after="0"/>
              <w:rPr>
                <w:sz w:val="20"/>
                <w:szCs w:val="20"/>
                <w:color w:val="auto"/>
              </w:rPr>
            </w:pPr>
            <w:r>
              <w:rPr>
                <w:rFonts w:ascii="Arial" w:cs="Arial" w:eastAsia="Arial" w:hAnsi="Arial"/>
                <w:sz w:val="13"/>
                <w:szCs w:val="13"/>
                <w:color w:val="auto"/>
              </w:rPr>
              <w:t>each Board meeting attended (by teleconference)</w:t>
            </w:r>
          </w:p>
        </w:tc>
      </w:tr>
      <w:tr>
        <w:trPr>
          <w:trHeight w:val="165"/>
        </w:trPr>
        <w:tc>
          <w:tcPr>
            <w:tcW w:w="580" w:type="dxa"/>
            <w:vAlign w:val="bottom"/>
          </w:tcPr>
          <w:p>
            <w:pPr>
              <w:jc w:val="right"/>
              <w:ind w:right="154"/>
              <w:spacing w:after="0"/>
              <w:rPr>
                <w:sz w:val="20"/>
                <w:szCs w:val="20"/>
                <w:color w:val="auto"/>
              </w:rPr>
            </w:pPr>
            <w:r>
              <w:rPr>
                <w:rFonts w:ascii="Arial" w:cs="Arial" w:eastAsia="Arial" w:hAnsi="Arial"/>
                <w:sz w:val="13"/>
                <w:szCs w:val="13"/>
                <w:color w:val="auto"/>
                <w:w w:val="85"/>
              </w:rPr>
              <w:t>$1,000</w:t>
            </w:r>
          </w:p>
        </w:tc>
        <w:tc>
          <w:tcPr>
            <w:tcW w:w="3680" w:type="dxa"/>
            <w:vAlign w:val="bottom"/>
          </w:tcPr>
          <w:p>
            <w:pPr>
              <w:ind w:left="220"/>
              <w:spacing w:after="0"/>
              <w:rPr>
                <w:sz w:val="20"/>
                <w:szCs w:val="20"/>
                <w:color w:val="auto"/>
              </w:rPr>
            </w:pPr>
            <w:r>
              <w:rPr>
                <w:rFonts w:ascii="Arial" w:cs="Arial" w:eastAsia="Arial" w:hAnsi="Arial"/>
                <w:sz w:val="13"/>
                <w:szCs w:val="13"/>
                <w:color w:val="auto"/>
                <w:w w:val="89"/>
              </w:rPr>
              <w:t>each committee meeting attended (in person or by teleconference)</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Meeting fees will be paid for attendance at formal meetings of the Board or its committees, i.e., those for which meeting minutes are prepared. Meeting fees will not be paid for informal gatherings of directors.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3"/>
          <w:szCs w:val="13"/>
          <w:u w:val="single" w:color="auto"/>
          <w:color w:val="auto"/>
        </w:rPr>
        <w:t>Special Service Fee (extraordinary)</w:t>
      </w:r>
    </w:p>
    <w:p>
      <w:pPr>
        <w:spacing w:after="0" w:line="165"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color w:val="auto"/>
        </w:rPr>
        <w:t>$1,000</w:t>
      </w:r>
      <w:r>
        <w:rPr>
          <w:sz w:val="20"/>
          <w:szCs w:val="20"/>
          <w:color w:val="auto"/>
        </w:rPr>
        <w:tab/>
      </w:r>
      <w:r>
        <w:rPr>
          <w:rFonts w:ascii="Arial" w:cs="Arial" w:eastAsia="Arial" w:hAnsi="Arial"/>
          <w:sz w:val="11"/>
          <w:szCs w:val="11"/>
          <w:color w:val="auto"/>
        </w:rPr>
        <w:t>each full day of service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Biogen Idec 14 Cambridge Center Cambridge, MA 02142 Phone 617-679-2000 www.biogenidec.com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63" w:name="page164"/>
    <w:bookmarkEnd w:id="163"/>
    <w:p>
      <w:pPr>
        <w:spacing w:after="0"/>
        <w:rPr>
          <w:sz w:val="20"/>
          <w:szCs w:val="20"/>
          <w:color w:val="auto"/>
        </w:rPr>
      </w:pPr>
      <w:r>
        <w:rPr>
          <w:rFonts w:ascii="Arial" w:cs="Arial" w:eastAsia="Arial" w:hAnsi="Arial"/>
          <w:sz w:val="12"/>
          <w:szCs w:val="12"/>
          <w:color w:val="auto"/>
        </w:rPr>
        <w:t>The special service fee is for a full day of service, excluding services (and travel) relating to Board or committee meetings, at the request of the Board or the Company and which involves extensive travel by a director.</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It is expected that situations for which a special service fee is due will be infrequent.</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Retainers and fees will be paid shortly following the end of each calendar quarter (or, with respect to the fourth calendar quarter, by the end of the year). Each payment will be accompanied by a schedule explaining how the payment was calculated. Retainers are calculated on the basis of the position held at the beginning of the calendar quarter for which payment is to be made.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Payments of retainers and fees will be reported to the IRS on Form 1099 as income, unless the payments are made to qualifying deferred compensation accounts previously established by directors.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Expenses</w:t>
      </w:r>
    </w:p>
    <w:p>
      <w:pPr>
        <w:spacing w:after="0" w:line="86"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color w:val="auto"/>
        </w:rPr>
        <w:t>The Company will reimburse directors for all reasonable out-of-pocket expenses associated with their duties as directors, including travel to and from Board and committee meetings. The expenses of spouses and significant others will be reimbursed when directors’ spouses and significant others are invited to attend Company events with directors.</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Expenses will be reimbursed when submitted. Expense reports, including receipts or other supporting documentation, should be sent to the Company’s accounts payable department (attn. Drew Gollerkeri). If you would like to fax the expense report to expedite the approval process, please fax it to Bob Licht at 866-819-5288.</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Reimbursement for directors expenses usually will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be reported to the IRS as income. Reimbursement for travel expenses of others will be reported to the IRS as income, and reimbursement for certain other expenses (for example a program that does not meet IRS guidelines) may also be reportable as income.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Questions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Questions about retainers, fees and expenses may be addressed to the following individuals: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Bob Licht (retainers and fees, </w:t>
      </w:r>
      <w:r>
        <w:rPr>
          <w:rFonts w:ascii="Arial" w:cs="Arial" w:eastAsia="Arial" w:hAnsi="Arial"/>
          <w:sz w:val="13"/>
          <w:szCs w:val="13"/>
          <w:u w:val="single" w:color="auto"/>
          <w:color w:val="auto"/>
        </w:rPr>
        <w:t>including special service fee</w:t>
      </w:r>
      <w:r>
        <w:rPr>
          <w:rFonts w:ascii="Arial" w:cs="Arial" w:eastAsia="Arial" w:hAnsi="Arial"/>
          <w:sz w:val="13"/>
          <w:szCs w:val="13"/>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Chief Corporation Counsel</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14 Cambridge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Cambridge, MA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auto"/>
        </w:rPr>
        <w:t>Tel. (617) 679-3662</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bob.licht@biogenidec.com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Drew Gollerkeri (expenses)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Associate Director, Accounts Payable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14 Cambridge Center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Cambridge, MA 02142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(617) 679-3818</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drew.gollerkeri@biogenidec.com</w:t>
      </w:r>
    </w:p>
    <w:p>
      <w:pPr>
        <w:sectPr>
          <w:pgSz w:w="11900" w:h="16838" w:orient="portrait"/>
          <w:cols w:equalWidth="0" w:num="1">
            <w:col w:w="10239"/>
          </w:cols>
          <w:pgMar w:left="220" w:top="720"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10.45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BIOGEN IDEC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2006 NON-EMPLOYEE DIRECTORS EQUITY PLAN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First Amendment</w:t>
      </w:r>
    </w:p>
    <w:p>
      <w:pPr>
        <w:spacing w:after="0" w:line="86" w:lineRule="exact"/>
        <w:rPr>
          <w:sz w:val="20"/>
          <w:szCs w:val="20"/>
          <w:color w:val="auto"/>
        </w:rPr>
      </w:pPr>
    </w:p>
    <w:p>
      <w:pPr>
        <w:ind w:left="1" w:right="260" w:firstLine="164"/>
        <w:spacing w:after="0" w:line="276" w:lineRule="auto"/>
        <w:rPr>
          <w:sz w:val="20"/>
          <w:szCs w:val="20"/>
          <w:color w:val="auto"/>
        </w:rPr>
      </w:pPr>
      <w:r>
        <w:rPr>
          <w:rFonts w:ascii="Arial" w:cs="Arial" w:eastAsia="Arial" w:hAnsi="Arial"/>
          <w:sz w:val="13"/>
          <w:szCs w:val="13"/>
          <w:color w:val="auto"/>
        </w:rPr>
        <w:t>Pursuant to Section 17 of the Biogen Idec Inc. 2006 Non-Employee Directors Equity Plan (the “Plan”), the following clarifying amendments are hereby made to Section 7(d) of the Plan, effective as of the Plan’s Effective Date:</w:t>
      </w:r>
    </w:p>
    <w:p>
      <w:pPr>
        <w:spacing w:after="0" w:line="49" w:lineRule="exact"/>
        <w:rPr>
          <w:sz w:val="20"/>
          <w:szCs w:val="20"/>
          <w:color w:val="auto"/>
        </w:rPr>
      </w:pPr>
    </w:p>
    <w:p>
      <w:pPr>
        <w:jc w:val="both"/>
        <w:ind w:left="1" w:right="60" w:firstLine="162"/>
        <w:spacing w:after="0" w:line="260" w:lineRule="auto"/>
        <w:tabs>
          <w:tab w:leader="none" w:pos="296" w:val="left"/>
        </w:tabs>
        <w:numPr>
          <w:ilvl w:val="1"/>
          <w:numId w:val="70"/>
        </w:numPr>
        <w:rPr>
          <w:rFonts w:ascii="Arial" w:cs="Arial" w:eastAsia="Arial" w:hAnsi="Arial"/>
          <w:sz w:val="13"/>
          <w:szCs w:val="13"/>
          <w:color w:val="auto"/>
        </w:rPr>
      </w:pPr>
      <w:r>
        <w:rPr>
          <w:rFonts w:ascii="Arial" w:cs="Arial" w:eastAsia="Arial" w:hAnsi="Arial"/>
          <w:sz w:val="13"/>
          <w:szCs w:val="13"/>
          <w:color w:val="auto"/>
        </w:rPr>
        <w:t>Section 7(d)(i) is amended to read in its entirety as follows: “In the event that the Participant’s Board service shall terminate on account of the Retirement of the Participant,each Option granted to such Participant that is outstanding as of the date of such termination shall become fully exercisable and shall remain exercisable by the Participant (or, in the event of the Participant’s death while such Option is still outstanding, by the Participant’s legal representatives, heirs or legatees) for the three year period following such termination (or for such other period as may be provided by the Committee), but in no event following the expiration of its term.”</w:t>
      </w:r>
    </w:p>
    <w:p>
      <w:pPr>
        <w:spacing w:after="0" w:line="59" w:lineRule="exact"/>
        <w:rPr>
          <w:rFonts w:ascii="Arial" w:cs="Arial" w:eastAsia="Arial" w:hAnsi="Arial"/>
          <w:sz w:val="13"/>
          <w:szCs w:val="13"/>
          <w:color w:val="auto"/>
        </w:rPr>
      </w:pPr>
    </w:p>
    <w:p>
      <w:pPr>
        <w:ind w:left="1" w:right="20" w:firstLine="162"/>
        <w:spacing w:after="0" w:line="260" w:lineRule="auto"/>
        <w:tabs>
          <w:tab w:leader="none" w:pos="296" w:val="left"/>
        </w:tabs>
        <w:numPr>
          <w:ilvl w:val="1"/>
          <w:numId w:val="70"/>
        </w:numPr>
        <w:rPr>
          <w:rFonts w:ascii="Arial" w:cs="Arial" w:eastAsia="Arial" w:hAnsi="Arial"/>
          <w:sz w:val="13"/>
          <w:szCs w:val="13"/>
          <w:color w:val="auto"/>
        </w:rPr>
      </w:pPr>
      <w:r>
        <w:rPr>
          <w:rFonts w:ascii="Arial" w:cs="Arial" w:eastAsia="Arial" w:hAnsi="Arial"/>
          <w:sz w:val="13"/>
          <w:szCs w:val="13"/>
          <w:color w:val="auto"/>
        </w:rPr>
        <w:t>Section 7(d)(iii) is amended to read in its entirety as follows: “In the event that the Participant’s Board service shall terminate on account of the Disability of the Participant,each Option granted to such Participant that is outstanding as of the date of such termination shall become fully exercisable and shall remain exercisable by the Participant (or such Participant’s legal representatives or, in the event of the Participant’s death while such Option is still outstanding, such Participant’s legal representatives, heirs or legatees) for the one year period following such termination (or for such other period as may be provided by the Committee), but in no event following the expiration of its term.”</w:t>
      </w:r>
    </w:p>
    <w:p>
      <w:pPr>
        <w:spacing w:after="0" w:line="59" w:lineRule="exact"/>
        <w:rPr>
          <w:rFonts w:ascii="Arial" w:cs="Arial" w:eastAsia="Arial" w:hAnsi="Arial"/>
          <w:sz w:val="13"/>
          <w:szCs w:val="13"/>
          <w:color w:val="auto"/>
        </w:rPr>
      </w:pPr>
    </w:p>
    <w:p>
      <w:pPr>
        <w:ind w:left="301" w:hanging="138"/>
        <w:spacing w:after="0"/>
        <w:tabs>
          <w:tab w:leader="none" w:pos="301" w:val="left"/>
        </w:tabs>
        <w:numPr>
          <w:ilvl w:val="1"/>
          <w:numId w:val="70"/>
        </w:numPr>
        <w:rPr>
          <w:rFonts w:ascii="Arial" w:cs="Arial" w:eastAsia="Arial" w:hAnsi="Arial"/>
          <w:sz w:val="12"/>
          <w:szCs w:val="12"/>
          <w:color w:val="auto"/>
        </w:rPr>
      </w:pPr>
      <w:r>
        <w:rPr>
          <w:rFonts w:ascii="Arial" w:cs="Arial" w:eastAsia="Arial" w:hAnsi="Arial"/>
          <w:sz w:val="12"/>
          <w:szCs w:val="12"/>
          <w:color w:val="auto"/>
        </w:rPr>
        <w:t>Section 7(d)(vi) is amended to read in its entirety as follows: “In the event of the Participant’s death within six months following the Participant’s termination of Board service for any reason other than</w:t>
      </w:r>
    </w:p>
    <w:p>
      <w:pPr>
        <w:spacing w:after="0" w:line="26" w:lineRule="exact"/>
        <w:rPr>
          <w:rFonts w:ascii="Arial" w:cs="Arial" w:eastAsia="Arial" w:hAnsi="Arial"/>
          <w:sz w:val="12"/>
          <w:szCs w:val="12"/>
          <w:color w:val="auto"/>
        </w:rPr>
      </w:pPr>
    </w:p>
    <w:p>
      <w:pPr>
        <w:ind w:left="1" w:right="780" w:hanging="1"/>
        <w:spacing w:after="0" w:line="356" w:lineRule="auto"/>
        <w:tabs>
          <w:tab w:leader="none" w:pos="216" w:val="left"/>
        </w:tabs>
        <w:numPr>
          <w:ilvl w:val="0"/>
          <w:numId w:val="71"/>
        </w:numPr>
        <w:rPr>
          <w:rFonts w:ascii="Arial" w:cs="Arial" w:eastAsia="Arial" w:hAnsi="Arial"/>
          <w:sz w:val="11"/>
          <w:szCs w:val="11"/>
          <w:color w:val="auto"/>
        </w:rPr>
      </w:pPr>
      <w:r>
        <w:rPr>
          <w:rFonts w:ascii="Arial" w:cs="Arial" w:eastAsia="Arial" w:hAnsi="Arial"/>
          <w:sz w:val="11"/>
          <w:szCs w:val="11"/>
          <w:color w:val="auto"/>
        </w:rPr>
        <w:t>Retirement, (B) death, (C) Disability or (D) For Cause, each Option granted to such Participant that is vested and outstanding as of the date of death shall remain exercisable by such Participant’s legal representatives, heirs or legatees for the one year period following the date of death (or for such other period as may be provided by the Committee), but in no event following the expiration of its term.”</w:t>
      </w:r>
    </w:p>
    <w:p>
      <w:pPr>
        <w:spacing w:after="0" w:line="1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w:t>
      </w:r>
      <w:r>
        <w:rPr>
          <w:rFonts w:ascii="Arial" w:cs="Arial" w:eastAsia="Arial" w:hAnsi="Arial"/>
          <w:sz w:val="8"/>
          <w:szCs w:val="8"/>
          <w:color w:val="auto"/>
        </w:rPr>
        <w:t>N</w:t>
      </w:r>
      <w:r>
        <w:rPr>
          <w:rFonts w:ascii="Arial" w:cs="Arial" w:eastAsia="Arial" w:hAnsi="Arial"/>
          <w:sz w:val="13"/>
          <w:szCs w:val="13"/>
          <w:color w:val="auto"/>
        </w:rPr>
        <w:t xml:space="preserve"> W</w:t>
      </w:r>
      <w:r>
        <w:rPr>
          <w:rFonts w:ascii="Arial" w:cs="Arial" w:eastAsia="Arial" w:hAnsi="Arial"/>
          <w:sz w:val="8"/>
          <w:szCs w:val="8"/>
          <w:color w:val="auto"/>
        </w:rPr>
        <w:t>ITNESS</w:t>
      </w:r>
      <w:r>
        <w:rPr>
          <w:rFonts w:ascii="Arial" w:cs="Arial" w:eastAsia="Arial" w:hAnsi="Arial"/>
          <w:sz w:val="13"/>
          <w:szCs w:val="13"/>
          <w:color w:val="auto"/>
        </w:rPr>
        <w:t xml:space="preserve"> W</w:t>
      </w:r>
      <w:r>
        <w:rPr>
          <w:rFonts w:ascii="Arial" w:cs="Arial" w:eastAsia="Arial" w:hAnsi="Arial"/>
          <w:sz w:val="8"/>
          <w:szCs w:val="8"/>
          <w:color w:val="auto"/>
        </w:rPr>
        <w:t>HEREOF</w:t>
      </w:r>
      <w:r>
        <w:rPr>
          <w:rFonts w:ascii="Arial" w:cs="Arial" w:eastAsia="Arial" w:hAnsi="Arial"/>
          <w:sz w:val="13"/>
          <w:szCs w:val="13"/>
          <w:color w:val="auto"/>
        </w:rPr>
        <w:t>, Biogen Idec Inc. has caused this instrument of amendment to be executed by its duly authorized officer this 11th day of October 2006.</w:t>
      </w:r>
    </w:p>
    <w:p>
      <w:pPr>
        <w:spacing w:after="0" w:line="16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IOGEN</w:t>
      </w:r>
      <w:r>
        <w:rPr>
          <w:rFonts w:ascii="Arial" w:cs="Arial" w:eastAsia="Arial" w:hAnsi="Arial"/>
          <w:sz w:val="13"/>
          <w:szCs w:val="13"/>
          <w:color w:val="auto"/>
        </w:rPr>
        <w:t xml:space="preserve"> I</w:t>
      </w:r>
      <w:r>
        <w:rPr>
          <w:rFonts w:ascii="Arial" w:cs="Arial" w:eastAsia="Arial" w:hAnsi="Arial"/>
          <w:sz w:val="8"/>
          <w:szCs w:val="8"/>
          <w:color w:val="auto"/>
        </w:rPr>
        <w:t>DEC</w:t>
      </w:r>
      <w:r>
        <w:rPr>
          <w:rFonts w:ascii="Arial" w:cs="Arial" w:eastAsia="Arial" w:hAnsi="Arial"/>
          <w:sz w:val="13"/>
          <w:szCs w:val="13"/>
          <w:color w:val="auto"/>
        </w:rPr>
        <w:t xml:space="preserve"> I</w:t>
      </w:r>
      <w:r>
        <w:rPr>
          <w:rFonts w:ascii="Arial" w:cs="Arial" w:eastAsia="Arial" w:hAnsi="Arial"/>
          <w:sz w:val="8"/>
          <w:szCs w:val="8"/>
          <w:color w:val="auto"/>
        </w:rPr>
        <w:t>NC</w:t>
      </w:r>
      <w:r>
        <w:rPr>
          <w:rFonts w:ascii="Arial" w:cs="Arial" w:eastAsia="Arial" w:hAnsi="Arial"/>
          <w:sz w:val="13"/>
          <w:szCs w:val="13"/>
          <w:color w:val="auto"/>
        </w:rPr>
        <w:t>.</w:t>
      </w:r>
    </w:p>
    <w:p>
      <w:pPr>
        <w:spacing w:after="0" w:line="16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By: /s/ Craig E. Schneier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10795</wp:posOffset>
            </wp:positionV>
            <wp:extent cx="259016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1"/>
        <w:spacing w:after="0"/>
        <w:rPr>
          <w:sz w:val="20"/>
          <w:szCs w:val="20"/>
          <w:color w:val="auto"/>
        </w:rPr>
      </w:pPr>
      <w:r>
        <w:rPr>
          <w:rFonts w:ascii="Arial" w:cs="Arial" w:eastAsia="Arial" w:hAnsi="Arial"/>
          <w:sz w:val="13"/>
          <w:szCs w:val="13"/>
          <w:color w:val="auto"/>
        </w:rPr>
        <w:t>Craig E. Schneier, Ph.D.</w:t>
      </w:r>
    </w:p>
    <w:p>
      <w:pPr>
        <w:spacing w:after="0" w:line="15" w:lineRule="exact"/>
        <w:rPr>
          <w:sz w:val="20"/>
          <w:szCs w:val="20"/>
          <w:color w:val="auto"/>
        </w:rPr>
      </w:pPr>
    </w:p>
    <w:p>
      <w:pPr>
        <w:ind w:left="5681"/>
        <w:spacing w:after="0"/>
        <w:rPr>
          <w:sz w:val="20"/>
          <w:szCs w:val="20"/>
          <w:color w:val="auto"/>
        </w:rPr>
      </w:pPr>
      <w:r>
        <w:rPr>
          <w:rFonts w:ascii="Arial" w:cs="Arial" w:eastAsia="Arial" w:hAnsi="Arial"/>
          <w:sz w:val="13"/>
          <w:szCs w:val="13"/>
          <w:color w:val="auto"/>
        </w:rPr>
        <w:t>Executive Vice President, Human Resources</w:t>
      </w:r>
    </w:p>
    <w:p>
      <w:pPr>
        <w:sectPr>
          <w:pgSz w:w="11900" w:h="16838" w:orient="portrait"/>
          <w:cols w:equalWidth="0" w:num="1">
            <w:col w:w="11461"/>
          </w:cols>
          <w:pgMar w:left="219" w:top="716" w:right="21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4493895" cy="7175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4493895" cy="717550"/>
                    </a:xfrm>
                    <a:prstGeom prst="rect">
                      <a:avLst/>
                    </a:prstGeom>
                    <a:noFill/>
                  </pic:spPr>
                </pic:pic>
              </a:graphicData>
            </a:graphic>
          </wp:anchor>
        </w:drawing>
      </w:r>
    </w:p>
    <w:p>
      <w:pPr>
        <w:spacing w:after="0" w:line="377" w:lineRule="exact"/>
        <w:rPr>
          <w:sz w:val="20"/>
          <w:szCs w:val="20"/>
          <w:color w:val="auto"/>
        </w:rPr>
      </w:pPr>
    </w:p>
    <w:p>
      <w:pPr>
        <w:ind w:left="10600"/>
        <w:spacing w:after="0"/>
        <w:rPr>
          <w:sz w:val="20"/>
          <w:szCs w:val="20"/>
          <w:color w:val="auto"/>
        </w:rPr>
      </w:pPr>
      <w:r>
        <w:rPr>
          <w:rFonts w:ascii="Arial" w:cs="Arial" w:eastAsia="Arial" w:hAnsi="Arial"/>
          <w:sz w:val="12"/>
          <w:szCs w:val="12"/>
          <w:color w:val="auto"/>
        </w:rPr>
        <w:t>EXHIBIT 10.49</w:t>
      </w:r>
    </w:p>
    <w:p>
      <w:pPr>
        <w:spacing w:after="0" w:line="157" w:lineRule="exact"/>
        <w:rPr>
          <w:sz w:val="20"/>
          <w:szCs w:val="20"/>
          <w:color w:val="auto"/>
        </w:rPr>
      </w:pPr>
    </w:p>
    <w:p>
      <w:pPr>
        <w:spacing w:after="0"/>
        <w:tabs>
          <w:tab w:leader="none" w:pos="10500" w:val="left"/>
        </w:tabs>
        <w:rPr>
          <w:sz w:val="20"/>
          <w:szCs w:val="20"/>
          <w:color w:val="auto"/>
        </w:rPr>
      </w:pPr>
      <w:r>
        <w:rPr>
          <w:rFonts w:ascii="Arial" w:cs="Arial" w:eastAsia="Arial" w:hAnsi="Arial"/>
          <w:sz w:val="13"/>
          <w:szCs w:val="13"/>
          <w:color w:val="auto"/>
        </w:rPr>
        <w:t>Paul J. Clancy</w:t>
      </w:r>
      <w:r>
        <w:rPr>
          <w:sz w:val="20"/>
          <w:szCs w:val="20"/>
          <w:color w:val="auto"/>
        </w:rPr>
        <w:tab/>
      </w:r>
      <w:r>
        <w:rPr>
          <w:rFonts w:ascii="Arial" w:cs="Arial" w:eastAsia="Arial" w:hAnsi="Arial"/>
          <w:sz w:val="12"/>
          <w:szCs w:val="12"/>
          <w:color w:val="auto"/>
        </w:rPr>
        <w:t>August 17, 2007</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Dear Paul:</w:t>
      </w:r>
    </w:p>
    <w:p>
      <w:pPr>
        <w:spacing w:after="0" w:line="77" w:lineRule="exact"/>
        <w:rPr>
          <w:sz w:val="20"/>
          <w:szCs w:val="20"/>
          <w:color w:val="auto"/>
        </w:rPr>
      </w:pPr>
    </w:p>
    <w:p>
      <w:pPr>
        <w:ind w:right="580"/>
        <w:spacing w:after="0" w:line="248" w:lineRule="auto"/>
        <w:rPr>
          <w:sz w:val="20"/>
          <w:szCs w:val="20"/>
          <w:color w:val="auto"/>
        </w:rPr>
      </w:pPr>
      <w:r>
        <w:rPr>
          <w:rFonts w:ascii="Arial" w:cs="Arial" w:eastAsia="Arial" w:hAnsi="Arial"/>
          <w:sz w:val="13"/>
          <w:szCs w:val="13"/>
          <w:color w:val="auto"/>
        </w:rPr>
        <w:t>I am pleased to confirm your promotion to Executive Vice President and Chief Financial Officer. This position will report to James C. Mullen, Chief Executive Officer, and will be based at our Cambridge, MA facility.</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 specific terms of your promotion are as follows.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Promotion Date</w:t>
      </w:r>
      <w:r>
        <w:rPr>
          <w:rFonts w:ascii="Arial" w:cs="Arial" w:eastAsia="Arial" w:hAnsi="Arial"/>
          <w:sz w:val="13"/>
          <w:szCs w:val="13"/>
          <w:color w:val="auto"/>
        </w:rPr>
        <w:t>: The effective date of your promotion is August 13, 2007.</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Effective with the date of promotion, your biweekly salary will be $17,307.70, which is equivalent to an annual salary of $450,000.20.</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Short-term-incentive: </w:t>
      </w:r>
      <w:r>
        <w:rPr>
          <w:rFonts w:ascii="Arial" w:cs="Arial" w:eastAsia="Arial" w:hAnsi="Arial"/>
          <w:sz w:val="13"/>
          <w:szCs w:val="13"/>
          <w:color w:val="auto"/>
        </w:rPr>
        <w:t>Your target bonus level under Biogen Idec’s Annual Bonus Plan will be 50% of your annualized base salary.</w:t>
      </w:r>
    </w:p>
    <w:p>
      <w:pPr>
        <w:spacing w:after="0" w:line="77"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b w:val="1"/>
          <w:bCs w:val="1"/>
          <w:color w:val="auto"/>
        </w:rPr>
        <w:t xml:space="preserve">Long-term Incentive: </w:t>
      </w:r>
      <w:r>
        <w:rPr>
          <w:rFonts w:ascii="Arial" w:cs="Arial" w:eastAsia="Arial" w:hAnsi="Arial"/>
          <w:sz w:val="13"/>
          <w:szCs w:val="13"/>
          <w:color w:val="auto"/>
        </w:rPr>
        <w:t>You will be granted 8,000 restricted stock units (RSUs). Assuming your continued employment, the RSUs will vest and convert into shares of Biogen Idec common stock at the</w:t>
      </w:r>
      <w:r>
        <w:rPr>
          <w:rFonts w:ascii="Arial" w:cs="Arial" w:eastAsia="Arial" w:hAnsi="Arial"/>
          <w:sz w:val="13"/>
          <w:szCs w:val="13"/>
          <w:b w:val="1"/>
          <w:bCs w:val="1"/>
          <w:color w:val="auto"/>
        </w:rPr>
        <w:t xml:space="preserve"> </w:t>
      </w:r>
      <w:r>
        <w:rPr>
          <w:rFonts w:ascii="Arial" w:cs="Arial" w:eastAsia="Arial" w:hAnsi="Arial"/>
          <w:sz w:val="13"/>
          <w:szCs w:val="13"/>
          <w:color w:val="auto"/>
        </w:rPr>
        <w:t>rate of one-third per year for three years, starting on the first anniversary of your grant date. The grant date will be the first trading day of the month following your effective date of promotion.</w:t>
      </w:r>
    </w:p>
    <w:p>
      <w:pPr>
        <w:spacing w:after="0" w:line="49" w:lineRule="exact"/>
        <w:rPr>
          <w:sz w:val="20"/>
          <w:szCs w:val="20"/>
          <w:color w:val="auto"/>
        </w:rPr>
      </w:pPr>
    </w:p>
    <w:p>
      <w:pPr>
        <w:ind w:right="240"/>
        <w:spacing w:after="0" w:line="242" w:lineRule="auto"/>
        <w:rPr>
          <w:sz w:val="20"/>
          <w:szCs w:val="20"/>
          <w:color w:val="auto"/>
        </w:rPr>
      </w:pPr>
      <w:r>
        <w:rPr>
          <w:rFonts w:ascii="Arial" w:cs="Arial" w:eastAsia="Arial" w:hAnsi="Arial"/>
          <w:sz w:val="13"/>
          <w:szCs w:val="13"/>
          <w:color w:val="auto"/>
        </w:rPr>
        <w:t>You will also be granted an option to purchase 20,000 shares of the common stock of Biogen Idec at an exercise price equal to the closing price of Biogen Idec stock as reported on the NASDAQ National Market on the grant date. The grant date will be the first trading day of the month following your effective date of promotion. The option will have a ten-year term and, assuming your continued employment, will vest equally over a four-year period at the rate of 25% per year, starting on the first anniversary of your grant date.</w:t>
      </w:r>
    </w:p>
    <w:p>
      <w:pPr>
        <w:spacing w:after="0" w:line="69"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The actual terms of your RSU and stock option grants will be communicated to you in a separate Notice of Grant. You are considered a “designated employee”, as defined in the 2005 Omnibus Equity Plan. Please read the 2005 Omnibus Equity Plan Document for information on the implications of being a designated employee under the Plan, as well as any applicable terms and conditions of your grants under this program. The 2005 Omnibus Equity Plan Document can be found on iNet.</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b w:val="1"/>
          <w:bCs w:val="1"/>
          <w:color w:val="auto"/>
        </w:rPr>
        <w:t xml:space="preserve">Stock Trading Plan: </w:t>
      </w:r>
      <w:r>
        <w:rPr>
          <w:rFonts w:ascii="Arial" w:cs="Arial" w:eastAsia="Arial" w:hAnsi="Arial"/>
          <w:sz w:val="13"/>
          <w:szCs w:val="13"/>
          <w:color w:val="auto"/>
        </w:rPr>
        <w:t>As an Executive Vice President of the Company, you are required to enter into a 10b5-1 stock trading plan. A 10b5-1 plan enables you to buy and sell Biogen Idec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pre-specified conditions (e.g., when the price of Biogen Idec stock reaches a certain price), and allows you to sell outside of quarterly “trading windows” whether or not you are in possession of material, nonpublic information. More information on 10b5-1 trading plans can be found on iNet.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Executive Benefits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Vacation: </w:t>
      </w:r>
      <w:r>
        <w:rPr>
          <w:rFonts w:ascii="Arial" w:cs="Arial" w:eastAsia="Arial" w:hAnsi="Arial"/>
          <w:sz w:val="13"/>
          <w:szCs w:val="13"/>
          <w:color w:val="auto"/>
        </w:rPr>
        <w:t>Based on your current years of service, you are entitled to 25 vacation days per year, accrued on a per pay period basis.</w:t>
      </w:r>
    </w:p>
    <w:p>
      <w:pPr>
        <w:spacing w:after="0" w:line="77" w:lineRule="exact"/>
        <w:rPr>
          <w:sz w:val="20"/>
          <w:szCs w:val="20"/>
          <w:color w:val="auto"/>
        </w:rPr>
      </w:pPr>
    </w:p>
    <w:p>
      <w:pPr>
        <w:ind w:left="220" w:right="100"/>
        <w:spacing w:after="0" w:line="273" w:lineRule="auto"/>
        <w:rPr>
          <w:sz w:val="20"/>
          <w:szCs w:val="20"/>
          <w:color w:val="auto"/>
        </w:rPr>
      </w:pPr>
      <w:r>
        <w:rPr>
          <w:rFonts w:ascii="Arial" w:cs="Arial" w:eastAsia="Arial" w:hAnsi="Arial"/>
          <w:sz w:val="13"/>
          <w:szCs w:val="13"/>
          <w:b w:val="1"/>
          <w:bCs w:val="1"/>
          <w:color w:val="auto"/>
        </w:rPr>
        <w:t xml:space="preserve">Supplemental Savings Plan: </w:t>
      </w:r>
      <w:r>
        <w:rPr>
          <w:rFonts w:ascii="Arial" w:cs="Arial" w:eastAsia="Arial" w:hAnsi="Arial"/>
          <w:sz w:val="13"/>
          <w:szCs w:val="13"/>
          <w:color w:val="auto"/>
        </w:rPr>
        <w:t>You are entitled to participate in Biogen Idec’s Supplemental Savings Plan (SSP). This plan allows you to make pre-tax deferrals of up to 80% of your base salary</w:t>
      </w:r>
      <w:r>
        <w:rPr>
          <w:rFonts w:ascii="Arial" w:cs="Arial" w:eastAsia="Arial" w:hAnsi="Arial"/>
          <w:sz w:val="13"/>
          <w:szCs w:val="13"/>
          <w:b w:val="1"/>
          <w:bCs w:val="1"/>
          <w:color w:val="auto"/>
        </w:rPr>
        <w:t xml:space="preserve"> </w:t>
      </w:r>
      <w:r>
        <w:rPr>
          <w:rFonts w:ascii="Arial" w:cs="Arial" w:eastAsia="Arial" w:hAnsi="Arial"/>
          <w:sz w:val="13"/>
          <w:szCs w:val="13"/>
          <w:color w:val="auto"/>
        </w:rPr>
        <w:t>and up</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Biogen Idec 14 Cambridge Center Cambridge, MA 02142 Phone 617-679-2000 www.biogenidec.com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color w:val="auto"/>
        </w:rPr>
        <w:t>Page 2 of 4</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to 100% of your Annual Bonus payment. Your contributions to this plan may be limited by your contributions towards other plans (e.g., 401k, ESPP, medical, etc.).</w:t>
      </w:r>
    </w:p>
    <w:p>
      <w:pPr>
        <w:spacing w:after="0" w:line="61" w:lineRule="exact"/>
        <w:rPr>
          <w:sz w:val="20"/>
          <w:szCs w:val="20"/>
          <w:color w:val="auto"/>
        </w:rPr>
      </w:pPr>
    </w:p>
    <w:p>
      <w:pPr>
        <w:ind w:left="220" w:right="60"/>
        <w:spacing w:after="0" w:line="255" w:lineRule="auto"/>
        <w:rPr>
          <w:sz w:val="20"/>
          <w:szCs w:val="20"/>
          <w:color w:val="auto"/>
        </w:rPr>
      </w:pPr>
      <w:r>
        <w:rPr>
          <w:rFonts w:ascii="Arial" w:cs="Arial" w:eastAsia="Arial" w:hAnsi="Arial"/>
          <w:sz w:val="13"/>
          <w:szCs w:val="13"/>
          <w:b w:val="1"/>
          <w:bCs w:val="1"/>
          <w:color w:val="auto"/>
        </w:rPr>
        <w:t xml:space="preserve">Life Insurance: </w:t>
      </w:r>
      <w:r>
        <w:rPr>
          <w:rFonts w:ascii="Arial" w:cs="Arial" w:eastAsia="Arial" w:hAnsi="Arial"/>
          <w:sz w:val="13"/>
          <w:szCs w:val="13"/>
          <w:color w:val="auto"/>
        </w:rPr>
        <w:t>You will be provided life insurance coverage equal to three times your annual base salary, subject to meeting the medical standards stated in the group term life insurance policy</w:t>
      </w:r>
      <w:r>
        <w:rPr>
          <w:rFonts w:ascii="Arial" w:cs="Arial" w:eastAsia="Arial" w:hAnsi="Arial"/>
          <w:sz w:val="13"/>
          <w:szCs w:val="13"/>
          <w:b w:val="1"/>
          <w:bCs w:val="1"/>
          <w:color w:val="auto"/>
        </w:rPr>
        <w:t xml:space="preserve"> </w:t>
      </w:r>
      <w:r>
        <w:rPr>
          <w:rFonts w:ascii="Arial" w:cs="Arial" w:eastAsia="Arial" w:hAnsi="Arial"/>
          <w:sz w:val="13"/>
          <w:szCs w:val="13"/>
          <w:color w:val="auto"/>
        </w:rPr>
        <w:t>for U.S. employees. Biogen Idec pays the premium for this insurance. The IRS requires employers to impute the value of company-paid life insurance for coverage over $50,000. This imputed income will be displayed on your pay stub.</w:t>
      </w:r>
    </w:p>
    <w:p>
      <w:pPr>
        <w:spacing w:after="0" w:line="44" w:lineRule="exact"/>
        <w:rPr>
          <w:sz w:val="20"/>
          <w:szCs w:val="20"/>
          <w:color w:val="auto"/>
        </w:rPr>
      </w:pPr>
    </w:p>
    <w:p>
      <w:pPr>
        <w:ind w:left="220" w:right="80"/>
        <w:spacing w:after="0" w:line="255" w:lineRule="auto"/>
        <w:rPr>
          <w:sz w:val="20"/>
          <w:szCs w:val="20"/>
          <w:color w:val="auto"/>
        </w:rPr>
      </w:pPr>
      <w:r>
        <w:rPr>
          <w:rFonts w:ascii="Arial" w:cs="Arial" w:eastAsia="Arial" w:hAnsi="Arial"/>
          <w:sz w:val="13"/>
          <w:szCs w:val="13"/>
          <w:b w:val="1"/>
          <w:bCs w:val="1"/>
          <w:color w:val="auto"/>
        </w:rPr>
        <w:t xml:space="preserve">Severance: </w:t>
      </w:r>
      <w:r>
        <w:rPr>
          <w:rFonts w:ascii="Arial" w:cs="Arial" w:eastAsia="Arial" w:hAnsi="Arial"/>
          <w:sz w:val="13"/>
          <w:szCs w:val="13"/>
          <w:color w:val="auto"/>
        </w:rPr>
        <w:t>In the event Biogen Idec terminates your employment other than For Cause (as defined in the executive severance document attached to this letter), you will receive a severance</w:t>
      </w:r>
      <w:r>
        <w:rPr>
          <w:rFonts w:ascii="Arial" w:cs="Arial" w:eastAsia="Arial" w:hAnsi="Arial"/>
          <w:sz w:val="13"/>
          <w:szCs w:val="13"/>
          <w:b w:val="1"/>
          <w:bCs w:val="1"/>
          <w:color w:val="auto"/>
        </w:rPr>
        <w:t xml:space="preserve"> </w:t>
      </w:r>
      <w:r>
        <w:rPr>
          <w:rFonts w:ascii="Arial" w:cs="Arial" w:eastAsia="Arial" w:hAnsi="Arial"/>
          <w:sz w:val="13"/>
          <w:szCs w:val="13"/>
          <w:color w:val="auto"/>
        </w:rPr>
        <w:t>benefit of at least nine months of your annual cash compensation and coverage under Biogen Idec’s group medical and dental insurance plans. Your severance benefits are explained in greater detail in the attached executive severance document.</w:t>
      </w:r>
    </w:p>
    <w:p>
      <w:pPr>
        <w:spacing w:after="0" w:line="44" w:lineRule="exact"/>
        <w:rPr>
          <w:sz w:val="20"/>
          <w:szCs w:val="20"/>
          <w:color w:val="auto"/>
        </w:rPr>
      </w:pPr>
    </w:p>
    <w:p>
      <w:pPr>
        <w:ind w:left="220" w:right="280"/>
        <w:spacing w:after="0" w:line="255" w:lineRule="auto"/>
        <w:rPr>
          <w:sz w:val="20"/>
          <w:szCs w:val="20"/>
          <w:color w:val="auto"/>
        </w:rPr>
      </w:pPr>
      <w:r>
        <w:rPr>
          <w:rFonts w:ascii="Arial" w:cs="Arial" w:eastAsia="Arial" w:hAnsi="Arial"/>
          <w:sz w:val="13"/>
          <w:szCs w:val="13"/>
          <w:b w:val="1"/>
          <w:bCs w:val="1"/>
          <w:color w:val="auto"/>
        </w:rPr>
        <w:t xml:space="preserve">IRC 280G Excise Taxes: </w:t>
      </w:r>
      <w:r>
        <w:rPr>
          <w:rFonts w:ascii="Arial" w:cs="Arial" w:eastAsia="Arial" w:hAnsi="Arial"/>
          <w:sz w:val="13"/>
          <w:szCs w:val="13"/>
          <w:color w:val="auto"/>
        </w:rPr>
        <w:t>In the event of a Change in Control (as defined in Section 280g of the Internal Revenue Code), compensation paid to you may trigger an excise tax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ordinary income taxes). Biogen Idec will reimburse you for any excise taxes you incur as a result of a Change in Control. This includes gains from the exercise of stock options and vesting of restricted stock and/or units, as well as the reimbursement for such penalties</w:t>
      </w:r>
      <w:r>
        <w:rPr>
          <w:rFonts w:ascii="Arial" w:cs="Arial" w:eastAsia="Arial" w:hAnsi="Arial"/>
          <w:sz w:val="13"/>
          <w:szCs w:val="13"/>
          <w:i w:val="1"/>
          <w:iCs w:val="1"/>
          <w:color w:val="auto"/>
        </w:rPr>
        <w:t>.</w:t>
      </w:r>
      <w:r>
        <w:rPr>
          <w:rFonts w:ascii="Arial" w:cs="Arial" w:eastAsia="Arial" w:hAnsi="Arial"/>
          <w:sz w:val="13"/>
          <w:szCs w:val="13"/>
          <w:color w:val="auto"/>
        </w:rPr>
        <w:t xml:space="preserve"> In addition, Biogen Idec will reimburse you for income taxes imposed on the excise taxes.</w:t>
      </w:r>
    </w:p>
    <w:p>
      <w:pPr>
        <w:spacing w:after="0" w:line="44" w:lineRule="exact"/>
        <w:rPr>
          <w:sz w:val="20"/>
          <w:szCs w:val="20"/>
          <w:color w:val="auto"/>
        </w:rPr>
      </w:pPr>
    </w:p>
    <w:p>
      <w:pPr>
        <w:ind w:left="220"/>
        <w:spacing w:after="0" w:line="255" w:lineRule="auto"/>
        <w:rPr>
          <w:sz w:val="20"/>
          <w:szCs w:val="20"/>
          <w:color w:val="auto"/>
        </w:rPr>
      </w:pPr>
      <w:r>
        <w:rPr>
          <w:rFonts w:ascii="Arial" w:cs="Arial" w:eastAsia="Arial" w:hAnsi="Arial"/>
          <w:sz w:val="13"/>
          <w:szCs w:val="13"/>
          <w:b w:val="1"/>
          <w:bCs w:val="1"/>
          <w:color w:val="auto"/>
        </w:rPr>
        <w:t xml:space="preserve">Tax Preparation, Financial and Estate Planning: </w:t>
      </w:r>
      <w:r>
        <w:rPr>
          <w:rFonts w:ascii="Arial" w:cs="Arial" w:eastAsia="Arial" w:hAnsi="Arial"/>
          <w:sz w:val="13"/>
          <w:szCs w:val="13"/>
          <w:color w:val="auto"/>
        </w:rPr>
        <w:t>You are entitled to reimbursement of up to $7,500 per calendar year (January 1 — December 31) for expenses incurred due to tax</w:t>
      </w:r>
      <w:r>
        <w:rPr>
          <w:rFonts w:ascii="Arial" w:cs="Arial" w:eastAsia="Arial" w:hAnsi="Arial"/>
          <w:sz w:val="13"/>
          <w:szCs w:val="13"/>
          <w:b w:val="1"/>
          <w:bCs w:val="1"/>
          <w:color w:val="auto"/>
        </w:rPr>
        <w:t xml:space="preserve"> </w:t>
      </w:r>
      <w:r>
        <w:rPr>
          <w:rFonts w:ascii="Arial" w:cs="Arial" w:eastAsia="Arial" w:hAnsi="Arial"/>
          <w:sz w:val="13"/>
          <w:szCs w:val="13"/>
          <w:color w:val="auto"/>
        </w:rPr>
        <w:t>preparation, financial and/or estate planning services, as well as the purchase of tax preparation and/or financial planning software. Eligible services provided by qualified providers, accompanied by copies of receipts/invoices, will be reimbursed. Such reimbursements are considered taxable income.</w:t>
      </w:r>
    </w:p>
    <w:p>
      <w:pPr>
        <w:spacing w:after="0" w:line="44" w:lineRule="exact"/>
        <w:rPr>
          <w:sz w:val="20"/>
          <w:szCs w:val="20"/>
          <w:color w:val="auto"/>
        </w:rPr>
      </w:pPr>
    </w:p>
    <w:p>
      <w:pPr>
        <w:ind w:left="220" w:right="100"/>
        <w:spacing w:after="0" w:line="273" w:lineRule="auto"/>
        <w:rPr>
          <w:sz w:val="20"/>
          <w:szCs w:val="20"/>
          <w:color w:val="auto"/>
        </w:rPr>
      </w:pPr>
      <w:r>
        <w:rPr>
          <w:rFonts w:ascii="Arial" w:cs="Arial" w:eastAsia="Arial" w:hAnsi="Arial"/>
          <w:sz w:val="13"/>
          <w:szCs w:val="13"/>
          <w:b w:val="1"/>
          <w:bCs w:val="1"/>
          <w:color w:val="auto"/>
        </w:rPr>
        <w:t xml:space="preserve">Air Travel Upgrade: </w:t>
      </w:r>
      <w:r>
        <w:rPr>
          <w:rFonts w:ascii="Arial" w:cs="Arial" w:eastAsia="Arial" w:hAnsi="Arial"/>
          <w:sz w:val="13"/>
          <w:szCs w:val="13"/>
          <w:color w:val="auto"/>
        </w:rPr>
        <w:t>You are entitled to fly first class on all U.S. transcontinental flights (e.g., Boston to San Diego). Overseas flights and other domestic flights are subject to the same policy as</w:t>
      </w:r>
      <w:r>
        <w:rPr>
          <w:rFonts w:ascii="Arial" w:cs="Arial" w:eastAsia="Arial" w:hAnsi="Arial"/>
          <w:sz w:val="13"/>
          <w:szCs w:val="13"/>
          <w:b w:val="1"/>
          <w:bCs w:val="1"/>
          <w:color w:val="auto"/>
        </w:rPr>
        <w:t xml:space="preserve"> </w:t>
      </w:r>
      <w:r>
        <w:rPr>
          <w:rFonts w:ascii="Arial" w:cs="Arial" w:eastAsia="Arial" w:hAnsi="Arial"/>
          <w:sz w:val="13"/>
          <w:szCs w:val="13"/>
          <w:color w:val="auto"/>
        </w:rPr>
        <w:t>all other employees.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Once you have accepted this offer, please sign and return a copy of this letter to me.</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I am confident you will continue to contribute to Biogen Idec’s success and wish you the best of luck in your new position.</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 James C.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1465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James C. Mullen</w:t>
      </w:r>
    </w:p>
    <w:p>
      <w:pPr>
        <w:spacing w:after="0"/>
        <w:rPr>
          <w:sz w:val="20"/>
          <w:szCs w:val="20"/>
          <w:color w:val="auto"/>
        </w:rPr>
      </w:pPr>
      <w:r>
        <w:rPr>
          <w:rFonts w:ascii="Arial" w:cs="Arial" w:eastAsia="Arial" w:hAnsi="Arial"/>
          <w:sz w:val="13"/>
          <w:szCs w:val="13"/>
          <w:color w:val="auto"/>
        </w:rPr>
        <w:t>Chief Executive Officer and President</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cc: Craig E. Schneier, Ph.D.</w:t>
      </w:r>
    </w:p>
    <w:p>
      <w:pPr>
        <w:sectPr>
          <w:pgSz w:w="11900" w:h="16838" w:orient="portrait"/>
          <w:cols w:equalWidth="0" w:num="1">
            <w:col w:w="11460"/>
          </w:cols>
          <w:pgMar w:left="220" w:top="729" w:right="21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1465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8/21/07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9083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6160" w:space="720"/>
            <w:col w:w="4580"/>
          </w:cols>
          <w:pgMar w:left="220" w:top="729" w:right="219" w:bottom="1440" w:gutter="0" w:footer="0" w:header="0"/>
          <w:type w:val="continuous"/>
        </w:sectPr>
      </w:pPr>
    </w:p>
    <w:p>
      <w:pPr>
        <w:spacing w:after="0"/>
        <w:rPr>
          <w:sz w:val="20"/>
          <w:szCs w:val="20"/>
          <w:color w:val="auto"/>
        </w:rPr>
      </w:pPr>
      <w:r>
        <w:rPr>
          <w:rFonts w:ascii="Arial" w:cs="Arial" w:eastAsia="Arial" w:hAnsi="Arial"/>
          <w:sz w:val="13"/>
          <w:szCs w:val="13"/>
          <w:color w:val="auto"/>
        </w:rPr>
        <w:t>Paul J. Clancy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276860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2">
            <w:col w:w="6160" w:space="720"/>
            <w:col w:w="4580"/>
          </w:cols>
          <w:pgMar w:left="220" w:top="729" w:right="219" w:bottom="1440" w:gutter="0" w:footer="0" w:header="0"/>
          <w:type w:val="continuous"/>
        </w:sectPr>
      </w:pPr>
    </w:p>
    <w:bookmarkStart w:id="168" w:name="page169"/>
    <w:bookmarkEnd w:id="168"/>
    <w:p>
      <w:pPr>
        <w:ind w:left="1"/>
        <w:spacing w:after="0"/>
        <w:rPr>
          <w:sz w:val="20"/>
          <w:szCs w:val="20"/>
          <w:color w:val="auto"/>
        </w:rPr>
      </w:pPr>
      <w:r>
        <w:rPr>
          <w:rFonts w:ascii="Arial" w:cs="Arial" w:eastAsia="Arial" w:hAnsi="Arial"/>
          <w:sz w:val="13"/>
          <w:szCs w:val="13"/>
          <w:color w:val="auto"/>
        </w:rPr>
        <w:t>Page 3 of 4</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Executive Severance — Executive Vice President</w:t>
      </w:r>
    </w:p>
    <w:p>
      <w:pPr>
        <w:spacing w:after="0" w:line="93" w:lineRule="exact"/>
        <w:rPr>
          <w:sz w:val="20"/>
          <w:szCs w:val="20"/>
          <w:color w:val="auto"/>
        </w:rPr>
      </w:pPr>
    </w:p>
    <w:p>
      <w:pPr>
        <w:ind w:left="1" w:right="100"/>
        <w:spacing w:after="0" w:line="239"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2005 Omnibus Equity Plan). 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71"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lump sum severance payment is calculated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93" w:lineRule="exact"/>
        <w:rPr>
          <w:sz w:val="20"/>
          <w:szCs w:val="20"/>
          <w:color w:val="auto"/>
        </w:rPr>
      </w:pPr>
    </w:p>
    <w:p>
      <w:pPr>
        <w:ind w:left="741" w:right="240" w:hanging="519"/>
        <w:spacing w:after="0" w:line="248" w:lineRule="auto"/>
        <w:tabs>
          <w:tab w:leader="none" w:pos="721" w:val="left"/>
        </w:tabs>
        <w:rPr>
          <w:sz w:val="20"/>
          <w:szCs w:val="20"/>
          <w:color w:val="auto"/>
        </w:rPr>
      </w:pPr>
      <w:r>
        <w:rPr>
          <w:rFonts w:ascii="Arial" w:cs="Arial" w:eastAsia="Arial" w:hAnsi="Arial"/>
          <w:sz w:val="13"/>
          <w:szCs w:val="13"/>
          <w:color w:val="auto"/>
        </w:rPr>
        <w:t>where:</w:t>
        <w:tab/>
        <w:t>A is the number of full years of service with Biogen Idec (but A x 2.5 may not exceed 12), and B is the monthly equivalent of your target annual cash compensation at the time of your termination (i.e., one-twelfth of the sum of your then annual base salary plus target annual bonus).</w:t>
      </w:r>
    </w:p>
    <w:p>
      <w:pPr>
        <w:spacing w:after="0" w:line="63" w:lineRule="exact"/>
        <w:rPr>
          <w:sz w:val="20"/>
          <w:szCs w:val="20"/>
          <w:color w:val="auto"/>
        </w:rPr>
      </w:pPr>
    </w:p>
    <w:p>
      <w:pPr>
        <w:ind w:left="1" w:right="60"/>
        <w:spacing w:after="0"/>
        <w:rPr>
          <w:sz w:val="20"/>
          <w:szCs w:val="20"/>
          <w:color w:val="auto"/>
        </w:rPr>
      </w:pPr>
      <w:r>
        <w:rPr>
          <w:rFonts w:ascii="Arial" w:cs="Arial" w:eastAsia="Arial" w:hAnsi="Arial"/>
          <w:sz w:val="13"/>
          <w:szCs w:val="13"/>
          <w:color w:val="auto"/>
        </w:rPr>
        <w:t>The lump sum payment (less applicable taxes and other mandatory deductions as required by law) will be paid to you following the later</w:t>
      </w:r>
      <w:r>
        <w:rPr>
          <w:rFonts w:ascii="Arial" w:cs="Arial" w:eastAsia="Arial" w:hAnsi="Arial"/>
          <w:sz w:val="11"/>
          <w:szCs w:val="11"/>
          <w:color w:val="auto"/>
        </w:rPr>
        <w:t>1</w:t>
      </w:r>
      <w:r>
        <w:rPr>
          <w:rFonts w:ascii="Arial" w:cs="Arial" w:eastAsia="Arial" w:hAnsi="Arial"/>
          <w:sz w:val="13"/>
          <w:szCs w:val="13"/>
          <w:color w:val="auto"/>
        </w:rPr>
        <w:t xml:space="preserve"> of (i) the termination of your employment with Biogen Idec and (ii) the effective date of a signed general release in favor of Biogen Idec (see below). The Insurance Benefit will continue until the earlier of (i) the date you become eligible to participate in the medical and dental insurance plan of another employer or (ii) the date that is [9 + (A x 2.5)] months, but not more than 21 months,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63" w:lineRule="exact"/>
        <w:rPr>
          <w:sz w:val="20"/>
          <w:szCs w:val="20"/>
          <w:color w:val="auto"/>
        </w:rPr>
      </w:pPr>
    </w:p>
    <w:p>
      <w:pPr>
        <w:ind w:left="221"/>
        <w:spacing w:after="0" w:line="253" w:lineRule="auto"/>
        <w:rPr>
          <w:sz w:val="20"/>
          <w:szCs w:val="20"/>
          <w:color w:val="auto"/>
        </w:rPr>
      </w:pPr>
      <w:r>
        <w:rPr>
          <w:rFonts w:ascii="Arial" w:cs="Arial" w:eastAsia="Arial" w:hAnsi="Arial"/>
          <w:sz w:val="13"/>
          <w:szCs w:val="13"/>
          <w:i w:val="1"/>
          <w:iCs w:val="1"/>
          <w:color w:val="auto"/>
        </w:rPr>
        <w:t>If your employment with Biogen Idec is terminated after ten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48" w:lineRule="exact"/>
        <w:rPr>
          <w:sz w:val="20"/>
          <w:szCs w:val="20"/>
          <w:color w:val="auto"/>
        </w:rPr>
      </w:pPr>
    </w:p>
    <w:p>
      <w:pPr>
        <w:ind w:left="221" w:right="180"/>
        <w:spacing w:after="0" w:line="253"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twenty-one months [9+12] of your target cash annual compensation and continue to participate in Biogen Idec’s group medical and dental plans for twenty-one months, unless you become eligible to participate in another employer’s medical and dental plans before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064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39" w:lineRule="exact"/>
        <w:rPr>
          <w:sz w:val="20"/>
          <w:szCs w:val="20"/>
          <w:color w:val="auto"/>
        </w:rPr>
      </w:pPr>
    </w:p>
    <w:p>
      <w:pPr>
        <w:ind w:left="461" w:right="160" w:hanging="461"/>
        <w:spacing w:after="0" w:line="248" w:lineRule="auto"/>
        <w:tabs>
          <w:tab w:leader="none" w:pos="461" w:val="left"/>
        </w:tabs>
        <w:numPr>
          <w:ilvl w:val="0"/>
          <w:numId w:val="72"/>
        </w:numPr>
        <w:rPr>
          <w:rFonts w:ascii="Arial" w:cs="Arial" w:eastAsia="Arial" w:hAnsi="Arial"/>
          <w:sz w:val="11"/>
          <w:szCs w:val="11"/>
          <w:color w:val="auto"/>
        </w:rPr>
      </w:pPr>
      <w:r>
        <w:rPr>
          <w:rFonts w:ascii="Arial" w:cs="Arial" w:eastAsia="Arial" w:hAnsi="Arial"/>
          <w:sz w:val="13"/>
          <w:szCs w:val="13"/>
          <w:color w:val="auto"/>
        </w:rPr>
        <w:t>If you are a “specified employee” under Section 409A of the Internal Revenue Code of 1986 (which includes certain officers of public companies, including Biogen Idec), that portion of your severance payment that is subject to (and not otherwise exempt from) Section 409A will be paid in a lump sum six months after the date of your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9" w:right="219" w:bottom="1440" w:gutter="0" w:footer="0" w:header="0"/>
        </w:sectPr>
      </w:pPr>
    </w:p>
    <w:bookmarkStart w:id="169" w:name="page170"/>
    <w:bookmarkEnd w:id="169"/>
    <w:p>
      <w:pPr>
        <w:ind w:left="1"/>
        <w:spacing w:after="0"/>
        <w:rPr>
          <w:sz w:val="20"/>
          <w:szCs w:val="20"/>
          <w:color w:val="auto"/>
        </w:rPr>
      </w:pPr>
      <w:r>
        <w:rPr>
          <w:rFonts w:ascii="Arial" w:cs="Arial" w:eastAsia="Arial" w:hAnsi="Arial"/>
          <w:sz w:val="13"/>
          <w:szCs w:val="13"/>
          <w:color w:val="auto"/>
        </w:rPr>
        <w:t>Page 4 of 4</w:t>
      </w:r>
    </w:p>
    <w:p>
      <w:pPr>
        <w:spacing w:after="0" w:line="77" w:lineRule="exact"/>
        <w:rPr>
          <w:sz w:val="20"/>
          <w:szCs w:val="20"/>
          <w:color w:val="auto"/>
        </w:rPr>
      </w:pPr>
    </w:p>
    <w:p>
      <w:pPr>
        <w:ind w:left="1"/>
        <w:spacing w:after="0" w:line="238" w:lineRule="auto"/>
        <w:rPr>
          <w:sz w:val="20"/>
          <w:szCs w:val="20"/>
          <w:color w:val="auto"/>
        </w:rPr>
      </w:pPr>
      <w:r>
        <w:rPr>
          <w:rFonts w:ascii="Arial" w:cs="Arial" w:eastAsia="Arial" w:hAnsi="Arial"/>
          <w:sz w:val="13"/>
          <w:szCs w:val="13"/>
          <w:color w:val="auto"/>
        </w:rPr>
        <w:t>If at any time within two years following a Corporate Transaction or Corporate Change in Control (as these terms are defined in Biogen Idec’s 2005 Omnibus Equity Plan) your employment is terminated by Biogen Idec or the succeeding corporate entity, other than For Cause or for reason of death or Disability (as these terms are defined in Biogen Idec’s 2005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w:t>
      </w:r>
      <w:r>
        <w:rPr>
          <w:rFonts w:ascii="Arial" w:cs="Arial" w:eastAsia="Arial" w:hAnsi="Arial"/>
          <w:sz w:val="11"/>
          <w:szCs w:val="11"/>
          <w:color w:val="auto"/>
        </w:rPr>
        <w:t>2</w:t>
      </w:r>
      <w:r>
        <w:rPr>
          <w:rFonts w:ascii="Arial" w:cs="Arial" w:eastAsia="Arial" w:hAnsi="Arial"/>
          <w:sz w:val="13"/>
          <w:szCs w:val="13"/>
          <w:color w:val="auto"/>
        </w:rPr>
        <w:t xml:space="preserve"> equivalent to twenty-four months of your then-current target annual cash compensation. In addition, you will be entitled to continue participating in Biogen Idec’s group medical and dental plans for twenty-four months, unless you become eligible to participate in another employer’s medical and dental plans before that date. The term “Involuntary Employment Action” shall have the definition set forth in Biogen Idec’s 2005 Omnibus Equity Plan, provided, however, that for purposes hereof the term “Corporate Transaction” used in such definition shall be deemed to mean either a Corporate Transaction or Change in Control, as the case may be.</w:t>
      </w:r>
    </w:p>
    <w:p>
      <w:pPr>
        <w:spacing w:after="0" w:line="72" w:lineRule="exact"/>
        <w:rPr>
          <w:sz w:val="20"/>
          <w:szCs w:val="20"/>
          <w:color w:val="auto"/>
        </w:rPr>
      </w:pPr>
    </w:p>
    <w:p>
      <w:pPr>
        <w:ind w:left="1" w:right="220"/>
        <w:spacing w:after="0"/>
        <w:rPr>
          <w:sz w:val="20"/>
          <w:szCs w:val="20"/>
          <w:color w:val="auto"/>
        </w:rPr>
      </w:pPr>
      <w:r>
        <w:rPr>
          <w:rFonts w:ascii="Arial" w:cs="Arial" w:eastAsia="Arial" w:hAnsi="Arial"/>
          <w:sz w:val="13"/>
          <w:szCs w:val="13"/>
          <w:color w:val="auto"/>
        </w:rPr>
        <w:t>Payment and provision of the severance benefits described above are conditioned on your execution of a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2005 Omnibus Equity Plan), or you do not provide the requisite general release, you will not be eligible to receive the severance benefits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31064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7" w:lineRule="exact"/>
        <w:rPr>
          <w:sz w:val="20"/>
          <w:szCs w:val="20"/>
          <w:color w:val="auto"/>
        </w:rPr>
      </w:pPr>
    </w:p>
    <w:p>
      <w:pPr>
        <w:ind w:left="461" w:right="140" w:hanging="461"/>
        <w:spacing w:after="0" w:line="248" w:lineRule="auto"/>
        <w:tabs>
          <w:tab w:leader="none" w:pos="461" w:val="left"/>
        </w:tabs>
        <w:numPr>
          <w:ilvl w:val="0"/>
          <w:numId w:val="73"/>
        </w:numPr>
        <w:rPr>
          <w:rFonts w:ascii="Arial" w:cs="Arial" w:eastAsia="Arial" w:hAnsi="Arial"/>
          <w:sz w:val="11"/>
          <w:szCs w:val="11"/>
          <w:color w:val="auto"/>
        </w:rPr>
      </w:pPr>
      <w:r>
        <w:rPr>
          <w:rFonts w:ascii="Arial" w:cs="Arial" w:eastAsia="Arial" w:hAnsi="Arial"/>
          <w:sz w:val="13"/>
          <w:szCs w:val="13"/>
          <w:color w:val="auto"/>
        </w:rPr>
        <w:t>If you are a “specified employee” under Section 409A of the Internal Revenue Code of 1986 (which includes certain officers of public companies, including Biogen Idec), that portion of your severance payment that is subject to (and not otherwise exempt from) Section 409A will be paid in a lump sum six months after the date of your termination of employment.</w:t>
      </w:r>
    </w:p>
    <w:p>
      <w:pPr>
        <w:sectPr>
          <w:pgSz w:w="11900" w:h="16838" w:orient="portrait"/>
          <w:cols w:equalWidth="0" w:num="1">
            <w:col w:w="11441"/>
          </w:cols>
          <w:pgMar w:left="219" w:top="729" w:right="23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463550</wp:posOffset>
            </wp:positionV>
            <wp:extent cx="4493895" cy="7175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4493895" cy="717550"/>
                    </a:xfrm>
                    <a:prstGeom prst="rect">
                      <a:avLst/>
                    </a:prstGeom>
                    <a:noFill/>
                  </pic:spPr>
                </pic:pic>
              </a:graphicData>
            </a:graphic>
          </wp:anchor>
        </w:drawing>
      </w:r>
    </w:p>
    <w:p>
      <w:pPr>
        <w:spacing w:after="0" w:line="377" w:lineRule="exact"/>
        <w:rPr>
          <w:sz w:val="20"/>
          <w:szCs w:val="20"/>
          <w:color w:val="auto"/>
        </w:rPr>
      </w:pPr>
    </w:p>
    <w:p>
      <w:pPr>
        <w:ind w:left="10600"/>
        <w:spacing w:after="0"/>
        <w:rPr>
          <w:sz w:val="20"/>
          <w:szCs w:val="20"/>
          <w:color w:val="auto"/>
        </w:rPr>
      </w:pPr>
      <w:r>
        <w:rPr>
          <w:rFonts w:ascii="Arial" w:cs="Arial" w:eastAsia="Arial" w:hAnsi="Arial"/>
          <w:sz w:val="12"/>
          <w:szCs w:val="12"/>
          <w:color w:val="auto"/>
        </w:rPr>
        <w:t>EXHIBIT 10.50</w:t>
      </w:r>
    </w:p>
    <w:p>
      <w:pPr>
        <w:spacing w:after="0" w:line="157" w:lineRule="exact"/>
        <w:rPr>
          <w:sz w:val="20"/>
          <w:szCs w:val="20"/>
          <w:color w:val="auto"/>
        </w:rPr>
      </w:pPr>
    </w:p>
    <w:p>
      <w:pPr>
        <w:spacing w:after="0"/>
        <w:tabs>
          <w:tab w:leader="none" w:pos="10440" w:val="left"/>
        </w:tabs>
        <w:rPr>
          <w:sz w:val="20"/>
          <w:szCs w:val="20"/>
          <w:color w:val="auto"/>
        </w:rPr>
      </w:pPr>
      <w:r>
        <w:rPr>
          <w:rFonts w:ascii="Arial" w:cs="Arial" w:eastAsia="Arial" w:hAnsi="Arial"/>
          <w:sz w:val="13"/>
          <w:szCs w:val="13"/>
          <w:color w:val="auto"/>
        </w:rPr>
        <w:t>Robert Hamm</w:t>
      </w:r>
      <w:r>
        <w:rPr>
          <w:sz w:val="20"/>
          <w:szCs w:val="20"/>
          <w:color w:val="auto"/>
        </w:rPr>
        <w:tab/>
      </w:r>
      <w:r>
        <w:rPr>
          <w:rFonts w:ascii="Arial" w:cs="Arial" w:eastAsia="Arial" w:hAnsi="Arial"/>
          <w:sz w:val="12"/>
          <w:szCs w:val="12"/>
          <w:color w:val="auto"/>
        </w:rPr>
        <w:t>October 15, 2007</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Dear Bob:</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I am pleased to confirm your promotion to EVP, Pharmaceutical Operations &amp; Technology. This position will report to James Mullen, CEO &amp; President, and will be based at our Cambridge, MA facility.</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The specific terms of your promotion are as follows.</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Promotion Date</w:t>
      </w:r>
      <w:r>
        <w:rPr>
          <w:rFonts w:ascii="Arial" w:cs="Arial" w:eastAsia="Arial" w:hAnsi="Arial"/>
          <w:sz w:val="13"/>
          <w:szCs w:val="13"/>
          <w:color w:val="auto"/>
        </w:rPr>
        <w:t>: The effective date of your promotion is October 12, 2007.</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3"/>
          <w:szCs w:val="13"/>
          <w:color w:val="auto"/>
        </w:rPr>
        <w:t>Effective with the date of promotion, your biweekly salary will be $16,769.24, which is equivalent to an annual salary of $436,000.24.</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Short-term-incentive: </w:t>
      </w:r>
      <w:r>
        <w:rPr>
          <w:rFonts w:ascii="Arial" w:cs="Arial" w:eastAsia="Arial" w:hAnsi="Arial"/>
          <w:sz w:val="13"/>
          <w:szCs w:val="13"/>
          <w:color w:val="auto"/>
        </w:rPr>
        <w:t>Your target bonus level under Biogen Idec’s Annual Bonus Plan will be 50% of your annualized base salary.</w:t>
      </w:r>
    </w:p>
    <w:p>
      <w:pPr>
        <w:spacing w:after="0" w:line="77" w:lineRule="exact"/>
        <w:rPr>
          <w:sz w:val="20"/>
          <w:szCs w:val="20"/>
          <w:color w:val="auto"/>
        </w:rPr>
      </w:pPr>
    </w:p>
    <w:p>
      <w:pPr>
        <w:jc w:val="both"/>
        <w:ind w:right="60"/>
        <w:spacing w:after="0" w:line="273" w:lineRule="auto"/>
        <w:rPr>
          <w:sz w:val="20"/>
          <w:szCs w:val="20"/>
          <w:color w:val="auto"/>
        </w:rPr>
      </w:pPr>
      <w:r>
        <w:rPr>
          <w:rFonts w:ascii="Arial" w:cs="Arial" w:eastAsia="Arial" w:hAnsi="Arial"/>
          <w:sz w:val="13"/>
          <w:szCs w:val="13"/>
          <w:b w:val="1"/>
          <w:bCs w:val="1"/>
          <w:color w:val="auto"/>
        </w:rPr>
        <w:t xml:space="preserve">Long-term Incentive: </w:t>
      </w:r>
      <w:r>
        <w:rPr>
          <w:rFonts w:ascii="Arial" w:cs="Arial" w:eastAsia="Arial" w:hAnsi="Arial"/>
          <w:sz w:val="13"/>
          <w:szCs w:val="13"/>
          <w:color w:val="auto"/>
        </w:rPr>
        <w:t>You will be granted 2,700 restricted stock units (RSUs). Assuming your continued employment, these RSUs will vest and convert into shares of Biogen Idec common stock at</w:t>
      </w:r>
      <w:r>
        <w:rPr>
          <w:rFonts w:ascii="Arial" w:cs="Arial" w:eastAsia="Arial" w:hAnsi="Arial"/>
          <w:sz w:val="13"/>
          <w:szCs w:val="13"/>
          <w:b w:val="1"/>
          <w:bCs w:val="1"/>
          <w:color w:val="auto"/>
        </w:rPr>
        <w:t xml:space="preserve"> </w:t>
      </w:r>
      <w:r>
        <w:rPr>
          <w:rFonts w:ascii="Arial" w:cs="Arial" w:eastAsia="Arial" w:hAnsi="Arial"/>
          <w:sz w:val="13"/>
          <w:szCs w:val="13"/>
          <w:color w:val="auto"/>
        </w:rPr>
        <w:t>the rate of one-third per year over three years, beginning on the first anniversary of your grant date. The grant date will be the first trading day of the month following your effective date of promotion.</w:t>
      </w:r>
    </w:p>
    <w:p>
      <w:pPr>
        <w:spacing w:after="0" w:line="49" w:lineRule="exact"/>
        <w:rPr>
          <w:sz w:val="20"/>
          <w:szCs w:val="20"/>
          <w:color w:val="auto"/>
        </w:rPr>
      </w:pPr>
    </w:p>
    <w:p>
      <w:pPr>
        <w:ind w:right="300"/>
        <w:spacing w:after="0" w:line="242" w:lineRule="auto"/>
        <w:rPr>
          <w:sz w:val="20"/>
          <w:szCs w:val="20"/>
          <w:color w:val="auto"/>
        </w:rPr>
      </w:pPr>
      <w:r>
        <w:rPr>
          <w:rFonts w:ascii="Arial" w:cs="Arial" w:eastAsia="Arial" w:hAnsi="Arial"/>
          <w:sz w:val="13"/>
          <w:szCs w:val="13"/>
          <w:color w:val="auto"/>
        </w:rPr>
        <w:t>You will also be granted an option to purchase 6,900 shares of the common stock of Biogen Idec at an exercise price equal to the closing price of Biogen Idec stock as reported on the NASDAQ National Market on the grant date. The grant date will be the first trading day of the month following your effective date of promotion. The option will have a ten-year term and, assuming your continued employment, will vest equally over a four-year period at the rate of 25% per year, starting on the first anniversary of your grant date.</w:t>
      </w:r>
    </w:p>
    <w:p>
      <w:pPr>
        <w:spacing w:after="0" w:line="69" w:lineRule="exact"/>
        <w:rPr>
          <w:sz w:val="20"/>
          <w:szCs w:val="20"/>
          <w:color w:val="auto"/>
        </w:rPr>
      </w:pPr>
    </w:p>
    <w:p>
      <w:pPr>
        <w:ind w:right="120"/>
        <w:spacing w:after="0"/>
        <w:rPr>
          <w:sz w:val="20"/>
          <w:szCs w:val="20"/>
          <w:color w:val="auto"/>
        </w:rPr>
      </w:pPr>
      <w:r>
        <w:rPr>
          <w:rFonts w:ascii="Arial" w:cs="Arial" w:eastAsia="Arial" w:hAnsi="Arial"/>
          <w:sz w:val="13"/>
          <w:szCs w:val="13"/>
          <w:color w:val="auto"/>
        </w:rPr>
        <w:t>The actual terms of your RSU and stock option grants will be communicated to you in a separate Notice of Grant. You are considered a “designated employee”, as defined in the 2005 Omnibus Equity Plan. You are encouraged to carefully review the 2005 Omnibus Equity Plan Document for information on the implications of being a designated employee under the Plan, as well as any applicable terms and conditions of your grants under this program. This document is available on iNet in the Human Resources Business Area. If you do not have access to the iNet or would prefer to have a copy mailed to you, please call the HR Helpdesk at 866-824-8444 (toll free), 617-679-3400 or ext. 83400 (internal).</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3"/>
          <w:szCs w:val="13"/>
          <w:b w:val="1"/>
          <w:bCs w:val="1"/>
          <w:color w:val="auto"/>
        </w:rPr>
        <w:t xml:space="preserve">Stock Trading Plan: </w:t>
      </w:r>
      <w:r>
        <w:rPr>
          <w:rFonts w:ascii="Arial" w:cs="Arial" w:eastAsia="Arial" w:hAnsi="Arial"/>
          <w:sz w:val="13"/>
          <w:szCs w:val="13"/>
          <w:color w:val="auto"/>
        </w:rPr>
        <w:t>As an Executive Vice President of the Company, you are required to enter into a 10b5-1 stock trading plan. A 10b5-1 plan enables you to buy and sell Biogen Idec securities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pre-specified conditions (e.g., when the price of Biogen Idec stock reaches a certain price), and allows you to sell outside of quarterly “trading windows” whether or not you are in possession of material, nonpublic information. More information on 10b5-1 trading plans can be found on iNet.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Biogen Idec 14 Cambridge Center Cambridge, MA 02142 Phone 617-679-2000 www.biogenidec.com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color w:val="auto"/>
        </w:rPr>
        <w:t>Page 2 of 6</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Executive Benefits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Vacation: </w:t>
      </w:r>
      <w:r>
        <w:rPr>
          <w:rFonts w:ascii="Arial" w:cs="Arial" w:eastAsia="Arial" w:hAnsi="Arial"/>
          <w:sz w:val="13"/>
          <w:szCs w:val="13"/>
          <w:color w:val="auto"/>
        </w:rPr>
        <w:t>You are entitled to 25 vacation days per year, accrued on a per pay period basis.</w:t>
      </w:r>
    </w:p>
    <w:p>
      <w:pPr>
        <w:spacing w:after="0" w:line="77" w:lineRule="exact"/>
        <w:rPr>
          <w:sz w:val="20"/>
          <w:szCs w:val="20"/>
          <w:color w:val="auto"/>
        </w:rPr>
      </w:pPr>
    </w:p>
    <w:p>
      <w:pPr>
        <w:ind w:left="220" w:right="100"/>
        <w:spacing w:after="0" w:line="255" w:lineRule="auto"/>
        <w:rPr>
          <w:sz w:val="20"/>
          <w:szCs w:val="20"/>
          <w:color w:val="auto"/>
        </w:rPr>
      </w:pPr>
      <w:r>
        <w:rPr>
          <w:rFonts w:ascii="Arial" w:cs="Arial" w:eastAsia="Arial" w:hAnsi="Arial"/>
          <w:sz w:val="13"/>
          <w:szCs w:val="13"/>
          <w:b w:val="1"/>
          <w:bCs w:val="1"/>
          <w:color w:val="auto"/>
        </w:rPr>
        <w:t xml:space="preserve">Supplemental Savings Plan: </w:t>
      </w:r>
      <w:r>
        <w:rPr>
          <w:rFonts w:ascii="Arial" w:cs="Arial" w:eastAsia="Arial" w:hAnsi="Arial"/>
          <w:sz w:val="13"/>
          <w:szCs w:val="13"/>
          <w:color w:val="auto"/>
        </w:rPr>
        <w:t>You are entitled to participate in Biogen Idec’s Supplemental Savings Plan (SSP). This plan allows you to make pre-tax deferrals of up to 80% of your base salary</w:t>
      </w:r>
      <w:r>
        <w:rPr>
          <w:rFonts w:ascii="Arial" w:cs="Arial" w:eastAsia="Arial" w:hAnsi="Arial"/>
          <w:sz w:val="13"/>
          <w:szCs w:val="13"/>
          <w:b w:val="1"/>
          <w:bCs w:val="1"/>
          <w:color w:val="auto"/>
        </w:rPr>
        <w:t xml:space="preserve"> </w:t>
      </w:r>
      <w:r>
        <w:rPr>
          <w:rFonts w:ascii="Arial" w:cs="Arial" w:eastAsia="Arial" w:hAnsi="Arial"/>
          <w:sz w:val="13"/>
          <w:szCs w:val="13"/>
          <w:color w:val="auto"/>
        </w:rPr>
        <w:t>and up to 100% of your Annual Bonus payment. Your contributions to this plan may be limited by your contributions towards other plans (e.g., 401k, ESPP, medical, etc.). If you were not previously eligible for the SSP, enrollment information will be sent to you shortly.</w:t>
      </w:r>
    </w:p>
    <w:p>
      <w:pPr>
        <w:spacing w:after="0" w:line="44" w:lineRule="exact"/>
        <w:rPr>
          <w:sz w:val="20"/>
          <w:szCs w:val="20"/>
          <w:color w:val="auto"/>
        </w:rPr>
      </w:pPr>
    </w:p>
    <w:p>
      <w:pPr>
        <w:ind w:left="220" w:right="60"/>
        <w:spacing w:after="0" w:line="255" w:lineRule="auto"/>
        <w:rPr>
          <w:sz w:val="20"/>
          <w:szCs w:val="20"/>
          <w:color w:val="auto"/>
        </w:rPr>
      </w:pPr>
      <w:r>
        <w:rPr>
          <w:rFonts w:ascii="Arial" w:cs="Arial" w:eastAsia="Arial" w:hAnsi="Arial"/>
          <w:sz w:val="13"/>
          <w:szCs w:val="13"/>
          <w:b w:val="1"/>
          <w:bCs w:val="1"/>
          <w:color w:val="auto"/>
        </w:rPr>
        <w:t xml:space="preserve">Life Insurance: </w:t>
      </w:r>
      <w:r>
        <w:rPr>
          <w:rFonts w:ascii="Arial" w:cs="Arial" w:eastAsia="Arial" w:hAnsi="Arial"/>
          <w:sz w:val="13"/>
          <w:szCs w:val="13"/>
          <w:color w:val="auto"/>
        </w:rPr>
        <w:t>You will be provided life insurance coverage equal to three times your annual base salary, subject to meeting the medical standards stated in the group term life insurance policy</w:t>
      </w:r>
      <w:r>
        <w:rPr>
          <w:rFonts w:ascii="Arial" w:cs="Arial" w:eastAsia="Arial" w:hAnsi="Arial"/>
          <w:sz w:val="13"/>
          <w:szCs w:val="13"/>
          <w:b w:val="1"/>
          <w:bCs w:val="1"/>
          <w:color w:val="auto"/>
        </w:rPr>
        <w:t xml:space="preserve"> </w:t>
      </w:r>
      <w:r>
        <w:rPr>
          <w:rFonts w:ascii="Arial" w:cs="Arial" w:eastAsia="Arial" w:hAnsi="Arial"/>
          <w:sz w:val="13"/>
          <w:szCs w:val="13"/>
          <w:color w:val="auto"/>
        </w:rPr>
        <w:t>for U.S. employees. Biogen Idec pays the premium for this insurance. The IRS requires employers to impute the value of company-paid life insurance for coverage over $50,000. This imputed income will be displayed on your pay stub.</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 xml:space="preserve">Severance: </w:t>
      </w:r>
      <w:r>
        <w:rPr>
          <w:rFonts w:ascii="Arial" w:cs="Arial" w:eastAsia="Arial" w:hAnsi="Arial"/>
          <w:sz w:val="13"/>
          <w:szCs w:val="13"/>
          <w:color w:val="auto"/>
        </w:rPr>
        <w:t>Under certain circumstances, you will be entitled to receive severance benefits. Your severance benefits are explained in detail in the attached executive severance document.</w:t>
      </w:r>
    </w:p>
    <w:p>
      <w:pPr>
        <w:spacing w:after="0" w:line="77" w:lineRule="exact"/>
        <w:rPr>
          <w:sz w:val="20"/>
          <w:szCs w:val="20"/>
          <w:color w:val="auto"/>
        </w:rPr>
      </w:pPr>
    </w:p>
    <w:p>
      <w:pPr>
        <w:ind w:left="220" w:right="140"/>
        <w:spacing w:after="0" w:line="255" w:lineRule="auto"/>
        <w:rPr>
          <w:sz w:val="20"/>
          <w:szCs w:val="20"/>
          <w:color w:val="auto"/>
        </w:rPr>
      </w:pPr>
      <w:r>
        <w:rPr>
          <w:rFonts w:ascii="Arial" w:cs="Arial" w:eastAsia="Arial" w:hAnsi="Arial"/>
          <w:sz w:val="13"/>
          <w:szCs w:val="13"/>
          <w:b w:val="1"/>
          <w:bCs w:val="1"/>
          <w:color w:val="auto"/>
        </w:rPr>
        <w:t xml:space="preserve">IRC 280G Excise Taxes: </w:t>
      </w:r>
      <w:r>
        <w:rPr>
          <w:rFonts w:ascii="Arial" w:cs="Arial" w:eastAsia="Arial" w:hAnsi="Arial"/>
          <w:sz w:val="13"/>
          <w:szCs w:val="13"/>
          <w:color w:val="auto"/>
        </w:rPr>
        <w:t>In the event of a Change in Control (as defined in Section 280G of the Internal Revenue Code), compensation paid to you may trigger an excise tax (in addition to</w:t>
      </w:r>
      <w:r>
        <w:rPr>
          <w:rFonts w:ascii="Arial" w:cs="Arial" w:eastAsia="Arial" w:hAnsi="Arial"/>
          <w:sz w:val="13"/>
          <w:szCs w:val="13"/>
          <w:b w:val="1"/>
          <w:bCs w:val="1"/>
          <w:color w:val="auto"/>
        </w:rPr>
        <w:t xml:space="preserve"> </w:t>
      </w:r>
      <w:r>
        <w:rPr>
          <w:rFonts w:ascii="Arial" w:cs="Arial" w:eastAsia="Arial" w:hAnsi="Arial"/>
          <w:sz w:val="13"/>
          <w:szCs w:val="13"/>
          <w:color w:val="auto"/>
        </w:rPr>
        <w:t>ordinary income taxes). Biogen Idec will reimburse you for any excise taxes you incur under IRC 280G as a result of a Change in Control. This includes gains from the exercise of stock options and vesting of restricted stock and/or units, as well as the reimbursement for such penalties</w:t>
      </w:r>
      <w:r>
        <w:rPr>
          <w:rFonts w:ascii="Arial" w:cs="Arial" w:eastAsia="Arial" w:hAnsi="Arial"/>
          <w:sz w:val="13"/>
          <w:szCs w:val="13"/>
          <w:i w:val="1"/>
          <w:iCs w:val="1"/>
          <w:color w:val="auto"/>
        </w:rPr>
        <w:t>.</w:t>
      </w:r>
      <w:r>
        <w:rPr>
          <w:rFonts w:ascii="Arial" w:cs="Arial" w:eastAsia="Arial" w:hAnsi="Arial"/>
          <w:sz w:val="13"/>
          <w:szCs w:val="13"/>
          <w:color w:val="auto"/>
        </w:rPr>
        <w:t xml:space="preserve"> In addition, Biogen Idec will reimburse you for income taxes imposed on the excise taxes.</w:t>
      </w:r>
    </w:p>
    <w:p>
      <w:pPr>
        <w:spacing w:after="0" w:line="44" w:lineRule="exact"/>
        <w:rPr>
          <w:sz w:val="20"/>
          <w:szCs w:val="20"/>
          <w:color w:val="auto"/>
        </w:rPr>
      </w:pPr>
    </w:p>
    <w:p>
      <w:pPr>
        <w:ind w:left="220" w:right="200"/>
        <w:spacing w:after="0" w:line="255" w:lineRule="auto"/>
        <w:rPr>
          <w:sz w:val="20"/>
          <w:szCs w:val="20"/>
          <w:color w:val="auto"/>
        </w:rPr>
      </w:pPr>
      <w:r>
        <w:rPr>
          <w:rFonts w:ascii="Arial" w:cs="Arial" w:eastAsia="Arial" w:hAnsi="Arial"/>
          <w:sz w:val="13"/>
          <w:szCs w:val="13"/>
          <w:b w:val="1"/>
          <w:bCs w:val="1"/>
          <w:color w:val="auto"/>
        </w:rPr>
        <w:t xml:space="preserve">Tax Preparation, Financial and Estate Planning: </w:t>
      </w:r>
      <w:r>
        <w:rPr>
          <w:rFonts w:ascii="Arial" w:cs="Arial" w:eastAsia="Arial" w:hAnsi="Arial"/>
          <w:sz w:val="13"/>
          <w:szCs w:val="13"/>
          <w:color w:val="auto"/>
        </w:rPr>
        <w:t>You are entitled to reimbursement of up to $7,500 per calendar year (January 1 — December 31) for expenses incurred due to tax</w:t>
      </w:r>
      <w:r>
        <w:rPr>
          <w:rFonts w:ascii="Arial" w:cs="Arial" w:eastAsia="Arial" w:hAnsi="Arial"/>
          <w:sz w:val="13"/>
          <w:szCs w:val="13"/>
          <w:b w:val="1"/>
          <w:bCs w:val="1"/>
          <w:color w:val="auto"/>
        </w:rPr>
        <w:t xml:space="preserve"> </w:t>
      </w:r>
      <w:r>
        <w:rPr>
          <w:rFonts w:ascii="Arial" w:cs="Arial" w:eastAsia="Arial" w:hAnsi="Arial"/>
          <w:sz w:val="13"/>
          <w:szCs w:val="13"/>
          <w:color w:val="auto"/>
        </w:rPr>
        <w:t>preparation, financial and/or estate planning services, as well as the purchase of tax preparation and/or financial planning software. To receive reimbursement, copies of receipts/invoices from eligible service providers should be submitted through the Company’s third party reimbursement service provider. Such reimbursements are considered taxable income.</w:t>
      </w:r>
    </w:p>
    <w:p>
      <w:pPr>
        <w:spacing w:after="0" w:line="44" w:lineRule="exact"/>
        <w:rPr>
          <w:sz w:val="20"/>
          <w:szCs w:val="20"/>
          <w:color w:val="auto"/>
        </w:rPr>
      </w:pPr>
    </w:p>
    <w:p>
      <w:pPr>
        <w:ind w:left="220" w:right="100"/>
        <w:spacing w:after="0" w:line="273" w:lineRule="auto"/>
        <w:rPr>
          <w:sz w:val="20"/>
          <w:szCs w:val="20"/>
          <w:color w:val="auto"/>
        </w:rPr>
      </w:pPr>
      <w:r>
        <w:rPr>
          <w:rFonts w:ascii="Arial" w:cs="Arial" w:eastAsia="Arial" w:hAnsi="Arial"/>
          <w:sz w:val="13"/>
          <w:szCs w:val="13"/>
          <w:b w:val="1"/>
          <w:bCs w:val="1"/>
          <w:color w:val="auto"/>
        </w:rPr>
        <w:t xml:space="preserve">Air Travel Upgrade: </w:t>
      </w:r>
      <w:r>
        <w:rPr>
          <w:rFonts w:ascii="Arial" w:cs="Arial" w:eastAsia="Arial" w:hAnsi="Arial"/>
          <w:sz w:val="13"/>
          <w:szCs w:val="13"/>
          <w:color w:val="auto"/>
        </w:rPr>
        <w:t>You are entitled to fly first class on all U.S. transcontinental flights (e.g., Boston to San Diego). Overseas flights and other domestic flights are subject to the same policy as</w:t>
      </w:r>
      <w:r>
        <w:rPr>
          <w:rFonts w:ascii="Arial" w:cs="Arial" w:eastAsia="Arial" w:hAnsi="Arial"/>
          <w:sz w:val="13"/>
          <w:szCs w:val="13"/>
          <w:b w:val="1"/>
          <w:bCs w:val="1"/>
          <w:color w:val="auto"/>
        </w:rPr>
        <w:t xml:space="preserve"> </w:t>
      </w:r>
      <w:r>
        <w:rPr>
          <w:rFonts w:ascii="Arial" w:cs="Arial" w:eastAsia="Arial" w:hAnsi="Arial"/>
          <w:sz w:val="13"/>
          <w:szCs w:val="13"/>
          <w:color w:val="auto"/>
        </w:rPr>
        <w:t>all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72" w:name="page173"/>
    <w:bookmarkEnd w:id="172"/>
    <w:p>
      <w:pPr>
        <w:ind w:left="10800"/>
        <w:spacing w:after="0"/>
        <w:rPr>
          <w:sz w:val="20"/>
          <w:szCs w:val="20"/>
          <w:color w:val="auto"/>
        </w:rPr>
      </w:pPr>
      <w:r>
        <w:rPr>
          <w:rFonts w:ascii="Arial" w:cs="Arial" w:eastAsia="Arial" w:hAnsi="Arial"/>
          <w:sz w:val="12"/>
          <w:szCs w:val="12"/>
          <w:color w:val="auto"/>
        </w:rPr>
        <w:t>Page 3 of 6</w:t>
      </w:r>
    </w:p>
    <w:p>
      <w:pPr>
        <w:spacing w:after="0" w:line="88"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Once you have accepted this offer, please sign and return a copy of this letter to me. I am confident you will continue to contribute to Biogen Idec’s success and wish you the best of luck in your new position.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 James C. 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146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James Mullen</w:t>
      </w:r>
    </w:p>
    <w:p>
      <w:pPr>
        <w:spacing w:after="0"/>
        <w:rPr>
          <w:sz w:val="20"/>
          <w:szCs w:val="20"/>
          <w:color w:val="auto"/>
        </w:rPr>
      </w:pPr>
      <w:r>
        <w:rPr>
          <w:rFonts w:ascii="Arial" w:cs="Arial" w:eastAsia="Arial" w:hAnsi="Arial"/>
          <w:sz w:val="13"/>
          <w:szCs w:val="13"/>
          <w:color w:val="auto"/>
        </w:rPr>
        <w:t>CEO &amp; President</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cc: Craig Schneier</w:t>
      </w:r>
    </w:p>
    <w:p>
      <w:pPr>
        <w:sectPr>
          <w:pgSz w:w="11900" w:h="16838" w:orient="portrait"/>
          <w:cols w:equalWidth="0" w:num="1">
            <w:col w:w="11460"/>
          </w:cols>
          <w:pgMar w:left="220" w:top="729" w:right="219" w:bottom="1440" w:gutter="0" w:footer="0" w:header="0"/>
        </w:sectPr>
      </w:pP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/s/ Robert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9146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15 Oct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290830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6160" w:space="720"/>
            <w:col w:w="4580"/>
          </w:cols>
          <w:pgMar w:left="220" w:top="729" w:right="219" w:bottom="1440" w:gutter="0" w:footer="0" w:header="0"/>
          <w:type w:val="continuous"/>
        </w:sectPr>
      </w:pPr>
    </w:p>
    <w:p>
      <w:pPr>
        <w:spacing w:after="0"/>
        <w:rPr>
          <w:sz w:val="20"/>
          <w:szCs w:val="20"/>
          <w:color w:val="auto"/>
        </w:rPr>
      </w:pPr>
      <w:r>
        <w:rPr>
          <w:rFonts w:ascii="Arial" w:cs="Arial" w:eastAsia="Arial" w:hAnsi="Arial"/>
          <w:sz w:val="13"/>
          <w:szCs w:val="13"/>
          <w:color w:val="auto"/>
        </w:rPr>
        <w:t>Robert Hamm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w:t>
      </w:r>
    </w:p>
    <w:p>
      <w:pPr>
        <w:spacing w:after="0" w:line="61" w:lineRule="exact"/>
        <w:rPr>
          <w:sz w:val="20"/>
          <w:szCs w:val="20"/>
          <w:color w:val="auto"/>
        </w:rPr>
      </w:pPr>
    </w:p>
    <w:p>
      <w:pPr>
        <w:sectPr>
          <w:pgSz w:w="11900" w:h="16838" w:orient="portrait"/>
          <w:cols w:equalWidth="0" w:num="2">
            <w:col w:w="6160" w:space="720"/>
            <w:col w:w="4580"/>
          </w:cols>
          <w:pgMar w:left="220" w:top="729" w:right="219" w:bottom="1440" w:gutter="0" w:footer="0" w:header="0"/>
          <w:type w:val="continuous"/>
        </w:sectPr>
      </w:pPr>
    </w:p>
    <w:p>
      <w:pPr>
        <w:ind w:right="20"/>
        <w:spacing w:after="0" w:line="273" w:lineRule="auto"/>
        <w:rPr>
          <w:sz w:val="20"/>
          <w:szCs w:val="20"/>
          <w:color w:val="auto"/>
        </w:rPr>
      </w:pPr>
      <w:r>
        <w:rPr>
          <w:rFonts w:ascii="Arial" w:cs="Arial" w:eastAsia="Arial" w:hAnsi="Arial"/>
          <w:sz w:val="13"/>
          <w:szCs w:val="13"/>
          <w:b w:val="1"/>
          <w:bCs w:val="1"/>
          <w:color w:val="auto"/>
        </w:rPr>
        <w:t>Your employment at Biogen Idec continues to be employment at-will. This means that just as you are free to leave your employment at any time, with or without cause or notice, Biogen Idec also has the same right to terminate your employment at any time, with or without cause 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3"/>
          <w:szCs w:val="13"/>
          <w:color w:val="auto"/>
        </w:rPr>
        <w:t>Page 4 of 6</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Severance — Executive Vice President</w:t>
      </w:r>
    </w:p>
    <w:p>
      <w:pPr>
        <w:spacing w:after="0" w:line="93"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2005 Omnibus Equity Plan).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77" w:lineRule="exact"/>
        <w:rPr>
          <w:sz w:val="20"/>
          <w:szCs w:val="20"/>
          <w:color w:val="auto"/>
        </w:rPr>
      </w:pPr>
    </w:p>
    <w:p>
      <w:pPr>
        <w:ind w:right="60"/>
        <w:spacing w:after="0"/>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93" w:lineRule="exact"/>
        <w:rPr>
          <w:sz w:val="20"/>
          <w:szCs w:val="20"/>
          <w:color w:val="auto"/>
        </w:rPr>
      </w:pPr>
    </w:p>
    <w:p>
      <w:pPr>
        <w:ind w:left="740" w:right="240" w:hanging="519"/>
        <w:spacing w:after="0" w:line="248" w:lineRule="auto"/>
        <w:tabs>
          <w:tab w:leader="none" w:pos="720" w:val="left"/>
        </w:tabs>
        <w:rPr>
          <w:sz w:val="20"/>
          <w:szCs w:val="20"/>
          <w:color w:val="auto"/>
        </w:rPr>
      </w:pPr>
      <w:r>
        <w:rPr>
          <w:rFonts w:ascii="Arial" w:cs="Arial" w:eastAsia="Arial" w:hAnsi="Arial"/>
          <w:sz w:val="13"/>
          <w:szCs w:val="13"/>
          <w:color w:val="auto"/>
        </w:rPr>
        <w:t>where:</w:t>
        <w:tab/>
        <w:t>A is the number of full years of service with Biogen Idec (but A x 2.5 may not exceed 12), and B is the monthly equivalent of your target annual cash compensation at the time of your termination (i.e., one-twelfth of the sum of your then annual base salary plus target annual bonus).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63" w:lineRule="exact"/>
        <w:rPr>
          <w:sz w:val="20"/>
          <w:szCs w:val="20"/>
          <w:color w:val="auto"/>
        </w:rPr>
      </w:pPr>
    </w:p>
    <w:p>
      <w:pPr>
        <w:jc w:val="both"/>
        <w:ind w:left="320" w:right="220"/>
        <w:spacing w:after="0" w:line="253" w:lineRule="auto"/>
        <w:rPr>
          <w:sz w:val="20"/>
          <w:szCs w:val="20"/>
          <w:color w:val="auto"/>
        </w:rPr>
      </w:pPr>
      <w:r>
        <w:rPr>
          <w:rFonts w:ascii="Arial" w:cs="Arial" w:eastAsia="Arial" w:hAnsi="Arial"/>
          <w:sz w:val="13"/>
          <w:szCs w:val="13"/>
          <w:i w:val="1"/>
          <w:iCs w:val="1"/>
          <w:color w:val="auto"/>
        </w:rPr>
        <w:t>If your employment with Biogen Idec is terminated after 10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58" w:lineRule="exact"/>
        <w:rPr>
          <w:sz w:val="20"/>
          <w:szCs w:val="20"/>
          <w:color w:val="auto"/>
        </w:rPr>
      </w:pPr>
    </w:p>
    <w:p>
      <w:pPr>
        <w:jc w:val="both"/>
        <w:ind w:left="320" w:right="240"/>
        <w:spacing w:after="0" w:line="270"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21 months [9+12] of your target annual cash compensation and continue to participate in Biogen Idec’s group medical and dental plans for 21 months, unless you become eligible to participate in another employer’s medical and dental plans before that date.</w:t>
      </w:r>
    </w:p>
    <w:p>
      <w:pPr>
        <w:spacing w:after="0" w:line="51" w:lineRule="exact"/>
        <w:rPr>
          <w:sz w:val="20"/>
          <w:szCs w:val="20"/>
          <w:color w:val="auto"/>
        </w:rPr>
      </w:pPr>
    </w:p>
    <w:p>
      <w:pPr>
        <w:ind w:right="80"/>
        <w:spacing w:after="0" w:line="238" w:lineRule="auto"/>
        <w:rPr>
          <w:sz w:val="20"/>
          <w:szCs w:val="20"/>
          <w:color w:val="auto"/>
        </w:rPr>
      </w:pPr>
      <w:r>
        <w:rPr>
          <w:rFonts w:ascii="Arial" w:cs="Arial" w:eastAsia="Arial" w:hAnsi="Arial"/>
          <w:sz w:val="13"/>
          <w:szCs w:val="13"/>
          <w:color w:val="auto"/>
        </w:rPr>
        <w:t>If at any time within two years following a Corporate Transaction or Corporate Change in Control (as these terms are defined in Biogen Idec’s 2005 Omnibus Equity Plan) your employment is terminated by Biogen Idec or the succeeding corporate entity, other than For Cause or for reason of death or Disability (as these terms are defined in Biogen Idec’s 2005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2005 Omnibus Equity Plan, provided, however, that the term “Corporate Transaction”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74" w:name="page175"/>
    <w:bookmarkEnd w:id="174"/>
    <w:p>
      <w:pPr>
        <w:ind w:left="10800"/>
        <w:spacing w:after="0"/>
        <w:rPr>
          <w:sz w:val="20"/>
          <w:szCs w:val="20"/>
          <w:color w:val="auto"/>
        </w:rPr>
      </w:pPr>
      <w:r>
        <w:rPr>
          <w:rFonts w:ascii="Arial" w:cs="Arial" w:eastAsia="Arial" w:hAnsi="Arial"/>
          <w:sz w:val="12"/>
          <w:szCs w:val="12"/>
          <w:color w:val="auto"/>
        </w:rPr>
        <w:t>Page 5 of 6</w:t>
      </w:r>
    </w:p>
    <w:p>
      <w:pPr>
        <w:spacing w:after="0" w:line="88"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2005 Omnibus Equity Plan), or you do not provide the requisite general release, you will not be eligible to receive the severance benefits described above.</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73" w:lineRule="exact"/>
        <w:rPr>
          <w:sz w:val="20"/>
          <w:szCs w:val="20"/>
          <w:color w:val="auto"/>
        </w:rPr>
      </w:pPr>
    </w:p>
    <w:p>
      <w:pPr>
        <w:ind w:right="100"/>
        <w:spacing w:after="0"/>
        <w:rPr>
          <w:sz w:val="20"/>
          <w:szCs w:val="20"/>
          <w:color w:val="auto"/>
        </w:rPr>
      </w:pPr>
      <w:r>
        <w:rPr>
          <w:rFonts w:ascii="Arial" w:cs="Arial" w:eastAsia="Arial" w:hAnsi="Arial"/>
          <w:sz w:val="13"/>
          <w:szCs w:val="13"/>
          <w:color w:val="auto"/>
        </w:rPr>
        <w:t>The Insurance Benefit will continue until the earlier of (i) the date you become eligible to participate in the medical and dental insurance plan of another employer or (ii) the date that is [9 + (A x 2.5)] months, but not more than 21 months (or 24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77" w:lineRule="exact"/>
        <w:rPr>
          <w:sz w:val="20"/>
          <w:szCs w:val="20"/>
          <w:color w:val="auto"/>
        </w:rPr>
      </w:pPr>
    </w:p>
    <w:p>
      <w:pPr>
        <w:ind w:right="280"/>
        <w:spacing w:after="0" w:line="248"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6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75" w:name="page176"/>
    <w:bookmarkEnd w:id="175"/>
    <w:p>
      <w:pPr>
        <w:ind w:left="10800"/>
        <w:spacing w:after="0"/>
        <w:rPr>
          <w:sz w:val="20"/>
          <w:szCs w:val="20"/>
          <w:color w:val="auto"/>
        </w:rPr>
      </w:pPr>
      <w:r>
        <w:rPr>
          <w:rFonts w:ascii="Arial" w:cs="Arial" w:eastAsia="Arial" w:hAnsi="Arial"/>
          <w:sz w:val="12"/>
          <w:szCs w:val="12"/>
          <w:color w:val="auto"/>
        </w:rPr>
        <w:t>Page 6 of 6</w:t>
      </w:r>
    </w:p>
    <w:p>
      <w:pPr>
        <w:spacing w:after="0" w:line="88"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65"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This arrangement shall be construed, administered and enforced according to the laws of the State of Delaware, except to the extent that such laws are preempted by the federal laws of the United States of America.</w:t>
      </w:r>
    </w:p>
    <w:p>
      <w:pPr>
        <w:sectPr>
          <w:pgSz w:w="11900" w:h="16838" w:orient="portrait"/>
          <w:cols w:equalWidth="0" w:num="1">
            <w:col w:w="11460"/>
          </w:cols>
          <w:pgMar w:left="220" w:top="729"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color w:val="auto"/>
        </w:rPr>
        <w:t>EXHIBIT 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4493895" cy="7175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493895" cy="71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December 17, 2007</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By Hand Delivery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Dr. Burt Adelman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Dear Burt:</w:t>
      </w:r>
    </w:p>
    <w:p>
      <w:pPr>
        <w:spacing w:after="0" w:line="77" w:lineRule="exact"/>
        <w:rPr>
          <w:sz w:val="20"/>
          <w:szCs w:val="20"/>
          <w:color w:val="auto"/>
        </w:rPr>
      </w:pPr>
    </w:p>
    <w:p>
      <w:pPr>
        <w:ind w:right="60" w:firstLine="180"/>
        <w:spacing w:after="0" w:line="248" w:lineRule="auto"/>
        <w:rPr>
          <w:sz w:val="20"/>
          <w:szCs w:val="20"/>
          <w:color w:val="auto"/>
        </w:rPr>
      </w:pPr>
      <w:r>
        <w:rPr>
          <w:rFonts w:ascii="Arial" w:cs="Arial" w:eastAsia="Arial" w:hAnsi="Arial"/>
          <w:sz w:val="13"/>
          <w:szCs w:val="13"/>
          <w:color w:val="auto"/>
        </w:rPr>
        <w:t>You have advised us that you plan to retire from your employment with Biogen Idec (the “Company”) as of December 31, 2007 (the “Retirement Date”). In light of your knowledge and experience, however, the Company wishes to retain your services as a consultant for a period of time following your retirement.</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The purpose of this letter, therefore, is to confirm the agreement between you and the Company concerning your consulting arrangements (the “Agreement”), as follows:</w:t>
      </w:r>
    </w:p>
    <w:p>
      <w:pPr>
        <w:spacing w:after="0" w:line="77" w:lineRule="exact"/>
        <w:rPr>
          <w:sz w:val="20"/>
          <w:szCs w:val="20"/>
          <w:color w:val="auto"/>
        </w:rPr>
      </w:pPr>
    </w:p>
    <w:p>
      <w:pPr>
        <w:ind w:left="320" w:hanging="139"/>
        <w:spacing w:after="0"/>
        <w:tabs>
          <w:tab w:leader="none" w:pos="32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Consulting Services</w:t>
      </w:r>
      <w:r>
        <w:rPr>
          <w:rFonts w:ascii="Arial" w:cs="Arial" w:eastAsia="Arial" w:hAnsi="Arial"/>
          <w:sz w:val="13"/>
          <w:szCs w:val="13"/>
          <w:color w:val="auto"/>
        </w:rPr>
        <w:t>.</w:t>
      </w:r>
    </w:p>
    <w:p>
      <w:pPr>
        <w:spacing w:after="0" w:line="76" w:lineRule="exact"/>
        <w:rPr>
          <w:rFonts w:ascii="Arial" w:cs="Arial" w:eastAsia="Arial" w:hAnsi="Arial"/>
          <w:sz w:val="13"/>
          <w:szCs w:val="13"/>
          <w:color w:val="auto"/>
        </w:rPr>
      </w:pPr>
    </w:p>
    <w:p>
      <w:pPr>
        <w:ind w:right="180" w:firstLine="363"/>
        <w:spacing w:after="0" w:line="248" w:lineRule="auto"/>
        <w:tabs>
          <w:tab w:leader="none" w:pos="560"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Consulting Period</w:t>
      </w:r>
      <w:r>
        <w:rPr>
          <w:rFonts w:ascii="Arial" w:cs="Arial" w:eastAsia="Arial" w:hAnsi="Arial"/>
          <w:sz w:val="13"/>
          <w:szCs w:val="13"/>
          <w:color w:val="auto"/>
        </w:rPr>
        <w:t>. The Company hereby engages your services as a consultant to the Company for the period commencing on the Retirement Date and expiring six (6) months following the Retirement Date (the “Consulting Period”).</w:t>
      </w:r>
    </w:p>
    <w:p>
      <w:pPr>
        <w:spacing w:after="0" w:line="64" w:lineRule="exact"/>
        <w:rPr>
          <w:rFonts w:ascii="Arial" w:cs="Arial" w:eastAsia="Arial" w:hAnsi="Arial"/>
          <w:sz w:val="13"/>
          <w:szCs w:val="13"/>
          <w:color w:val="auto"/>
        </w:rPr>
      </w:pPr>
    </w:p>
    <w:p>
      <w:pPr>
        <w:ind w:right="40" w:firstLine="363"/>
        <w:spacing w:after="0" w:line="242" w:lineRule="auto"/>
        <w:tabs>
          <w:tab w:leader="none" w:pos="560"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Services</w:t>
      </w:r>
      <w:r>
        <w:rPr>
          <w:rFonts w:ascii="Arial" w:cs="Arial" w:eastAsia="Arial" w:hAnsi="Arial"/>
          <w:sz w:val="13"/>
          <w:szCs w:val="13"/>
          <w:color w:val="auto"/>
        </w:rPr>
        <w:t>. During the Consulting Period, you shall make yourself available to the Company to provide such advice and other consulting services, reasonably related to your skills and experience, as the Company may from time to time request, upon reasonable notice to you (the “Services”). You agree to coordinate with the Company in respect to any periods of your unavailability due to vacations or other reasonable absences, in order that you may continue to meet the Company’s needs throughout the Consulting Period.</w:t>
      </w:r>
    </w:p>
    <w:p>
      <w:pPr>
        <w:spacing w:after="0" w:line="66" w:lineRule="exact"/>
        <w:rPr>
          <w:rFonts w:ascii="Arial" w:cs="Arial" w:eastAsia="Arial" w:hAnsi="Arial"/>
          <w:sz w:val="13"/>
          <w:szCs w:val="13"/>
          <w:color w:val="auto"/>
        </w:rPr>
      </w:pPr>
    </w:p>
    <w:p>
      <w:pPr>
        <w:ind w:left="560" w:hanging="197"/>
        <w:spacing w:after="0"/>
        <w:tabs>
          <w:tab w:leader="none" w:pos="560" w:val="left"/>
        </w:tabs>
        <w:numPr>
          <w:ilvl w:val="1"/>
          <w:numId w:val="74"/>
        </w:numPr>
        <w:rPr>
          <w:rFonts w:ascii="Arial" w:cs="Arial" w:eastAsia="Arial" w:hAnsi="Arial"/>
          <w:sz w:val="13"/>
          <w:szCs w:val="13"/>
          <w:color w:val="auto"/>
        </w:rPr>
      </w:pPr>
      <w:r>
        <w:rPr>
          <w:rFonts w:ascii="Arial" w:cs="Arial" w:eastAsia="Arial" w:hAnsi="Arial"/>
          <w:sz w:val="13"/>
          <w:szCs w:val="13"/>
          <w:u w:val="single" w:color="auto"/>
          <w:color w:val="auto"/>
        </w:rPr>
        <w:t>Consulting Fee</w:t>
      </w:r>
      <w:r>
        <w:rPr>
          <w:rFonts w:ascii="Arial" w:cs="Arial" w:eastAsia="Arial" w:hAnsi="Arial"/>
          <w:sz w:val="13"/>
          <w:szCs w:val="13"/>
          <w:color w:val="auto"/>
        </w:rPr>
        <w:t>. As full compensation for all Services rendered by you during the Consulting Period the Company shall pay you a consulting fee of Four Hundred Thousand Dollars</w:t>
      </w:r>
    </w:p>
    <w:p>
      <w:pPr>
        <w:spacing w:after="0"/>
        <w:rPr>
          <w:sz w:val="20"/>
          <w:szCs w:val="20"/>
          <w:color w:val="auto"/>
        </w:rPr>
      </w:pPr>
      <w:r>
        <w:rPr>
          <w:rFonts w:ascii="Arial" w:cs="Arial" w:eastAsia="Arial" w:hAnsi="Arial"/>
          <w:sz w:val="13"/>
          <w:szCs w:val="13"/>
          <w:color w:val="auto"/>
        </w:rPr>
        <w:t>($400,000) (the “Consulting Fee”). The Consulting Fee shall be payable in one lump sum on January 4, 2007.</w:t>
      </w:r>
    </w:p>
    <w:p>
      <w:pPr>
        <w:spacing w:after="0" w:line="77" w:lineRule="exact"/>
        <w:rPr>
          <w:sz w:val="20"/>
          <w:szCs w:val="20"/>
          <w:color w:val="auto"/>
        </w:rPr>
      </w:pPr>
    </w:p>
    <w:p>
      <w:pPr>
        <w:ind w:right="400" w:firstLine="363"/>
        <w:spacing w:after="0" w:line="242" w:lineRule="auto"/>
        <w:tabs>
          <w:tab w:leader="none" w:pos="56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No Eligibility for Benefits, Plans or Paid Time Off.</w:t>
      </w:r>
      <w:r>
        <w:rPr>
          <w:rFonts w:ascii="Arial" w:cs="Arial" w:eastAsia="Arial" w:hAnsi="Arial"/>
          <w:sz w:val="13"/>
          <w:szCs w:val="13"/>
          <w:color w:val="auto"/>
        </w:rPr>
        <w:t xml:space="preserve"> As a result of your retirement, you are entitled to regular retiree health benefits provided by the Company and you and your qualified beneficiaries may participate at your cost in the Company’s group health plan through the federal law commonly known as “COBRA”. You are not otherwise eligible to participate in, or receive benefits under, any of the Company’s employee benefit plans, programs or arrangements or to holidays, vacation or other paid time off during the Consulting Period.</w:t>
      </w:r>
    </w:p>
    <w:p>
      <w:pPr>
        <w:spacing w:after="0" w:line="68" w:lineRule="exact"/>
        <w:rPr>
          <w:rFonts w:ascii="Arial" w:cs="Arial" w:eastAsia="Arial" w:hAnsi="Arial"/>
          <w:sz w:val="13"/>
          <w:szCs w:val="13"/>
          <w:color w:val="auto"/>
        </w:rPr>
      </w:pPr>
    </w:p>
    <w:p>
      <w:pPr>
        <w:ind w:right="40" w:firstLine="363"/>
        <w:spacing w:after="0" w:line="248" w:lineRule="auto"/>
        <w:tabs>
          <w:tab w:leader="none" w:pos="56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Business Expenses</w:t>
      </w:r>
      <w:r>
        <w:rPr>
          <w:rFonts w:ascii="Arial" w:cs="Arial" w:eastAsia="Arial" w:hAnsi="Arial"/>
          <w:sz w:val="13"/>
          <w:szCs w:val="13"/>
          <w:color w:val="auto"/>
        </w:rPr>
        <w:t>. The Company will reimburse you for reasonable and necessary business expenses incurred by you in providing Services to the Company under this Agreement during the Consulting Period; provided that those expenses are authorized in advance, and provided further that you submit, on a timely basis, such documentation and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Biogen Idec </w:t>
      </w:r>
      <w:r>
        <w:rPr>
          <w:rFonts w:ascii="Arial" w:cs="Arial" w:eastAsia="Arial" w:hAnsi="Arial"/>
          <w:sz w:val="13"/>
          <w:szCs w:val="13"/>
          <w:color w:val="auto"/>
        </w:rPr>
        <w:t>14 Cambridge Center Cambridge, MA 02142 Phone 617 679 2000 www.biogenidec.com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color w:val="auto"/>
        </w:rPr>
        <w:t>substantiation of those expenses as the Company may reasonably require from time to time.</w:t>
      </w:r>
    </w:p>
    <w:p>
      <w:pPr>
        <w:spacing w:after="0" w:line="77" w:lineRule="exact"/>
        <w:rPr>
          <w:sz w:val="20"/>
          <w:szCs w:val="20"/>
          <w:color w:val="auto"/>
        </w:rPr>
      </w:pPr>
    </w:p>
    <w:p>
      <w:pPr>
        <w:ind w:right="80" w:firstLine="363"/>
        <w:spacing w:after="0" w:line="248" w:lineRule="auto"/>
        <w:tabs>
          <w:tab w:leader="none" w:pos="524"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Relationship of the Parties</w:t>
      </w:r>
      <w:r>
        <w:rPr>
          <w:rFonts w:ascii="Arial" w:cs="Arial" w:eastAsia="Arial" w:hAnsi="Arial"/>
          <w:sz w:val="13"/>
          <w:szCs w:val="13"/>
          <w:color w:val="auto"/>
        </w:rPr>
        <w:t>. You and the Company acknowledge and agree that you are an independent contractor in the performance of Services under this Agreement, and that nothing in this Agreement creates an employment relationship, partnership or joint venture between you and the Company.</w:t>
      </w:r>
    </w:p>
    <w:p>
      <w:pPr>
        <w:spacing w:after="0" w:line="64" w:lineRule="exact"/>
        <w:rPr>
          <w:rFonts w:ascii="Arial" w:cs="Arial" w:eastAsia="Arial" w:hAnsi="Arial"/>
          <w:sz w:val="13"/>
          <w:szCs w:val="13"/>
          <w:color w:val="auto"/>
        </w:rPr>
      </w:pPr>
    </w:p>
    <w:p>
      <w:pPr>
        <w:ind w:firstLine="363"/>
        <w:spacing w:after="0"/>
        <w:tabs>
          <w:tab w:leader="none" w:pos="56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Tax Matters</w:t>
      </w:r>
      <w:r>
        <w:rPr>
          <w:rFonts w:ascii="Arial" w:cs="Arial" w:eastAsia="Arial" w:hAnsi="Arial"/>
          <w:sz w:val="13"/>
          <w:szCs w:val="13"/>
          <w:color w:val="auto"/>
        </w:rPr>
        <w:t>. Because you are an independent contractor, the Consulting Fee will not be subject to withholding for Social Security, unemployment, Medicare, federal, state or local income or other taxes. You shall be solely responsible for the withholding and payment of any and all such taxes and other legally-required payments on any sums received from the Company under this Agreement. You agree to indemnify and hold harmless the Company and its Affiliates, and their respective shareholders, directors, officers, employees, agents, successors and assigns, from any and all losses, costs and expenses, including without limitation attorneys’ fees, and any other liabilities incurred as a result of your failure to meet your tax obligations.</w:t>
      </w:r>
    </w:p>
    <w:p>
      <w:pPr>
        <w:spacing w:after="0" w:line="70" w:lineRule="exact"/>
        <w:rPr>
          <w:rFonts w:ascii="Arial" w:cs="Arial" w:eastAsia="Arial" w:hAnsi="Arial"/>
          <w:sz w:val="13"/>
          <w:szCs w:val="13"/>
          <w:color w:val="auto"/>
        </w:rPr>
      </w:pPr>
    </w:p>
    <w:p>
      <w:pPr>
        <w:jc w:val="both"/>
        <w:ind w:right="80" w:firstLine="363"/>
        <w:spacing w:after="0"/>
        <w:tabs>
          <w:tab w:leader="none" w:pos="56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Intellectual Property and Other Property.</w:t>
      </w:r>
      <w:r>
        <w:rPr>
          <w:rFonts w:ascii="Arial" w:cs="Arial" w:eastAsia="Arial" w:hAnsi="Arial"/>
          <w:sz w:val="13"/>
          <w:szCs w:val="13"/>
          <w:color w:val="auto"/>
        </w:rPr>
        <w:t xml:space="preserve"> The Company shall own and be free to use all intellectual property created, invented or conceived of by you in the performance of Services under this Agreement (“Intellectual Property”). You agree to assign to the Company all such Intellectual Property, and to assist the Company in applying for patents and other protection with respect to any such Intellectual Property. You agree to disclose all information material to patentability of any invention within the Intellectual Property to the Company for purposes of disclosure to the U.S. Patent and Trademark Office.</w:t>
      </w:r>
    </w:p>
    <w:p>
      <w:pPr>
        <w:spacing w:after="0" w:line="70" w:lineRule="exact"/>
        <w:rPr>
          <w:sz w:val="20"/>
          <w:szCs w:val="20"/>
          <w:color w:val="auto"/>
        </w:rPr>
      </w:pPr>
    </w:p>
    <w:p>
      <w:pPr>
        <w:ind w:firstLine="180"/>
        <w:spacing w:after="0" w:line="242" w:lineRule="auto"/>
        <w:rPr>
          <w:sz w:val="20"/>
          <w:szCs w:val="20"/>
          <w:color w:val="auto"/>
        </w:rPr>
      </w:pPr>
      <w:r>
        <w:rPr>
          <w:rFonts w:ascii="Arial" w:cs="Arial" w:eastAsia="Arial" w:hAnsi="Arial"/>
          <w:sz w:val="13"/>
          <w:szCs w:val="13"/>
          <w:color w:val="auto"/>
        </w:rPr>
        <w:t>You acknowledge that specially prepared or commissioned work shall be a “work for hire by an independent contractor” as defined under the United States Copyright laws (17 U.S.C. Sections 101 et seq.). and in the event any work prepared by you as part of the Services is determined not to be a work for hire by an independent contractor, you hereby irrevocably assign all copyrights in the work (including the right to prepare derivative works) to the Company.</w:t>
      </w:r>
    </w:p>
    <w:p>
      <w:pPr>
        <w:spacing w:after="0" w:line="69" w:lineRule="exact"/>
        <w:rPr>
          <w:sz w:val="20"/>
          <w:szCs w:val="20"/>
          <w:color w:val="auto"/>
        </w:rPr>
      </w:pPr>
    </w:p>
    <w:p>
      <w:pPr>
        <w:ind w:right="60" w:firstLine="363"/>
        <w:spacing w:after="0" w:line="242" w:lineRule="auto"/>
        <w:tabs>
          <w:tab w:leader="none" w:pos="517"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During the Consulting Period, you will have access to confidential and proprietary information and you may receive or create ideas, know-how, trade secrets, information, data, processes, substances and the like of the Company (the “Information”). You agree that you not reveal or disclose the Information to any third party or use any Information for any purpose other than the performance of the Services without first obtaining the written consent of the Company.</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The obligations of confidential treatment under this paragraph do not apply to any information, which:</w:t>
      </w:r>
    </w:p>
    <w:p>
      <w:pPr>
        <w:spacing w:after="0" w:line="77" w:lineRule="exact"/>
        <w:rPr>
          <w:sz w:val="20"/>
          <w:szCs w:val="20"/>
          <w:color w:val="auto"/>
        </w:rPr>
      </w:pPr>
    </w:p>
    <w:p>
      <w:pPr>
        <w:ind w:left="900" w:hanging="449"/>
        <w:spacing w:after="0"/>
        <w:tabs>
          <w:tab w:leader="none" w:pos="9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was known to you prior to receipt thereof from the Company other than as a result your prior employment by the Company;</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was or becomes a matter of public information or publicly available through no act or failure to act on your part; or</w:t>
      </w:r>
    </w:p>
    <w:p>
      <w:pPr>
        <w:spacing w:after="0" w:line="86" w:lineRule="exact"/>
        <w:rPr>
          <w:rFonts w:ascii="Arial" w:cs="Arial" w:eastAsia="Arial" w:hAnsi="Arial"/>
          <w:sz w:val="13"/>
          <w:szCs w:val="13"/>
          <w:color w:val="auto"/>
        </w:rPr>
      </w:pPr>
    </w:p>
    <w:p>
      <w:pPr>
        <w:ind w:left="900" w:hanging="449"/>
        <w:spacing w:after="0"/>
        <w:tabs>
          <w:tab w:leader="none" w:pos="9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is acquired by you from a third party entitled to freely disclose such information to you.</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78" w:name="page179"/>
    <w:bookmarkEnd w:id="178"/>
    <w:p>
      <w:pPr>
        <w:ind w:right="20" w:firstLine="181"/>
        <w:spacing w:after="0" w:line="242" w:lineRule="auto"/>
        <w:tabs>
          <w:tab w:leader="none" w:pos="328"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Cooperation</w:t>
      </w:r>
      <w:r>
        <w:rPr>
          <w:rFonts w:ascii="Arial" w:cs="Arial" w:eastAsia="Arial" w:hAnsi="Arial"/>
          <w:sz w:val="13"/>
          <w:szCs w:val="13"/>
          <w:color w:val="auto"/>
        </w:rPr>
        <w:t>. You agree to cooperate with the Company’s reasonable requests during the Consulting Period and thereafter with respect to all matters arising during or related to your employment or the Services, including but not limited to all matters in connection with any governmental investigation, litigation or regulatory or other proceeding which may have arisen or which may arise following the signing of this Agreement.</w:t>
      </w:r>
    </w:p>
    <w:p>
      <w:pPr>
        <w:spacing w:after="0" w:line="68" w:lineRule="exact"/>
        <w:rPr>
          <w:rFonts w:ascii="Arial" w:cs="Arial" w:eastAsia="Arial" w:hAnsi="Arial"/>
          <w:sz w:val="13"/>
          <w:szCs w:val="13"/>
          <w:color w:val="auto"/>
        </w:rPr>
      </w:pPr>
    </w:p>
    <w:p>
      <w:pPr>
        <w:ind w:right="160" w:firstLine="181"/>
        <w:spacing w:after="0" w:line="248" w:lineRule="auto"/>
        <w:tabs>
          <w:tab w:leader="none" w:pos="328"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Assignment</w:t>
      </w:r>
      <w:r>
        <w:rPr>
          <w:rFonts w:ascii="Arial" w:cs="Arial" w:eastAsia="Arial" w:hAnsi="Arial"/>
          <w:sz w:val="13"/>
          <w:szCs w:val="13"/>
          <w:color w:val="auto"/>
        </w:rPr>
        <w:t>. Neither you nor the Company may make any assignment of this Agreement or any interest herein, by operation of law or otherwise, without the prior written consent of the other. This Agreement shall inure to the benefit of and be binding upon you and the Company, together with your/its respective successors, executors, administrators, heirs and permitted assigns.</w:t>
      </w:r>
    </w:p>
    <w:p>
      <w:pPr>
        <w:spacing w:after="0" w:line="64" w:lineRule="exact"/>
        <w:rPr>
          <w:rFonts w:ascii="Arial" w:cs="Arial" w:eastAsia="Arial" w:hAnsi="Arial"/>
          <w:sz w:val="13"/>
          <w:szCs w:val="13"/>
          <w:color w:val="auto"/>
        </w:rPr>
      </w:pPr>
    </w:p>
    <w:p>
      <w:pPr>
        <w:ind w:firstLine="181"/>
        <w:spacing w:after="0" w:line="239" w:lineRule="auto"/>
        <w:tabs>
          <w:tab w:leader="none" w:pos="328"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This Agreement constitutes the entire agreement between you and the Company, and supersedes all prior communications, agreements and understandings, whether written or oral, with respect to your employment, other than the Employee Proprietary Information and Inventions and Dispute Resolution Agreement between you and Biogen Idec dated March 8, 2004 and your obligations with respect to the securities of the Company. This Agreement may not be modified or amended, and no breach shall be deemed to be waived, unless agreed to in writing by you and an authorized representative of the Company. This is a Massachusetts contract, and shall be governed and construed in accordance with the laws of the Commonwealth of Massachusetts, without regard to the conflict of laws principles thereof.</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If the terms of this Agreement are acceptable to you, please sign, date and return it to me. The enclosed counterpart of this letter, which you should also sign and date, is for your records.</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Sincerely,</w:t>
      </w:r>
    </w:p>
    <w:p>
      <w:pPr>
        <w:ind w:left="5420"/>
        <w:spacing w:after="0"/>
        <w:rPr>
          <w:sz w:val="20"/>
          <w:szCs w:val="20"/>
          <w:color w:val="auto"/>
        </w:rPr>
      </w:pPr>
      <w:r>
        <w:rPr>
          <w:rFonts w:ascii="Arial" w:cs="Arial" w:eastAsia="Arial" w:hAnsi="Arial"/>
          <w:sz w:val="13"/>
          <w:szCs w:val="13"/>
          <w:color w:val="auto"/>
        </w:rPr>
        <w:t>BIOGEN IDEC, INC.</w:t>
      </w:r>
    </w:p>
    <w:p>
      <w:pPr>
        <w:spacing w:after="0" w:line="145"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Craig Schneier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0</wp:posOffset>
            </wp:positionV>
            <wp:extent cx="259016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Craig Schneier</w:t>
      </w:r>
    </w:p>
    <w:p>
      <w:pPr>
        <w:ind w:left="5680"/>
        <w:spacing w:after="0" w:line="236" w:lineRule="auto"/>
        <w:rPr>
          <w:sz w:val="20"/>
          <w:szCs w:val="20"/>
          <w:color w:val="auto"/>
        </w:rPr>
      </w:pPr>
      <w:r>
        <w:rPr>
          <w:rFonts w:ascii="Arial" w:cs="Arial" w:eastAsia="Arial" w:hAnsi="Arial"/>
          <w:sz w:val="13"/>
          <w:szCs w:val="13"/>
          <w:color w:val="auto"/>
        </w:rPr>
        <w:t>Executive Vice President, Human Resources, Public Affairs and</w:t>
      </w:r>
    </w:p>
    <w:p>
      <w:pPr>
        <w:ind w:left="5680"/>
        <w:spacing w:after="0"/>
        <w:rPr>
          <w:sz w:val="20"/>
          <w:szCs w:val="20"/>
          <w:color w:val="auto"/>
        </w:rPr>
      </w:pPr>
      <w:r>
        <w:rPr>
          <w:rFonts w:ascii="Arial" w:cs="Arial" w:eastAsia="Arial" w:hAnsi="Arial"/>
          <w:sz w:val="13"/>
          <w:szCs w:val="13"/>
          <w:color w:val="auto"/>
        </w:rPr>
        <w:t>Communications</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Accepted and agreed: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Signature: /s/ Burt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0</wp:posOffset>
            </wp:positionV>
            <wp:extent cx="249682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96820" cy="635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12/18/2007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808" w:right="219" w:bottom="1440" w:gutter="0" w:footer="0" w:header="0"/>
        </w:sectPr>
      </w:pPr>
    </w:p>
    <w:bookmarkStart w:id="179" w:name="page180"/>
    <w:bookmarkEnd w:id="179"/>
    <w:p>
      <w:pPr>
        <w:ind w:left="10720"/>
        <w:spacing w:after="0"/>
        <w:rPr>
          <w:sz w:val="20"/>
          <w:szCs w:val="20"/>
          <w:color w:val="auto"/>
        </w:rPr>
      </w:pPr>
      <w:r>
        <w:rPr>
          <w:rFonts w:ascii="Arial" w:cs="Arial" w:eastAsia="Arial" w:hAnsi="Arial"/>
          <w:sz w:val="12"/>
          <w:szCs w:val="12"/>
          <w:b w:val="1"/>
          <w:bCs w:val="1"/>
          <w:color w:val="auto"/>
        </w:rPr>
        <w:t>Exhibit 10.52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U.S. Executive Vice Presidents</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2005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90" w:lineRule="exact"/>
        <w:rPr>
          <w:sz w:val="20"/>
          <w:szCs w:val="20"/>
          <w:color w:val="auto"/>
        </w:rPr>
      </w:pPr>
    </w:p>
    <w:p>
      <w:pPr>
        <w:ind w:left="800" w:right="60" w:hanging="532"/>
        <w:spacing w:after="0" w:line="276" w:lineRule="auto"/>
        <w:rPr>
          <w:sz w:val="20"/>
          <w:szCs w:val="20"/>
          <w:color w:val="auto"/>
        </w:rPr>
      </w:pPr>
      <w:r>
        <w:rPr>
          <w:rFonts w:ascii="Arial" w:cs="Arial" w:eastAsia="Arial" w:hAnsi="Arial"/>
          <w:sz w:val="13"/>
          <w:szCs w:val="13"/>
          <w:color w:val="auto"/>
        </w:rPr>
        <w:t>where: A is the number of full years of service with Biogen Idec (but A x 2.5 may not exceed 12),and B is the monthly equivalent of your target annual cash compensation at the time of your termination (i.e., one-twelfth of the sum of your then annual base salary plus target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3"/>
          <w:szCs w:val="13"/>
          <w:i w:val="1"/>
          <w:iCs w:val="1"/>
          <w:color w:val="auto"/>
        </w:rPr>
        <w:t>If your employment with Biogen Idec is terminated after 10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57" w:lineRule="exact"/>
        <w:rPr>
          <w:sz w:val="20"/>
          <w:szCs w:val="20"/>
          <w:color w:val="auto"/>
        </w:rPr>
      </w:pPr>
    </w:p>
    <w:p>
      <w:pPr>
        <w:ind w:left="220" w:right="120"/>
        <w:spacing w:after="0" w:line="276"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21 months [9+12] of your target annual cash compensation and continue to participate in Biogen Idec’s group medical and dental plans for 21 months, unless you become eligible to participate in another employer’s medical and dental plans before that date.</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2005 Omnibus Equity Plan) your employment is terminated by Biogen Idec or the succeeding corporate entity, other than For Cause or for reason of death or Disability (as these terms are defined in Biogen Idec’s 2005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2005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40" w:val="left"/>
        </w:tabs>
        <w:rPr>
          <w:sz w:val="20"/>
          <w:szCs w:val="20"/>
          <w:color w:val="auto"/>
        </w:rPr>
      </w:pPr>
      <w:r>
        <w:rPr>
          <w:rFonts w:ascii="Arial" w:cs="Arial" w:eastAsia="Arial" w:hAnsi="Arial"/>
          <w:sz w:val="13"/>
          <w:szCs w:val="13"/>
          <w:i w:val="1"/>
          <w:iCs w:val="1"/>
          <w:color w:val="auto"/>
        </w:rPr>
        <w:t>Adopted October 1, 2007</w:t>
      </w:r>
      <w:r>
        <w:rPr>
          <w:sz w:val="20"/>
          <w:szCs w:val="20"/>
          <w:color w:val="auto"/>
        </w:rPr>
        <w:tab/>
      </w:r>
      <w:r>
        <w:rPr>
          <w:rFonts w:ascii="Arial" w:cs="Arial" w:eastAsia="Arial" w:hAnsi="Arial"/>
          <w:sz w:val="11"/>
          <w:szCs w:val="11"/>
          <w:i w:val="1"/>
          <w:iCs w:val="1"/>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3"/>
          <w:szCs w:val="13"/>
          <w:b w:val="1"/>
          <w:bCs w:val="1"/>
          <w:color w:val="auto"/>
        </w:rPr>
        <w:t>Severance Plan for U.S. Executive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2005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Insurance Benefit will continue until the earlier of (i) the date you become eligible to participate in the medical and dental insurance plan of another employer or (ii) the date that is [9 + (A x 2.5)] months, but not more than 21 months (or 24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This arrangement shall be construed, administered and enforced according to the laws of the State of Delaware, except to the extent that such laws are preempted by the federal laws of the United States of America.</w:t>
      </w:r>
    </w:p>
    <w:p>
      <w:pPr>
        <w:spacing w:after="0" w:line="177" w:lineRule="exact"/>
        <w:rPr>
          <w:sz w:val="20"/>
          <w:szCs w:val="20"/>
          <w:color w:val="auto"/>
        </w:rPr>
      </w:pPr>
    </w:p>
    <w:p>
      <w:pPr>
        <w:spacing w:after="0"/>
        <w:tabs>
          <w:tab w:leader="none" w:pos="10840" w:val="left"/>
        </w:tabs>
        <w:rPr>
          <w:sz w:val="20"/>
          <w:szCs w:val="20"/>
          <w:color w:val="auto"/>
        </w:rPr>
      </w:pPr>
      <w:r>
        <w:rPr>
          <w:rFonts w:ascii="Arial" w:cs="Arial" w:eastAsia="Arial" w:hAnsi="Arial"/>
          <w:sz w:val="13"/>
          <w:szCs w:val="13"/>
          <w:i w:val="1"/>
          <w:iCs w:val="1"/>
          <w:color w:val="auto"/>
        </w:rPr>
        <w:t>Adopted October 1, 2007</w:t>
      </w:r>
      <w:r>
        <w:rPr>
          <w:sz w:val="20"/>
          <w:szCs w:val="20"/>
          <w:color w:val="auto"/>
        </w:rPr>
        <w:tab/>
      </w:r>
      <w:r>
        <w:rPr>
          <w:rFonts w:ascii="Arial" w:cs="Arial" w:eastAsia="Arial" w:hAnsi="Arial"/>
          <w:sz w:val="11"/>
          <w:szCs w:val="11"/>
          <w:i w:val="1"/>
          <w:iCs w:val="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760" w:type="dxa"/>
            <w:vAlign w:val="bottom"/>
          </w:tcPr>
          <w:p>
            <w:pPr>
              <w:ind w:left="1080"/>
              <w:spacing w:after="0"/>
              <w:rPr>
                <w:sz w:val="20"/>
                <w:szCs w:val="20"/>
                <w:color w:val="auto"/>
              </w:rPr>
            </w:pPr>
            <w:r>
              <w:rPr>
                <w:rFonts w:ascii="Arial" w:cs="Arial" w:eastAsia="Arial" w:hAnsi="Arial"/>
                <w:sz w:val="18"/>
                <w:szCs w:val="18"/>
                <w:b w:val="1"/>
                <w:bCs w:val="1"/>
                <w:color w:val="auto"/>
              </w:rPr>
              <w:t>Severance Plan for U.S. Executive Vice Presidents</w:t>
            </w:r>
          </w:p>
        </w:tc>
      </w:tr>
      <w:tr>
        <w:trPr>
          <w:trHeight w:val="34"/>
        </w:trPr>
        <w:tc>
          <w:tcPr>
            <w:tcW w:w="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r>
      <w:tr>
        <w:trPr>
          <w:trHeight w:val="352"/>
        </w:trPr>
        <w:tc>
          <w:tcPr>
            <w:tcW w:w="11460" w:type="dxa"/>
            <w:vAlign w:val="bottom"/>
            <w:gridSpan w:val="3"/>
          </w:tcPr>
          <w:p>
            <w:pPr>
              <w:spacing w:after="0"/>
              <w:rPr>
                <w:sz w:val="20"/>
                <w:szCs w:val="20"/>
                <w:color w:val="auto"/>
              </w:rPr>
            </w:pPr>
            <w:r>
              <w:rPr>
                <w:rFonts w:ascii="Arial" w:cs="Arial" w:eastAsia="Arial" w:hAnsi="Arial"/>
                <w:sz w:val="13"/>
                <w:szCs w:val="13"/>
                <w:b w:val="1"/>
                <w:bCs w:val="1"/>
                <w:color w:val="auto"/>
              </w:rPr>
              <w:t>Additional Summary Plan Description Information</w:t>
            </w:r>
          </w:p>
        </w:tc>
      </w:tr>
      <w:tr>
        <w:trPr>
          <w:trHeight w:val="159"/>
        </w:trPr>
        <w:tc>
          <w:tcPr>
            <w:tcW w:w="2700" w:type="dxa"/>
            <w:vAlign w:val="bottom"/>
            <w:tcBorders>
              <w:bottom w:val="single" w:sz="8" w:color="auto"/>
            </w:tcBorders>
            <w:gridSpan w:val="2"/>
          </w:tcPr>
          <w:p>
            <w:pPr>
              <w:spacing w:after="0"/>
              <w:rPr>
                <w:sz w:val="13"/>
                <w:szCs w:val="13"/>
                <w:color w:val="auto"/>
              </w:rPr>
            </w:pPr>
          </w:p>
        </w:tc>
        <w:tc>
          <w:tcPr>
            <w:tcW w:w="8760" w:type="dxa"/>
            <w:vAlign w:val="bottom"/>
            <w:tcBorders>
              <w:bottom w:val="single" w:sz="8" w:color="auto"/>
            </w:tcBorders>
          </w:tcPr>
          <w:p>
            <w:pPr>
              <w:spacing w:after="0"/>
              <w:rPr>
                <w:sz w:val="13"/>
                <w:szCs w:val="13"/>
                <w:color w:val="auto"/>
              </w:rPr>
            </w:pP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w w:val="92"/>
              </w:rPr>
              <w:t>This document describes a Plan which is subject to the Employee Retirement Income Security Act of 1974 (ERISA). This document constitutes the Summary Plan</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Description (SPD) and Plan Document. Benefit determinations are controlled exclusively by this SPD and Plan Document.</w:t>
            </w:r>
          </w:p>
        </w:tc>
      </w:tr>
      <w:tr>
        <w:trPr>
          <w:trHeight w:val="158"/>
        </w:trPr>
        <w:tc>
          <w:tcPr>
            <w:tcW w:w="2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Name of Plan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Severance Plan for U. S. Executive Vice Presidents</w:t>
            </w: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Name and Address of Employer</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rPr>
              <w:t>Biogen Idec Inc.</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Plan Identification</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rPr>
              <w:t>Employer IRS Identification #: 04-3002117</w:t>
            </w:r>
          </w:p>
        </w:tc>
      </w:tr>
      <w:tr>
        <w:trPr>
          <w:trHeight w:val="169"/>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Number</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Plan #: 523</w:t>
            </w:r>
          </w:p>
        </w:tc>
      </w:tr>
      <w:tr>
        <w:trPr>
          <w:trHeight w:val="158"/>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Type of Welfare Plan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Severance</w:t>
            </w:r>
          </w:p>
        </w:tc>
      </w:tr>
      <w:tr>
        <w:trPr>
          <w:trHeight w:val="157"/>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ERISA Plan Year Ends</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December 31</w:t>
            </w:r>
          </w:p>
        </w:tc>
      </w:tr>
      <w:tr>
        <w:trPr>
          <w:trHeight w:val="157"/>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Type of Administration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The Plan is administered by the Plan Administrator</w:t>
            </w:r>
          </w:p>
        </w:tc>
      </w:tr>
      <w:tr>
        <w:trPr>
          <w:trHeight w:val="144"/>
        </w:trPr>
        <w:tc>
          <w:tcPr>
            <w:tcW w:w="2700" w:type="dxa"/>
            <w:vAlign w:val="bottom"/>
            <w:tcBorders>
              <w:right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Plan Administrator, Name, Address, and</w:t>
            </w:r>
          </w:p>
        </w:tc>
        <w:tc>
          <w:tcPr>
            <w:tcW w:w="8760" w:type="dxa"/>
            <w:vAlign w:val="bottom"/>
          </w:tcPr>
          <w:p>
            <w:pPr>
              <w:ind w:left="100"/>
              <w:spacing w:after="0" w:line="144" w:lineRule="exact"/>
              <w:rPr>
                <w:sz w:val="20"/>
                <w:szCs w:val="20"/>
                <w:color w:val="auto"/>
              </w:rPr>
            </w:pPr>
            <w:r>
              <w:rPr>
                <w:rFonts w:ascii="Arial" w:cs="Arial" w:eastAsia="Arial" w:hAnsi="Arial"/>
                <w:sz w:val="13"/>
                <w:szCs w:val="13"/>
                <w:color w:val="auto"/>
              </w:rPr>
              <w:t>Biogen Idec Inc. is the Plan Administrator and named fiduciary of the Plan, with authority to delegate its duties.</w:t>
            </w:r>
          </w:p>
        </w:tc>
      </w:tr>
      <w:tr>
        <w:trPr>
          <w:trHeight w:val="161"/>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Telephone Number</w:t>
            </w:r>
          </w:p>
        </w:tc>
        <w:tc>
          <w:tcPr>
            <w:tcW w:w="8760" w:type="dxa"/>
            <w:vAlign w:val="bottom"/>
          </w:tcPr>
          <w:p>
            <w:pPr>
              <w:ind w:left="100"/>
              <w:spacing w:after="0"/>
              <w:rPr>
                <w:sz w:val="20"/>
                <w:szCs w:val="20"/>
                <w:color w:val="auto"/>
              </w:rPr>
            </w:pPr>
            <w:r>
              <w:rPr>
                <w:rFonts w:ascii="Arial" w:cs="Arial" w:eastAsia="Arial" w:hAnsi="Arial"/>
                <w:sz w:val="13"/>
                <w:szCs w:val="13"/>
                <w:color w:val="auto"/>
              </w:rPr>
              <w:t>Biogen Idec Inc.</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(617) 679-3400</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Agent for Service of Legal Process on the</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rPr>
              <w:t>Biogen Idec Inc.</w:t>
            </w:r>
          </w:p>
        </w:tc>
      </w:tr>
      <w:tr>
        <w:trPr>
          <w:trHeight w:val="161"/>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Plan</w:t>
            </w: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58"/>
        </w:trPr>
        <w:tc>
          <w:tcPr>
            <w:tcW w:w="2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Funding</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This Plan is unfunded</w:t>
            </w: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Appeal Procedures</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w w:val="94"/>
              </w:rPr>
              <w:t>You have 180 days from your effective date of termination to file an appeal. Requests for appeals should be sent to the address specified in the claim denial. A</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decision on review will be made not later than 45 days following receipt of the written request for review. If the Plan Administrator determines that special</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circumstances require an extension of time for a decision on review, the review period may be extended by an additional 45 days (90 days in total). The Plan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Administrator will notify you in writing if an additional 45 day extension is needed.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If an extension is necessary due to your failure to submit the information necessary to decide the appeal, the notice of extension will specifically describe the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required information, and you will be afforded at least 45 days to provide the specified information. If you deliver the requested information within the time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4"/>
              </w:rPr>
              <w:t>specified, the 45 day extension of the appeal period will begin after you have provided that information. If you fail to deliver the requested information within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time specified, the Plan Administrator may decide your appeal without that information.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You will have the opportunity to submit written comments, documents, or other information in support of your appeal. You will have access to all relevant</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documents as defined by applicable U.S. Department of Labor regulations. The review of the adverse benefit determination will take into account all new</w:t>
            </w:r>
          </w:p>
        </w:tc>
      </w:tr>
      <w:tr>
        <w:trPr>
          <w:trHeight w:val="185"/>
        </w:trPr>
        <w:tc>
          <w:tcPr>
            <w:tcW w:w="20" w:type="dxa"/>
            <w:vAlign w:val="bottom"/>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information, whether or not presented or available at the initial determination. No deference will be afforded to the initial determination.</w:t>
            </w:r>
          </w:p>
        </w:tc>
      </w:tr>
      <w:tr>
        <w:trPr>
          <w:trHeight w:val="294"/>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3 of 5</w:t>
            </w:r>
          </w:p>
        </w:tc>
      </w:tr>
      <w:tr>
        <w:trPr>
          <w:trHeight w:val="458"/>
        </w:trPr>
        <w:tc>
          <w:tcPr>
            <w:tcW w:w="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Severance Plan for U.S. Executive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28408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80" w:type="dxa"/>
            <w:vAlign w:val="bottom"/>
            <w:tcBorders>
              <w:top w:val="single" w:sz="8" w:color="auto"/>
              <w:right w:val="single" w:sz="8" w:color="auto"/>
            </w:tcBorders>
          </w:tcPr>
          <w:p>
            <w:pPr>
              <w:spacing w:after="0"/>
              <w:rPr>
                <w:sz w:val="14"/>
                <w:szCs w:val="14"/>
                <w:color w:val="auto"/>
              </w:rPr>
            </w:pPr>
          </w:p>
        </w:tc>
        <w:tc>
          <w:tcPr>
            <w:tcW w:w="87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w w:val="92"/>
              </w:rPr>
              <w:t>The review will be conducted by the Plan Administrator and will be made by a person different from the person who made the initial determination and such person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will not be the original decision maker’s subordinate.</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A notice that your request on appeal is denied will contain the following information: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The specific reason(s) for the determination;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 reference to the specific Plan provision(s) on which the determination is based;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   A statement disclosing any internal rule, guidelines, protocol or similar criterion relied on in making the adverse determination (or a statement that such</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information will be provided free of charge upon request);</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 statement describing your right to bring a lawsuit under Section 502(a) of ERISA if you disagree with the decision;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3"/>
              </w:rPr>
              <w:t>•   The statement that you are entitled to receive upon request, and without charge, reasonable access to or copies of all documents, records or other information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relevant to the determination; and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   The statement that “You or your plan may have other voluntary alternative dispute resolution options, such as mediation. One way to find out what may be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available is to contact your local U.S. Department of Labor Office and your State insurance regulatory agency”.</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Notice of the determination may be provided in written or electronic form. Electronic notices will be provided in a form that complies with any applicable legal</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requirements.</w:t>
            </w:r>
          </w:p>
        </w:tc>
      </w:tr>
      <w:tr>
        <w:trPr>
          <w:trHeight w:val="315"/>
        </w:trPr>
        <w:tc>
          <w:tcPr>
            <w:tcW w:w="20" w:type="dxa"/>
            <w:vAlign w:val="bottom"/>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Unless there are special circumstances, this administrative appeal process must be completed before you begin any legal action regarding your claim.</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Your Rights Under</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w w:val="97"/>
              </w:rPr>
              <w:t>As a participant in this Plan, you are entitled to certain rights and protections under the Employee Retirement Income Security Act of 1974 (ERISA). ERISA</w:t>
            </w:r>
          </w:p>
        </w:tc>
      </w:tr>
      <w:tr>
        <w:trPr>
          <w:trHeight w:val="169"/>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ERISA</w:t>
            </w:r>
          </w:p>
        </w:tc>
        <w:tc>
          <w:tcPr>
            <w:tcW w:w="8760" w:type="dxa"/>
            <w:vAlign w:val="bottom"/>
          </w:tcPr>
          <w:p>
            <w:pPr>
              <w:ind w:left="100"/>
              <w:spacing w:after="0"/>
              <w:rPr>
                <w:sz w:val="20"/>
                <w:szCs w:val="20"/>
                <w:color w:val="auto"/>
              </w:rPr>
            </w:pPr>
            <w:r>
              <w:rPr>
                <w:rFonts w:ascii="Arial" w:cs="Arial" w:eastAsia="Arial" w:hAnsi="Arial"/>
                <w:sz w:val="13"/>
                <w:szCs w:val="13"/>
                <w:color w:val="auto"/>
              </w:rPr>
              <w:t>provides that all Plan participants shall be entitled to:</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Receive Information About Your Plan and Benefits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Examine, without charge, at the Plan Administrator’s office and at other specified locations, all documents governing the Plan, including a copy of the latest</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annual report (Form 5500 Series), if any, filed by the Plan with the U.S. Department of Labor and available at the Public Disclosure Room of the Employee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Benefits Security Administration.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Obtain, upon written request to the Plan Administrator, copies of documents governing the operation of the Plan, including copies of the latest annual report</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(Form 5500 Series), if any, and updated Summary Plan Description.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o  The Plan Administrator may make a reasonable charge for the copies.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6"/>
              </w:rPr>
              <w:t>o  Receive a summary of the Plan’s annual financial report, if any. The Plan Administrator is required by law to furnish each participant with a copy of this</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summary annual report.</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Prudent Actions by Plan Fiduciaries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5"/>
              </w:rPr>
              <w:t>o  In addition to creating rights for Plan participants, ERISA imposes duties upon the people who are responsible for the operation of the employee benefit</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1"/>
              </w:rPr>
              <w:t>plan. The people who operate your Plan, called “fiduciaries” of the Plan, have a duty to do so prudently and in the interest of you and other Plan participants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and beneficiaries. No one, including your Employer or any other person, may fire you or otherwise discriminate against you in any way to prevent you from</w:t>
            </w:r>
          </w:p>
        </w:tc>
      </w:tr>
      <w:tr>
        <w:trPr>
          <w:trHeight w:val="185"/>
        </w:trPr>
        <w:tc>
          <w:tcPr>
            <w:tcW w:w="20" w:type="dxa"/>
            <w:vAlign w:val="bottom"/>
          </w:tcPr>
          <w:p>
            <w:pPr>
              <w:spacing w:after="0"/>
              <w:rPr>
                <w:sz w:val="16"/>
                <w:szCs w:val="16"/>
                <w:color w:val="auto"/>
              </w:rPr>
            </w:pPr>
          </w:p>
        </w:tc>
        <w:tc>
          <w:tcPr>
            <w:tcW w:w="2680" w:type="dxa"/>
            <w:vAlign w:val="bottom"/>
            <w:tcBorders>
              <w:bottom w:val="single" w:sz="8" w:color="auto"/>
              <w:right w:val="single" w:sz="8" w:color="auto"/>
            </w:tcBorders>
          </w:tcPr>
          <w:p>
            <w:pPr>
              <w:spacing w:after="0"/>
              <w:rPr>
                <w:sz w:val="16"/>
                <w:szCs w:val="16"/>
                <w:color w:val="auto"/>
              </w:rPr>
            </w:pPr>
          </w:p>
        </w:tc>
        <w:tc>
          <w:tcPr>
            <w:tcW w:w="8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obtaining a benefit or exercising your rights under ERISA.</w:t>
            </w:r>
          </w:p>
        </w:tc>
      </w:tr>
      <w:tr>
        <w:trPr>
          <w:trHeight w:val="294"/>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4 of 5</w:t>
            </w:r>
          </w:p>
        </w:tc>
      </w:tr>
      <w:tr>
        <w:trPr>
          <w:trHeight w:val="458"/>
        </w:trPr>
        <w:tc>
          <w:tcPr>
            <w:tcW w:w="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8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Severance Plan for U.S. Executive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28408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80" w:type="dxa"/>
            <w:vAlign w:val="bottom"/>
            <w:tcBorders>
              <w:top w:val="single" w:sz="8" w:color="auto"/>
              <w:right w:val="single" w:sz="8" w:color="auto"/>
            </w:tcBorders>
          </w:tcPr>
          <w:p>
            <w:pPr>
              <w:spacing w:after="0"/>
              <w:rPr>
                <w:sz w:val="15"/>
                <w:szCs w:val="15"/>
                <w:color w:val="auto"/>
              </w:rPr>
            </w:pPr>
          </w:p>
        </w:tc>
        <w:tc>
          <w:tcPr>
            <w:tcW w:w="87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   Enforce Your Rights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If your claim for a benefit is denied or ignored, in whole or in part, you have a right to know why this was done, to obtain copies of documents relating to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decision without charge, and to appeal any denial, all within certain time schedules.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1"/>
              </w:rPr>
              <w:t>o  Under ERISA, there are steps you can take to enforce the above rights. For instance, if you request a copy of Plan documents or the latest annual report from</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the Plan and do not receive them within 30 days, you may file suit in a federal court. In such a case, the court may require the Plan Administrator to provide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the materials and pay you up to $110 a day until you receive the materials, unless the materials were not sent because of reasons beyond the control of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Plan Administrator.</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8"/>
              </w:rPr>
              <w:t>o  If you have a claim for benefits that is denied or ignored, in whole or in part, you may file suit in a state or federal court. If it should happen that Plan</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4"/>
              </w:rPr>
              <w:t>fiduciaries misuse the Plan’s money, or if you are discriminated against for asserting your rights, you may seek assistance from the U.S. Department of</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Labor, or you may file suit in a federal court. The court will decide who should pay court costs and legal fees. If you are successful, the court may order the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4"/>
              </w:rPr>
              <w:t>person you have sued to pay these costs and fees. If you lose, the court may order you to pay these costs and fees, if, for example, it finds your claim is</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frivolous.</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Assistance with Your Questions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4"/>
              </w:rPr>
              <w:t>o  If you have any questions about your Plan, you should contact the Plan Administrator. If you have any questions about this statement or about your rights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under ERISA, or if you need assistance in obtaining documents from the Plan Administrator, you should contact the nearest office of the Employee Benefits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6"/>
              </w:rPr>
              <w:t>Security Administration, U.S. Department of Labor, listed in your telephone directory or the Division of Technical Assistance and Inquiries, Employee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8"/>
              </w:rPr>
              <w:t>Benefits Security Administration, U.S. Department of Labor, 200 Constitution Avenue N.W., Washington, D.C. 20210. You may also obtain certain</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97"/>
              </w:rPr>
              <w:t>publications about your rights and responsibilities under ERISA by calling the publications hotline of the Employee Benefits Security Administration.</w:t>
            </w:r>
          </w:p>
        </w:tc>
      </w:tr>
      <w:tr>
        <w:trPr>
          <w:trHeight w:val="149"/>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Other Rights</w:t>
            </w: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The Plan Administrator, as fiduciary for the Plan, is entitled to legal and equitable relief to enforce its right to recover any overpayments to you under this Plan. This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4"/>
              </w:rPr>
              <w:t>right of recovery is enforceable but will not exceed the benefits paid you. You agree that the Plan Administrator has a lien over such sources of income until any</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overpayments have been recovered in full.</w:t>
            </w:r>
          </w:p>
        </w:tc>
      </w:tr>
      <w:tr>
        <w:trPr>
          <w:trHeight w:val="149"/>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Discretionary Acts</w:t>
            </w: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The Plan Administrator has discretionary authority to interpret the Plan and to make benefit determinations under the Plan. The Plan Administrator may act directly</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or through its employees and agents or further delegate their authority through contracts, letters or other documentation or procedures to other affiliates, persons or</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entities.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3"/>
              </w:rPr>
              <w:t>Once you are deemed to have exhausted your appeal rights under the Plan, you have the right to seek court review under Section 502(a) of ERISA of any benefit</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determinations with which you disagree. The court will determine the standard of review it will apply in evaluating those decisions.</w:t>
            </w:r>
          </w:p>
        </w:tc>
      </w:tr>
      <w:tr>
        <w:trPr>
          <w:trHeight w:val="314"/>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5 of 5</w:t>
            </w:r>
          </w:p>
        </w:tc>
      </w:tr>
    </w:tbl>
    <w:p>
      <w:pPr>
        <w:sectPr>
          <w:pgSz w:w="11900" w:h="16838" w:orient="portrait"/>
          <w:cols w:equalWidth="0" w:num="1">
            <w:col w:w="11460"/>
          </w:cols>
          <w:pgMar w:left="220" w:top="713" w:right="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3"/>
          <w:szCs w:val="13"/>
          <w:b w:val="1"/>
          <w:bCs w:val="1"/>
          <w:color w:val="auto"/>
        </w:rPr>
        <w:t>Exhibit 10.53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International Executive Vice Presidents</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As an Executive Vice President, you are entitled to severance benefits in the event your employment is terminated by Biogen Idec other than For Cause or for reason of death or Disability (as these terms are defined in the Biogen Idec 2005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provided for under local statute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2.5)] x B = lump sum payment</w:t>
      </w:r>
    </w:p>
    <w:p>
      <w:pPr>
        <w:spacing w:after="0" w:line="169" w:lineRule="exact"/>
        <w:rPr>
          <w:sz w:val="20"/>
          <w:szCs w:val="20"/>
          <w:color w:val="auto"/>
        </w:rPr>
      </w:pPr>
    </w:p>
    <w:p>
      <w:pPr>
        <w:ind w:left="800" w:right="140" w:hanging="459"/>
        <w:spacing w:after="0" w:line="276" w:lineRule="auto"/>
        <w:tabs>
          <w:tab w:leader="none" w:pos="780" w:val="left"/>
        </w:tabs>
        <w:rPr>
          <w:sz w:val="20"/>
          <w:szCs w:val="20"/>
          <w:color w:val="auto"/>
        </w:rPr>
      </w:pPr>
      <w:r>
        <w:rPr>
          <w:rFonts w:ascii="Arial" w:cs="Arial" w:eastAsia="Arial" w:hAnsi="Arial"/>
          <w:sz w:val="13"/>
          <w:szCs w:val="13"/>
          <w:color w:val="auto"/>
        </w:rPr>
        <w:t>where:</w:t>
        <w:tab/>
        <w:t>A is the number of full years of service with Biogen Idec (but A x 2.5 may not exceed 12),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ind w:left="22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10 months of employment, you will receive a lump sum payment equal to nine months of your target annual cash compensation and, if applicable, continue to participate in Biogen Idec’s group medical and dental plans for nine months, unless you become eligible to participate in another employer’s medical and dental plans before that date.</w:t>
      </w:r>
    </w:p>
    <w:p>
      <w:pPr>
        <w:spacing w:after="0" w:line="25" w:lineRule="exact"/>
        <w:rPr>
          <w:sz w:val="20"/>
          <w:szCs w:val="20"/>
          <w:color w:val="auto"/>
        </w:rPr>
      </w:pPr>
    </w:p>
    <w:p>
      <w:pPr>
        <w:ind w:left="220" w:right="520"/>
        <w:spacing w:after="0" w:line="320" w:lineRule="auto"/>
        <w:rPr>
          <w:sz w:val="20"/>
          <w:szCs w:val="20"/>
          <w:color w:val="auto"/>
        </w:rPr>
      </w:pPr>
      <w:r>
        <w:rPr>
          <w:rFonts w:ascii="Arial" w:cs="Arial" w:eastAsia="Arial" w:hAnsi="Arial"/>
          <w:sz w:val="12"/>
          <w:szCs w:val="12"/>
          <w:i w:val="1"/>
          <w:iCs w:val="1"/>
          <w:color w:val="auto"/>
        </w:rPr>
        <w:t>If your employment with Biogen Idec is terminated after five years, you will receive a lump sum payment equal to 21 months [9+12] of your target annual cash compensation and, if applicable, continue to participate in Biogen Idec’s group medical and dental plans for 21 months, unless you become eligible to participate in another employer’s medical and dental plans before that date.</w:t>
      </w:r>
    </w:p>
    <w:p>
      <w:pPr>
        <w:spacing w:after="0" w:line="25"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2005 Omnibus Equity Plan) your employment is terminated by Biogen Idec or the succeeding corporate entity, other than For Cause or for reason of death or Disability (as these terms are defined in Biogen Idec’s 2005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24 months of your target annual cash compensation at the time of your termination or at the time of a Corporate Transaction or Corporate Change in Control, whichever is higher. If applicable, you will additionally be entitled to continue participating in Biogen Idec’s group medical and dental plans for 24 months, unless you become eligible to participate in another employer’s medical and dental plans before that date. The term “Involuntary Employment Action” shall have the definition set forth in Biogen Idec’s 2005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 2007</w:t>
      </w:r>
      <w:r>
        <w:rPr>
          <w:sz w:val="20"/>
          <w:szCs w:val="20"/>
          <w:color w:val="auto"/>
        </w:rPr>
        <w:tab/>
      </w:r>
      <w:r>
        <w:rPr>
          <w:rFonts w:ascii="Arial" w:cs="Arial" w:eastAsia="Arial" w:hAnsi="Arial"/>
          <w:sz w:val="11"/>
          <w:szCs w:val="11"/>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3"/>
          <w:szCs w:val="13"/>
          <w:b w:val="1"/>
          <w:bCs w:val="1"/>
          <w:color w:val="auto"/>
        </w:rPr>
        <w:t>Severance Plan for International Executive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2005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320"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w:t>
      </w:r>
    </w:p>
    <w:p>
      <w:pPr>
        <w:spacing w:after="0" w:line="25"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To the extent that such benefit is applicable, the Insurance Benefit will continue until the earlier of (i) the date you become eligible to participate in the medical and dental insurance plan of another employer or (ii) the date that is [9 + (A x 2.5)] months, but not more than 21 months (or 24 months in the case of a Corporate Transaction or Change in Control), following the termination of your employment with Biogen Idec (the “Insurance Benefit Period”).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128" w:lineRule="exact"/>
        <w:rPr>
          <w:sz w:val="20"/>
          <w:szCs w:val="20"/>
          <w:color w:val="auto"/>
        </w:rPr>
      </w:pPr>
    </w:p>
    <w:p>
      <w:pPr>
        <w:spacing w:after="0"/>
        <w:tabs>
          <w:tab w:leader="none" w:pos="10860" w:val="left"/>
        </w:tabs>
        <w:rPr>
          <w:sz w:val="20"/>
          <w:szCs w:val="20"/>
          <w:color w:val="auto"/>
        </w:rPr>
      </w:pPr>
      <w:r>
        <w:rPr>
          <w:rFonts w:ascii="Arial" w:cs="Arial" w:eastAsia="Arial" w:hAnsi="Arial"/>
          <w:sz w:val="13"/>
          <w:szCs w:val="13"/>
          <w:color w:val="auto"/>
        </w:rPr>
        <w:t>Effective October 1, 2007</w:t>
      </w:r>
      <w:r>
        <w:rPr>
          <w:sz w:val="20"/>
          <w:szCs w:val="20"/>
          <w:color w:val="auto"/>
        </w:rPr>
        <w:tab/>
      </w:r>
      <w:r>
        <w:rPr>
          <w:rFonts w:ascii="Arial" w:cs="Arial" w:eastAsia="Arial" w:hAnsi="Arial"/>
          <w:sz w:val="11"/>
          <w:szCs w:val="11"/>
          <w:color w:val="auto"/>
        </w:rPr>
        <w:t>Page 2 of 2</w:t>
      </w:r>
    </w:p>
    <w:p>
      <w:pPr>
        <w:sectPr>
          <w:pgSz w:w="11900" w:h="16838" w:orient="portrait"/>
          <w:cols w:equalWidth="0" w:num="1">
            <w:col w:w="11460"/>
          </w:cols>
          <w:pgMar w:left="220" w:top="736" w:right="219" w:bottom="1440" w:gutter="0" w:footer="0" w:header="0"/>
        </w:sectPr>
      </w:pPr>
    </w:p>
    <w:bookmarkStart w:id="186" w:name="page187"/>
    <w:bookmarkEnd w:id="186"/>
    <w:p>
      <w:pPr>
        <w:ind w:left="10720"/>
        <w:spacing w:after="0"/>
        <w:rPr>
          <w:sz w:val="20"/>
          <w:szCs w:val="20"/>
          <w:color w:val="auto"/>
        </w:rPr>
      </w:pPr>
      <w:r>
        <w:rPr>
          <w:rFonts w:ascii="Arial" w:cs="Arial" w:eastAsia="Arial" w:hAnsi="Arial"/>
          <w:sz w:val="12"/>
          <w:szCs w:val="12"/>
          <w:b w:val="1"/>
          <w:bCs w:val="1"/>
          <w:color w:val="auto"/>
        </w:rPr>
        <w:t>Exhibit 10.54</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Severance Plan for U.S. Senior Vice Presidents</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As a Senior Vice President, you are entitled to severance benefits in the event your employment is terminated by Biogen Idec other than For Cause or for reason of death or Disability (as these terms are defined in the Biogen Idec 2005 Omnibus Equity Plan).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Benefits</w:t>
      </w:r>
    </w:p>
    <w:p>
      <w:pPr>
        <w:spacing w:after="0" w:line="86"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Your severance benefits are comprised of (i) a lump sum payment (as calculated below), (ii) upon completion of the appropriate forms, continuation of your participation in Biogen Idec’s group medical and dental insurance plans, to the same extent permitted by COBRA and to the same extent such insurance is then provided to regular employees of Biogen Idec, including payment by you of a portion of the insurance premiums (i.e., the “Insurance Benefit”) and (iii) the reasonable cost of up to nine months of executive-level outplacement services from a recognized provider of such services, at the expense of Biogen Idec (upon receipt of appropriate documentation).</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lump sum severance payment is calculated as follows: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[9 + (A x 2)] x B = lump sum payment</w:t>
      </w:r>
    </w:p>
    <w:p>
      <w:pPr>
        <w:spacing w:after="0" w:line="169" w:lineRule="exact"/>
        <w:rPr>
          <w:sz w:val="20"/>
          <w:szCs w:val="20"/>
          <w:color w:val="auto"/>
        </w:rPr>
      </w:pPr>
    </w:p>
    <w:p>
      <w:pPr>
        <w:ind w:left="800" w:right="40" w:hanging="459"/>
        <w:spacing w:after="0" w:line="276" w:lineRule="auto"/>
        <w:tabs>
          <w:tab w:leader="none" w:pos="780" w:val="left"/>
        </w:tabs>
        <w:rPr>
          <w:sz w:val="20"/>
          <w:szCs w:val="20"/>
          <w:color w:val="auto"/>
        </w:rPr>
      </w:pPr>
      <w:r>
        <w:rPr>
          <w:rFonts w:ascii="Arial" w:cs="Arial" w:eastAsia="Arial" w:hAnsi="Arial"/>
          <w:sz w:val="13"/>
          <w:szCs w:val="13"/>
          <w:color w:val="auto"/>
        </w:rPr>
        <w:t>where:</w:t>
        <w:tab/>
        <w:t>A is the number of full years of service with Biogen Idec (but A x 2 may not exceed 9), and B is the monthly equivalent of your target annual cash compensation at the time of your termination (i.e., one-twelfth of the sum of your then annual base salary plus target annual bonus).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are examples of how the lump sum payment and Insurance Benefit Period are determined:</w:t>
      </w:r>
    </w:p>
    <w:p>
      <w:pPr>
        <w:spacing w:after="0" w:line="86"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3"/>
          <w:szCs w:val="13"/>
          <w:i w:val="1"/>
          <w:iCs w:val="1"/>
          <w:color w:val="auto"/>
        </w:rPr>
        <w:t>If your employment with Biogen Idec is terminated after 10 months of employment, you will receive a lump sum payment equal to nine months of your target annual cash compensation and continue to participate in Biogen Idec’s group medical and dental plans for nine months, unless you become eligible to participate in another employer’s medical and dental plans before that date. COBRA continuation of medical and dental benefits is available, at your own expense, for an additional nine months after this nine-month Insurance Benefit Period.</w:t>
      </w:r>
    </w:p>
    <w:p>
      <w:pPr>
        <w:spacing w:after="0" w:line="57" w:lineRule="exact"/>
        <w:rPr>
          <w:sz w:val="20"/>
          <w:szCs w:val="20"/>
          <w:color w:val="auto"/>
        </w:rPr>
      </w:pPr>
    </w:p>
    <w:p>
      <w:pPr>
        <w:ind w:left="220" w:right="200"/>
        <w:spacing w:after="0" w:line="276" w:lineRule="auto"/>
        <w:rPr>
          <w:sz w:val="20"/>
          <w:szCs w:val="20"/>
          <w:color w:val="auto"/>
        </w:rPr>
      </w:pPr>
      <w:r>
        <w:rPr>
          <w:rFonts w:ascii="Arial" w:cs="Arial" w:eastAsia="Arial" w:hAnsi="Arial"/>
          <w:sz w:val="13"/>
          <w:szCs w:val="13"/>
          <w:i w:val="1"/>
          <w:iCs w:val="1"/>
          <w:color w:val="auto"/>
        </w:rPr>
        <w:t>If your employment with Biogen Idec is terminated after five years, you will receive a lump sum payment equal to 18 months [9+9] of your target annual cash compensation and continue to participate in Biogen Idec’s group medical and dental plans for 18 months, unless you become eligible to participate in another employer’s medical and dental plans before that date.</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If at any time within two years following a Corporate Transaction or Corporate Change in Control (as these terms are defined in Biogen Idec’s 2005 Omnibus Equity Plan) your employment is terminated by Biogen Idec or the succeeding corporate entity, other than For Cause or for reason of death or Disability (as these terms are defined in Biogen Idec’s 2005 Omnibus Equity Plan), or you experience an Involuntary Employment Action (defined below) and as a result you terminate your employment with Biogen Idec or the succeeding corporate entity, then, regardless of the length of your service with Biogen Idec and the succeeding corporate entity, and in lieu of the formula set forth above, you will receive a lump sum payment equivalent to 18 months of your target annual cash compensation at the time of your termination or at the time of a Corporate Transaction or Corporate Change in Control, whichever is higher. In addition, you will be entitled to continue participating in Biogen Idec’s group medical and dental plans for 18 months, unless you become eligible to participate in another employer’s medical and dental plans before that date. The term “Involuntary Employment Action” shall have the definition set forth in Biogen Idec’s 2005 Omnibus Equity Plan, provided, however, that the term “Corporate Transaction” used in that definition shall be deemed to mean either a Corporate Transaction or Change in Control, as the case may be, and provided also that prior to your termination of employment you have notified the Chief Legal Counsel or the Head of Human Resources of Biogen Idec in writing of the basis for your Involuntary Employment Action, you have given such notice within one year of the circumstances giving rise to your Involuntary Employment Action and Biogen Idec does not cure such circumstances within 30 days after the date of your notice.</w:t>
      </w:r>
    </w:p>
    <w:p>
      <w:pPr>
        <w:spacing w:after="0" w:line="129" w:lineRule="exact"/>
        <w:rPr>
          <w:sz w:val="20"/>
          <w:szCs w:val="20"/>
          <w:color w:val="auto"/>
        </w:rPr>
      </w:pPr>
    </w:p>
    <w:p>
      <w:pPr>
        <w:spacing w:after="0"/>
        <w:tabs>
          <w:tab w:leader="none" w:pos="10840" w:val="left"/>
        </w:tabs>
        <w:rPr>
          <w:sz w:val="20"/>
          <w:szCs w:val="20"/>
          <w:color w:val="auto"/>
        </w:rPr>
      </w:pPr>
      <w:r>
        <w:rPr>
          <w:rFonts w:ascii="Arial" w:cs="Arial" w:eastAsia="Arial" w:hAnsi="Arial"/>
          <w:sz w:val="13"/>
          <w:szCs w:val="13"/>
          <w:i w:val="1"/>
          <w:iCs w:val="1"/>
          <w:color w:val="auto"/>
        </w:rPr>
        <w:t>Adopted October 1, 2007</w:t>
      </w:r>
      <w:r>
        <w:rPr>
          <w:sz w:val="20"/>
          <w:szCs w:val="20"/>
          <w:color w:val="auto"/>
        </w:rPr>
        <w:tab/>
      </w:r>
      <w:r>
        <w:rPr>
          <w:rFonts w:ascii="Arial" w:cs="Arial" w:eastAsia="Arial" w:hAnsi="Arial"/>
          <w:sz w:val="11"/>
          <w:szCs w:val="11"/>
          <w:i w:val="1"/>
          <w:iCs w:val="1"/>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3"/>
          <w:szCs w:val="13"/>
          <w:b w:val="1"/>
          <w:bCs w:val="1"/>
          <w:color w:val="auto"/>
        </w:rPr>
        <w:t>Severance Plan for U.S. Senior Vice Presidents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Delivery of Benefits</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Payment and provision of all the benefits provided under this arrangement are conditioned on your execution and delivery of all necessary forms and an irrevocable general release in favor of Biogen Idec, in form and substance reasonably acceptable to Biogen Idec, with respect to any and all claims relating to your employment and the termination of your employment with Biogen Idec. If you retire or voluntarily terminate your employment with Biogen Idec, or Biogen Idec terminates your employment For Cause or for reason of death or Disability (as these terms are defined in Biogen Idec’s 2005 Omnibus Equity Plan), or you do not provide the requisite general release, you will not be eligible to receive the severance benefits described above.</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If all other conditions of this arrangement are met, a lump sum payment (less applicable taxes and other mandatory deductions as required by law) will be paid to you following the termination of your employment, no later than the first to occur of: a) 90 days following your termination of your employment with Biogen Idec and b) March 15 of the year following the calendar year in which termination of employment occurs, unless you are a “specified employee” as defined in Section 409A of the Internal Revenue Code of 1986, as amended (i.e., “Section 409A”). (If all preconditions to payment, including the delivery of an irrevocable general release, are not satisfied prior to the earlier of these two dates, payment to you may be delayed and you may incur additional tax liabilities under Section 409A.) If you are a “specified employee”, to the extent required by Section 409A, payment will not be made to you before the date which is six months after you “separate from service” (or, if earlier, your date of death or Disability) unless the payment qualifies as excepted welfare benefits under Section 409A, does not constitute a “deferral of compensation” under Section 409A or is otherwise not subject to the requirements of Section 409A.</w:t>
      </w:r>
    </w:p>
    <w:p>
      <w:pPr>
        <w:spacing w:after="0" w:line="49"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Insurance Benefit will continue until the earlier of (i) the date you become eligible to participate in the medical and dental insurance plan of another employer or (ii) the date that is [9 + (A x 2)] months, but not more than 18 months (or 18 months in the case of a Corporate Transaction or Change in Control), following the termination of your employment with Biogen Idec (the “Insurance Benefit Period”). You will have the right, at your own expense, to continue your participation in Biogen Idec’s group medical and dental insurance plans at the expiration of the Insurance Benefit Period, pursuant to the provisions of COBRA, but only for an 18-month period that will be deemed to have commenced at the start of your severance.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General</w:t>
      </w:r>
    </w:p>
    <w:p>
      <w:pPr>
        <w:spacing w:after="0" w:line="8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Biogen Idec shall administer and shall have the discretionary authority to adopt rules for the management and operation of this arrangement, to interpret the provisions of the arrangement and to construe the terms of the severance arrangement in its sole discretion. The decision of Biogen Idec, or the duly authorized delegate, is final and conclusive for all purposes.</w:t>
      </w:r>
    </w:p>
    <w:p>
      <w:pPr>
        <w:spacing w:after="0" w:line="49"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severance arrangement may be amended, modified, suspended or terminated by Biogen Idec at any time; provided that the severance arrangement may not be amended or terminated without your written consent for a period of two years following a Corporate Transaction or a Change in Control.</w:t>
      </w:r>
    </w:p>
    <w:p>
      <w:pPr>
        <w:spacing w:after="0" w:line="49"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This arrangement is unfunded. This arrangement will benefit and bind Biogen Idec and its successors and permitted assigns and you and your heirs, executors and legal representatives. You do not have any right to transfer or assign your benefits under this arrangement.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This arrangement shall be construed, administered and enforced according to the laws of the State of Delaware, except to the extent that such laws are preempted by the federal laws of the United States of America.</w:t>
      </w:r>
    </w:p>
    <w:p>
      <w:pPr>
        <w:spacing w:after="0" w:line="177" w:lineRule="exact"/>
        <w:rPr>
          <w:sz w:val="20"/>
          <w:szCs w:val="20"/>
          <w:color w:val="auto"/>
        </w:rPr>
      </w:pPr>
    </w:p>
    <w:p>
      <w:pPr>
        <w:spacing w:after="0"/>
        <w:tabs>
          <w:tab w:leader="none" w:pos="10840" w:val="left"/>
        </w:tabs>
        <w:rPr>
          <w:sz w:val="20"/>
          <w:szCs w:val="20"/>
          <w:color w:val="auto"/>
        </w:rPr>
      </w:pPr>
      <w:r>
        <w:rPr>
          <w:rFonts w:ascii="Arial" w:cs="Arial" w:eastAsia="Arial" w:hAnsi="Arial"/>
          <w:sz w:val="13"/>
          <w:szCs w:val="13"/>
          <w:i w:val="1"/>
          <w:iCs w:val="1"/>
          <w:color w:val="auto"/>
        </w:rPr>
        <w:t>Adopted October 1, 2007</w:t>
      </w:r>
      <w:r>
        <w:rPr>
          <w:sz w:val="20"/>
          <w:szCs w:val="20"/>
          <w:color w:val="auto"/>
        </w:rPr>
        <w:tab/>
      </w:r>
      <w:r>
        <w:rPr>
          <w:rFonts w:ascii="Arial" w:cs="Arial" w:eastAsia="Arial" w:hAnsi="Arial"/>
          <w:sz w:val="11"/>
          <w:szCs w:val="11"/>
          <w:i w:val="1"/>
          <w:iCs w:val="1"/>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Severance Plan for U.S. Senior Vice Presidents</w:t>
            </w:r>
          </w:p>
        </w:tc>
      </w:tr>
      <w:tr>
        <w:trPr>
          <w:trHeight w:val="305"/>
        </w:trPr>
        <w:tc>
          <w:tcPr>
            <w:tcW w:w="11460" w:type="dxa"/>
            <w:vAlign w:val="bottom"/>
            <w:gridSpan w:val="3"/>
          </w:tcPr>
          <w:p>
            <w:pPr>
              <w:spacing w:after="0"/>
              <w:rPr>
                <w:sz w:val="20"/>
                <w:szCs w:val="20"/>
                <w:color w:val="auto"/>
              </w:rPr>
            </w:pPr>
            <w:r>
              <w:rPr>
                <w:rFonts w:ascii="Arial" w:cs="Arial" w:eastAsia="Arial" w:hAnsi="Arial"/>
                <w:sz w:val="13"/>
                <w:szCs w:val="13"/>
                <w:b w:val="1"/>
                <w:bCs w:val="1"/>
                <w:color w:val="auto"/>
              </w:rPr>
              <w:t>Additional Summary Plan Description Information</w:t>
            </w:r>
          </w:p>
        </w:tc>
      </w:tr>
      <w:tr>
        <w:trPr>
          <w:trHeight w:val="159"/>
        </w:trPr>
        <w:tc>
          <w:tcPr>
            <w:tcW w:w="2700" w:type="dxa"/>
            <w:vAlign w:val="bottom"/>
            <w:tcBorders>
              <w:bottom w:val="single" w:sz="8" w:color="auto"/>
            </w:tcBorders>
            <w:gridSpan w:val="2"/>
          </w:tcPr>
          <w:p>
            <w:pPr>
              <w:spacing w:after="0"/>
              <w:rPr>
                <w:sz w:val="13"/>
                <w:szCs w:val="13"/>
                <w:color w:val="auto"/>
              </w:rPr>
            </w:pPr>
          </w:p>
        </w:tc>
        <w:tc>
          <w:tcPr>
            <w:tcW w:w="8760" w:type="dxa"/>
            <w:vAlign w:val="bottom"/>
            <w:tcBorders>
              <w:bottom w:val="single" w:sz="8" w:color="auto"/>
            </w:tcBorders>
          </w:tcPr>
          <w:p>
            <w:pPr>
              <w:spacing w:after="0"/>
              <w:rPr>
                <w:sz w:val="13"/>
                <w:szCs w:val="13"/>
                <w:color w:val="auto"/>
              </w:rPr>
            </w:pP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Description</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w w:val="92"/>
              </w:rPr>
              <w:t>This document describes a Plan which is subject to the Employee Retirement Income Security Act of 1974 (ERISA). This document constitutes the Summary Plan</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Description (SPD) and Plan Document. Benefit determinations are controlled exclusively by this SPD and Plan Document.</w:t>
            </w:r>
          </w:p>
        </w:tc>
      </w:tr>
      <w:tr>
        <w:trPr>
          <w:trHeight w:val="158"/>
        </w:trPr>
        <w:tc>
          <w:tcPr>
            <w:tcW w:w="2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Name of Plan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Severance Plan for U. S. Senior Vice Presidents</w:t>
            </w: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Name and Address of Employer</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rPr>
              <w:t>Biogen Idec Inc.</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Plan Identification</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rPr>
              <w:t>Employer IRS Identification #: 04-3002117</w:t>
            </w:r>
          </w:p>
        </w:tc>
      </w:tr>
      <w:tr>
        <w:trPr>
          <w:trHeight w:val="169"/>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Number</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Plan #: 522</w:t>
            </w:r>
          </w:p>
        </w:tc>
      </w:tr>
      <w:tr>
        <w:trPr>
          <w:trHeight w:val="158"/>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Type of Welfare Plan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Severance</w:t>
            </w:r>
          </w:p>
        </w:tc>
      </w:tr>
      <w:tr>
        <w:trPr>
          <w:trHeight w:val="157"/>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ERISA Plan Year Ends</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December 31</w:t>
            </w:r>
          </w:p>
        </w:tc>
      </w:tr>
      <w:tr>
        <w:trPr>
          <w:trHeight w:val="157"/>
        </w:trPr>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Type of Administration</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The Plan is administered by the Plan Administrator</w:t>
            </w:r>
          </w:p>
        </w:tc>
      </w:tr>
      <w:tr>
        <w:trPr>
          <w:trHeight w:val="144"/>
        </w:trPr>
        <w:tc>
          <w:tcPr>
            <w:tcW w:w="2700" w:type="dxa"/>
            <w:vAlign w:val="bottom"/>
            <w:tcBorders>
              <w:right w:val="single" w:sz="8" w:color="auto"/>
            </w:tcBorders>
            <w:gridSpan w:val="2"/>
          </w:tcPr>
          <w:p>
            <w:pPr>
              <w:spacing w:after="0" w:line="144" w:lineRule="exact"/>
              <w:rPr>
                <w:sz w:val="20"/>
                <w:szCs w:val="20"/>
                <w:color w:val="auto"/>
              </w:rPr>
            </w:pPr>
            <w:r>
              <w:rPr>
                <w:rFonts w:ascii="Arial" w:cs="Arial" w:eastAsia="Arial" w:hAnsi="Arial"/>
                <w:sz w:val="13"/>
                <w:szCs w:val="13"/>
                <w:b w:val="1"/>
                <w:bCs w:val="1"/>
                <w:color w:val="auto"/>
              </w:rPr>
              <w:t>Plan Administrator, Name, Address, and</w:t>
            </w:r>
          </w:p>
        </w:tc>
        <w:tc>
          <w:tcPr>
            <w:tcW w:w="8760" w:type="dxa"/>
            <w:vAlign w:val="bottom"/>
          </w:tcPr>
          <w:p>
            <w:pPr>
              <w:ind w:left="100"/>
              <w:spacing w:after="0" w:line="144" w:lineRule="exact"/>
              <w:rPr>
                <w:sz w:val="20"/>
                <w:szCs w:val="20"/>
                <w:color w:val="auto"/>
              </w:rPr>
            </w:pPr>
            <w:r>
              <w:rPr>
                <w:rFonts w:ascii="Arial" w:cs="Arial" w:eastAsia="Arial" w:hAnsi="Arial"/>
                <w:sz w:val="13"/>
                <w:szCs w:val="13"/>
                <w:color w:val="auto"/>
              </w:rPr>
              <w:t>Biogen Idec Inc. is the Plan Administrator and named fiduciary of the Plan, with authority to delegate its duties.</w:t>
            </w:r>
          </w:p>
        </w:tc>
      </w:tr>
      <w:tr>
        <w:trPr>
          <w:trHeight w:val="161"/>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Telephone Number</w:t>
            </w:r>
          </w:p>
        </w:tc>
        <w:tc>
          <w:tcPr>
            <w:tcW w:w="8760" w:type="dxa"/>
            <w:vAlign w:val="bottom"/>
          </w:tcPr>
          <w:p>
            <w:pPr>
              <w:ind w:left="100"/>
              <w:spacing w:after="0"/>
              <w:rPr>
                <w:sz w:val="20"/>
                <w:szCs w:val="20"/>
                <w:color w:val="auto"/>
              </w:rPr>
            </w:pPr>
            <w:r>
              <w:rPr>
                <w:rFonts w:ascii="Arial" w:cs="Arial" w:eastAsia="Arial" w:hAnsi="Arial"/>
                <w:sz w:val="13"/>
                <w:szCs w:val="13"/>
                <w:color w:val="auto"/>
              </w:rPr>
              <w:t>Biogen Idec Inc.</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(617) 679-3400</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Agent for Service of Legal Process on the</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rPr>
              <w:t>Biogen Idec Inc.</w:t>
            </w:r>
          </w:p>
        </w:tc>
      </w:tr>
      <w:tr>
        <w:trPr>
          <w:trHeight w:val="161"/>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Plan</w:t>
            </w:r>
          </w:p>
        </w:tc>
        <w:tc>
          <w:tcPr>
            <w:tcW w:w="8760" w:type="dxa"/>
            <w:vAlign w:val="bottom"/>
          </w:tcPr>
          <w:p>
            <w:pPr>
              <w:ind w:left="100"/>
              <w:spacing w:after="0"/>
              <w:rPr>
                <w:sz w:val="20"/>
                <w:szCs w:val="20"/>
                <w:color w:val="auto"/>
              </w:rPr>
            </w:pPr>
            <w:r>
              <w:rPr>
                <w:rFonts w:ascii="Arial" w:cs="Arial" w:eastAsia="Arial" w:hAnsi="Arial"/>
                <w:sz w:val="13"/>
                <w:szCs w:val="13"/>
                <w:color w:val="auto"/>
              </w:rPr>
              <w:t>Fourteen Cambridge Center</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Cambridge, Massachusetts 02142</w:t>
            </w:r>
          </w:p>
        </w:tc>
      </w:tr>
      <w:tr>
        <w:trPr>
          <w:trHeight w:val="158"/>
        </w:trPr>
        <w:tc>
          <w:tcPr>
            <w:tcW w:w="20" w:type="dxa"/>
            <w:vAlign w:val="bottom"/>
            <w:tcBorders>
              <w:bottom w:val="single" w:sz="8" w:color="auto"/>
            </w:tcBorders>
          </w:tcPr>
          <w:p>
            <w:pPr>
              <w:spacing w:after="0"/>
              <w:rPr>
                <w:sz w:val="13"/>
                <w:szCs w:val="13"/>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Funding</w:t>
            </w: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This Plan is unfunded</w:t>
            </w:r>
          </w:p>
        </w:tc>
      </w:tr>
      <w:tr>
        <w:trPr>
          <w:trHeight w:val="148"/>
        </w:trPr>
        <w:tc>
          <w:tcPr>
            <w:tcW w:w="2700" w:type="dxa"/>
            <w:vAlign w:val="bottom"/>
            <w:tcBorders>
              <w:right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Appeal Procedures</w:t>
            </w:r>
          </w:p>
        </w:tc>
        <w:tc>
          <w:tcPr>
            <w:tcW w:w="8760" w:type="dxa"/>
            <w:vAlign w:val="bottom"/>
          </w:tcPr>
          <w:p>
            <w:pPr>
              <w:ind w:left="100"/>
              <w:spacing w:after="0" w:line="148" w:lineRule="exact"/>
              <w:rPr>
                <w:sz w:val="20"/>
                <w:szCs w:val="20"/>
                <w:color w:val="auto"/>
              </w:rPr>
            </w:pPr>
            <w:r>
              <w:rPr>
                <w:rFonts w:ascii="Arial" w:cs="Arial" w:eastAsia="Arial" w:hAnsi="Arial"/>
                <w:sz w:val="13"/>
                <w:szCs w:val="13"/>
                <w:color w:val="auto"/>
                <w:w w:val="94"/>
              </w:rPr>
              <w:t>You have 180 days from your effective date of termination to file an appeal. Requests for appeals should be sent to the address specified in the claim denial. A</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decision on review will be made not later than 45 days following receipt of the written request for review. If the Plan Administrator determines that special</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circumstances require an extension of time for a decision on review, the review period may be extended by an additional 45 days (90 days in total). The Plan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Administrator will notify you in writing if an additional 45 day extension is needed.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If an extension is necessary due to your failure to submit the information necessary to decide the appeal, the notice of extension will specifically describe the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required information, and you will be afforded at least 45 days to provide the specified information. If you deliver the requested information within the time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4"/>
              </w:rPr>
              <w:t>specified, the 45 day extension of the appeal period will begin after you have provided that information. If you fail to deliver the requested information within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time specified, the Plan Administrator may decide your appeal without that information.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You will have the opportunity to submit written comments, documents, or other information in support of your appeal. You will have access to all relevant</w:t>
            </w:r>
          </w:p>
        </w:tc>
      </w:tr>
      <w:tr>
        <w:trPr>
          <w:trHeight w:val="170"/>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w w:val="98"/>
              </w:rPr>
              <w:t>documents as defined by applicable U.S. Department of Labor regulations. The review of the adverse benefit determination will take into account all new</w:t>
            </w:r>
          </w:p>
        </w:tc>
      </w:tr>
      <w:tr>
        <w:trPr>
          <w:trHeight w:val="309"/>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3 of 5</w:t>
            </w:r>
          </w:p>
        </w:tc>
      </w:tr>
      <w:tr>
        <w:trPr>
          <w:trHeight w:val="163"/>
        </w:trPr>
        <w:tc>
          <w:tcPr>
            <w:tcW w:w="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8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09" w:right="21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6"/>
          <w:szCs w:val="16"/>
          <w:b w:val="1"/>
          <w:bCs w:val="1"/>
          <w:color w:val="auto"/>
        </w:rPr>
        <w:t>Severance Plan for U.S. Senior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8408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80" w:type="dxa"/>
            <w:vAlign w:val="bottom"/>
            <w:tcBorders>
              <w:top w:val="single" w:sz="8" w:color="auto"/>
              <w:right w:val="single" w:sz="8" w:color="auto"/>
            </w:tcBorders>
          </w:tcPr>
          <w:p>
            <w:pPr>
              <w:spacing w:after="0"/>
              <w:rPr>
                <w:sz w:val="15"/>
                <w:szCs w:val="15"/>
                <w:color w:val="auto"/>
              </w:rPr>
            </w:pPr>
          </w:p>
        </w:tc>
        <w:tc>
          <w:tcPr>
            <w:tcW w:w="87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information, whether or not presented or available at the initial determination. No deference will be afforded to the initial determination.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The review will be conducted by the Plan Administrator and will be made by a person different from the person who made the initial determination and such person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will not be the original decision maker’s subordinate.</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A notice that your request on appeal is denied will contain the following information: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The specific reason(s) for the determination;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 reference to the specific Plan provision(s) on which the determination is based;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8"/>
              </w:rPr>
              <w:t>•   A statement disclosing any internal rule, guidelines, protocol or similar criterion relied on in making the adverse determination (or a statement that such</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information will be provided free of charge upon request);</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 statement describing your right to bring a lawsuit under Section 502(a) of ERISA if you disagree with the decision;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3"/>
              </w:rPr>
              <w:t>•   The statement that you are entitled to receive upon request, and without charge, reasonable access to or copies of all documents, records or other information</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relevant to the determination; and</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   The statement that “You or your plan may have other voluntary alternative dispute resolution options, such as mediation. One way to find out what may be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available is to contact your local U.S. Department of Labor Office and your State insurance regulatory agency”.</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6"/>
              </w:rPr>
              <w:t>Notice of the determination may be provided in written or electronic form. Electronic notices will be provided in a form that complies with any applicable legal</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requirements.</w:t>
            </w:r>
          </w:p>
        </w:tc>
      </w:tr>
      <w:tr>
        <w:trPr>
          <w:trHeight w:val="315"/>
        </w:trPr>
        <w:tc>
          <w:tcPr>
            <w:tcW w:w="20" w:type="dxa"/>
            <w:vAlign w:val="bottom"/>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Unless there are special circumstances, this administrative appeal process must be completed before you begin any legal action regarding your claim.</w:t>
            </w:r>
          </w:p>
        </w:tc>
      </w:tr>
      <w:tr>
        <w:trPr>
          <w:trHeight w:val="145"/>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3"/>
                <w:szCs w:val="13"/>
                <w:b w:val="1"/>
                <w:bCs w:val="1"/>
                <w:color w:val="auto"/>
              </w:rPr>
              <w:t>Your Rights Under</w:t>
            </w:r>
          </w:p>
        </w:tc>
        <w:tc>
          <w:tcPr>
            <w:tcW w:w="8760" w:type="dxa"/>
            <w:vAlign w:val="bottom"/>
          </w:tcPr>
          <w:p>
            <w:pPr>
              <w:ind w:left="100"/>
              <w:spacing w:after="0" w:line="145" w:lineRule="exact"/>
              <w:rPr>
                <w:sz w:val="20"/>
                <w:szCs w:val="20"/>
                <w:color w:val="auto"/>
              </w:rPr>
            </w:pPr>
            <w:r>
              <w:rPr>
                <w:rFonts w:ascii="Arial" w:cs="Arial" w:eastAsia="Arial" w:hAnsi="Arial"/>
                <w:sz w:val="13"/>
                <w:szCs w:val="13"/>
                <w:color w:val="auto"/>
                <w:w w:val="97"/>
              </w:rPr>
              <w:t>As a participant in this Plan, you are entitled to certain rights and protections under the Employee Retirement Income Security Act of 1974 (ERISA). ERISA</w:t>
            </w:r>
          </w:p>
        </w:tc>
      </w:tr>
      <w:tr>
        <w:trPr>
          <w:trHeight w:val="169"/>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ERISA</w:t>
            </w:r>
          </w:p>
        </w:tc>
        <w:tc>
          <w:tcPr>
            <w:tcW w:w="8760" w:type="dxa"/>
            <w:vAlign w:val="bottom"/>
          </w:tcPr>
          <w:p>
            <w:pPr>
              <w:ind w:left="100"/>
              <w:spacing w:after="0"/>
              <w:rPr>
                <w:sz w:val="20"/>
                <w:szCs w:val="20"/>
                <w:color w:val="auto"/>
              </w:rPr>
            </w:pPr>
            <w:r>
              <w:rPr>
                <w:rFonts w:ascii="Arial" w:cs="Arial" w:eastAsia="Arial" w:hAnsi="Arial"/>
                <w:sz w:val="13"/>
                <w:szCs w:val="13"/>
                <w:color w:val="auto"/>
              </w:rPr>
              <w:t>provides that all Plan participants shall be entitled to:</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Receive Information About Your Plan and Benefits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Examine, without charge, at the Plan Administrator’s office and at other specified locations, all documents governing the Plan, including a copy of the latest</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annual report (Form 5500 Series), if any, filed by the Plan with the U.S. Department of Labor and available at the Public Disclosure Room of the Employee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Benefits Security Administration.</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Obtain, upon written request to the Plan Administrator, copies of documents governing the operation of the Plan, including copies of the latest annual report</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(Form 5500 Series), if any, and updated Summary Plan Description.</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rPr>
              <w:t>o  The Plan Administrator may make a reasonable charge for the copies.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6"/>
              </w:rPr>
              <w:t>o  Receive a summary of the Plan’s annual financial report, if any. The Plan Administrator is required by law to furnish each participant with a copy of this</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summary annual report.</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Prudent Actions by Plan Fiduciaries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5"/>
              </w:rPr>
              <w:t>o  In addition to creating rights for Plan participants, ERISA imposes duties upon the people who are responsible for the operation of the employee benefit</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1"/>
              </w:rPr>
              <w:t>plan. The people who operate your Plan, called “fiduciaries” of the Plan, have a duty to do so prudently and in the interest of you and other Plan participants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and beneficiaries. No one, including your Employer or any other person, may fire you or otherwise discriminate against you in any way to prevent you from</w:t>
            </w:r>
          </w:p>
        </w:tc>
      </w:tr>
      <w:tr>
        <w:trPr>
          <w:trHeight w:val="170"/>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obtaining a benefit or exercising your rights under ERISA.</w:t>
            </w:r>
          </w:p>
        </w:tc>
      </w:tr>
      <w:tr>
        <w:trPr>
          <w:trHeight w:val="309"/>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4 of 5</w:t>
            </w:r>
          </w:p>
        </w:tc>
      </w:tr>
      <w:tr>
        <w:trPr>
          <w:trHeight w:val="163"/>
        </w:trPr>
        <w:tc>
          <w:tcPr>
            <w:tcW w:w="2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8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09" w:right="2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6"/>
          <w:szCs w:val="16"/>
          <w:b w:val="1"/>
          <w:bCs w:val="1"/>
          <w:color w:val="auto"/>
        </w:rPr>
        <w:t>Severance Plan for U.S. Senior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8408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680" w:type="dxa"/>
            <w:vAlign w:val="bottom"/>
            <w:tcBorders>
              <w:top w:val="single" w:sz="8" w:color="auto"/>
              <w:right w:val="single" w:sz="8" w:color="auto"/>
            </w:tcBorders>
          </w:tcPr>
          <w:p>
            <w:pPr>
              <w:spacing w:after="0"/>
              <w:rPr>
                <w:sz w:val="15"/>
                <w:szCs w:val="15"/>
                <w:color w:val="auto"/>
              </w:rPr>
            </w:pPr>
          </w:p>
        </w:tc>
        <w:tc>
          <w:tcPr>
            <w:tcW w:w="87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   Enforce Your Rights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3"/>
              </w:rPr>
              <w:t>o  If your claim for a benefit is denied or ignored, in whole or in part, you have a right to know why this was done, to obtain copies of documents relating to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decision without charge, and to appeal any denial, all within certain time schedules.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1"/>
              </w:rPr>
              <w:t>o  Under ERISA, there are steps you can take to enforce the above rights. For instance, if you request a copy of Plan documents or the latest annual report from</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the Plan and do not receive them within 30 days, you may file suit in a federal court. In such a case, the court may require the Plan Administrator to provide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the materials and pay you up to $110 a day until you receive the materials, unless the materials were not sent because of reasons beyond the control of the</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Plan Administrator.</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8"/>
              </w:rPr>
              <w:t>o  If you have a claim for benefits that is denied or ignored, in whole or in part, you may file suit in a state or federal court. If it should happen that Plan</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4"/>
              </w:rPr>
              <w:t>fiduciaries misuse the Plan’s money, or if you are discriminated against for asserting your rights, you may seek assistance from the U.S. Department of</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Labor, or you may file suit in a federal court. The court will decide who should pay court costs and legal fees. If you are successful, the court may order the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4"/>
              </w:rPr>
              <w:t>person you have sued to pay these costs and fees. If you lose, the court may order you to pay these costs and fees, if, for example, it finds your claim is</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rPr>
              <w:t>frivolous.</w:t>
            </w:r>
          </w:p>
        </w:tc>
      </w:tr>
      <w:tr>
        <w:trPr>
          <w:trHeight w:val="315"/>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   Assistance with Your Questions</w:t>
            </w:r>
          </w:p>
        </w:tc>
      </w:tr>
      <w:tr>
        <w:trPr>
          <w:trHeight w:val="307"/>
        </w:trPr>
        <w:tc>
          <w:tcPr>
            <w:tcW w:w="2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8760" w:type="dxa"/>
            <w:vAlign w:val="bottom"/>
          </w:tcPr>
          <w:p>
            <w:pPr>
              <w:ind w:left="300"/>
              <w:spacing w:after="0"/>
              <w:rPr>
                <w:sz w:val="20"/>
                <w:szCs w:val="20"/>
                <w:color w:val="auto"/>
              </w:rPr>
            </w:pPr>
            <w:r>
              <w:rPr>
                <w:rFonts w:ascii="Arial" w:cs="Arial" w:eastAsia="Arial" w:hAnsi="Arial"/>
                <w:sz w:val="13"/>
                <w:szCs w:val="13"/>
                <w:color w:val="auto"/>
                <w:w w:val="94"/>
              </w:rPr>
              <w:t>o  If you have any questions about your Plan, you should contact the Plan Administrator. If you have any questions about this statement or about your rights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2"/>
              </w:rPr>
              <w:t>under ERISA, or if you need assistance in obtaining documents from the Plan Administrator, you should contact the nearest office of the Employee Benefits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6"/>
              </w:rPr>
              <w:t>Security Administration, U.S. Department of Labor, listed in your telephone directory or the Division of Technical Assistance and Inquiries, Employee</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520"/>
              <w:spacing w:after="0"/>
              <w:rPr>
                <w:sz w:val="20"/>
                <w:szCs w:val="20"/>
                <w:color w:val="auto"/>
              </w:rPr>
            </w:pPr>
            <w:r>
              <w:rPr>
                <w:rFonts w:ascii="Arial" w:cs="Arial" w:eastAsia="Arial" w:hAnsi="Arial"/>
                <w:sz w:val="13"/>
                <w:szCs w:val="13"/>
                <w:color w:val="auto"/>
                <w:w w:val="98"/>
              </w:rPr>
              <w:t>Benefits Security Administration, U.S. Department of Labor, 200 Constitution Avenue N.W., Washington, D.C. 20210. You may also obtain certain</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97"/>
              </w:rPr>
              <w:t>publications about your rights and responsibilities under ERISA by calling the publications hotline of the Employee Benefits Security Administration.</w:t>
            </w:r>
          </w:p>
        </w:tc>
      </w:tr>
      <w:tr>
        <w:trPr>
          <w:trHeight w:val="149"/>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Other Rights</w:t>
            </w: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The Plan Administrator, as fiduciary for the Plan, is entitled to legal and equitable relief to enforce its right to recover any overpayments to you under this Plan. This</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4"/>
              </w:rPr>
              <w:t>right of recovery is enforceable but will not exceed the benefits paid you. You agree that the Plan Administrator has a lien over such sources of income until any</w:t>
            </w:r>
          </w:p>
        </w:tc>
      </w:tr>
      <w:tr>
        <w:trPr>
          <w:trHeight w:val="165"/>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overpayments have been recovered in full.</w:t>
            </w:r>
          </w:p>
        </w:tc>
      </w:tr>
      <w:tr>
        <w:trPr>
          <w:trHeight w:val="149"/>
        </w:trPr>
        <w:tc>
          <w:tcPr>
            <w:tcW w:w="20" w:type="dxa"/>
            <w:vAlign w:val="bottom"/>
          </w:tcPr>
          <w:p>
            <w:pPr>
              <w:spacing w:after="0"/>
              <w:rPr>
                <w:sz w:val="12"/>
                <w:szCs w:val="12"/>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Discretionary Acts</w:t>
            </w: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The Plan Administrator has discretionary authority to interpret the Plan and to make benefit determinations under the Plan. The Plan Administrator may act directly</w:t>
            </w:r>
          </w:p>
        </w:tc>
      </w:tr>
      <w:tr>
        <w:trPr>
          <w:trHeight w:val="157"/>
        </w:trPr>
        <w:tc>
          <w:tcPr>
            <w:tcW w:w="2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w w:val="92"/>
              </w:rPr>
              <w:t>or through its employees and agents or further delegate their authority through contracts, letters or other documentation or procedures to other affiliates, persons or</w:t>
            </w:r>
          </w:p>
        </w:tc>
      </w:tr>
      <w:tr>
        <w:trPr>
          <w:trHeight w:val="165"/>
        </w:trPr>
        <w:tc>
          <w:tcPr>
            <w:tcW w:w="2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8760" w:type="dxa"/>
            <w:vAlign w:val="bottom"/>
          </w:tcPr>
          <w:p>
            <w:pPr>
              <w:ind w:left="100"/>
              <w:spacing w:after="0"/>
              <w:rPr>
                <w:sz w:val="20"/>
                <w:szCs w:val="20"/>
                <w:color w:val="auto"/>
              </w:rPr>
            </w:pPr>
            <w:r>
              <w:rPr>
                <w:rFonts w:ascii="Arial" w:cs="Arial" w:eastAsia="Arial" w:hAnsi="Arial"/>
                <w:sz w:val="13"/>
                <w:szCs w:val="13"/>
                <w:color w:val="auto"/>
              </w:rPr>
              <w:t>entities.</w:t>
            </w:r>
          </w:p>
        </w:tc>
      </w:tr>
      <w:tr>
        <w:trPr>
          <w:trHeight w:val="307"/>
        </w:trPr>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Discretionary Acts</w:t>
            </w:r>
          </w:p>
        </w:tc>
        <w:tc>
          <w:tcPr>
            <w:tcW w:w="8760" w:type="dxa"/>
            <w:vAlign w:val="bottom"/>
          </w:tcPr>
          <w:p>
            <w:pPr>
              <w:ind w:left="100"/>
              <w:spacing w:after="0"/>
              <w:rPr>
                <w:sz w:val="20"/>
                <w:szCs w:val="20"/>
                <w:color w:val="auto"/>
              </w:rPr>
            </w:pPr>
            <w:r>
              <w:rPr>
                <w:rFonts w:ascii="Arial" w:cs="Arial" w:eastAsia="Arial" w:hAnsi="Arial"/>
                <w:sz w:val="13"/>
                <w:szCs w:val="13"/>
                <w:color w:val="auto"/>
                <w:w w:val="93"/>
              </w:rPr>
              <w:t>Once you are deemed to have exhausted your appeal rights under the Plan, you have the right to seek court review under Section 502(a) of ERISA of any benefit</w:t>
            </w:r>
          </w:p>
        </w:tc>
      </w:tr>
      <w:tr>
        <w:trPr>
          <w:trHeight w:val="170"/>
        </w:trPr>
        <w:tc>
          <w:tcPr>
            <w:tcW w:w="20" w:type="dxa"/>
            <w:vAlign w:val="bottom"/>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87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determinations with which you disagree. The court will determine the standard of review it will apply in evaluating those decisions.</w:t>
            </w:r>
          </w:p>
        </w:tc>
      </w:tr>
      <w:tr>
        <w:trPr>
          <w:trHeight w:val="309"/>
        </w:trPr>
        <w:tc>
          <w:tcPr>
            <w:tcW w:w="2700" w:type="dxa"/>
            <w:vAlign w:val="bottom"/>
            <w:gridSpan w:val="2"/>
          </w:tcPr>
          <w:p>
            <w:pPr>
              <w:spacing w:after="0"/>
              <w:rPr>
                <w:sz w:val="20"/>
                <w:szCs w:val="20"/>
                <w:color w:val="auto"/>
              </w:rPr>
            </w:pPr>
            <w:r>
              <w:rPr>
                <w:rFonts w:ascii="Arial" w:cs="Arial" w:eastAsia="Arial" w:hAnsi="Arial"/>
                <w:sz w:val="13"/>
                <w:szCs w:val="13"/>
                <w:i w:val="1"/>
                <w:iCs w:val="1"/>
                <w:color w:val="auto"/>
              </w:rPr>
              <w:t>Adopted October 1, 2007</w:t>
            </w:r>
          </w:p>
        </w:tc>
        <w:tc>
          <w:tcPr>
            <w:tcW w:w="8760" w:type="dxa"/>
            <w:vAlign w:val="bottom"/>
          </w:tcPr>
          <w:p>
            <w:pPr>
              <w:ind w:left="8160"/>
              <w:spacing w:after="0"/>
              <w:rPr>
                <w:sz w:val="20"/>
                <w:szCs w:val="20"/>
                <w:color w:val="auto"/>
              </w:rPr>
            </w:pPr>
            <w:r>
              <w:rPr>
                <w:rFonts w:ascii="Arial" w:cs="Arial" w:eastAsia="Arial" w:hAnsi="Arial"/>
                <w:sz w:val="13"/>
                <w:szCs w:val="13"/>
                <w:i w:val="1"/>
                <w:iCs w:val="1"/>
                <w:color w:val="auto"/>
                <w:w w:val="87"/>
              </w:rPr>
              <w:t>Page 5 of 5</w:t>
            </w:r>
          </w:p>
        </w:tc>
      </w:tr>
    </w:tbl>
    <w:p>
      <w:pPr>
        <w:sectPr>
          <w:pgSz w:w="11900" w:h="16838" w:orient="portrait"/>
          <w:cols w:equalWidth="0" w:num="1">
            <w:col w:w="11460"/>
          </w:cols>
          <w:pgMar w:left="220" w:top="709" w:right="2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3"/>
          <w:szCs w:val="13"/>
          <w:b w:val="1"/>
          <w:bCs w:val="1"/>
          <w:color w:val="auto"/>
        </w:rPr>
        <w:t>Exhibit 10.55</w:t>
      </w:r>
    </w:p>
    <w:p>
      <w:pPr>
        <w:spacing w:after="0" w:line="244"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BIOGEN IDEC INC.</w:t>
      </w:r>
    </w:p>
    <w:p>
      <w:pPr>
        <w:spacing w:after="0" w:line="244"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SUPPLEMENTAL SAVINGS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(Plan Provisions as in Effect on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7"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69"/>
        </w:trPr>
        <w:tc>
          <w:tcPr>
            <w:tcW w:w="1260" w:type="dxa"/>
            <w:vAlign w:val="bottom"/>
          </w:tcPr>
          <w:p>
            <w:pPr>
              <w:spacing w:after="0"/>
              <w:rPr>
                <w:sz w:val="14"/>
                <w:szCs w:val="14"/>
                <w:color w:val="auto"/>
              </w:rPr>
            </w:pPr>
          </w:p>
        </w:tc>
        <w:tc>
          <w:tcPr>
            <w:tcW w:w="7460" w:type="dxa"/>
            <w:vAlign w:val="bottom"/>
          </w:tcPr>
          <w:p>
            <w:pPr>
              <w:ind w:left="3780"/>
              <w:spacing w:after="0"/>
              <w:rPr>
                <w:sz w:val="20"/>
                <w:szCs w:val="20"/>
                <w:color w:val="auto"/>
              </w:rPr>
            </w:pPr>
            <w:r>
              <w:rPr>
                <w:rFonts w:ascii="Arial" w:cs="Arial" w:eastAsia="Arial" w:hAnsi="Arial"/>
                <w:sz w:val="13"/>
                <w:szCs w:val="13"/>
                <w:b w:val="1"/>
                <w:bCs w:val="1"/>
                <w:color w:val="auto"/>
              </w:rPr>
              <w:t>TABLE OF CONTENTS</w:t>
            </w:r>
          </w:p>
        </w:tc>
        <w:tc>
          <w:tcPr>
            <w:tcW w:w="2740" w:type="dxa"/>
            <w:vAlign w:val="bottom"/>
          </w:tcPr>
          <w:p>
            <w:pPr>
              <w:spacing w:after="0"/>
              <w:rPr>
                <w:sz w:val="14"/>
                <w:szCs w:val="14"/>
                <w:color w:val="auto"/>
              </w:rPr>
            </w:pPr>
          </w:p>
        </w:tc>
      </w:tr>
      <w:tr>
        <w:trPr>
          <w:trHeight w:val="277"/>
        </w:trPr>
        <w:tc>
          <w:tcPr>
            <w:tcW w:w="12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740" w:type="dxa"/>
            <w:vAlign w:val="bottom"/>
          </w:tcPr>
          <w:p>
            <w:pPr>
              <w:jc w:val="right"/>
              <w:ind w:right="175"/>
              <w:spacing w:after="0"/>
              <w:rPr>
                <w:sz w:val="20"/>
                <w:szCs w:val="20"/>
                <w:color w:val="auto"/>
              </w:rPr>
            </w:pPr>
            <w:r>
              <w:rPr>
                <w:rFonts w:ascii="Arial" w:cs="Arial" w:eastAsia="Arial" w:hAnsi="Arial"/>
                <w:sz w:val="10"/>
                <w:szCs w:val="10"/>
                <w:color w:val="auto"/>
              </w:rPr>
              <w:t>Page</w:t>
            </w:r>
          </w:p>
        </w:tc>
      </w:tr>
      <w:tr>
        <w:trPr>
          <w:trHeight w:val="29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1</w:t>
            </w:r>
          </w:p>
        </w:tc>
        <w:tc>
          <w:tcPr>
            <w:tcW w:w="7460" w:type="dxa"/>
            <w:vAlign w:val="bottom"/>
          </w:tcPr>
          <w:p>
            <w:pPr>
              <w:ind w:left="100"/>
              <w:spacing w:after="0"/>
              <w:rPr>
                <w:sz w:val="20"/>
                <w:szCs w:val="20"/>
                <w:color w:val="auto"/>
              </w:rPr>
            </w:pPr>
            <w:r>
              <w:rPr>
                <w:rFonts w:ascii="Arial" w:cs="Arial" w:eastAsia="Arial" w:hAnsi="Arial"/>
                <w:sz w:val="13"/>
                <w:szCs w:val="13"/>
                <w:color w:val="auto"/>
              </w:rPr>
              <w:t>INTRODUCTION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1.1</w:t>
            </w:r>
          </w:p>
        </w:tc>
        <w:tc>
          <w:tcPr>
            <w:tcW w:w="7460" w:type="dxa"/>
            <w:vAlign w:val="bottom"/>
          </w:tcPr>
          <w:p>
            <w:pPr>
              <w:ind w:left="100"/>
              <w:spacing w:after="0"/>
              <w:rPr>
                <w:sz w:val="20"/>
                <w:szCs w:val="20"/>
                <w:color w:val="auto"/>
              </w:rPr>
            </w:pPr>
            <w:r>
              <w:rPr>
                <w:rFonts w:ascii="Arial" w:cs="Arial" w:eastAsia="Arial" w:hAnsi="Arial"/>
                <w:sz w:val="13"/>
                <w:szCs w:val="13"/>
                <w:color w:val="auto"/>
              </w:rPr>
              <w:t>Purpose and Effective Date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30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2</w:t>
            </w:r>
          </w:p>
        </w:tc>
        <w:tc>
          <w:tcPr>
            <w:tcW w:w="7460" w:type="dxa"/>
            <w:vAlign w:val="bottom"/>
          </w:tcPr>
          <w:p>
            <w:pPr>
              <w:ind w:left="100"/>
              <w:spacing w:after="0"/>
              <w:rPr>
                <w:sz w:val="20"/>
                <w:szCs w:val="20"/>
                <w:color w:val="auto"/>
              </w:rPr>
            </w:pPr>
            <w:r>
              <w:rPr>
                <w:rFonts w:ascii="Arial" w:cs="Arial" w:eastAsia="Arial" w:hAnsi="Arial"/>
                <w:sz w:val="13"/>
                <w:szCs w:val="13"/>
                <w:color w:val="auto"/>
              </w:rPr>
              <w:t>DEFINITIONS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w:t>
            </w:r>
          </w:p>
        </w:tc>
        <w:tc>
          <w:tcPr>
            <w:tcW w:w="7460" w:type="dxa"/>
            <w:vAlign w:val="bottom"/>
          </w:tcPr>
          <w:p>
            <w:pPr>
              <w:ind w:left="100"/>
              <w:spacing w:after="0"/>
              <w:rPr>
                <w:sz w:val="20"/>
                <w:szCs w:val="20"/>
                <w:color w:val="auto"/>
              </w:rPr>
            </w:pPr>
            <w:r>
              <w:rPr>
                <w:rFonts w:ascii="Arial" w:cs="Arial" w:eastAsia="Arial" w:hAnsi="Arial"/>
                <w:sz w:val="13"/>
                <w:szCs w:val="13"/>
                <w:color w:val="auto"/>
              </w:rPr>
              <w:t>401(k) restoration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w:t>
            </w:r>
          </w:p>
        </w:tc>
        <w:tc>
          <w:tcPr>
            <w:tcW w:w="7460" w:type="dxa"/>
            <w:vAlign w:val="bottom"/>
          </w:tcPr>
          <w:p>
            <w:pPr>
              <w:ind w:left="100"/>
              <w:spacing w:after="0"/>
              <w:rPr>
                <w:sz w:val="20"/>
                <w:szCs w:val="20"/>
                <w:color w:val="auto"/>
              </w:rPr>
            </w:pPr>
            <w:r>
              <w:rPr>
                <w:rFonts w:ascii="Arial" w:cs="Arial" w:eastAsia="Arial" w:hAnsi="Arial"/>
                <w:sz w:val="13"/>
                <w:szCs w:val="13"/>
                <w:color w:val="auto"/>
              </w:rPr>
              <w:t>Applicable compensation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2.3</w:t>
            </w:r>
          </w:p>
        </w:tc>
        <w:tc>
          <w:tcPr>
            <w:tcW w:w="7460" w:type="dxa"/>
            <w:vAlign w:val="bottom"/>
          </w:tcPr>
          <w:p>
            <w:pPr>
              <w:ind w:left="100"/>
              <w:spacing w:after="0"/>
              <w:rPr>
                <w:sz w:val="20"/>
                <w:szCs w:val="20"/>
                <w:color w:val="auto"/>
              </w:rPr>
            </w:pPr>
            <w:r>
              <w:rPr>
                <w:rFonts w:ascii="Arial" w:cs="Arial" w:eastAsia="Arial" w:hAnsi="Arial"/>
                <w:sz w:val="13"/>
                <w:szCs w:val="13"/>
                <w:color w:val="auto"/>
              </w:rPr>
              <w:t>Base salary</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2.4</w:t>
            </w:r>
          </w:p>
        </w:tc>
        <w:tc>
          <w:tcPr>
            <w:tcW w:w="7460" w:type="dxa"/>
            <w:vAlign w:val="bottom"/>
          </w:tcPr>
          <w:p>
            <w:pPr>
              <w:ind w:left="100"/>
              <w:spacing w:after="0"/>
              <w:rPr>
                <w:sz w:val="20"/>
                <w:szCs w:val="20"/>
                <w:color w:val="auto"/>
              </w:rPr>
            </w:pPr>
            <w:r>
              <w:rPr>
                <w:rFonts w:ascii="Arial" w:cs="Arial" w:eastAsia="Arial" w:hAnsi="Arial"/>
                <w:sz w:val="13"/>
                <w:szCs w:val="13"/>
                <w:color w:val="auto"/>
              </w:rPr>
              <w:t>Biogen Idec</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2.5</w:t>
            </w:r>
          </w:p>
        </w:tc>
        <w:tc>
          <w:tcPr>
            <w:tcW w:w="7460" w:type="dxa"/>
            <w:vAlign w:val="bottom"/>
          </w:tcPr>
          <w:p>
            <w:pPr>
              <w:ind w:left="100"/>
              <w:spacing w:after="0"/>
              <w:rPr>
                <w:sz w:val="20"/>
                <w:szCs w:val="20"/>
                <w:color w:val="auto"/>
              </w:rPr>
            </w:pPr>
            <w:r>
              <w:rPr>
                <w:rFonts w:ascii="Arial" w:cs="Arial" w:eastAsia="Arial" w:hAnsi="Arial"/>
                <w:sz w:val="13"/>
                <w:szCs w:val="13"/>
                <w:color w:val="auto"/>
              </w:rPr>
              <w:t>Biogen SERP</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2.6</w:t>
            </w:r>
          </w:p>
        </w:tc>
        <w:tc>
          <w:tcPr>
            <w:tcW w:w="7460" w:type="dxa"/>
            <w:vAlign w:val="bottom"/>
          </w:tcPr>
          <w:p>
            <w:pPr>
              <w:ind w:left="100"/>
              <w:spacing w:after="0"/>
              <w:rPr>
                <w:sz w:val="20"/>
                <w:szCs w:val="20"/>
                <w:color w:val="auto"/>
              </w:rPr>
            </w:pPr>
            <w:r>
              <w:rPr>
                <w:rFonts w:ascii="Arial" w:cs="Arial" w:eastAsia="Arial" w:hAnsi="Arial"/>
                <w:sz w:val="13"/>
                <w:szCs w:val="13"/>
                <w:color w:val="auto"/>
              </w:rPr>
              <w:t>Board</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2.7</w:t>
            </w:r>
          </w:p>
        </w:tc>
        <w:tc>
          <w:tcPr>
            <w:tcW w:w="7460" w:type="dxa"/>
            <w:vAlign w:val="bottom"/>
          </w:tcPr>
          <w:p>
            <w:pPr>
              <w:ind w:left="100"/>
              <w:spacing w:after="0"/>
              <w:rPr>
                <w:sz w:val="20"/>
                <w:szCs w:val="20"/>
                <w:color w:val="auto"/>
              </w:rPr>
            </w:pPr>
            <w:r>
              <w:rPr>
                <w:rFonts w:ascii="Arial" w:cs="Arial" w:eastAsia="Arial" w:hAnsi="Arial"/>
                <w:sz w:val="13"/>
                <w:szCs w:val="13"/>
                <w:color w:val="auto"/>
              </w:rPr>
              <w:t>Bonus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2.8</w:t>
            </w:r>
          </w:p>
        </w:tc>
        <w:tc>
          <w:tcPr>
            <w:tcW w:w="7460" w:type="dxa"/>
            <w:vAlign w:val="bottom"/>
          </w:tcPr>
          <w:p>
            <w:pPr>
              <w:ind w:left="100"/>
              <w:spacing w:after="0"/>
              <w:rPr>
                <w:sz w:val="20"/>
                <w:szCs w:val="20"/>
                <w:color w:val="auto"/>
              </w:rPr>
            </w:pPr>
            <w:r>
              <w:rPr>
                <w:rFonts w:ascii="Arial" w:cs="Arial" w:eastAsia="Arial" w:hAnsi="Arial"/>
                <w:sz w:val="13"/>
                <w:szCs w:val="13"/>
                <w:color w:val="auto"/>
              </w:rPr>
              <w:t>Change in Control</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2.9</w:t>
            </w:r>
          </w:p>
        </w:tc>
        <w:tc>
          <w:tcPr>
            <w:tcW w:w="7460" w:type="dxa"/>
            <w:vAlign w:val="bottom"/>
          </w:tcPr>
          <w:p>
            <w:pPr>
              <w:ind w:left="100"/>
              <w:spacing w:after="0"/>
              <w:rPr>
                <w:sz w:val="20"/>
                <w:szCs w:val="20"/>
                <w:color w:val="auto"/>
              </w:rPr>
            </w:pPr>
            <w:r>
              <w:rPr>
                <w:rFonts w:ascii="Arial" w:cs="Arial" w:eastAsia="Arial" w:hAnsi="Arial"/>
                <w:sz w:val="13"/>
                <w:szCs w:val="13"/>
                <w:color w:val="auto"/>
              </w:rPr>
              <w:t>Code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2.10</w:t>
            </w:r>
          </w:p>
        </w:tc>
        <w:tc>
          <w:tcPr>
            <w:tcW w:w="7460" w:type="dxa"/>
            <w:vAlign w:val="bottom"/>
          </w:tcPr>
          <w:p>
            <w:pPr>
              <w:ind w:left="100"/>
              <w:spacing w:after="0"/>
              <w:rPr>
                <w:sz w:val="20"/>
                <w:szCs w:val="20"/>
                <w:color w:val="auto"/>
              </w:rPr>
            </w:pPr>
            <w:r>
              <w:rPr>
                <w:rFonts w:ascii="Arial" w:cs="Arial" w:eastAsia="Arial" w:hAnsi="Arial"/>
                <w:sz w:val="13"/>
                <w:szCs w:val="13"/>
                <w:color w:val="auto"/>
              </w:rPr>
              <w:t>Committee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2.11</w:t>
            </w:r>
          </w:p>
        </w:tc>
        <w:tc>
          <w:tcPr>
            <w:tcW w:w="7460" w:type="dxa"/>
            <w:vAlign w:val="bottom"/>
          </w:tcPr>
          <w:p>
            <w:pPr>
              <w:ind w:left="100"/>
              <w:spacing w:after="0"/>
              <w:rPr>
                <w:sz w:val="20"/>
                <w:szCs w:val="20"/>
                <w:color w:val="auto"/>
              </w:rPr>
            </w:pPr>
            <w:r>
              <w:rPr>
                <w:rFonts w:ascii="Arial" w:cs="Arial" w:eastAsia="Arial" w:hAnsi="Arial"/>
                <w:sz w:val="13"/>
                <w:szCs w:val="13"/>
                <w:color w:val="auto"/>
              </w:rPr>
              <w:t>Compensation Committee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2.12</w:t>
            </w:r>
          </w:p>
        </w:tc>
        <w:tc>
          <w:tcPr>
            <w:tcW w:w="7460" w:type="dxa"/>
            <w:vAlign w:val="bottom"/>
          </w:tcPr>
          <w:p>
            <w:pPr>
              <w:ind w:left="100"/>
              <w:spacing w:after="0"/>
              <w:rPr>
                <w:sz w:val="20"/>
                <w:szCs w:val="20"/>
                <w:color w:val="auto"/>
              </w:rPr>
            </w:pPr>
            <w:r>
              <w:rPr>
                <w:rFonts w:ascii="Arial" w:cs="Arial" w:eastAsia="Arial" w:hAnsi="Arial"/>
                <w:sz w:val="13"/>
                <w:szCs w:val="13"/>
                <w:color w:val="auto"/>
              </w:rPr>
              <w:t>Disability</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2.13</w:t>
            </w:r>
          </w:p>
        </w:tc>
        <w:tc>
          <w:tcPr>
            <w:tcW w:w="7460" w:type="dxa"/>
            <w:vAlign w:val="bottom"/>
          </w:tcPr>
          <w:p>
            <w:pPr>
              <w:ind w:left="100"/>
              <w:spacing w:after="0"/>
              <w:rPr>
                <w:sz w:val="20"/>
                <w:szCs w:val="20"/>
                <w:color w:val="auto"/>
              </w:rPr>
            </w:pPr>
            <w:r>
              <w:rPr>
                <w:rFonts w:ascii="Arial" w:cs="Arial" w:eastAsia="Arial" w:hAnsi="Arial"/>
                <w:sz w:val="13"/>
                <w:szCs w:val="13"/>
                <w:color w:val="auto"/>
              </w:rPr>
              <w:t>Employee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2.14</w:t>
            </w:r>
          </w:p>
        </w:tc>
        <w:tc>
          <w:tcPr>
            <w:tcW w:w="7460" w:type="dxa"/>
            <w:vAlign w:val="bottom"/>
          </w:tcPr>
          <w:p>
            <w:pPr>
              <w:ind w:left="100"/>
              <w:spacing w:after="0"/>
              <w:rPr>
                <w:sz w:val="20"/>
                <w:szCs w:val="20"/>
                <w:color w:val="auto"/>
              </w:rPr>
            </w:pPr>
            <w:r>
              <w:rPr>
                <w:rFonts w:ascii="Arial" w:cs="Arial" w:eastAsia="Arial" w:hAnsi="Arial"/>
                <w:sz w:val="13"/>
                <w:szCs w:val="13"/>
                <w:color w:val="auto"/>
              </w:rPr>
              <w:t>Employer</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2.15</w:t>
            </w:r>
          </w:p>
        </w:tc>
        <w:tc>
          <w:tcPr>
            <w:tcW w:w="7460" w:type="dxa"/>
            <w:vAlign w:val="bottom"/>
          </w:tcPr>
          <w:p>
            <w:pPr>
              <w:ind w:left="100"/>
              <w:spacing w:after="0"/>
              <w:rPr>
                <w:sz w:val="20"/>
                <w:szCs w:val="20"/>
                <w:color w:val="auto"/>
              </w:rPr>
            </w:pPr>
            <w:r>
              <w:rPr>
                <w:rFonts w:ascii="Arial" w:cs="Arial" w:eastAsia="Arial" w:hAnsi="Arial"/>
                <w:sz w:val="13"/>
                <w:szCs w:val="13"/>
                <w:color w:val="auto"/>
              </w:rPr>
              <w:t>ERISA</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2.16</w:t>
            </w:r>
          </w:p>
        </w:tc>
        <w:tc>
          <w:tcPr>
            <w:tcW w:w="7460" w:type="dxa"/>
            <w:vAlign w:val="bottom"/>
          </w:tcPr>
          <w:p>
            <w:pPr>
              <w:ind w:left="100"/>
              <w:spacing w:after="0"/>
              <w:rPr>
                <w:sz w:val="20"/>
                <w:szCs w:val="20"/>
                <w:color w:val="auto"/>
              </w:rPr>
            </w:pPr>
            <w:r>
              <w:rPr>
                <w:rFonts w:ascii="Arial" w:cs="Arial" w:eastAsia="Arial" w:hAnsi="Arial"/>
                <w:sz w:val="13"/>
                <w:szCs w:val="13"/>
                <w:color w:val="auto"/>
              </w:rPr>
              <w:t>Excess applicable compensation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2.17</w:t>
            </w:r>
          </w:p>
        </w:tc>
        <w:tc>
          <w:tcPr>
            <w:tcW w:w="7460" w:type="dxa"/>
            <w:vAlign w:val="bottom"/>
          </w:tcPr>
          <w:p>
            <w:pPr>
              <w:ind w:left="100"/>
              <w:spacing w:after="0"/>
              <w:rPr>
                <w:sz w:val="20"/>
                <w:szCs w:val="20"/>
                <w:color w:val="auto"/>
              </w:rPr>
            </w:pPr>
            <w:r>
              <w:rPr>
                <w:rFonts w:ascii="Arial" w:cs="Arial" w:eastAsia="Arial" w:hAnsi="Arial"/>
                <w:sz w:val="13"/>
                <w:szCs w:val="13"/>
                <w:color w:val="auto"/>
              </w:rPr>
              <w:t>Participant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2.18</w:t>
            </w:r>
          </w:p>
        </w:tc>
        <w:tc>
          <w:tcPr>
            <w:tcW w:w="7460" w:type="dxa"/>
            <w:vAlign w:val="bottom"/>
          </w:tcPr>
          <w:p>
            <w:pPr>
              <w:ind w:left="100"/>
              <w:spacing w:after="0"/>
              <w:rPr>
                <w:sz w:val="20"/>
                <w:szCs w:val="20"/>
                <w:color w:val="auto"/>
              </w:rPr>
            </w:pPr>
            <w:r>
              <w:rPr>
                <w:rFonts w:ascii="Arial" w:cs="Arial" w:eastAsia="Arial" w:hAnsi="Arial"/>
                <w:sz w:val="13"/>
                <w:szCs w:val="13"/>
                <w:color w:val="auto"/>
              </w:rPr>
              <w:t>Plan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2.19</w:t>
            </w:r>
          </w:p>
        </w:tc>
        <w:tc>
          <w:tcPr>
            <w:tcW w:w="7460" w:type="dxa"/>
            <w:vAlign w:val="bottom"/>
          </w:tcPr>
          <w:p>
            <w:pPr>
              <w:ind w:left="100"/>
              <w:spacing w:after="0"/>
              <w:rPr>
                <w:sz w:val="20"/>
                <w:szCs w:val="20"/>
                <w:color w:val="auto"/>
              </w:rPr>
            </w:pPr>
            <w:r>
              <w:rPr>
                <w:rFonts w:ascii="Arial" w:cs="Arial" w:eastAsia="Arial" w:hAnsi="Arial"/>
                <w:sz w:val="13"/>
                <w:szCs w:val="13"/>
                <w:color w:val="auto"/>
              </w:rPr>
              <w:t>Plan year</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2.20</w:t>
            </w:r>
          </w:p>
        </w:tc>
        <w:tc>
          <w:tcPr>
            <w:tcW w:w="7460" w:type="dxa"/>
            <w:vAlign w:val="bottom"/>
          </w:tcPr>
          <w:p>
            <w:pPr>
              <w:ind w:left="100"/>
              <w:spacing w:after="0"/>
              <w:rPr>
                <w:sz w:val="20"/>
                <w:szCs w:val="20"/>
                <w:color w:val="auto"/>
              </w:rPr>
            </w:pPr>
            <w:r>
              <w:rPr>
                <w:rFonts w:ascii="Arial" w:cs="Arial" w:eastAsia="Arial" w:hAnsi="Arial"/>
                <w:sz w:val="13"/>
                <w:szCs w:val="13"/>
                <w:color w:val="auto"/>
              </w:rPr>
              <w:t>Prior plan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2.21</w:t>
            </w:r>
          </w:p>
        </w:tc>
        <w:tc>
          <w:tcPr>
            <w:tcW w:w="7460" w:type="dxa"/>
            <w:vAlign w:val="bottom"/>
          </w:tcPr>
          <w:p>
            <w:pPr>
              <w:ind w:left="100"/>
              <w:spacing w:after="0"/>
              <w:rPr>
                <w:sz w:val="20"/>
                <w:szCs w:val="20"/>
                <w:color w:val="auto"/>
              </w:rPr>
            </w:pPr>
            <w:r>
              <w:rPr>
                <w:rFonts w:ascii="Arial" w:cs="Arial" w:eastAsia="Arial" w:hAnsi="Arial"/>
                <w:sz w:val="13"/>
                <w:szCs w:val="13"/>
                <w:color w:val="auto"/>
              </w:rPr>
              <w:t>Savings Plan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2.22</w:t>
            </w:r>
          </w:p>
        </w:tc>
        <w:tc>
          <w:tcPr>
            <w:tcW w:w="7460" w:type="dxa"/>
            <w:vAlign w:val="bottom"/>
          </w:tcPr>
          <w:p>
            <w:pPr>
              <w:ind w:left="100"/>
              <w:spacing w:after="0"/>
              <w:rPr>
                <w:sz w:val="20"/>
                <w:szCs w:val="20"/>
                <w:color w:val="auto"/>
              </w:rPr>
            </w:pPr>
            <w:r>
              <w:rPr>
                <w:rFonts w:ascii="Arial" w:cs="Arial" w:eastAsia="Arial" w:hAnsi="Arial"/>
                <w:sz w:val="13"/>
                <w:szCs w:val="13"/>
                <w:color w:val="auto"/>
              </w:rPr>
              <w:t>Service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2.23</w:t>
            </w:r>
          </w:p>
        </w:tc>
        <w:tc>
          <w:tcPr>
            <w:tcW w:w="7460" w:type="dxa"/>
            <w:vAlign w:val="bottom"/>
          </w:tcPr>
          <w:p>
            <w:pPr>
              <w:ind w:left="100"/>
              <w:spacing w:after="0"/>
              <w:rPr>
                <w:sz w:val="20"/>
                <w:szCs w:val="20"/>
                <w:color w:val="auto"/>
              </w:rPr>
            </w:pPr>
            <w:r>
              <w:rPr>
                <w:rFonts w:ascii="Arial" w:cs="Arial" w:eastAsia="Arial" w:hAnsi="Arial"/>
                <w:sz w:val="13"/>
                <w:szCs w:val="13"/>
                <w:color w:val="auto"/>
              </w:rPr>
              <w:t>Transition credit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2.24</w:t>
            </w:r>
          </w:p>
        </w:tc>
        <w:tc>
          <w:tcPr>
            <w:tcW w:w="7460" w:type="dxa"/>
            <w:vAlign w:val="bottom"/>
          </w:tcPr>
          <w:p>
            <w:pPr>
              <w:ind w:left="100"/>
              <w:spacing w:after="0"/>
              <w:rPr>
                <w:sz w:val="20"/>
                <w:szCs w:val="20"/>
                <w:color w:val="auto"/>
              </w:rPr>
            </w:pPr>
            <w:r>
              <w:rPr>
                <w:rFonts w:ascii="Arial" w:cs="Arial" w:eastAsia="Arial" w:hAnsi="Arial"/>
                <w:sz w:val="13"/>
                <w:szCs w:val="13"/>
                <w:color w:val="auto"/>
              </w:rPr>
              <w:t>Voluntary deferred compensation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2.25</w:t>
            </w:r>
          </w:p>
        </w:tc>
        <w:tc>
          <w:tcPr>
            <w:tcW w:w="7460" w:type="dxa"/>
            <w:vAlign w:val="bottom"/>
          </w:tcPr>
          <w:p>
            <w:pPr>
              <w:ind w:left="100"/>
              <w:spacing w:after="0"/>
              <w:rPr>
                <w:sz w:val="20"/>
                <w:szCs w:val="20"/>
                <w:color w:val="auto"/>
              </w:rPr>
            </w:pPr>
            <w:r>
              <w:rPr>
                <w:rFonts w:ascii="Arial" w:cs="Arial" w:eastAsia="Arial" w:hAnsi="Arial"/>
                <w:sz w:val="13"/>
                <w:szCs w:val="13"/>
                <w:color w:val="auto"/>
              </w:rPr>
              <w:t>Years of service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30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3</w:t>
            </w:r>
          </w:p>
        </w:tc>
        <w:tc>
          <w:tcPr>
            <w:tcW w:w="7460" w:type="dxa"/>
            <w:vAlign w:val="bottom"/>
          </w:tcPr>
          <w:p>
            <w:pPr>
              <w:ind w:left="100"/>
              <w:spacing w:after="0"/>
              <w:rPr>
                <w:sz w:val="20"/>
                <w:szCs w:val="20"/>
                <w:color w:val="auto"/>
              </w:rPr>
            </w:pPr>
            <w:r>
              <w:rPr>
                <w:rFonts w:ascii="Arial" w:cs="Arial" w:eastAsia="Arial" w:hAnsi="Arial"/>
                <w:sz w:val="13"/>
                <w:szCs w:val="13"/>
                <w:color w:val="auto"/>
              </w:rPr>
              <w:t>PARTICIPATION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3.1</w:t>
            </w:r>
          </w:p>
        </w:tc>
        <w:tc>
          <w:tcPr>
            <w:tcW w:w="7460" w:type="dxa"/>
            <w:vAlign w:val="bottom"/>
          </w:tcPr>
          <w:p>
            <w:pPr>
              <w:ind w:left="100"/>
              <w:spacing w:after="0"/>
              <w:rPr>
                <w:sz w:val="20"/>
                <w:szCs w:val="20"/>
                <w:color w:val="auto"/>
              </w:rPr>
            </w:pPr>
            <w:r>
              <w:rPr>
                <w:rFonts w:ascii="Arial" w:cs="Arial" w:eastAsia="Arial" w:hAnsi="Arial"/>
                <w:sz w:val="13"/>
                <w:szCs w:val="13"/>
                <w:color w:val="auto"/>
              </w:rPr>
              <w:t>Eligibility and Participation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3</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3.2</w:t>
            </w:r>
          </w:p>
        </w:tc>
        <w:tc>
          <w:tcPr>
            <w:tcW w:w="7460" w:type="dxa"/>
            <w:vAlign w:val="bottom"/>
          </w:tcPr>
          <w:p>
            <w:pPr>
              <w:ind w:left="100"/>
              <w:spacing w:after="0"/>
              <w:rPr>
                <w:sz w:val="20"/>
                <w:szCs w:val="20"/>
                <w:color w:val="auto"/>
              </w:rPr>
            </w:pPr>
            <w:r>
              <w:rPr>
                <w:rFonts w:ascii="Arial" w:cs="Arial" w:eastAsia="Arial" w:hAnsi="Arial"/>
                <w:sz w:val="13"/>
                <w:szCs w:val="13"/>
                <w:color w:val="auto"/>
              </w:rPr>
              <w:t>End of Participation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4</w:t>
            </w:r>
          </w:p>
        </w:tc>
      </w:tr>
      <w:tr>
        <w:trPr>
          <w:trHeight w:val="30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4</w:t>
            </w:r>
          </w:p>
        </w:tc>
        <w:tc>
          <w:tcPr>
            <w:tcW w:w="7460" w:type="dxa"/>
            <w:vAlign w:val="bottom"/>
          </w:tcPr>
          <w:p>
            <w:pPr>
              <w:ind w:left="100"/>
              <w:spacing w:after="0"/>
              <w:rPr>
                <w:sz w:val="20"/>
                <w:szCs w:val="20"/>
                <w:color w:val="auto"/>
              </w:rPr>
            </w:pPr>
            <w:r>
              <w:rPr>
                <w:rFonts w:ascii="Arial" w:cs="Arial" w:eastAsia="Arial" w:hAnsi="Arial"/>
                <w:sz w:val="13"/>
                <w:szCs w:val="13"/>
                <w:color w:val="auto"/>
              </w:rPr>
              <w:t>VOLUNTARY DEFERRALS BY PARTICIPANTS; EMPLOYER CREDITS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4</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4.1</w:t>
            </w:r>
          </w:p>
        </w:tc>
        <w:tc>
          <w:tcPr>
            <w:tcW w:w="7460" w:type="dxa"/>
            <w:vAlign w:val="bottom"/>
          </w:tcPr>
          <w:p>
            <w:pPr>
              <w:ind w:left="100"/>
              <w:spacing w:after="0"/>
              <w:rPr>
                <w:sz w:val="20"/>
                <w:szCs w:val="20"/>
                <w:color w:val="auto"/>
              </w:rPr>
            </w:pPr>
            <w:r>
              <w:rPr>
                <w:rFonts w:ascii="Arial" w:cs="Arial" w:eastAsia="Arial" w:hAnsi="Arial"/>
                <w:sz w:val="13"/>
                <w:szCs w:val="13"/>
                <w:color w:val="auto"/>
              </w:rPr>
              <w:t>401(k) Restoration</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4</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4.2</w:t>
            </w:r>
          </w:p>
        </w:tc>
        <w:tc>
          <w:tcPr>
            <w:tcW w:w="7460" w:type="dxa"/>
            <w:vAlign w:val="bottom"/>
          </w:tcPr>
          <w:p>
            <w:pPr>
              <w:ind w:left="100"/>
              <w:spacing w:after="0"/>
              <w:rPr>
                <w:sz w:val="20"/>
                <w:szCs w:val="20"/>
                <w:color w:val="auto"/>
              </w:rPr>
            </w:pPr>
            <w:r>
              <w:rPr>
                <w:rFonts w:ascii="Arial" w:cs="Arial" w:eastAsia="Arial" w:hAnsi="Arial"/>
                <w:sz w:val="13"/>
                <w:szCs w:val="13"/>
                <w:color w:val="auto"/>
              </w:rPr>
              <w:t>Voluntary Deferrals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4</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4.3</w:t>
            </w:r>
          </w:p>
        </w:tc>
        <w:tc>
          <w:tcPr>
            <w:tcW w:w="7460" w:type="dxa"/>
            <w:vAlign w:val="bottom"/>
          </w:tcPr>
          <w:p>
            <w:pPr>
              <w:ind w:left="100"/>
              <w:spacing w:after="0"/>
              <w:rPr>
                <w:sz w:val="20"/>
                <w:szCs w:val="20"/>
                <w:color w:val="auto"/>
              </w:rPr>
            </w:pPr>
            <w:r>
              <w:rPr>
                <w:rFonts w:ascii="Arial" w:cs="Arial" w:eastAsia="Arial" w:hAnsi="Arial"/>
                <w:sz w:val="13"/>
                <w:szCs w:val="13"/>
                <w:color w:val="auto"/>
              </w:rPr>
              <w:t>Transition Credit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5</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4.4</w:t>
            </w:r>
          </w:p>
        </w:tc>
        <w:tc>
          <w:tcPr>
            <w:tcW w:w="7460" w:type="dxa"/>
            <w:vAlign w:val="bottom"/>
          </w:tcPr>
          <w:p>
            <w:pPr>
              <w:ind w:left="100"/>
              <w:spacing w:after="0"/>
              <w:rPr>
                <w:sz w:val="20"/>
                <w:szCs w:val="20"/>
                <w:color w:val="auto"/>
              </w:rPr>
            </w:pPr>
            <w:r>
              <w:rPr>
                <w:rFonts w:ascii="Arial" w:cs="Arial" w:eastAsia="Arial" w:hAnsi="Arial"/>
                <w:sz w:val="13"/>
                <w:szCs w:val="13"/>
                <w:color w:val="auto"/>
              </w:rPr>
              <w:t>Election Procedures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5</w:t>
            </w:r>
          </w:p>
        </w:tc>
      </w:tr>
      <w:tr>
        <w:trPr>
          <w:trHeight w:val="30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5</w:t>
            </w:r>
          </w:p>
        </w:tc>
        <w:tc>
          <w:tcPr>
            <w:tcW w:w="7460" w:type="dxa"/>
            <w:vAlign w:val="bottom"/>
          </w:tcPr>
          <w:p>
            <w:pPr>
              <w:ind w:left="100"/>
              <w:spacing w:after="0"/>
              <w:rPr>
                <w:sz w:val="20"/>
                <w:szCs w:val="20"/>
                <w:color w:val="auto"/>
              </w:rPr>
            </w:pPr>
            <w:r>
              <w:rPr>
                <w:rFonts w:ascii="Arial" w:cs="Arial" w:eastAsia="Arial" w:hAnsi="Arial"/>
                <w:sz w:val="13"/>
                <w:szCs w:val="13"/>
                <w:color w:val="auto"/>
              </w:rPr>
              <w:t>PARTICIPANT ACCOUNTS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7</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5.1</w:t>
            </w:r>
          </w:p>
        </w:tc>
        <w:tc>
          <w:tcPr>
            <w:tcW w:w="7460" w:type="dxa"/>
            <w:vAlign w:val="bottom"/>
          </w:tcPr>
          <w:p>
            <w:pPr>
              <w:ind w:left="100"/>
              <w:spacing w:after="0"/>
              <w:rPr>
                <w:sz w:val="20"/>
                <w:szCs w:val="20"/>
                <w:color w:val="auto"/>
              </w:rPr>
            </w:pPr>
            <w:r>
              <w:rPr>
                <w:rFonts w:ascii="Arial" w:cs="Arial" w:eastAsia="Arial" w:hAnsi="Arial"/>
                <w:sz w:val="13"/>
                <w:szCs w:val="13"/>
                <w:color w:val="auto"/>
              </w:rPr>
              <w:t>Participant Accounts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7</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5.2</w:t>
            </w:r>
          </w:p>
        </w:tc>
        <w:tc>
          <w:tcPr>
            <w:tcW w:w="7460" w:type="dxa"/>
            <w:vAlign w:val="bottom"/>
          </w:tcPr>
          <w:p>
            <w:pPr>
              <w:ind w:left="100"/>
              <w:spacing w:after="0"/>
              <w:rPr>
                <w:sz w:val="20"/>
                <w:szCs w:val="20"/>
                <w:color w:val="auto"/>
              </w:rPr>
            </w:pPr>
            <w:r>
              <w:rPr>
                <w:rFonts w:ascii="Arial" w:cs="Arial" w:eastAsia="Arial" w:hAnsi="Arial"/>
                <w:sz w:val="13"/>
                <w:szCs w:val="13"/>
                <w:color w:val="auto"/>
              </w:rPr>
              <w:t>Participant’s Account Value</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7</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5.3</w:t>
            </w:r>
          </w:p>
        </w:tc>
        <w:tc>
          <w:tcPr>
            <w:tcW w:w="7460" w:type="dxa"/>
            <w:vAlign w:val="bottom"/>
          </w:tcPr>
          <w:p>
            <w:pPr>
              <w:ind w:left="100"/>
              <w:spacing w:after="0"/>
              <w:rPr>
                <w:sz w:val="20"/>
                <w:szCs w:val="20"/>
                <w:color w:val="auto"/>
              </w:rPr>
            </w:pPr>
            <w:r>
              <w:rPr>
                <w:rFonts w:ascii="Arial" w:cs="Arial" w:eastAsia="Arial" w:hAnsi="Arial"/>
                <w:sz w:val="13"/>
                <w:szCs w:val="13"/>
                <w:color w:val="auto"/>
              </w:rPr>
              <w:t>Vesting</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10</w:t>
            </w:r>
          </w:p>
        </w:tc>
      </w:tr>
      <w:tr>
        <w:trPr>
          <w:trHeight w:val="30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ARTICLE 6</w:t>
            </w:r>
          </w:p>
        </w:tc>
        <w:tc>
          <w:tcPr>
            <w:tcW w:w="7460" w:type="dxa"/>
            <w:vAlign w:val="bottom"/>
          </w:tcPr>
          <w:p>
            <w:pPr>
              <w:ind w:left="100"/>
              <w:spacing w:after="0"/>
              <w:rPr>
                <w:sz w:val="20"/>
                <w:szCs w:val="20"/>
                <w:color w:val="auto"/>
              </w:rPr>
            </w:pPr>
            <w:r>
              <w:rPr>
                <w:rFonts w:ascii="Arial" w:cs="Arial" w:eastAsia="Arial" w:hAnsi="Arial"/>
                <w:sz w:val="13"/>
                <w:szCs w:val="13"/>
                <w:color w:val="auto"/>
              </w:rPr>
              <w:t>DISTRIBUTIONS TO PARTICIPANT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10</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6.1</w:t>
            </w:r>
          </w:p>
        </w:tc>
        <w:tc>
          <w:tcPr>
            <w:tcW w:w="7460" w:type="dxa"/>
            <w:vAlign w:val="bottom"/>
          </w:tcPr>
          <w:p>
            <w:pPr>
              <w:ind w:left="100"/>
              <w:spacing w:after="0"/>
              <w:rPr>
                <w:sz w:val="20"/>
                <w:szCs w:val="20"/>
                <w:color w:val="auto"/>
              </w:rPr>
            </w:pPr>
            <w:r>
              <w:rPr>
                <w:rFonts w:ascii="Arial" w:cs="Arial" w:eastAsia="Arial" w:hAnsi="Arial"/>
                <w:sz w:val="13"/>
                <w:szCs w:val="13"/>
                <w:color w:val="auto"/>
              </w:rPr>
              <w:t>Distributions for Unforeseeable Emergency</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10</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6.2</w:t>
            </w:r>
          </w:p>
        </w:tc>
        <w:tc>
          <w:tcPr>
            <w:tcW w:w="7460" w:type="dxa"/>
            <w:vAlign w:val="bottom"/>
          </w:tcPr>
          <w:p>
            <w:pPr>
              <w:ind w:left="100"/>
              <w:spacing w:after="0"/>
              <w:rPr>
                <w:sz w:val="20"/>
                <w:szCs w:val="20"/>
                <w:color w:val="auto"/>
              </w:rPr>
            </w:pPr>
            <w:r>
              <w:rPr>
                <w:rFonts w:ascii="Arial" w:cs="Arial" w:eastAsia="Arial" w:hAnsi="Arial"/>
                <w:sz w:val="13"/>
                <w:szCs w:val="13"/>
                <w:color w:val="auto"/>
              </w:rPr>
              <w:t>Distribution Upon Change in Control</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6.3</w:t>
            </w:r>
          </w:p>
        </w:tc>
        <w:tc>
          <w:tcPr>
            <w:tcW w:w="7460" w:type="dxa"/>
            <w:vAlign w:val="bottom"/>
          </w:tcPr>
          <w:p>
            <w:pPr>
              <w:ind w:left="100"/>
              <w:spacing w:after="0"/>
              <w:rPr>
                <w:sz w:val="20"/>
                <w:szCs w:val="20"/>
                <w:color w:val="auto"/>
              </w:rPr>
            </w:pPr>
            <w:r>
              <w:rPr>
                <w:rFonts w:ascii="Arial" w:cs="Arial" w:eastAsia="Arial" w:hAnsi="Arial"/>
                <w:sz w:val="13"/>
                <w:szCs w:val="13"/>
                <w:color w:val="auto"/>
              </w:rPr>
              <w:t>In-Service Distribution(s) at a Time Specified by Participant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6.4</w:t>
            </w:r>
          </w:p>
        </w:tc>
        <w:tc>
          <w:tcPr>
            <w:tcW w:w="7460" w:type="dxa"/>
            <w:vAlign w:val="bottom"/>
          </w:tcPr>
          <w:p>
            <w:pPr>
              <w:ind w:left="100"/>
              <w:spacing w:after="0"/>
              <w:rPr>
                <w:sz w:val="20"/>
                <w:szCs w:val="20"/>
                <w:color w:val="auto"/>
              </w:rPr>
            </w:pPr>
            <w:r>
              <w:rPr>
                <w:rFonts w:ascii="Arial" w:cs="Arial" w:eastAsia="Arial" w:hAnsi="Arial"/>
                <w:sz w:val="13"/>
                <w:szCs w:val="13"/>
                <w:color w:val="auto"/>
              </w:rPr>
              <w:t>Distribution upon Death of a Participant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11</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6.5</w:t>
            </w:r>
          </w:p>
        </w:tc>
        <w:tc>
          <w:tcPr>
            <w:tcW w:w="7460" w:type="dxa"/>
            <w:vAlign w:val="bottom"/>
          </w:tcPr>
          <w:p>
            <w:pPr>
              <w:ind w:left="100"/>
              <w:spacing w:after="0"/>
              <w:rPr>
                <w:sz w:val="20"/>
                <w:szCs w:val="20"/>
                <w:color w:val="auto"/>
              </w:rPr>
            </w:pPr>
            <w:r>
              <w:rPr>
                <w:rFonts w:ascii="Arial" w:cs="Arial" w:eastAsia="Arial" w:hAnsi="Arial"/>
                <w:sz w:val="13"/>
                <w:szCs w:val="13"/>
                <w:color w:val="auto"/>
              </w:rPr>
              <w:t>Distribution upon Participant’s Termination of Employment</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12</w:t>
            </w:r>
          </w:p>
        </w:tc>
      </w:tr>
      <w:tr>
        <w:trPr>
          <w:trHeight w:val="157"/>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6.6</w:t>
            </w:r>
          </w:p>
        </w:tc>
        <w:tc>
          <w:tcPr>
            <w:tcW w:w="7460" w:type="dxa"/>
            <w:vAlign w:val="bottom"/>
          </w:tcPr>
          <w:p>
            <w:pPr>
              <w:ind w:left="100"/>
              <w:spacing w:after="0"/>
              <w:rPr>
                <w:sz w:val="20"/>
                <w:szCs w:val="20"/>
                <w:color w:val="auto"/>
              </w:rPr>
            </w:pPr>
            <w:r>
              <w:rPr>
                <w:rFonts w:ascii="Arial" w:cs="Arial" w:eastAsia="Arial" w:hAnsi="Arial"/>
                <w:sz w:val="13"/>
                <w:szCs w:val="13"/>
                <w:color w:val="auto"/>
              </w:rPr>
              <w:t>Installment Distributions in Certain Cases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12</w:t>
            </w:r>
          </w:p>
        </w:tc>
      </w:tr>
      <w:tr>
        <w:trPr>
          <w:trHeight w:val="165"/>
        </w:trPr>
        <w:tc>
          <w:tcPr>
            <w:tcW w:w="1260" w:type="dxa"/>
            <w:vAlign w:val="bottom"/>
          </w:tcPr>
          <w:p>
            <w:pPr>
              <w:jc w:val="right"/>
              <w:ind w:right="54"/>
              <w:spacing w:after="0"/>
              <w:rPr>
                <w:sz w:val="20"/>
                <w:szCs w:val="20"/>
                <w:color w:val="auto"/>
              </w:rPr>
            </w:pPr>
            <w:r>
              <w:rPr>
                <w:rFonts w:ascii="Arial" w:cs="Arial" w:eastAsia="Arial" w:hAnsi="Arial"/>
                <w:sz w:val="13"/>
                <w:szCs w:val="13"/>
                <w:color w:val="auto"/>
              </w:rPr>
              <w:t>6.7</w:t>
            </w:r>
          </w:p>
        </w:tc>
        <w:tc>
          <w:tcPr>
            <w:tcW w:w="7460" w:type="dxa"/>
            <w:vAlign w:val="bottom"/>
          </w:tcPr>
          <w:p>
            <w:pPr>
              <w:ind w:left="100"/>
              <w:spacing w:after="0"/>
              <w:rPr>
                <w:sz w:val="20"/>
                <w:szCs w:val="20"/>
                <w:color w:val="auto"/>
              </w:rPr>
            </w:pPr>
            <w:r>
              <w:rPr>
                <w:rFonts w:ascii="Arial" w:cs="Arial" w:eastAsia="Arial" w:hAnsi="Arial"/>
                <w:sz w:val="13"/>
                <w:szCs w:val="13"/>
                <w:color w:val="auto"/>
              </w:rPr>
              <w:t>Certain Other Distributions</w:t>
            </w:r>
          </w:p>
        </w:tc>
        <w:tc>
          <w:tcPr>
            <w:tcW w:w="2740" w:type="dxa"/>
            <w:vAlign w:val="bottom"/>
          </w:tcPr>
          <w:p>
            <w:pPr>
              <w:jc w:val="right"/>
              <w:ind w:right="275"/>
              <w:spacing w:after="0"/>
              <w:rPr>
                <w:sz w:val="20"/>
                <w:szCs w:val="20"/>
                <w:color w:val="auto"/>
              </w:rPr>
            </w:pPr>
            <w:r>
              <w:rPr>
                <w:rFonts w:ascii="Arial" w:cs="Arial" w:eastAsia="Arial" w:hAnsi="Arial"/>
                <w:sz w:val="13"/>
                <w:szCs w:val="13"/>
                <w:color w:val="auto"/>
              </w:rPr>
              <w:t>13</w:t>
            </w:r>
          </w:p>
        </w:tc>
      </w:tr>
      <w:tr>
        <w:trPr>
          <w:trHeight w:val="458"/>
        </w:trPr>
        <w:tc>
          <w:tcPr>
            <w:tcW w:w="1260" w:type="dxa"/>
            <w:vAlign w:val="bottom"/>
            <w:tcBorders>
              <w:bottom w:val="single" w:sz="8" w:color="808080"/>
            </w:tcBorders>
          </w:tcPr>
          <w:p>
            <w:pPr>
              <w:spacing w:after="0"/>
              <w:rPr>
                <w:sz w:val="24"/>
                <w:szCs w:val="24"/>
                <w:color w:val="auto"/>
              </w:rPr>
            </w:pPr>
          </w:p>
        </w:tc>
        <w:tc>
          <w:tcPr>
            <w:tcW w:w="74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15"/>
        </w:trPr>
        <w:tc>
          <w:tcPr>
            <w:tcW w:w="12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4120" w:type="dxa"/>
            <w:vAlign w:val="bottom"/>
          </w:tcPr>
          <w:p>
            <w:pPr>
              <w:jc w:val="right"/>
              <w:ind w:right="195"/>
              <w:spacing w:after="0"/>
              <w:rPr>
                <w:sz w:val="20"/>
                <w:szCs w:val="20"/>
                <w:color w:val="auto"/>
              </w:rPr>
            </w:pPr>
            <w:r>
              <w:rPr>
                <w:rFonts w:ascii="Arial" w:cs="Arial" w:eastAsia="Arial" w:hAnsi="Arial"/>
                <w:sz w:val="10"/>
                <w:szCs w:val="10"/>
                <w:color w:val="auto"/>
              </w:rPr>
              <w:t>Page</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6.8</w:t>
            </w:r>
          </w:p>
        </w:tc>
        <w:tc>
          <w:tcPr>
            <w:tcW w:w="6100" w:type="dxa"/>
            <w:vAlign w:val="bottom"/>
          </w:tcPr>
          <w:p>
            <w:pPr>
              <w:ind w:left="120"/>
              <w:spacing w:after="0"/>
              <w:rPr>
                <w:sz w:val="20"/>
                <w:szCs w:val="20"/>
                <w:color w:val="auto"/>
              </w:rPr>
            </w:pPr>
            <w:r>
              <w:rPr>
                <w:rFonts w:ascii="Arial" w:cs="Arial" w:eastAsia="Arial" w:hAnsi="Arial"/>
                <w:sz w:val="13"/>
                <w:szCs w:val="13"/>
                <w:color w:val="auto"/>
              </w:rPr>
              <w:t>Delay in Distributions</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13</w:t>
            </w:r>
          </w:p>
        </w:tc>
      </w:tr>
      <w:tr>
        <w:trPr>
          <w:trHeight w:val="165"/>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6.9</w:t>
            </w:r>
          </w:p>
        </w:tc>
        <w:tc>
          <w:tcPr>
            <w:tcW w:w="6100" w:type="dxa"/>
            <w:vAlign w:val="bottom"/>
          </w:tcPr>
          <w:p>
            <w:pPr>
              <w:ind w:left="120"/>
              <w:spacing w:after="0"/>
              <w:rPr>
                <w:sz w:val="20"/>
                <w:szCs w:val="20"/>
                <w:color w:val="auto"/>
              </w:rPr>
            </w:pPr>
            <w:r>
              <w:rPr>
                <w:rFonts w:ascii="Arial" w:cs="Arial" w:eastAsia="Arial" w:hAnsi="Arial"/>
                <w:sz w:val="13"/>
                <w:szCs w:val="13"/>
                <w:color w:val="auto"/>
              </w:rPr>
              <w:t>Compliance with Code Section 409A</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13</w:t>
            </w:r>
          </w:p>
        </w:tc>
      </w:tr>
      <w:tr>
        <w:trPr>
          <w:trHeight w:val="30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ARTICLE 7</w:t>
            </w:r>
          </w:p>
        </w:tc>
        <w:tc>
          <w:tcPr>
            <w:tcW w:w="6100" w:type="dxa"/>
            <w:vAlign w:val="bottom"/>
          </w:tcPr>
          <w:p>
            <w:pPr>
              <w:ind w:left="120"/>
              <w:spacing w:after="0"/>
              <w:rPr>
                <w:sz w:val="20"/>
                <w:szCs w:val="20"/>
                <w:color w:val="auto"/>
              </w:rPr>
            </w:pPr>
            <w:r>
              <w:rPr>
                <w:rFonts w:ascii="Arial" w:cs="Arial" w:eastAsia="Arial" w:hAnsi="Arial"/>
                <w:sz w:val="13"/>
                <w:szCs w:val="13"/>
                <w:color w:val="auto"/>
              </w:rPr>
              <w:t>MISCELLANEOUS</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13</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7.1</w:t>
            </w:r>
          </w:p>
        </w:tc>
        <w:tc>
          <w:tcPr>
            <w:tcW w:w="6100" w:type="dxa"/>
            <w:vAlign w:val="bottom"/>
          </w:tcPr>
          <w:p>
            <w:pPr>
              <w:ind w:left="120"/>
              <w:spacing w:after="0"/>
              <w:rPr>
                <w:sz w:val="20"/>
                <w:szCs w:val="20"/>
                <w:color w:val="auto"/>
              </w:rPr>
            </w:pPr>
            <w:r>
              <w:rPr>
                <w:rFonts w:ascii="Arial" w:cs="Arial" w:eastAsia="Arial" w:hAnsi="Arial"/>
                <w:sz w:val="13"/>
                <w:szCs w:val="13"/>
                <w:color w:val="auto"/>
              </w:rPr>
              <w:t>Amendment or Termination of Plan</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13</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7.2</w:t>
            </w:r>
          </w:p>
        </w:tc>
        <w:tc>
          <w:tcPr>
            <w:tcW w:w="6100" w:type="dxa"/>
            <w:vAlign w:val="bottom"/>
          </w:tcPr>
          <w:p>
            <w:pPr>
              <w:ind w:left="120"/>
              <w:spacing w:after="0"/>
              <w:rPr>
                <w:sz w:val="20"/>
                <w:szCs w:val="20"/>
                <w:color w:val="auto"/>
              </w:rPr>
            </w:pPr>
            <w:r>
              <w:rPr>
                <w:rFonts w:ascii="Arial" w:cs="Arial" w:eastAsia="Arial" w:hAnsi="Arial"/>
                <w:sz w:val="13"/>
                <w:szCs w:val="13"/>
                <w:color w:val="auto"/>
              </w:rPr>
              <w:t>Benefits Not Currently Funded</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14</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7.3</w:t>
            </w:r>
          </w:p>
        </w:tc>
        <w:tc>
          <w:tcPr>
            <w:tcW w:w="6100" w:type="dxa"/>
            <w:vAlign w:val="bottom"/>
          </w:tcPr>
          <w:p>
            <w:pPr>
              <w:ind w:left="120"/>
              <w:spacing w:after="0"/>
              <w:rPr>
                <w:sz w:val="20"/>
                <w:szCs w:val="20"/>
                <w:color w:val="auto"/>
              </w:rPr>
            </w:pPr>
            <w:r>
              <w:rPr>
                <w:rFonts w:ascii="Arial" w:cs="Arial" w:eastAsia="Arial" w:hAnsi="Arial"/>
                <w:sz w:val="13"/>
                <w:szCs w:val="13"/>
                <w:color w:val="auto"/>
              </w:rPr>
              <w:t>No Assignment</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14</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7.4</w:t>
            </w:r>
          </w:p>
        </w:tc>
        <w:tc>
          <w:tcPr>
            <w:tcW w:w="6100" w:type="dxa"/>
            <w:vAlign w:val="bottom"/>
          </w:tcPr>
          <w:p>
            <w:pPr>
              <w:ind w:left="120"/>
              <w:spacing w:after="0"/>
              <w:rPr>
                <w:sz w:val="20"/>
                <w:szCs w:val="20"/>
                <w:color w:val="auto"/>
              </w:rPr>
            </w:pPr>
            <w:r>
              <w:rPr>
                <w:rFonts w:ascii="Arial" w:cs="Arial" w:eastAsia="Arial" w:hAnsi="Arial"/>
                <w:sz w:val="13"/>
                <w:szCs w:val="13"/>
                <w:color w:val="auto"/>
              </w:rPr>
              <w:t>Effect of Change in Control</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15</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7.5</w:t>
            </w:r>
          </w:p>
        </w:tc>
        <w:tc>
          <w:tcPr>
            <w:tcW w:w="6100" w:type="dxa"/>
            <w:vAlign w:val="bottom"/>
          </w:tcPr>
          <w:p>
            <w:pPr>
              <w:ind w:left="120"/>
              <w:spacing w:after="0"/>
              <w:rPr>
                <w:sz w:val="20"/>
                <w:szCs w:val="20"/>
                <w:color w:val="auto"/>
              </w:rPr>
            </w:pPr>
            <w:r>
              <w:rPr>
                <w:rFonts w:ascii="Arial" w:cs="Arial" w:eastAsia="Arial" w:hAnsi="Arial"/>
                <w:sz w:val="13"/>
                <w:szCs w:val="13"/>
                <w:color w:val="auto"/>
              </w:rPr>
              <w:t>Responsibilities and Authority of Committee</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15</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7.6</w:t>
            </w:r>
          </w:p>
        </w:tc>
        <w:tc>
          <w:tcPr>
            <w:tcW w:w="6100" w:type="dxa"/>
            <w:vAlign w:val="bottom"/>
          </w:tcPr>
          <w:p>
            <w:pPr>
              <w:ind w:left="120"/>
              <w:spacing w:after="0"/>
              <w:rPr>
                <w:sz w:val="20"/>
                <w:szCs w:val="20"/>
                <w:color w:val="auto"/>
              </w:rPr>
            </w:pPr>
            <w:r>
              <w:rPr>
                <w:rFonts w:ascii="Arial" w:cs="Arial" w:eastAsia="Arial" w:hAnsi="Arial"/>
                <w:sz w:val="13"/>
                <w:szCs w:val="13"/>
                <w:color w:val="auto"/>
              </w:rPr>
              <w:t>Limitation on Rights Created by Plan</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15</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7.7</w:t>
            </w:r>
          </w:p>
        </w:tc>
        <w:tc>
          <w:tcPr>
            <w:tcW w:w="6100" w:type="dxa"/>
            <w:vAlign w:val="bottom"/>
          </w:tcPr>
          <w:p>
            <w:pPr>
              <w:ind w:left="120"/>
              <w:spacing w:after="0"/>
              <w:rPr>
                <w:sz w:val="20"/>
                <w:szCs w:val="20"/>
                <w:color w:val="auto"/>
              </w:rPr>
            </w:pPr>
            <w:r>
              <w:rPr>
                <w:rFonts w:ascii="Arial" w:cs="Arial" w:eastAsia="Arial" w:hAnsi="Arial"/>
                <w:sz w:val="13"/>
                <w:szCs w:val="13"/>
                <w:color w:val="auto"/>
              </w:rPr>
              <w:t>Tax Withholding</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15</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7.8</w:t>
            </w:r>
          </w:p>
        </w:tc>
        <w:tc>
          <w:tcPr>
            <w:tcW w:w="6100" w:type="dxa"/>
            <w:vAlign w:val="bottom"/>
          </w:tcPr>
          <w:p>
            <w:pPr>
              <w:ind w:left="120"/>
              <w:spacing w:after="0"/>
              <w:rPr>
                <w:sz w:val="20"/>
                <w:szCs w:val="20"/>
                <w:color w:val="auto"/>
              </w:rPr>
            </w:pPr>
            <w:r>
              <w:rPr>
                <w:rFonts w:ascii="Arial" w:cs="Arial" w:eastAsia="Arial" w:hAnsi="Arial"/>
                <w:sz w:val="13"/>
                <w:szCs w:val="13"/>
                <w:color w:val="auto"/>
              </w:rPr>
              <w:t>Text Controls</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16</w:t>
            </w:r>
          </w:p>
        </w:tc>
      </w:tr>
      <w:tr>
        <w:trPr>
          <w:trHeight w:val="157"/>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7.9</w:t>
            </w:r>
          </w:p>
        </w:tc>
        <w:tc>
          <w:tcPr>
            <w:tcW w:w="6100" w:type="dxa"/>
            <w:vAlign w:val="bottom"/>
          </w:tcPr>
          <w:p>
            <w:pPr>
              <w:ind w:left="120"/>
              <w:spacing w:after="0"/>
              <w:rPr>
                <w:sz w:val="20"/>
                <w:szCs w:val="20"/>
                <w:color w:val="auto"/>
              </w:rPr>
            </w:pPr>
            <w:r>
              <w:rPr>
                <w:rFonts w:ascii="Arial" w:cs="Arial" w:eastAsia="Arial" w:hAnsi="Arial"/>
                <w:sz w:val="13"/>
                <w:szCs w:val="13"/>
                <w:color w:val="auto"/>
              </w:rPr>
              <w:t>Applicable State Law</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16</w:t>
            </w:r>
          </w:p>
        </w:tc>
      </w:tr>
      <w:tr>
        <w:trPr>
          <w:trHeight w:val="165"/>
        </w:trPr>
        <w:tc>
          <w:tcPr>
            <w:tcW w:w="1240" w:type="dxa"/>
            <w:vAlign w:val="bottom"/>
          </w:tcPr>
          <w:p>
            <w:pPr>
              <w:jc w:val="right"/>
              <w:ind w:right="54"/>
              <w:spacing w:after="0"/>
              <w:rPr>
                <w:sz w:val="20"/>
                <w:szCs w:val="20"/>
                <w:color w:val="auto"/>
              </w:rPr>
            </w:pPr>
            <w:r>
              <w:rPr>
                <w:rFonts w:ascii="Arial" w:cs="Arial" w:eastAsia="Arial" w:hAnsi="Arial"/>
                <w:sz w:val="13"/>
                <w:szCs w:val="13"/>
                <w:color w:val="auto"/>
              </w:rPr>
              <w:t>7.10</w:t>
            </w:r>
          </w:p>
        </w:tc>
        <w:tc>
          <w:tcPr>
            <w:tcW w:w="6100" w:type="dxa"/>
            <w:vAlign w:val="bottom"/>
          </w:tcPr>
          <w:p>
            <w:pPr>
              <w:ind w:left="120"/>
              <w:spacing w:after="0"/>
              <w:rPr>
                <w:sz w:val="20"/>
                <w:szCs w:val="20"/>
                <w:color w:val="auto"/>
              </w:rPr>
            </w:pPr>
            <w:r>
              <w:rPr>
                <w:rFonts w:ascii="Arial" w:cs="Arial" w:eastAsia="Arial" w:hAnsi="Arial"/>
                <w:sz w:val="13"/>
                <w:szCs w:val="13"/>
                <w:color w:val="auto"/>
              </w:rPr>
              <w:t>Paperless Administration</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16</w:t>
            </w:r>
          </w:p>
        </w:tc>
      </w:tr>
      <w:tr>
        <w:trPr>
          <w:trHeight w:val="307"/>
        </w:trPr>
        <w:tc>
          <w:tcPr>
            <w:tcW w:w="1240" w:type="dxa"/>
            <w:vAlign w:val="bottom"/>
          </w:tcPr>
          <w:p>
            <w:pPr>
              <w:spacing w:after="0"/>
              <w:rPr>
                <w:sz w:val="24"/>
                <w:szCs w:val="24"/>
                <w:color w:val="auto"/>
              </w:rPr>
            </w:pPr>
          </w:p>
        </w:tc>
        <w:tc>
          <w:tcPr>
            <w:tcW w:w="6100" w:type="dxa"/>
            <w:vAlign w:val="bottom"/>
          </w:tcPr>
          <w:p>
            <w:pPr>
              <w:ind w:left="120"/>
              <w:spacing w:after="0"/>
              <w:rPr>
                <w:sz w:val="20"/>
                <w:szCs w:val="20"/>
                <w:color w:val="auto"/>
              </w:rPr>
            </w:pPr>
            <w:r>
              <w:rPr>
                <w:rFonts w:ascii="Arial" w:cs="Arial" w:eastAsia="Arial" w:hAnsi="Arial"/>
                <w:sz w:val="13"/>
                <w:szCs w:val="13"/>
                <w:color w:val="auto"/>
              </w:rPr>
              <w:t>APPENDIX A</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A-l</w:t>
            </w:r>
          </w:p>
        </w:tc>
      </w:tr>
      <w:tr>
        <w:trPr>
          <w:trHeight w:val="165"/>
        </w:trPr>
        <w:tc>
          <w:tcPr>
            <w:tcW w:w="1240" w:type="dxa"/>
            <w:vAlign w:val="bottom"/>
          </w:tcPr>
          <w:p>
            <w:pPr>
              <w:spacing w:after="0"/>
              <w:rPr>
                <w:sz w:val="14"/>
                <w:szCs w:val="14"/>
                <w:color w:val="auto"/>
              </w:rPr>
            </w:pPr>
          </w:p>
        </w:tc>
        <w:tc>
          <w:tcPr>
            <w:tcW w:w="6100" w:type="dxa"/>
            <w:vAlign w:val="bottom"/>
          </w:tcPr>
          <w:p>
            <w:pPr>
              <w:ind w:left="120"/>
              <w:spacing w:after="0"/>
              <w:rPr>
                <w:sz w:val="20"/>
                <w:szCs w:val="20"/>
                <w:color w:val="auto"/>
              </w:rPr>
            </w:pPr>
            <w:r>
              <w:rPr>
                <w:rFonts w:ascii="Arial" w:cs="Arial" w:eastAsia="Arial" w:hAnsi="Arial"/>
                <w:sz w:val="13"/>
                <w:szCs w:val="13"/>
                <w:color w:val="auto"/>
              </w:rPr>
              <w:t>APPENDIX B</w:t>
            </w:r>
          </w:p>
        </w:tc>
        <w:tc>
          <w:tcPr>
            <w:tcW w:w="4120" w:type="dxa"/>
            <w:vAlign w:val="bottom"/>
          </w:tcPr>
          <w:p>
            <w:pPr>
              <w:jc w:val="right"/>
              <w:ind w:right="275"/>
              <w:spacing w:after="0"/>
              <w:rPr>
                <w:sz w:val="20"/>
                <w:szCs w:val="20"/>
                <w:color w:val="auto"/>
              </w:rPr>
            </w:pPr>
            <w:r>
              <w:rPr>
                <w:rFonts w:ascii="Arial" w:cs="Arial" w:eastAsia="Arial" w:hAnsi="Arial"/>
                <w:sz w:val="13"/>
                <w:szCs w:val="13"/>
                <w:color w:val="auto"/>
              </w:rPr>
              <w:t>B-l</w:t>
            </w:r>
          </w:p>
        </w:tc>
      </w:tr>
      <w:tr>
        <w:trPr>
          <w:trHeight w:val="458"/>
        </w:trPr>
        <w:tc>
          <w:tcPr>
            <w:tcW w:w="1240" w:type="dxa"/>
            <w:vAlign w:val="bottom"/>
            <w:tcBorders>
              <w:bottom w:val="single" w:sz="8" w:color="808080"/>
            </w:tcBorders>
          </w:tcPr>
          <w:p>
            <w:pPr>
              <w:spacing w:after="0"/>
              <w:rPr>
                <w:sz w:val="24"/>
                <w:szCs w:val="24"/>
                <w:color w:val="auto"/>
              </w:rPr>
            </w:pPr>
          </w:p>
        </w:tc>
        <w:tc>
          <w:tcPr>
            <w:tcW w:w="610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1" w:right="219" w:bottom="1440" w:gutter="0" w:footer="0" w:header="0"/>
        </w:sectPr>
      </w:pPr>
    </w:p>
    <w:bookmarkStart w:id="194" w:name="page195"/>
    <w:bookmarkEnd w:id="194"/>
    <w:p>
      <w:pPr>
        <w:jc w:val="center"/>
        <w:ind w:right="-119"/>
        <w:spacing w:after="0"/>
        <w:rPr>
          <w:sz w:val="20"/>
          <w:szCs w:val="20"/>
          <w:color w:val="auto"/>
        </w:rPr>
      </w:pPr>
      <w:r>
        <w:rPr>
          <w:rFonts w:ascii="Arial" w:cs="Arial" w:eastAsia="Arial" w:hAnsi="Arial"/>
          <w:sz w:val="13"/>
          <w:szCs w:val="13"/>
          <w:b w:val="1"/>
          <w:bCs w:val="1"/>
          <w:color w:val="auto"/>
        </w:rPr>
        <w:t>ARTICLE 1</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INTRODUCTION</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3"/>
          <w:szCs w:val="13"/>
          <w:b w:val="1"/>
          <w:bCs w:val="1"/>
          <w:color w:val="auto"/>
        </w:rPr>
        <w:t>1.1 Purpose and Effective Date</w:t>
      </w:r>
      <w:r>
        <w:rPr>
          <w:rFonts w:ascii="Arial" w:cs="Arial" w:eastAsia="Arial" w:hAnsi="Arial"/>
          <w:sz w:val="13"/>
          <w:szCs w:val="13"/>
          <w:color w:val="auto"/>
        </w:rPr>
        <w:t>. The purpose of this plan is to provide certain key executives and managers of Biogen Idec (or its subsidiaries) with additional tax-deferred savings opportunities supplementing those</w:t>
      </w:r>
      <w:r>
        <w:rPr>
          <w:rFonts w:ascii="Arial" w:cs="Arial" w:eastAsia="Arial" w:hAnsi="Arial"/>
          <w:sz w:val="13"/>
          <w:szCs w:val="13"/>
          <w:b w:val="1"/>
          <w:bCs w:val="1"/>
          <w:color w:val="auto"/>
        </w:rPr>
        <w:t xml:space="preserve"> </w:t>
      </w:r>
      <w:r>
        <w:rPr>
          <w:rFonts w:ascii="Arial" w:cs="Arial" w:eastAsia="Arial" w:hAnsi="Arial"/>
          <w:sz w:val="13"/>
          <w:szCs w:val="13"/>
          <w:color w:val="auto"/>
        </w:rPr>
        <w:t>available under the Savings Plan. This plan allows certain eligible participants to make voluntary deferrals from base salary or bonus if elected by a participant. In addition, certain participants whose compensation exceeds the Code Section 401(a)(17) limit applicable to the Savings Plan will receive an employer 401(k) restoration credit in accordance with Section 4.1, and certain participants received transition credits in accordance with Section 4.3.</w:t>
      </w:r>
    </w:p>
    <w:p>
      <w:pPr>
        <w:spacing w:after="0" w:line="59"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This plan also contains certain account balances or benefits previously maintained under the amended and restated IDEC Pharmaceuticals Corporation Deferred Compensation Plan, the Biogen, Inc. Voluntary Executive Supplemental Savings Plan, and the Biogen, Inc. Supplemental Executive Retirement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amended and restated plan document is effective as of January 1, 2005, except as otherwise specified. Certain historical information about the plan and any amendments thereto is set forth in Appendix A.</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ARTICLE 2</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DEFINITIONS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section contains definitions of certain terms used in the plan. Where the context so requires, the masculine includes the feminine, the singular includes the plural, and the plural includes the singular.</w:t>
      </w:r>
    </w:p>
    <w:p>
      <w:pPr>
        <w:spacing w:after="0" w:line="94"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b w:val="1"/>
          <w:bCs w:val="1"/>
          <w:color w:val="auto"/>
        </w:rPr>
        <w:t xml:space="preserve">2.1 401(k) restoration </w:t>
      </w:r>
      <w:r>
        <w:rPr>
          <w:rFonts w:ascii="Arial" w:cs="Arial" w:eastAsia="Arial" w:hAnsi="Arial"/>
          <w:sz w:val="13"/>
          <w:szCs w:val="13"/>
          <w:color w:val="auto"/>
        </w:rPr>
        <w:t>means that component of the plan under which an eligible participant’s account will receive an employer 401(k) restoration credit under Section 4.1 with respect to applicable compensation in</w:t>
      </w:r>
      <w:r>
        <w:rPr>
          <w:rFonts w:ascii="Arial" w:cs="Arial" w:eastAsia="Arial" w:hAnsi="Arial"/>
          <w:sz w:val="13"/>
          <w:szCs w:val="13"/>
          <w:b w:val="1"/>
          <w:bCs w:val="1"/>
          <w:color w:val="auto"/>
        </w:rPr>
        <w:t xml:space="preserve"> </w:t>
      </w:r>
      <w:r>
        <w:rPr>
          <w:rFonts w:ascii="Arial" w:cs="Arial" w:eastAsia="Arial" w:hAnsi="Arial"/>
          <w:sz w:val="13"/>
          <w:szCs w:val="13"/>
          <w:color w:val="auto"/>
        </w:rPr>
        <w:t>excess of the limit imposed by Section 401(a)(17) of the Code.</w:t>
      </w:r>
    </w:p>
    <w:p>
      <w:pPr>
        <w:spacing w:after="0" w:line="41"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2.2 Applicable compensation </w:t>
      </w:r>
      <w:r>
        <w:rPr>
          <w:rFonts w:ascii="Arial" w:cs="Arial" w:eastAsia="Arial" w:hAnsi="Arial"/>
          <w:sz w:val="13"/>
          <w:szCs w:val="13"/>
          <w:color w:val="auto"/>
        </w:rPr>
        <w:t>shall have the same meaning as in the Savings Plan except that applicable compensation under this plan shall also include voluntary deferrals made under Section 4.2 in addition to other</w:t>
      </w:r>
      <w:r>
        <w:rPr>
          <w:rFonts w:ascii="Arial" w:cs="Arial" w:eastAsia="Arial" w:hAnsi="Arial"/>
          <w:sz w:val="13"/>
          <w:szCs w:val="13"/>
          <w:b w:val="1"/>
          <w:bCs w:val="1"/>
          <w:color w:val="auto"/>
        </w:rPr>
        <w:t xml:space="preserve"> </w:t>
      </w:r>
      <w:r>
        <w:rPr>
          <w:rFonts w:ascii="Arial" w:cs="Arial" w:eastAsia="Arial" w:hAnsi="Arial"/>
          <w:sz w:val="13"/>
          <w:szCs w:val="13"/>
          <w:color w:val="auto"/>
        </w:rPr>
        <w:t>salary reductions included in applicable compensation under the Savings Plan.</w:t>
      </w:r>
    </w:p>
    <w:p>
      <w:pPr>
        <w:spacing w:after="0" w:line="41"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b w:val="1"/>
          <w:bCs w:val="1"/>
          <w:color w:val="auto"/>
        </w:rPr>
        <w:t xml:space="preserve">2.3 Base salary </w:t>
      </w:r>
      <w:r>
        <w:rPr>
          <w:rFonts w:ascii="Arial" w:cs="Arial" w:eastAsia="Arial" w:hAnsi="Arial"/>
          <w:sz w:val="13"/>
          <w:szCs w:val="13"/>
          <w:color w:val="auto"/>
        </w:rPr>
        <w:t>means the base salary established for any participant by his employer as in effect from time to time; the entire amount of a participant’s base salary will be taken into account in accordance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terms of this plan without regard to any dollar limitation on applicable compensation that may be imposed under the Savings Plan; base salary includes all components of a participant’s applicable compensation other than bonus.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2.4 Biogen Idec </w:t>
      </w:r>
      <w:r>
        <w:rPr>
          <w:rFonts w:ascii="Arial" w:cs="Arial" w:eastAsia="Arial" w:hAnsi="Arial"/>
          <w:sz w:val="12"/>
          <w:szCs w:val="12"/>
          <w:color w:val="auto"/>
        </w:rPr>
        <w:t>means Biogen Idec Inc., a Delaware corporation, or any successor to it or to all or the major portion of its assets or business which assumes the obligations of Biogen Idec Inc. under this plan.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2.5 Biogen SERP </w:t>
      </w:r>
      <w:r>
        <w:rPr>
          <w:rFonts w:ascii="Arial" w:cs="Arial" w:eastAsia="Arial" w:hAnsi="Arial"/>
          <w:sz w:val="13"/>
          <w:szCs w:val="13"/>
          <w:color w:val="auto"/>
        </w:rPr>
        <w:t>means the Biogen, Inc. Supplemental Executive Retirement Plan, as in effect immediately prior to January 1, 2004 (or other date of transfer referred to in Section 3.l(c)).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Board </w:t>
      </w:r>
      <w:r>
        <w:rPr>
          <w:rFonts w:ascii="Arial" w:cs="Arial" w:eastAsia="Arial" w:hAnsi="Arial"/>
          <w:sz w:val="13"/>
          <w:szCs w:val="13"/>
          <w:color w:val="auto"/>
        </w:rPr>
        <w:t>means the Board of Directors of Biogen Idec.</w:t>
      </w:r>
    </w:p>
    <w:p>
      <w:pPr>
        <w:spacing w:after="0" w:line="86"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b w:val="1"/>
          <w:bCs w:val="1"/>
          <w:color w:val="auto"/>
        </w:rPr>
        <w:t xml:space="preserve">2.7 Bonus </w:t>
      </w:r>
      <w:r>
        <w:rPr>
          <w:rFonts w:ascii="Arial" w:cs="Arial" w:eastAsia="Arial" w:hAnsi="Arial"/>
          <w:sz w:val="13"/>
          <w:szCs w:val="13"/>
          <w:color w:val="auto"/>
        </w:rPr>
        <w:t>means the amount of compensation paid to a participant in addition to his base salary and designated as such participant’s bonus by his employer; the entire amount of any such bonus will be taken into</w:t>
      </w:r>
      <w:r>
        <w:rPr>
          <w:rFonts w:ascii="Arial" w:cs="Arial" w:eastAsia="Arial" w:hAnsi="Arial"/>
          <w:sz w:val="13"/>
          <w:szCs w:val="13"/>
          <w:b w:val="1"/>
          <w:bCs w:val="1"/>
          <w:color w:val="auto"/>
        </w:rPr>
        <w:t xml:space="preserve"> </w:t>
      </w:r>
      <w:r>
        <w:rPr>
          <w:rFonts w:ascii="Arial" w:cs="Arial" w:eastAsia="Arial" w:hAnsi="Arial"/>
          <w:sz w:val="13"/>
          <w:szCs w:val="13"/>
          <w:color w:val="auto"/>
        </w:rPr>
        <w:t>account in accordance with the terms of this plan without regard to any dollar limitation on applicable compensation that may be imposed under the Savings Plan.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2.8 Change in Control</w:t>
      </w:r>
    </w:p>
    <w:p>
      <w:pPr>
        <w:spacing w:after="0" w:line="90" w:lineRule="exact"/>
        <w:rPr>
          <w:sz w:val="20"/>
          <w:szCs w:val="20"/>
          <w:color w:val="auto"/>
        </w:rPr>
      </w:pPr>
    </w:p>
    <w:p>
      <w:pPr>
        <w:jc w:val="center"/>
        <w:ind w:left="5700" w:right="160" w:hanging="5308"/>
        <w:spacing w:after="0" w:line="497" w:lineRule="auto"/>
        <w:tabs>
          <w:tab w:leader="none" w:pos="569"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purposes of Section 5.3(f) and Section 7.4, a change in control means a “Corporate Change in Control” or a “Corporate Transaction” as each is defined in the Biogen Idec 2005 Omnibus Equity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36" w:right="339" w:bottom="1440" w:gutter="0" w:footer="0" w:header="0"/>
        </w:sectPr>
      </w:pPr>
    </w:p>
    <w:bookmarkStart w:id="195" w:name="page196"/>
    <w:bookmarkEnd w:id="195"/>
    <w:p>
      <w:pPr>
        <w:ind w:left="220" w:right="40" w:firstLine="172"/>
        <w:spacing w:after="0" w:line="301" w:lineRule="auto"/>
        <w:tabs>
          <w:tab w:leader="none" w:pos="569" w:val="left"/>
        </w:tabs>
        <w:numPr>
          <w:ilvl w:val="1"/>
          <w:numId w:val="81"/>
        </w:numPr>
        <w:rPr>
          <w:rFonts w:ascii="Arial" w:cs="Arial" w:eastAsia="Arial" w:hAnsi="Arial"/>
          <w:sz w:val="11"/>
          <w:szCs w:val="11"/>
          <w:color w:val="auto"/>
        </w:rPr>
      </w:pPr>
      <w:r>
        <w:rPr>
          <w:rFonts w:ascii="Arial" w:cs="Arial" w:eastAsia="Arial" w:hAnsi="Arial"/>
          <w:sz w:val="11"/>
          <w:szCs w:val="11"/>
          <w:color w:val="auto"/>
        </w:rPr>
        <w:t>For purposes of Section 4.4(b) and Section 6.2, a change in control means (i) the acquisition by a person or group of stock of Biogen Idec that, together with stock previously held by such person or group, constitutes more than 50 percent of the total fair market value or total voting power of the stock of Biogen Idec; (ii) a change in the effective control of Biogen Idec resulting from either the acquisition by any person or group during a 12-month period of stock of Biogen Idec possessing 30 percent or more of the total voting power of Biogen Idec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Idec. This subsection</w:t>
      </w:r>
    </w:p>
    <w:p>
      <w:pPr>
        <w:ind w:left="220" w:right="40" w:firstLine="8"/>
        <w:spacing w:after="0" w:line="264" w:lineRule="auto"/>
        <w:tabs>
          <w:tab w:leader="none" w:pos="405" w:val="left"/>
        </w:tabs>
        <w:numPr>
          <w:ilvl w:val="0"/>
          <w:numId w:val="82"/>
        </w:numPr>
        <w:rPr>
          <w:rFonts w:ascii="Arial" w:cs="Arial" w:eastAsia="Arial" w:hAnsi="Arial"/>
          <w:sz w:val="13"/>
          <w:szCs w:val="13"/>
          <w:color w:val="auto"/>
        </w:rPr>
      </w:pPr>
      <w:r>
        <w:rPr>
          <w:rFonts w:ascii="Arial" w:cs="Arial" w:eastAsia="Arial" w:hAnsi="Arial"/>
          <w:sz w:val="13"/>
          <w:szCs w:val="13"/>
          <w:color w:val="auto"/>
        </w:rPr>
        <w:t>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This subsection 2.8(b) is effective as of the date of execution of this amended and restated plan document.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2.9 Code </w:t>
      </w:r>
      <w:r>
        <w:rPr>
          <w:rFonts w:ascii="Arial" w:cs="Arial" w:eastAsia="Arial" w:hAnsi="Arial"/>
          <w:sz w:val="12"/>
          <w:szCs w:val="12"/>
          <w:color w:val="auto"/>
        </w:rPr>
        <w:t>means the Internal Revenue Code of 1986, as amended, or any successor statute enacted in its place. Reference to any provision of the Code includes reference to any successor provision thereto.</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2.10 Committee </w:t>
      </w:r>
      <w:r>
        <w:rPr>
          <w:rFonts w:ascii="Arial" w:cs="Arial" w:eastAsia="Arial" w:hAnsi="Arial"/>
          <w:sz w:val="13"/>
          <w:szCs w:val="13"/>
          <w:color w:val="auto"/>
        </w:rPr>
        <w:t>means the committee designated by the Board to administer this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2.11 Compensation Committee </w:t>
      </w:r>
      <w:r>
        <w:rPr>
          <w:rFonts w:ascii="Arial" w:cs="Arial" w:eastAsia="Arial" w:hAnsi="Arial"/>
          <w:sz w:val="13"/>
          <w:szCs w:val="13"/>
          <w:color w:val="auto"/>
        </w:rPr>
        <w:t>means the Compensation and Management Development Committee of the Board (or any successor committee, however named, carrying out its functions).</w:t>
      </w:r>
    </w:p>
    <w:p>
      <w:pPr>
        <w:spacing w:after="0" w:line="86" w:lineRule="exact"/>
        <w:rPr>
          <w:sz w:val="20"/>
          <w:szCs w:val="20"/>
          <w:color w:val="auto"/>
        </w:rPr>
      </w:pPr>
    </w:p>
    <w:p>
      <w:pPr>
        <w:ind w:right="160"/>
        <w:spacing w:after="0" w:line="283" w:lineRule="auto"/>
        <w:rPr>
          <w:sz w:val="20"/>
          <w:szCs w:val="20"/>
          <w:color w:val="auto"/>
        </w:rPr>
      </w:pPr>
      <w:r>
        <w:rPr>
          <w:rFonts w:ascii="Arial" w:cs="Arial" w:eastAsia="Arial" w:hAnsi="Arial"/>
          <w:sz w:val="13"/>
          <w:szCs w:val="13"/>
          <w:b w:val="1"/>
          <w:bCs w:val="1"/>
          <w:color w:val="auto"/>
        </w:rPr>
        <w:t xml:space="preserve">2.12 Disability </w:t>
      </w:r>
      <w:r>
        <w:rPr>
          <w:rFonts w:ascii="Arial" w:cs="Arial" w:eastAsia="Arial" w:hAnsi="Arial"/>
          <w:sz w:val="13"/>
          <w:szCs w:val="13"/>
          <w:color w:val="auto"/>
        </w:rPr>
        <w:t>means “disability” as defined under the long-term disability program of Biogen Idec or another employer covering a participant, or, if no such program is in effect with respect to such participant, then</w:t>
      </w:r>
      <w:r>
        <w:rPr>
          <w:rFonts w:ascii="Arial" w:cs="Arial" w:eastAsia="Arial" w:hAnsi="Arial"/>
          <w:sz w:val="13"/>
          <w:szCs w:val="13"/>
          <w:b w:val="1"/>
          <w:bCs w:val="1"/>
          <w:color w:val="auto"/>
        </w:rPr>
        <w:t xml:space="preserve"> </w:t>
      </w:r>
      <w:r>
        <w:rPr>
          <w:rFonts w:ascii="Arial" w:cs="Arial" w:eastAsia="Arial" w:hAnsi="Arial"/>
          <w:sz w:val="13"/>
          <w:szCs w:val="13"/>
          <w:color w:val="auto"/>
        </w:rPr>
        <w:t>“disability” means “total and permanent disability” as defined in Code Section 22(e)(3).</w:t>
      </w:r>
    </w:p>
    <w:p>
      <w:pPr>
        <w:spacing w:after="0" w:line="41" w:lineRule="exact"/>
        <w:rPr>
          <w:sz w:val="20"/>
          <w:szCs w:val="20"/>
          <w:color w:val="auto"/>
        </w:rPr>
      </w:pPr>
    </w:p>
    <w:p>
      <w:pPr>
        <w:ind w:right="80"/>
        <w:spacing w:after="0" w:line="262" w:lineRule="auto"/>
        <w:rPr>
          <w:sz w:val="20"/>
          <w:szCs w:val="20"/>
          <w:color w:val="auto"/>
        </w:rPr>
      </w:pPr>
      <w:r>
        <w:rPr>
          <w:rFonts w:ascii="Arial" w:cs="Arial" w:eastAsia="Arial" w:hAnsi="Arial"/>
          <w:sz w:val="13"/>
          <w:szCs w:val="13"/>
          <w:b w:val="1"/>
          <w:bCs w:val="1"/>
          <w:color w:val="auto"/>
        </w:rPr>
        <w:t xml:space="preserve">2.13 Employee </w:t>
      </w:r>
      <w:r>
        <w:rPr>
          <w:rFonts w:ascii="Arial" w:cs="Arial" w:eastAsia="Arial" w:hAnsi="Arial"/>
          <w:sz w:val="13"/>
          <w:szCs w:val="13"/>
          <w:color w:val="auto"/>
        </w:rPr>
        <w:t>means a person who is classified as a regular, common law employee of Biogen Idec (or other employer) under the regular personnel classifications and practices of his employer. An individual will not</w:t>
      </w:r>
      <w:r>
        <w:rPr>
          <w:rFonts w:ascii="Arial" w:cs="Arial" w:eastAsia="Arial" w:hAnsi="Arial"/>
          <w:sz w:val="13"/>
          <w:szCs w:val="13"/>
          <w:b w:val="1"/>
          <w:bCs w:val="1"/>
          <w:color w:val="auto"/>
        </w:rPr>
        <w:t xml:space="preserve"> </w:t>
      </w:r>
      <w:r>
        <w:rPr>
          <w:rFonts w:ascii="Arial" w:cs="Arial" w:eastAsia="Arial" w:hAnsi="Arial"/>
          <w:sz w:val="13"/>
          <w:szCs w:val="13"/>
          <w:color w:val="auto"/>
        </w:rPr>
        <w:t>be considered an employee for purposes of this plan if the individual is classified as a consultant or contractor under Biogen Idec’s (or other employer’s) regular personnel classifications and practices or he is a party to an agreement to provide services to Biogen Idec (or other employer) without participating in this plan, notwithstanding that such individual may be treated as a common law employee for payroll tax or other legal purposes.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2.14 Employer </w:t>
      </w:r>
      <w:r>
        <w:rPr>
          <w:rFonts w:ascii="Arial" w:cs="Arial" w:eastAsia="Arial" w:hAnsi="Arial"/>
          <w:sz w:val="13"/>
          <w:szCs w:val="13"/>
          <w:color w:val="auto"/>
        </w:rPr>
        <w:t>means Biogen Idec and each direct or indirect subsidiary or other affiliate of Biogen Idec that employs persons who are or may be eligible to participate in this plan.</w:t>
      </w:r>
    </w:p>
    <w:p>
      <w:pPr>
        <w:spacing w:after="0" w:line="86"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b w:val="1"/>
          <w:bCs w:val="1"/>
          <w:color w:val="auto"/>
        </w:rPr>
        <w:t xml:space="preserve">2.15 ERISA </w:t>
      </w:r>
      <w:r>
        <w:rPr>
          <w:rFonts w:ascii="Arial" w:cs="Arial" w:eastAsia="Arial" w:hAnsi="Arial"/>
          <w:sz w:val="13"/>
          <w:szCs w:val="13"/>
          <w:color w:val="auto"/>
        </w:rPr>
        <w:t>means the Employee Retirement Income Security Act of 1974, as amended, or any successor statute enacted in its place. Reference to any provision of ERISA includes reference to any successor provision</w:t>
      </w:r>
      <w:r>
        <w:rPr>
          <w:rFonts w:ascii="Arial" w:cs="Arial" w:eastAsia="Arial" w:hAnsi="Arial"/>
          <w:sz w:val="13"/>
          <w:szCs w:val="13"/>
          <w:b w:val="1"/>
          <w:bCs w:val="1"/>
          <w:color w:val="auto"/>
        </w:rPr>
        <w:t xml:space="preserve"> </w:t>
      </w:r>
      <w:r>
        <w:rPr>
          <w:rFonts w:ascii="Arial" w:cs="Arial" w:eastAsia="Arial" w:hAnsi="Arial"/>
          <w:sz w:val="13"/>
          <w:szCs w:val="13"/>
          <w:color w:val="auto"/>
        </w:rPr>
        <w:t>thereto.</w:t>
      </w:r>
    </w:p>
    <w:p>
      <w:pPr>
        <w:spacing w:after="0" w:line="4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2.16 Excess applicable compensation </w:t>
      </w:r>
      <w:r>
        <w:rPr>
          <w:rFonts w:ascii="Arial" w:cs="Arial" w:eastAsia="Arial" w:hAnsi="Arial"/>
          <w:sz w:val="13"/>
          <w:szCs w:val="13"/>
          <w:color w:val="auto"/>
        </w:rPr>
        <w:t>means, for any plan year, the amount of a participant’s applicable compensation in excess of the limitation under Section 401(a)(17) of the Code applicable to such year and which</w:t>
      </w:r>
      <w:r>
        <w:rPr>
          <w:rFonts w:ascii="Arial" w:cs="Arial" w:eastAsia="Arial" w:hAnsi="Arial"/>
          <w:sz w:val="13"/>
          <w:szCs w:val="13"/>
          <w:b w:val="1"/>
          <w:bCs w:val="1"/>
          <w:color w:val="auto"/>
        </w:rPr>
        <w:t xml:space="preserve"> </w:t>
      </w:r>
      <w:r>
        <w:rPr>
          <w:rFonts w:ascii="Arial" w:cs="Arial" w:eastAsia="Arial" w:hAnsi="Arial"/>
          <w:sz w:val="13"/>
          <w:szCs w:val="13"/>
          <w:color w:val="auto"/>
        </w:rPr>
        <w:t>therefore could not be considered under the Savings Plan.</w:t>
      </w:r>
    </w:p>
    <w:p>
      <w:pPr>
        <w:spacing w:after="0" w:line="41"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2.17 Participant </w:t>
      </w:r>
      <w:r>
        <w:rPr>
          <w:rFonts w:ascii="Arial" w:cs="Arial" w:eastAsia="Arial" w:hAnsi="Arial"/>
          <w:sz w:val="13"/>
          <w:szCs w:val="13"/>
          <w:color w:val="auto"/>
        </w:rPr>
        <w:t>means an employee of Biogen Idec (or other employer) who is eligible to participate in this plan in accordance with Section 3.1 and who has an account described in Section 5.1 or for whom an amount</w:t>
      </w:r>
      <w:r>
        <w:rPr>
          <w:rFonts w:ascii="Arial" w:cs="Arial" w:eastAsia="Arial" w:hAnsi="Arial"/>
          <w:sz w:val="13"/>
          <w:szCs w:val="13"/>
          <w:b w:val="1"/>
          <w:bCs w:val="1"/>
          <w:color w:val="auto"/>
        </w:rPr>
        <w:t xml:space="preserve"> </w:t>
      </w:r>
      <w:r>
        <w:rPr>
          <w:rFonts w:ascii="Arial" w:cs="Arial" w:eastAsia="Arial" w:hAnsi="Arial"/>
          <w:sz w:val="13"/>
          <w:szCs w:val="13"/>
          <w:color w:val="auto"/>
        </w:rPr>
        <w:t>has been transferred to this plan from a prior plan or from the Biogen SERP.</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2.18 Plan </w:t>
      </w:r>
      <w:r>
        <w:rPr>
          <w:rFonts w:ascii="Arial" w:cs="Arial" w:eastAsia="Arial" w:hAnsi="Arial"/>
          <w:sz w:val="13"/>
          <w:szCs w:val="13"/>
          <w:color w:val="auto"/>
        </w:rPr>
        <w:t>means the Biogen Idec Inc. Supplemental Savings Plan, as set forth in this plan instrument, and as it may be amended from time to time.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2.19 Plan year </w:t>
      </w:r>
      <w:r>
        <w:rPr>
          <w:rFonts w:ascii="Arial" w:cs="Arial" w:eastAsia="Arial" w:hAnsi="Arial"/>
          <w:sz w:val="13"/>
          <w:szCs w:val="13"/>
          <w:color w:val="auto"/>
        </w:rPr>
        <w:t>means the 12-month periods commencing on January 1, 2005 and on each subsequent January 1 while the plan remains in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ind w:right="180"/>
        <w:spacing w:after="0" w:line="283" w:lineRule="auto"/>
        <w:rPr>
          <w:sz w:val="20"/>
          <w:szCs w:val="20"/>
          <w:color w:val="auto"/>
        </w:rPr>
      </w:pPr>
      <w:r>
        <w:rPr>
          <w:rFonts w:ascii="Arial" w:cs="Arial" w:eastAsia="Arial" w:hAnsi="Arial"/>
          <w:sz w:val="13"/>
          <w:szCs w:val="13"/>
          <w:b w:val="1"/>
          <w:bCs w:val="1"/>
          <w:color w:val="auto"/>
        </w:rPr>
        <w:t xml:space="preserve">2.20 Prior plan </w:t>
      </w:r>
      <w:r>
        <w:rPr>
          <w:rFonts w:ascii="Arial" w:cs="Arial" w:eastAsia="Arial" w:hAnsi="Arial"/>
          <w:sz w:val="13"/>
          <w:szCs w:val="13"/>
          <w:color w:val="auto"/>
        </w:rPr>
        <w:t>means the amended and restated IDEC Pharmaceuticals Corporation Deferred Compensation Plan and the Biogen, Inc. Voluntary Executive Supplemental Savings Plan, each as in effect immediately</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January 1, 2004 (or other date of transfer referred to in Section 3.1(c)).</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2.21 Savings Plan </w:t>
      </w:r>
      <w:r>
        <w:rPr>
          <w:rFonts w:ascii="Arial" w:cs="Arial" w:eastAsia="Arial" w:hAnsi="Arial"/>
          <w:sz w:val="11"/>
          <w:szCs w:val="11"/>
          <w:color w:val="auto"/>
        </w:rPr>
        <w:t>means the Biogen Idec 401(k) Savings Plan, as amended from time to time. Any term defined in the Savings Plan will have the same meaning when used in this plan unless otherwise defined herein.</w:t>
      </w:r>
    </w:p>
    <w:p>
      <w:pPr>
        <w:spacing w:after="0" w:line="109"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b w:val="1"/>
          <w:bCs w:val="1"/>
          <w:color w:val="auto"/>
        </w:rPr>
        <w:t xml:space="preserve">2.22 Service </w:t>
      </w:r>
      <w:r>
        <w:rPr>
          <w:rFonts w:ascii="Arial" w:cs="Arial" w:eastAsia="Arial" w:hAnsi="Arial"/>
          <w:sz w:val="13"/>
          <w:szCs w:val="13"/>
          <w:color w:val="auto"/>
        </w:rPr>
        <w:t>means the sum of a participant’s employment (a) with Biogen Idec since November 12, 2003 and (b) with either Biogen, Inc. or IDEC Pharmaceuticals Corporation prior to November 12, 2003 (including</w:t>
      </w:r>
      <w:r>
        <w:rPr>
          <w:rFonts w:ascii="Arial" w:cs="Arial" w:eastAsia="Arial" w:hAnsi="Arial"/>
          <w:sz w:val="13"/>
          <w:szCs w:val="13"/>
          <w:b w:val="1"/>
          <w:bCs w:val="1"/>
          <w:color w:val="auto"/>
        </w:rPr>
        <w:t xml:space="preserve"> </w:t>
      </w:r>
      <w:r>
        <w:rPr>
          <w:rFonts w:ascii="Arial" w:cs="Arial" w:eastAsia="Arial" w:hAnsi="Arial"/>
          <w:sz w:val="13"/>
          <w:szCs w:val="13"/>
          <w:color w:val="auto"/>
        </w:rPr>
        <w:t>in each case service with any subsidiary or other affiliate of such entity).</w:t>
      </w:r>
    </w:p>
    <w:p>
      <w:pPr>
        <w:spacing w:after="0" w:line="41"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b w:val="1"/>
          <w:bCs w:val="1"/>
          <w:color w:val="auto"/>
        </w:rPr>
        <w:t xml:space="preserve">2.23 Transition credit </w:t>
      </w:r>
      <w:r>
        <w:rPr>
          <w:rFonts w:ascii="Arial" w:cs="Arial" w:eastAsia="Arial" w:hAnsi="Arial"/>
          <w:sz w:val="12"/>
          <w:szCs w:val="12"/>
          <w:color w:val="auto"/>
        </w:rPr>
        <w:t>means an amount credited by Biogen Idec to a participant’s account under this plan that is equal to (a) the additional amount that would be contributed on behalf of the participant under the</w:t>
      </w:r>
      <w:r>
        <w:rPr>
          <w:rFonts w:ascii="Arial" w:cs="Arial" w:eastAsia="Arial" w:hAnsi="Arial"/>
          <w:sz w:val="12"/>
          <w:szCs w:val="12"/>
          <w:b w:val="1"/>
          <w:bCs w:val="1"/>
          <w:color w:val="auto"/>
        </w:rPr>
        <w:t xml:space="preserve"> </w:t>
      </w:r>
      <w:r>
        <w:rPr>
          <w:rFonts w:ascii="Arial" w:cs="Arial" w:eastAsia="Arial" w:hAnsi="Arial"/>
          <w:sz w:val="12"/>
          <w:szCs w:val="12"/>
          <w:color w:val="auto"/>
        </w:rPr>
        <w:t>Savings Plan, as determined under Appendix C of the Savings Plan but without regard to the nondiscrimination limits or the Code Section 401(a)(17) or Code Section 415 limits that restrict additions to the participant’s account(s) under the Savings Plan, reduced by (b) the amount of the actual additional contribution on the participant’s behalf to the Savings Plan in accordance with Appendix C thereof.</w:t>
      </w:r>
    </w:p>
    <w:p>
      <w:pPr>
        <w:spacing w:after="0" w:line="33" w:lineRule="exact"/>
        <w:rPr>
          <w:sz w:val="20"/>
          <w:szCs w:val="20"/>
          <w:color w:val="auto"/>
        </w:rPr>
      </w:pPr>
    </w:p>
    <w:p>
      <w:pPr>
        <w:ind w:right="400"/>
        <w:spacing w:after="0" w:line="283" w:lineRule="auto"/>
        <w:rPr>
          <w:sz w:val="20"/>
          <w:szCs w:val="20"/>
          <w:color w:val="auto"/>
        </w:rPr>
      </w:pPr>
      <w:r>
        <w:rPr>
          <w:rFonts w:ascii="Arial" w:cs="Arial" w:eastAsia="Arial" w:hAnsi="Arial"/>
          <w:sz w:val="13"/>
          <w:szCs w:val="13"/>
          <w:b w:val="1"/>
          <w:bCs w:val="1"/>
          <w:color w:val="auto"/>
        </w:rPr>
        <w:t xml:space="preserve">2.24 Voluntary deferred compensation </w:t>
      </w:r>
      <w:r>
        <w:rPr>
          <w:rFonts w:ascii="Arial" w:cs="Arial" w:eastAsia="Arial" w:hAnsi="Arial"/>
          <w:sz w:val="13"/>
          <w:szCs w:val="13"/>
          <w:color w:val="auto"/>
        </w:rPr>
        <w:t>means that component of the plan which permits an eligible participant to defer from 1% to 80% of his base salary and from 1% to 100% of his bonus in accordance with</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4.2.</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2.25 Years of service </w:t>
      </w:r>
      <w:r>
        <w:rPr>
          <w:rFonts w:ascii="Arial" w:cs="Arial" w:eastAsia="Arial" w:hAnsi="Arial"/>
          <w:sz w:val="13"/>
          <w:szCs w:val="13"/>
          <w:color w:val="auto"/>
        </w:rPr>
        <w:t>means full years of completed continuous service as a regular employee, determined in accordance with the personnel policies and practices of a participant’s employer.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PARTICIPATION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3.1 Eligibility and Participation.</w:t>
      </w:r>
    </w:p>
    <w:p>
      <w:pPr>
        <w:spacing w:after="0" w:line="90" w:lineRule="exact"/>
        <w:rPr>
          <w:sz w:val="20"/>
          <w:szCs w:val="20"/>
          <w:color w:val="auto"/>
        </w:rPr>
      </w:pPr>
    </w:p>
    <w:p>
      <w:pPr>
        <w:ind w:right="100" w:firstLine="162"/>
        <w:spacing w:after="0" w:line="264" w:lineRule="auto"/>
        <w:tabs>
          <w:tab w:leader="none" w:pos="342"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Voluntary Deferred Compensation.</w:t>
      </w:r>
      <w:r>
        <w:rPr>
          <w:rFonts w:ascii="Arial" w:cs="Arial" w:eastAsia="Arial" w:hAnsi="Arial"/>
          <w:sz w:val="13"/>
          <w:szCs w:val="13"/>
          <w:color w:val="auto"/>
        </w:rPr>
        <w:t xml:space="preserve"> An employee (i) who has the job title of Senior Director or Vice President or more senior officer of Biogen Idec (or another employer) or (ii) who is designated as eligible by the Compensation Committee will be eligible to be a participant in the voluntary deferred compensation component of the plan. Participation in this component of the plan is voluntary and no eligible employee will be required to participate.</w:t>
      </w:r>
    </w:p>
    <w:p>
      <w:pPr>
        <w:spacing w:after="0" w:line="57" w:lineRule="exact"/>
        <w:rPr>
          <w:rFonts w:ascii="Arial" w:cs="Arial" w:eastAsia="Arial" w:hAnsi="Arial"/>
          <w:sz w:val="13"/>
          <w:szCs w:val="13"/>
          <w:color w:val="auto"/>
        </w:rPr>
      </w:pPr>
    </w:p>
    <w:p>
      <w:pPr>
        <w:ind w:right="200" w:firstLine="162"/>
        <w:spacing w:after="0" w:line="264" w:lineRule="auto"/>
        <w:tabs>
          <w:tab w:leader="none" w:pos="349"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Transition Credit.</w:t>
      </w:r>
      <w:r>
        <w:rPr>
          <w:rFonts w:ascii="Arial" w:cs="Arial" w:eastAsia="Arial" w:hAnsi="Arial"/>
          <w:sz w:val="13"/>
          <w:szCs w:val="13"/>
          <w:color w:val="auto"/>
        </w:rPr>
        <w:t xml:space="preserve"> An employee (i) whose “additional employer contribution” as determined under Appendix C of the Savings Plan was limited because of limits on compensation, limits on annual additions or nondiscrimination requirements applicable to qualified plans under the Code and (ii) who was designated by the committee (either individually or by class) is eligible to be a participant in the transition contribution component of this plan (see Section 4.3).</w:t>
      </w:r>
    </w:p>
    <w:p>
      <w:pPr>
        <w:spacing w:after="0" w:line="57" w:lineRule="exact"/>
        <w:rPr>
          <w:rFonts w:ascii="Arial" w:cs="Arial" w:eastAsia="Arial" w:hAnsi="Arial"/>
          <w:sz w:val="13"/>
          <w:szCs w:val="13"/>
          <w:color w:val="auto"/>
        </w:rPr>
      </w:pPr>
    </w:p>
    <w:p>
      <w:pPr>
        <w:ind w:firstLine="162"/>
        <w:spacing w:after="0" w:line="316" w:lineRule="auto"/>
        <w:tabs>
          <w:tab w:leader="none" w:pos="342" w:val="left"/>
        </w:tabs>
        <w:numPr>
          <w:ilvl w:val="0"/>
          <w:numId w:val="83"/>
        </w:numPr>
        <w:rPr>
          <w:rFonts w:ascii="Arial" w:cs="Arial" w:eastAsia="Arial" w:hAnsi="Arial"/>
          <w:sz w:val="11"/>
          <w:szCs w:val="11"/>
          <w:color w:val="auto"/>
        </w:rPr>
      </w:pPr>
      <w:r>
        <w:rPr>
          <w:rFonts w:ascii="Arial" w:cs="Arial" w:eastAsia="Arial" w:hAnsi="Arial"/>
          <w:sz w:val="11"/>
          <w:szCs w:val="11"/>
          <w:u w:val="single" w:color="auto"/>
          <w:color w:val="auto"/>
        </w:rPr>
        <w:t>Prior Plans and Biogen SERP.</w:t>
      </w:r>
      <w:r>
        <w:rPr>
          <w:rFonts w:ascii="Arial" w:cs="Arial" w:eastAsia="Arial" w:hAnsi="Arial"/>
          <w:sz w:val="11"/>
          <w:szCs w:val="11"/>
          <w:color w:val="auto"/>
        </w:rPr>
        <w:t xml:space="preserve"> Each employee who is not eligible to be a participant under subsection (a) or (b) above or (d) below, or who is eligible but declines to participate under subsection (a) above, but who was a prior plan participant and/or Biogen SERP participant and whose prior plan and/or Biogen SERP account balance (or supplemental pension formula benefit under Section 4.1 of the Biogen SERP, if applicable) was transferred to this plan effective as of January 1, 2004 (or such later date as the committee specified) is a participant solely with respect to such transferred prior plan and/or Biogen SERP account balance (or supplemental pension formula benefit, if applicable). This will not include a person who is a vested participant under the Biogen SERP but not an employee (i.e., a person who terminated employment from Biogen, Inc. or from Biogen Idec on or before the date of transfer referred to in the preceding sentence); such a person’s benefits under the Biogen SERP are governed by the provisions of Section 5.l(f) and Appendix B.</w:t>
      </w:r>
    </w:p>
    <w:p>
      <w:pPr>
        <w:spacing w:after="0" w:line="32" w:lineRule="exact"/>
        <w:rPr>
          <w:rFonts w:ascii="Arial" w:cs="Arial" w:eastAsia="Arial" w:hAnsi="Arial"/>
          <w:sz w:val="11"/>
          <w:szCs w:val="11"/>
          <w:color w:val="auto"/>
        </w:rPr>
      </w:pPr>
    </w:p>
    <w:p>
      <w:pPr>
        <w:ind w:left="340" w:hanging="178"/>
        <w:spacing w:after="0"/>
        <w:tabs>
          <w:tab w:leader="none" w:pos="340"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401(k) Restoration.</w:t>
      </w:r>
      <w:r>
        <w:rPr>
          <w:rFonts w:ascii="Arial" w:cs="Arial" w:eastAsia="Arial" w:hAnsi="Arial"/>
          <w:sz w:val="13"/>
          <w:szCs w:val="13"/>
          <w:color w:val="auto"/>
        </w:rPr>
        <w:t xml:space="preserve"> An employee who satisfies the requirements of Section 4.1(a) below will be eligible to be a participant with respect to the employer 401(k) restoration component of the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97" w:name="page198"/>
    <w:bookmarkEnd w:id="197"/>
    <w:p>
      <w:pPr>
        <w:ind w:right="120" w:firstLine="162"/>
        <w:spacing w:after="0" w:line="276" w:lineRule="auto"/>
        <w:tabs>
          <w:tab w:leader="none" w:pos="342"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Time of Eligibility and Participation.</w:t>
      </w:r>
      <w:r>
        <w:rPr>
          <w:rFonts w:ascii="Arial" w:cs="Arial" w:eastAsia="Arial" w:hAnsi="Arial"/>
          <w:sz w:val="13"/>
          <w:szCs w:val="13"/>
          <w:color w:val="auto"/>
        </w:rPr>
        <w:t xml:space="preserve"> An employee who is newly hired or promoted into a position described in subsection (a)(i) above, or who is newly designated as eligible under subsection (a)(ii) above, will be deemed to be eligible on the date the committee (or its delegatee) sends him an enrollment form (see Section 4.4).</w:t>
      </w:r>
    </w:p>
    <w:p>
      <w:pPr>
        <w:spacing w:after="0" w:line="49" w:lineRule="exact"/>
        <w:rPr>
          <w:sz w:val="20"/>
          <w:szCs w:val="20"/>
          <w:color w:val="auto"/>
        </w:rPr>
      </w:pPr>
    </w:p>
    <w:p>
      <w:pPr>
        <w:ind w:right="160" w:firstLine="157"/>
        <w:spacing w:after="0" w:line="276" w:lineRule="auto"/>
        <w:rPr>
          <w:sz w:val="20"/>
          <w:szCs w:val="20"/>
          <w:color w:val="auto"/>
        </w:rPr>
      </w:pPr>
      <w:r>
        <w:rPr>
          <w:rFonts w:ascii="Arial" w:cs="Arial" w:eastAsia="Arial" w:hAnsi="Arial"/>
          <w:sz w:val="13"/>
          <w:szCs w:val="13"/>
          <w:color w:val="auto"/>
        </w:rPr>
        <w:t>An eligible employee under subsection (a) above will become a participant hereunder when he makes a voluntary deferral under this plan. An eligible employee under subsection (b), (c) or (d) above will become a participant hereunder when Biogen Idec (or other employer) credits an amount to his account(s) hereunder.</w:t>
      </w:r>
    </w:p>
    <w:p>
      <w:pPr>
        <w:spacing w:after="0" w:line="49" w:lineRule="exact"/>
        <w:rPr>
          <w:sz w:val="20"/>
          <w:szCs w:val="20"/>
          <w:color w:val="auto"/>
        </w:rPr>
      </w:pPr>
    </w:p>
    <w:p>
      <w:pPr>
        <w:ind w:right="20" w:firstLine="162"/>
        <w:spacing w:after="0" w:line="276" w:lineRule="auto"/>
        <w:tabs>
          <w:tab w:leader="none" w:pos="327"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Top Hat Plan.</w:t>
      </w:r>
      <w:r>
        <w:rPr>
          <w:rFonts w:ascii="Arial" w:cs="Arial" w:eastAsia="Arial" w:hAnsi="Arial"/>
          <w:sz w:val="13"/>
          <w:szCs w:val="13"/>
          <w:color w:val="auto"/>
        </w:rPr>
        <w:t xml:space="preserve"> Notwithstanding the preceding subsections (or any other provisions of the plan), no employee will be eligible to participate in any component of this plan at any time when he or she is not a member of a select group of management or highly compensated employees (within the meaning of ERISA Sections 201(2), 301(a)(3) and 401(a)(l)), as determined by the committee.</w:t>
      </w:r>
    </w:p>
    <w:p>
      <w:pPr>
        <w:spacing w:after="0" w:line="45"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b w:val="1"/>
          <w:bCs w:val="1"/>
          <w:color w:val="auto"/>
        </w:rPr>
        <w:t xml:space="preserve">3.2 End of Participation. </w:t>
      </w:r>
      <w:r>
        <w:rPr>
          <w:rFonts w:ascii="Arial" w:cs="Arial" w:eastAsia="Arial" w:hAnsi="Arial"/>
          <w:sz w:val="13"/>
          <w:szCs w:val="13"/>
          <w:color w:val="auto"/>
        </w:rPr>
        <w:t>A participant’s participation in this plan (or a particular component of this plan) will end upon the termination of his service as an employee of Biogen Idec (or other employer) because of</w:t>
      </w:r>
      <w:r>
        <w:rPr>
          <w:rFonts w:ascii="Arial" w:cs="Arial" w:eastAsia="Arial" w:hAnsi="Arial"/>
          <w:sz w:val="13"/>
          <w:szCs w:val="13"/>
          <w:b w:val="1"/>
          <w:bCs w:val="1"/>
          <w:color w:val="auto"/>
        </w:rPr>
        <w:t xml:space="preserve"> </w:t>
      </w:r>
      <w:r>
        <w:rPr>
          <w:rFonts w:ascii="Arial" w:cs="Arial" w:eastAsia="Arial" w:hAnsi="Arial"/>
          <w:sz w:val="13"/>
          <w:szCs w:val="13"/>
          <w:color w:val="auto"/>
        </w:rPr>
        <w:t>death or any other reason, or upon his transfer to or reclassification as an employee who is not eligible to participate in the plan (or in such component).</w:t>
      </w:r>
    </w:p>
    <w:p>
      <w:pPr>
        <w:spacing w:after="0" w:line="45"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In addition, in the case of a participant who was designated as eligible for a component of the plan by the Compensation Committee, his participation in such component will end upon the Compensation Committee’s specifying that he is no longer eligible to participate. In such event, his participation will end effective as of the later of the date of the Compensation Committee’s action or the date specified by the Compensation Committee; provided that no such action will retroactively deprive a participant of any amount credited to his account or any amount he was entitled to under this plan determined as of the effective date of his termination of participation.</w:t>
      </w:r>
    </w:p>
    <w:p>
      <w:pPr>
        <w:spacing w:after="0" w:line="60" w:lineRule="exact"/>
        <w:rPr>
          <w:sz w:val="20"/>
          <w:szCs w:val="20"/>
          <w:color w:val="auto"/>
        </w:rPr>
      </w:pPr>
    </w:p>
    <w:p>
      <w:pPr>
        <w:ind w:right="160" w:firstLine="164"/>
        <w:spacing w:after="0" w:line="296" w:lineRule="auto"/>
        <w:rPr>
          <w:sz w:val="20"/>
          <w:szCs w:val="20"/>
          <w:color w:val="auto"/>
        </w:rPr>
      </w:pPr>
      <w:r>
        <w:rPr>
          <w:rFonts w:ascii="Arial" w:cs="Arial" w:eastAsia="Arial" w:hAnsi="Arial"/>
          <w:sz w:val="12"/>
          <w:szCs w:val="12"/>
          <w:color w:val="auto"/>
        </w:rPr>
        <w:t>Upon the termination of a participant’s participation in this plan (or in a particular component of this plan) in accordance with this section, there will be no additional voluntary deferrals or employer credits to such participant’s account(s) (or the account(s) related to such component), except to the extent required by Code Section 409A or the regulations or any rulings thereunder with respect to the balance of the plan year in which such termination of participation occurred. However, the participant will be entitled to receive any vested amounts in his account(s) in accordance with this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VOLUNTARY DEFERRALS BY PARTICIPANTS; EMPLOYER CREDITS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4.1 401(k) Restoration.</w:t>
      </w:r>
    </w:p>
    <w:p>
      <w:pPr>
        <w:spacing w:after="0" w:line="90" w:lineRule="exact"/>
        <w:rPr>
          <w:sz w:val="20"/>
          <w:szCs w:val="20"/>
          <w:color w:val="auto"/>
        </w:rPr>
      </w:pPr>
    </w:p>
    <w:p>
      <w:pPr>
        <w:ind w:right="100" w:firstLine="162"/>
        <w:spacing w:after="0" w:line="276" w:lineRule="auto"/>
        <w:tabs>
          <w:tab w:leader="none" w:pos="342"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xml:space="preserve"> Each employee who has excess applicable compensation during a plan year will receive employer credits under this section, but only if the individual is still an employee as of the end of the plan year (or other period—for example, quarterly) for which an amount is to be credited under subsection (c) below.</w:t>
      </w:r>
    </w:p>
    <w:p>
      <w:pPr>
        <w:spacing w:after="0" w:line="49" w:lineRule="exact"/>
        <w:rPr>
          <w:rFonts w:ascii="Arial" w:cs="Arial" w:eastAsia="Arial" w:hAnsi="Arial"/>
          <w:sz w:val="13"/>
          <w:szCs w:val="13"/>
          <w:color w:val="auto"/>
        </w:rPr>
      </w:pPr>
    </w:p>
    <w:p>
      <w:pPr>
        <w:ind w:right="80" w:firstLine="162"/>
        <w:spacing w:after="0" w:line="264" w:lineRule="auto"/>
        <w:tabs>
          <w:tab w:leader="none" w:pos="349"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Amount of Employer 401(k) Restoration Credits.</w:t>
      </w:r>
      <w:r>
        <w:rPr>
          <w:rFonts w:ascii="Arial" w:cs="Arial" w:eastAsia="Arial" w:hAnsi="Arial"/>
          <w:sz w:val="13"/>
          <w:szCs w:val="13"/>
          <w:color w:val="auto"/>
        </w:rPr>
        <w:t xml:space="preserve"> For each plan year (or a shorter period of time specified by the committee), each employer will credit a 401(k) restoration amount to the account of each eligible participant (under subsection (a) above) employed by such employer who has excess applicable compensation during such plan year (or such shorter period of time). The employer’s credits on behalf of such a participant will be equal to six percent of his excess applicable compensation during the plan year (or such shorter period of time).</w:t>
      </w:r>
    </w:p>
    <w:p>
      <w:pPr>
        <w:spacing w:after="0" w:line="57" w:lineRule="exact"/>
        <w:rPr>
          <w:rFonts w:ascii="Arial" w:cs="Arial" w:eastAsia="Arial" w:hAnsi="Arial"/>
          <w:sz w:val="13"/>
          <w:szCs w:val="13"/>
          <w:color w:val="auto"/>
        </w:rPr>
      </w:pPr>
    </w:p>
    <w:p>
      <w:pPr>
        <w:ind w:right="160" w:firstLine="162"/>
        <w:spacing w:after="0" w:line="276" w:lineRule="auto"/>
        <w:tabs>
          <w:tab w:leader="none" w:pos="342"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Time for Making Employer 401(k) Restoration Credits.</w:t>
      </w:r>
      <w:r>
        <w:rPr>
          <w:rFonts w:ascii="Arial" w:cs="Arial" w:eastAsia="Arial" w:hAnsi="Arial"/>
          <w:sz w:val="13"/>
          <w:szCs w:val="13"/>
          <w:color w:val="auto"/>
        </w:rPr>
        <w:t xml:space="preserve"> Employer credit amounts under subsection (b) will be credited to participants’ accounts at such time(s) as the committee determines after the end of each plan year (or such shorter periods of time—for example, quarterly—specified by the committee).</w:t>
      </w:r>
    </w:p>
    <w:p>
      <w:pPr>
        <w:spacing w:after="0" w:line="45"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b w:val="1"/>
          <w:bCs w:val="1"/>
          <w:color w:val="auto"/>
        </w:rPr>
        <w:t xml:space="preserve">4.2 Voluntary Deferrals. </w:t>
      </w:r>
      <w:r>
        <w:rPr>
          <w:rFonts w:ascii="Arial" w:cs="Arial" w:eastAsia="Arial" w:hAnsi="Arial"/>
          <w:sz w:val="13"/>
          <w:szCs w:val="13"/>
          <w:color w:val="auto"/>
        </w:rPr>
        <w:t>Each eligible employee (under Section 3.1(a)) may make voluntary deferrals under the plan from his base salary in any whole percentage of his base salary from a minimum of 1% to a</w:t>
      </w:r>
      <w:r>
        <w:rPr>
          <w:rFonts w:ascii="Arial" w:cs="Arial" w:eastAsia="Arial" w:hAnsi="Arial"/>
          <w:sz w:val="13"/>
          <w:szCs w:val="13"/>
          <w:b w:val="1"/>
          <w:bCs w:val="1"/>
          <w:color w:val="auto"/>
        </w:rPr>
        <w:t xml:space="preserve"> </w:t>
      </w:r>
      <w:r>
        <w:rPr>
          <w:rFonts w:ascii="Arial" w:cs="Arial" w:eastAsia="Arial" w:hAnsi="Arial"/>
          <w:sz w:val="13"/>
          <w:szCs w:val="13"/>
          <w:color w:val="auto"/>
        </w:rPr>
        <w:t>maximum of 80% by electing to reduce his base salary by such amount. In addition, each such eligible employee may make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8" w:name="page199"/>
    <w:bookmarkEnd w:id="198"/>
    <w:p>
      <w:pPr>
        <w:ind w:right="120"/>
        <w:spacing w:after="0" w:line="276" w:lineRule="auto"/>
        <w:rPr>
          <w:sz w:val="20"/>
          <w:szCs w:val="20"/>
          <w:color w:val="auto"/>
        </w:rPr>
      </w:pPr>
      <w:r>
        <w:rPr>
          <w:rFonts w:ascii="Arial" w:cs="Arial" w:eastAsia="Arial" w:hAnsi="Arial"/>
          <w:sz w:val="13"/>
          <w:szCs w:val="13"/>
          <w:color w:val="auto"/>
        </w:rPr>
        <w:t>voluntary deferrals under the plan from his bonus in any whole percentage of his bonus from a minimum of 1% to a maximum of 100% by electing to reduce his bonus by such amount. Elections will be in accordance with the requirements of Section 4.4(a).</w:t>
      </w:r>
    </w:p>
    <w:p>
      <w:pPr>
        <w:spacing w:after="0" w:line="49" w:lineRule="exact"/>
        <w:rPr>
          <w:sz w:val="20"/>
          <w:szCs w:val="20"/>
          <w:color w:val="auto"/>
        </w:rPr>
      </w:pPr>
    </w:p>
    <w:p>
      <w:pPr>
        <w:ind w:right="80" w:firstLine="164"/>
        <w:spacing w:after="0" w:line="289" w:lineRule="auto"/>
        <w:rPr>
          <w:sz w:val="20"/>
          <w:szCs w:val="20"/>
          <w:color w:val="auto"/>
        </w:rPr>
      </w:pPr>
      <w:r>
        <w:rPr>
          <w:rFonts w:ascii="Arial" w:cs="Arial" w:eastAsia="Arial" w:hAnsi="Arial"/>
          <w:sz w:val="12"/>
          <w:szCs w:val="12"/>
          <w:color w:val="auto"/>
        </w:rPr>
        <w:t>Notwithstanding the first sentence of the preceding paragraph, the committee (or its designee) may reduce the maximum base salary deferral an eligible employee may elect from 80% to such smaller percentage as the committee (or its designee) deems advisable, in the case of any participant or group of participants, so that all employee contributions (by salary reduction or otherwise) for benefit plan coverages applicable to such participant(s), withholding tax obligations applicable to such participant(s), and any other elective or non-elective application of the base salary of such participant(s) (such as, by way of illustration and not by way of limitation, charitable deductions) will be accommodated. Any such reduction applicable to a participant for a plan year will be made before the start of such plan year.</w:t>
      </w:r>
    </w:p>
    <w:p>
      <w:pPr>
        <w:spacing w:after="0" w:line="39" w:lineRule="exact"/>
        <w:rPr>
          <w:sz w:val="20"/>
          <w:szCs w:val="20"/>
          <w:color w:val="auto"/>
        </w:rPr>
      </w:pPr>
    </w:p>
    <w:p>
      <w:pPr>
        <w:ind w:right="240"/>
        <w:spacing w:after="0" w:line="261" w:lineRule="auto"/>
        <w:rPr>
          <w:sz w:val="20"/>
          <w:szCs w:val="20"/>
          <w:color w:val="auto"/>
        </w:rPr>
      </w:pPr>
      <w:r>
        <w:rPr>
          <w:rFonts w:ascii="Arial" w:cs="Arial" w:eastAsia="Arial" w:hAnsi="Arial"/>
          <w:sz w:val="13"/>
          <w:szCs w:val="13"/>
          <w:b w:val="1"/>
          <w:bCs w:val="1"/>
          <w:color w:val="auto"/>
        </w:rPr>
        <w:t xml:space="preserve">4.3 Transition Credit. </w:t>
      </w:r>
      <w:r>
        <w:rPr>
          <w:rFonts w:ascii="Arial" w:cs="Arial" w:eastAsia="Arial" w:hAnsi="Arial"/>
          <w:sz w:val="13"/>
          <w:szCs w:val="13"/>
          <w:color w:val="auto"/>
        </w:rPr>
        <w:t>Each eligible employee (under Section 3.1(b)) will receive a transition credit hereunder. The amount of such credit will be the amount the participant would have received under the terms and</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 of Appendix C of the Savings Plan if Code Section</w:t>
      </w:r>
    </w:p>
    <w:p>
      <w:pPr>
        <w:spacing w:after="0" w:line="1" w:lineRule="exact"/>
        <w:rPr>
          <w:sz w:val="20"/>
          <w:szCs w:val="20"/>
          <w:color w:val="auto"/>
        </w:rPr>
      </w:pPr>
    </w:p>
    <w:p>
      <w:pPr>
        <w:ind w:right="340"/>
        <w:spacing w:after="0" w:line="264" w:lineRule="auto"/>
        <w:rPr>
          <w:sz w:val="20"/>
          <w:szCs w:val="20"/>
          <w:color w:val="auto"/>
        </w:rPr>
      </w:pPr>
      <w:r>
        <w:rPr>
          <w:rFonts w:ascii="Arial" w:cs="Arial" w:eastAsia="Arial" w:hAnsi="Arial"/>
          <w:sz w:val="13"/>
          <w:szCs w:val="13"/>
          <w:color w:val="auto"/>
        </w:rPr>
        <w:t>401(a) nondiscrimination requirements and/or Code Section 401(a)(17) or 415 limits did not apply, reduced by any amount actually contributed to the Savings Plan on his behalf under such Appendix C. Any such transition credit amount hereunder will be credited at a time determined by the committee.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4.4 Election Procedures.</w:t>
      </w:r>
    </w:p>
    <w:p>
      <w:pPr>
        <w:spacing w:after="0" w:line="90" w:lineRule="exact"/>
        <w:rPr>
          <w:sz w:val="20"/>
          <w:szCs w:val="20"/>
          <w:color w:val="auto"/>
        </w:rPr>
      </w:pPr>
    </w:p>
    <w:p>
      <w:pPr>
        <w:jc w:val="both"/>
        <w:ind w:right="60" w:firstLine="162"/>
        <w:spacing w:after="0" w:line="264" w:lineRule="auto"/>
        <w:tabs>
          <w:tab w:leader="none" w:pos="342"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Voluntary Deferrals.</w:t>
      </w:r>
      <w:r>
        <w:rPr>
          <w:rFonts w:ascii="Arial" w:cs="Arial" w:eastAsia="Arial" w:hAnsi="Arial"/>
          <w:sz w:val="13"/>
          <w:szCs w:val="13"/>
          <w:color w:val="auto"/>
        </w:rPr>
        <w:t xml:space="preserve"> An eligible employee under Section 3.1(a) who wishes to reduce his base salary and/or bonus to be earned during a particular plan year in order to make voluntary deferrals under Section 4.2 must complete an enrollment form specifying the amount of his voluntary deferrals (with separate percentages for his base salary and bonus if desired), agreeing to reduce his base salary and/or bonus by the amount(s) he specifies, and providing such other information as the committee may require.</w:t>
      </w:r>
    </w:p>
    <w:p>
      <w:pPr>
        <w:spacing w:after="0" w:line="57" w:lineRule="exact"/>
        <w:rPr>
          <w:sz w:val="20"/>
          <w:szCs w:val="20"/>
          <w:color w:val="auto"/>
        </w:rPr>
      </w:pPr>
    </w:p>
    <w:p>
      <w:pPr>
        <w:ind w:firstLine="157"/>
        <w:spacing w:after="0" w:line="260" w:lineRule="auto"/>
        <w:rPr>
          <w:sz w:val="20"/>
          <w:szCs w:val="20"/>
          <w:color w:val="auto"/>
        </w:rPr>
      </w:pPr>
      <w:r>
        <w:rPr>
          <w:rFonts w:ascii="Arial" w:cs="Arial" w:eastAsia="Arial" w:hAnsi="Arial"/>
          <w:sz w:val="13"/>
          <w:szCs w:val="13"/>
          <w:color w:val="auto"/>
        </w:rPr>
        <w:t>A participant’s enrollment form electing voluntary deferrals for any plan year must be filed with the committee by such deadline as the committee specifies, but in any event before the start of such plan year. A participant may change the amount of his voluntary deferrals with respect to any subsequent plan year by filing a new enrollment form before the start of such subsequent plan year, and the change will become effective as of the first day of such subsequent plan year. Once a participant has elected to defer base salary and/or bonus, his enrollment form will remain in effect for future plan years unless the participant changes or terminates his prior elections by filing a new enrollment form in accordance with the preceding sentence.</w:t>
      </w:r>
    </w:p>
    <w:p>
      <w:pPr>
        <w:spacing w:after="0" w:line="60" w:lineRule="exact"/>
        <w:rPr>
          <w:sz w:val="20"/>
          <w:szCs w:val="20"/>
          <w:color w:val="auto"/>
        </w:rPr>
      </w:pPr>
    </w:p>
    <w:p>
      <w:pPr>
        <w:ind w:right="160" w:firstLine="157"/>
        <w:spacing w:after="0" w:line="258" w:lineRule="auto"/>
        <w:rPr>
          <w:sz w:val="20"/>
          <w:szCs w:val="20"/>
          <w:color w:val="auto"/>
        </w:rPr>
      </w:pPr>
      <w:r>
        <w:rPr>
          <w:rFonts w:ascii="Arial" w:cs="Arial" w:eastAsia="Arial" w:hAnsi="Arial"/>
          <w:sz w:val="13"/>
          <w:szCs w:val="13"/>
          <w:color w:val="auto"/>
        </w:rPr>
        <w:t>An individual who first becomes eligible under Section 3.1(a) during a plan year may make an initial election by filing an enrollment form with the committee not later than 30 days after the committee (or its delegatee) sends him an enrollment form. However, such a newly eligible employee may elect to defer only base salary and/or that portion of bonus to be earned after the date of filing his completed enrollment form. (An individual is considered first eligible only if either: (i) he had not during the preceding 24-month period been eligible to make voluntary deferrals under this plan or under another non-qualified deferred compensation plan maintained by Biogen Idec (or another employer or other subsidiary or affiliate of Biogen Idec); or (ii) he had received a complete distribution of his entire interest under the plan and subsequently, through rehire, promotion, transfer or designation, again becomes eligible to participate in this plan under Section 3.1.)</w:t>
      </w:r>
    </w:p>
    <w:p>
      <w:pPr>
        <w:spacing w:after="0" w:line="61" w:lineRule="exact"/>
        <w:rPr>
          <w:sz w:val="20"/>
          <w:szCs w:val="20"/>
          <w:color w:val="auto"/>
        </w:rPr>
      </w:pPr>
    </w:p>
    <w:p>
      <w:pPr>
        <w:ind w:right="20" w:firstLine="157"/>
        <w:spacing w:after="0" w:line="264" w:lineRule="auto"/>
        <w:rPr>
          <w:sz w:val="20"/>
          <w:szCs w:val="20"/>
          <w:color w:val="auto"/>
        </w:rPr>
      </w:pPr>
      <w:r>
        <w:rPr>
          <w:rFonts w:ascii="Arial" w:cs="Arial" w:eastAsia="Arial" w:hAnsi="Arial"/>
          <w:sz w:val="13"/>
          <w:szCs w:val="13"/>
          <w:color w:val="auto"/>
        </w:rPr>
        <w:t>After a plan year has begun, a participant may not change the amount of voluntary deferrals (if any) he had elected for such plan year. However, if during a plan year a participant either (i) has an unforeseeable emergency (as defined in Section 6.1) and receives a distribution under Section 6.1 or (ii) has a financial hardship (as defined in the Savings Plan) and receives a financial hardship withdrawal from the Savings Plan, the participant’s deferral election for the balance of that year will automatically be cancelled.</w:t>
      </w:r>
    </w:p>
    <w:p>
      <w:pPr>
        <w:spacing w:after="0" w:line="57" w:lineRule="exact"/>
        <w:rPr>
          <w:sz w:val="20"/>
          <w:szCs w:val="20"/>
          <w:color w:val="auto"/>
        </w:rPr>
      </w:pPr>
    </w:p>
    <w:p>
      <w:pPr>
        <w:ind w:left="340" w:hanging="178"/>
        <w:spacing w:after="0"/>
        <w:tabs>
          <w:tab w:leader="none" w:pos="340"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Form and Time of Payment.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i w:val="1"/>
          <w:iCs w:val="1"/>
          <w:color w:val="auto"/>
        </w:rPr>
        <w:t>Initial Election.</w:t>
      </w:r>
      <w:r>
        <w:rPr>
          <w:rFonts w:ascii="Arial" w:cs="Arial" w:eastAsia="Arial" w:hAnsi="Arial"/>
          <w:sz w:val="13"/>
          <w:szCs w:val="13"/>
          <w:color w:val="auto"/>
        </w:rPr>
        <w:t xml:space="preserve"> Each participant must specify the form of payment (lump sum or installments in accordance with Section 6.4(a),</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6.5(a) and/or Section 6.6(a) below, as applicable) of his accounts hereunder in the event of the participant’s death or other termination of employment (including 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auto"/>
        </w:rPr>
        <w:t>a result of disability). The time and form of payments under the plan are governed by the provisions of Article 6 and participant elections must conform to the requirements of such provisions.</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In addition, effective as of the date of execution of this amended and restated plan document, a participant may elect payment of his accounts under Section 6.2 in the event of a change in control (as defined in Section 2.8(b)).</w:t>
      </w:r>
    </w:p>
    <w:p>
      <w:pPr>
        <w:spacing w:after="0" w:line="49" w:lineRule="exact"/>
        <w:rPr>
          <w:sz w:val="20"/>
          <w:szCs w:val="20"/>
          <w:color w:val="auto"/>
        </w:rPr>
      </w:pPr>
    </w:p>
    <w:p>
      <w:pPr>
        <w:ind w:right="80" w:firstLine="164"/>
        <w:spacing w:after="0" w:line="296" w:lineRule="auto"/>
        <w:rPr>
          <w:sz w:val="20"/>
          <w:szCs w:val="20"/>
          <w:color w:val="auto"/>
        </w:rPr>
      </w:pPr>
      <w:r>
        <w:rPr>
          <w:rFonts w:ascii="Arial" w:cs="Arial" w:eastAsia="Arial" w:hAnsi="Arial"/>
          <w:sz w:val="12"/>
          <w:szCs w:val="12"/>
          <w:color w:val="auto"/>
        </w:rPr>
        <w:t>In addition, a participant who is eligible under Section 3.1(a) to elect voluntary deferrals may (but is not required to) specify one or more in-service distributions to the participant in accordance with Section 6.3 if desired by the participant. A participant who declines to elect such an in-service distribution is deemed to have elected payment only after death (Section 6.4) or termination of employment (Section 6.5) or, if applicable, a change in control (Section 6.2); such a participant may not thereafter make a change of election under subsection (ii) with respect to an in-service distribution from the plan.</w:t>
      </w:r>
    </w:p>
    <w:p>
      <w:pPr>
        <w:spacing w:after="0" w:line="40" w:lineRule="exact"/>
        <w:rPr>
          <w:sz w:val="20"/>
          <w:szCs w:val="20"/>
          <w:color w:val="auto"/>
        </w:rPr>
      </w:pPr>
    </w:p>
    <w:p>
      <w:pPr>
        <w:ind w:right="240" w:firstLine="156"/>
        <w:spacing w:after="0" w:line="289" w:lineRule="auto"/>
        <w:rPr>
          <w:sz w:val="20"/>
          <w:szCs w:val="20"/>
          <w:color w:val="auto"/>
        </w:rPr>
      </w:pPr>
      <w:r>
        <w:rPr>
          <w:rFonts w:ascii="Arial" w:cs="Arial" w:eastAsia="Arial" w:hAnsi="Arial"/>
          <w:sz w:val="12"/>
          <w:szCs w:val="12"/>
          <w:color w:val="auto"/>
        </w:rPr>
        <w:t>A participant’s initial election of a time and form of payment hereunder must be made by whichever of the following dates applies to the participant (or the earlier of such dates, if both apply to a particular participant): (A) the deadline for filing the participant’s initial enrollment form under subsection (a) above; or (B) January 30 of the year following the year for which an amount is first credited to the participant under Section 3.1(c), Section 4.1 or Section 4.3 (provided that this clause (B) will not apply to a participant if he was previously eligible for employer credits or contributions (as opposed to voluntary deferrals) under this plan or under any other account balance non-qualified deferred compensation plan maintained by Biogen Idec (or another employer or other subsidiary or affiliate of Biogen Idec).</w:t>
      </w:r>
    </w:p>
    <w:p>
      <w:pPr>
        <w:spacing w:after="0" w:line="43" w:lineRule="exact"/>
        <w:rPr>
          <w:sz w:val="20"/>
          <w:szCs w:val="20"/>
          <w:color w:val="auto"/>
        </w:rPr>
      </w:pPr>
    </w:p>
    <w:p>
      <w:pPr>
        <w:ind w:right="400" w:firstLine="172"/>
        <w:spacing w:after="0" w:line="276" w:lineRule="auto"/>
        <w:tabs>
          <w:tab w:leader="none" w:pos="356" w:val="left"/>
        </w:tabs>
        <w:numPr>
          <w:ilvl w:val="0"/>
          <w:numId w:val="89"/>
        </w:numPr>
        <w:rPr>
          <w:rFonts w:ascii="Arial" w:cs="Arial" w:eastAsia="Arial" w:hAnsi="Arial"/>
          <w:sz w:val="13"/>
          <w:szCs w:val="13"/>
          <w:color w:val="auto"/>
        </w:rPr>
      </w:pPr>
      <w:r>
        <w:rPr>
          <w:rFonts w:ascii="Arial" w:cs="Arial" w:eastAsia="Arial" w:hAnsi="Arial"/>
          <w:sz w:val="13"/>
          <w:szCs w:val="13"/>
          <w:i w:val="1"/>
          <w:iCs w:val="1"/>
          <w:color w:val="auto"/>
        </w:rPr>
        <w:t xml:space="preserve">Change of Election. </w:t>
      </w:r>
      <w:r>
        <w:rPr>
          <w:rFonts w:ascii="Arial" w:cs="Arial" w:eastAsia="Arial" w:hAnsi="Arial"/>
          <w:sz w:val="13"/>
          <w:szCs w:val="13"/>
          <w:color w:val="auto"/>
        </w:rPr>
        <w:t>Notwithstanding subsection (i) above, the following changes of election will be permitted. If such a subsequent election becomes effective as provided below, then the participant’s</w:t>
      </w:r>
      <w:r>
        <w:rPr>
          <w:rFonts w:ascii="Arial" w:cs="Arial" w:eastAsia="Arial" w:hAnsi="Arial"/>
          <w:sz w:val="13"/>
          <w:szCs w:val="13"/>
          <w:i w:val="1"/>
          <w:iCs w:val="1"/>
          <w:color w:val="auto"/>
        </w:rPr>
        <w:t xml:space="preserve"> </w:t>
      </w:r>
      <w:r>
        <w:rPr>
          <w:rFonts w:ascii="Arial" w:cs="Arial" w:eastAsia="Arial" w:hAnsi="Arial"/>
          <w:sz w:val="13"/>
          <w:szCs w:val="13"/>
          <w:color w:val="auto"/>
        </w:rPr>
        <w:t>account(s) will be payable at the time and in the form specified in his subsequent election.</w:t>
      </w:r>
    </w:p>
    <w:p>
      <w:pPr>
        <w:spacing w:after="0" w:line="49" w:lineRule="exact"/>
        <w:rPr>
          <w:rFonts w:ascii="Arial" w:cs="Arial" w:eastAsia="Arial" w:hAnsi="Arial"/>
          <w:sz w:val="13"/>
          <w:szCs w:val="13"/>
          <w:color w:val="auto"/>
        </w:rPr>
      </w:pPr>
    </w:p>
    <w:p>
      <w:pPr>
        <w:ind w:left="680" w:hanging="449"/>
        <w:spacing w:after="0" w:line="258" w:lineRule="auto"/>
        <w:tabs>
          <w:tab w:leader="none" w:pos="680"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In-Service Distributions.</w:t>
      </w:r>
      <w:r>
        <w:rPr>
          <w:rFonts w:ascii="Arial" w:cs="Arial" w:eastAsia="Arial" w:hAnsi="Arial"/>
          <w:sz w:val="13"/>
          <w:szCs w:val="13"/>
          <w:color w:val="auto"/>
        </w:rPr>
        <w:t xml:space="preserve"> In the case of an eligible participant who elected an in-service distribution, at any time that is at least one year prior to the date for payment originally elected by the participant, if the participant is still an employee of Biogen Idec (or another employer or other subsidiary or affiliate) at such time, the participant may make one subsequent election to defer the time when any previously elected in-service distribution under Section 6.3 from his account(s) would otherwise be payable (or installment payments would otherwise begin) to a subsequent date specified by him, and/or may elect another form of payment or a different number of installments with respect to the in-service distribution of his account(s), subject in all cases to the requirements of this section and to the requirements of Section 6.3.</w:t>
      </w:r>
    </w:p>
    <w:p>
      <w:pPr>
        <w:spacing w:after="0" w:line="71" w:lineRule="exact"/>
        <w:rPr>
          <w:rFonts w:ascii="Arial" w:cs="Arial" w:eastAsia="Arial" w:hAnsi="Arial"/>
          <w:sz w:val="13"/>
          <w:szCs w:val="13"/>
          <w:color w:val="auto"/>
        </w:rPr>
      </w:pPr>
    </w:p>
    <w:p>
      <w:pPr>
        <w:jc w:val="both"/>
        <w:ind w:left="680" w:right="60" w:hanging="449"/>
        <w:spacing w:after="0" w:line="264" w:lineRule="auto"/>
        <w:tabs>
          <w:tab w:leader="none" w:pos="680" w:val="left"/>
        </w:tabs>
        <w:numPr>
          <w:ilvl w:val="1"/>
          <w:numId w:val="89"/>
        </w:numPr>
        <w:rPr>
          <w:rFonts w:ascii="Arial" w:cs="Arial" w:eastAsia="Arial" w:hAnsi="Arial"/>
          <w:sz w:val="13"/>
          <w:szCs w:val="13"/>
          <w:color w:val="auto"/>
        </w:rPr>
      </w:pPr>
      <w:r>
        <w:rPr>
          <w:rFonts w:ascii="Arial" w:cs="Arial" w:eastAsia="Arial" w:hAnsi="Arial"/>
          <w:sz w:val="13"/>
          <w:szCs w:val="13"/>
          <w:u w:val="single" w:color="auto"/>
          <w:color w:val="auto"/>
        </w:rPr>
        <w:t>Death or Termination of Employment.</w:t>
      </w:r>
      <w:r>
        <w:rPr>
          <w:rFonts w:ascii="Arial" w:cs="Arial" w:eastAsia="Arial" w:hAnsi="Arial"/>
          <w:sz w:val="13"/>
          <w:szCs w:val="13"/>
          <w:color w:val="auto"/>
        </w:rPr>
        <w:t xml:space="preserve"> A participant who is still an employee of Biogen Idec (or another employer or other subsidiary or affiliate) may make one subsequent election to change the form of payment hereunder that will be used following his death or other termination of employment. Such an election must comply with the applicable requirements of Sections 6.4(a), 6.5(a) and 6.6(a) (as applicable).</w:t>
      </w:r>
    </w:p>
    <w:p>
      <w:pPr>
        <w:spacing w:after="0" w:line="66" w:lineRule="exact"/>
        <w:rPr>
          <w:rFonts w:ascii="Arial" w:cs="Arial" w:eastAsia="Arial" w:hAnsi="Arial"/>
          <w:sz w:val="13"/>
          <w:szCs w:val="13"/>
          <w:color w:val="auto"/>
        </w:rPr>
      </w:pPr>
    </w:p>
    <w:p>
      <w:pPr>
        <w:ind w:left="680" w:right="60" w:hanging="449"/>
        <w:spacing w:after="0" w:line="289" w:lineRule="auto"/>
        <w:tabs>
          <w:tab w:leader="none" w:pos="680" w:val="left"/>
        </w:tabs>
        <w:numPr>
          <w:ilvl w:val="1"/>
          <w:numId w:val="89"/>
        </w:numPr>
        <w:rPr>
          <w:rFonts w:ascii="Arial" w:cs="Arial" w:eastAsia="Arial" w:hAnsi="Arial"/>
          <w:sz w:val="12"/>
          <w:szCs w:val="12"/>
          <w:color w:val="auto"/>
        </w:rPr>
      </w:pPr>
      <w:r>
        <w:rPr>
          <w:rFonts w:ascii="Arial" w:cs="Arial" w:eastAsia="Arial" w:hAnsi="Arial"/>
          <w:sz w:val="12"/>
          <w:szCs w:val="12"/>
          <w:u w:val="single" w:color="auto"/>
          <w:color w:val="auto"/>
        </w:rPr>
        <w:t>Effectiveness of Subsequent Election.</w:t>
      </w:r>
      <w:r>
        <w:rPr>
          <w:rFonts w:ascii="Arial" w:cs="Arial" w:eastAsia="Arial" w:hAnsi="Arial"/>
          <w:sz w:val="12"/>
          <w:szCs w:val="12"/>
          <w:color w:val="auto"/>
        </w:rPr>
        <w:t xml:space="preserve"> A participant’s subsequent election under this subsection (ii) will become effective only if the following requirements are satisfied: (1) the subsequent election does not take effect until one year after the date of the subsequent election and the participant remains an employee of Biogen Idec (or another employer or other subsidiary or affiliate)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No election under this subsection (ii) may operate to accelerate any payment or distribution hereunder or violate any requirement of Code Section 409A or the regulations and rulings thereunder.</w:t>
      </w:r>
    </w:p>
    <w:p>
      <w:pPr>
        <w:spacing w:after="0" w:line="15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00" w:name="page201"/>
    <w:bookmarkEnd w:id="200"/>
    <w:p>
      <w:pPr>
        <w:ind w:left="220" w:right="100" w:firstLine="156"/>
        <w:spacing w:after="0" w:line="289" w:lineRule="auto"/>
        <w:rPr>
          <w:sz w:val="20"/>
          <w:szCs w:val="20"/>
          <w:color w:val="auto"/>
        </w:rPr>
      </w:pPr>
      <w:r>
        <w:rPr>
          <w:rFonts w:ascii="Arial" w:cs="Arial" w:eastAsia="Arial" w:hAnsi="Arial"/>
          <w:sz w:val="12"/>
          <w:szCs w:val="12"/>
          <w:color w:val="auto"/>
        </w:rPr>
        <w:t>A participant may make only one subsequent election under subsection (ii) (A) and only one subsequent election under subsection (ii)(B). Such subsequent election(s) may be made at the 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PARTICIPANT ACCOUNTS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5.1 Participant Accounts.</w:t>
      </w:r>
    </w:p>
    <w:p>
      <w:pPr>
        <w:spacing w:after="0" w:line="90" w:lineRule="exact"/>
        <w:rPr>
          <w:sz w:val="20"/>
          <w:szCs w:val="20"/>
          <w:color w:val="auto"/>
        </w:rPr>
      </w:pPr>
    </w:p>
    <w:p>
      <w:pPr>
        <w:ind w:firstLine="162"/>
        <w:spacing w:after="0" w:line="276" w:lineRule="auto"/>
        <w:tabs>
          <w:tab w:leader="none" w:pos="342"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Employer 401(k) Restoration Accounts.</w:t>
      </w:r>
      <w:r>
        <w:rPr>
          <w:rFonts w:ascii="Arial" w:cs="Arial" w:eastAsia="Arial" w:hAnsi="Arial"/>
          <w:sz w:val="13"/>
          <w:szCs w:val="13"/>
          <w:color w:val="auto"/>
        </w:rPr>
        <w:t xml:space="preserve"> Employer credits on a participant’s behalf under Section 4.1 will be credited to an account in the name of such participant. Such account will be called his employer 401(k) restoration account.</w:t>
      </w:r>
    </w:p>
    <w:p>
      <w:pPr>
        <w:spacing w:after="0" w:line="49" w:lineRule="exact"/>
        <w:rPr>
          <w:rFonts w:ascii="Arial" w:cs="Arial" w:eastAsia="Arial" w:hAnsi="Arial"/>
          <w:sz w:val="13"/>
          <w:szCs w:val="13"/>
          <w:color w:val="auto"/>
        </w:rPr>
      </w:pPr>
    </w:p>
    <w:p>
      <w:pPr>
        <w:ind w:right="440" w:firstLine="162"/>
        <w:spacing w:after="0" w:line="276" w:lineRule="auto"/>
        <w:tabs>
          <w:tab w:leader="none" w:pos="349"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Voluntary Deferred Compensation Accounts.</w:t>
      </w:r>
      <w:r>
        <w:rPr>
          <w:rFonts w:ascii="Arial" w:cs="Arial" w:eastAsia="Arial" w:hAnsi="Arial"/>
          <w:sz w:val="13"/>
          <w:szCs w:val="13"/>
          <w:color w:val="auto"/>
        </w:rPr>
        <w:t xml:space="preserve"> Voluntary deferrals by a participant under Section 4.2 will be credited to an account in the name of such participant. Such account will be called his voluntary deferred compensation account.</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Transition Accounts.</w:t>
      </w:r>
      <w:r>
        <w:rPr>
          <w:rFonts w:ascii="Arial" w:cs="Arial" w:eastAsia="Arial" w:hAnsi="Arial"/>
          <w:sz w:val="12"/>
          <w:szCs w:val="12"/>
          <w:color w:val="auto"/>
        </w:rPr>
        <w:t xml:space="preserve"> Transition credits on a participant’s behalf under Section 4.3 will be credited to an account in the name of such participant. Such account will be called his transition account.</w:t>
      </w:r>
    </w:p>
    <w:p>
      <w:pPr>
        <w:spacing w:after="0" w:line="97" w:lineRule="exact"/>
        <w:rPr>
          <w:rFonts w:ascii="Arial" w:cs="Arial" w:eastAsia="Arial" w:hAnsi="Arial"/>
          <w:sz w:val="12"/>
          <w:szCs w:val="12"/>
          <w:color w:val="auto"/>
        </w:rPr>
      </w:pPr>
    </w:p>
    <w:p>
      <w:pPr>
        <w:ind w:right="40" w:firstLine="162"/>
        <w:spacing w:after="0" w:line="276" w:lineRule="auto"/>
        <w:tabs>
          <w:tab w:leader="none" w:pos="349"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Prior Plan Account.</w:t>
      </w:r>
      <w:r>
        <w:rPr>
          <w:rFonts w:ascii="Arial" w:cs="Arial" w:eastAsia="Arial" w:hAnsi="Arial"/>
          <w:sz w:val="13"/>
          <w:szCs w:val="13"/>
          <w:color w:val="auto"/>
        </w:rPr>
        <w:t xml:space="preserve"> Account balances as of December 31, 2003 (or such later date as the committee specified) for a participant in a prior plan were transferred to this plan from such prior plan and the transferred amount was credited to an account in the name of such participant. Such account is called his prior plan account.</w:t>
      </w:r>
    </w:p>
    <w:p>
      <w:pPr>
        <w:spacing w:after="0" w:line="49" w:lineRule="exact"/>
        <w:rPr>
          <w:rFonts w:ascii="Arial" w:cs="Arial" w:eastAsia="Arial" w:hAnsi="Arial"/>
          <w:sz w:val="13"/>
          <w:szCs w:val="13"/>
          <w:color w:val="auto"/>
        </w:rPr>
      </w:pPr>
    </w:p>
    <w:p>
      <w:pPr>
        <w:jc w:val="both"/>
        <w:ind w:right="40" w:firstLine="162"/>
        <w:spacing w:after="0" w:line="258" w:lineRule="auto"/>
        <w:tabs>
          <w:tab w:leader="none" w:pos="342"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Biogen SERP Account.</w:t>
      </w:r>
      <w:r>
        <w:rPr>
          <w:rFonts w:ascii="Arial" w:cs="Arial" w:eastAsia="Arial" w:hAnsi="Arial"/>
          <w:sz w:val="13"/>
          <w:szCs w:val="13"/>
          <w:color w:val="auto"/>
        </w:rPr>
        <w:t xml:space="preserve"> Amounts transferred to this plan from the Biogen SERP on behalf of a participant were credited to an account in the name of such participant. Such account is called his Biogen SERP account. The amount so transferred on behalf of a participant in the excess benefit formulas in Section 4.2 of the Biogen SERP was the amount credited to such participant’s Biogen SERP cash balance account as of December 31, 2003 (or such later date of transfer as the committee specified). The amount so transferred on behalf of a participant in the supplemental pension formula in Section 4.1 of the SERP was the present value as of December 31, 2003 (or such later date of transfer as the committee specified) of the participant’s SERP accrued supplemental pension as of such date (calculated in accordance with the terms of the SERP in effect on such date).</w:t>
      </w:r>
    </w:p>
    <w:p>
      <w:pPr>
        <w:spacing w:after="0" w:line="61" w:lineRule="exact"/>
        <w:rPr>
          <w:rFonts w:ascii="Arial" w:cs="Arial" w:eastAsia="Arial" w:hAnsi="Arial"/>
          <w:sz w:val="13"/>
          <w:szCs w:val="13"/>
          <w:color w:val="auto"/>
        </w:rPr>
      </w:pPr>
    </w:p>
    <w:p>
      <w:pPr>
        <w:ind w:left="320" w:hanging="158"/>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u w:val="single" w:color="auto"/>
          <w:color w:val="auto"/>
        </w:rPr>
        <w:t>Certain Special Provisions.</w:t>
      </w:r>
      <w:r>
        <w:rPr>
          <w:rFonts w:ascii="Arial" w:cs="Arial" w:eastAsia="Arial" w:hAnsi="Arial"/>
          <w:sz w:val="13"/>
          <w:szCs w:val="13"/>
          <w:color w:val="auto"/>
        </w:rPr>
        <w:t xml:space="preserve"> Participants’ prior plan accounts and Biogen SERP accounts will be governed by the applicable provisions of this plan as in effect from time to time.</w:t>
      </w:r>
    </w:p>
    <w:p>
      <w:pPr>
        <w:spacing w:after="0" w:line="86"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For persons who were participants in the Biogen SERP before the transfer date referred to in subsection (e) above and are entitled to a vested SERP benefit thereunder, but who are not active participants under this plan and therefore do not have an account hereunder, the amount transferred to this plan in respect of their Biogen SERP benefit will be governed by Appendix B hereto, as in effect from time to time.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(g) </w:t>
      </w:r>
      <w:r>
        <w:rPr>
          <w:rFonts w:ascii="Arial" w:cs="Arial" w:eastAsia="Arial" w:hAnsi="Arial"/>
          <w:sz w:val="11"/>
          <w:szCs w:val="11"/>
          <w:u w:val="single" w:color="auto"/>
          <w:color w:val="auto"/>
        </w:rPr>
        <w:t>409A.</w:t>
      </w:r>
      <w:r>
        <w:rPr>
          <w:rFonts w:ascii="Arial" w:cs="Arial" w:eastAsia="Arial" w:hAnsi="Arial"/>
          <w:sz w:val="11"/>
          <w:szCs w:val="11"/>
          <w:color w:val="auto"/>
        </w:rPr>
        <w:t xml:space="preserve"> For purposes of applying Code Section 409A, as provided in the regulations thereunder, a participant’s voluntary deferred compensation account is disaggregated from his or her other accounts hereunder.</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5.2 Participant’s Account Value.</w:t>
      </w:r>
    </w:p>
    <w:p>
      <w:pPr>
        <w:spacing w:after="0" w:line="90" w:lineRule="exact"/>
        <w:rPr>
          <w:sz w:val="20"/>
          <w:szCs w:val="20"/>
          <w:color w:val="auto"/>
        </w:rPr>
      </w:pPr>
    </w:p>
    <w:p>
      <w:pPr>
        <w:ind w:right="300" w:firstLine="162"/>
        <w:spacing w:after="0" w:line="276" w:lineRule="auto"/>
        <w:tabs>
          <w:tab w:leader="none" w:pos="342"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Deemed Investment Results.</w:t>
      </w:r>
      <w:r>
        <w:rPr>
          <w:rFonts w:ascii="Arial" w:cs="Arial" w:eastAsia="Arial" w:hAnsi="Arial"/>
          <w:sz w:val="13"/>
          <w:szCs w:val="13"/>
          <w:color w:val="auto"/>
        </w:rPr>
        <w:t xml:space="preserve"> A participant’s accounts will be credited with deemed investment results as if the amounts credited to his accounts were invested in one or more designated investment funds (as described below) and all dividends and distributions on shares or other interests of a particular investment fund were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1" w:name="page202"/>
    <w:bookmarkEnd w:id="201"/>
    <w:p>
      <w:pPr>
        <w:ind w:right="340"/>
        <w:spacing w:after="0" w:line="264" w:lineRule="auto"/>
        <w:rPr>
          <w:sz w:val="20"/>
          <w:szCs w:val="20"/>
          <w:color w:val="auto"/>
        </w:rPr>
      </w:pPr>
      <w:r>
        <w:rPr>
          <w:rFonts w:ascii="Arial" w:cs="Arial" w:eastAsia="Arial" w:hAnsi="Arial"/>
          <w:sz w:val="13"/>
          <w:szCs w:val="13"/>
          <w:color w:val="auto"/>
        </w:rPr>
        <w:t>reinvested in such fund. The investment funds available for this purpose will be those from time to time available as investment options for participants’ accounts under the Savings Plan, plus the investment funds specified in subsections (b) and (c) below (in the case of eligible participants). Investment funds hereunder are for the sole purpose of providing the basis for crediting deemed investment results to participants’ accounts, and do not represent any actual funds or assets held hereunder for the benefit of participants.</w:t>
      </w:r>
    </w:p>
    <w:p>
      <w:pPr>
        <w:spacing w:after="0" w:line="57" w:lineRule="exact"/>
        <w:rPr>
          <w:sz w:val="20"/>
          <w:szCs w:val="20"/>
          <w:color w:val="auto"/>
        </w:rPr>
      </w:pPr>
    </w:p>
    <w:p>
      <w:pPr>
        <w:ind w:right="80" w:firstLine="164"/>
        <w:spacing w:after="0" w:line="257" w:lineRule="auto"/>
        <w:rPr>
          <w:sz w:val="20"/>
          <w:szCs w:val="20"/>
          <w:color w:val="auto"/>
        </w:rPr>
      </w:pPr>
      <w:r>
        <w:rPr>
          <w:rFonts w:ascii="Arial" w:cs="Arial" w:eastAsia="Arial" w:hAnsi="Arial"/>
          <w:sz w:val="13"/>
          <w:szCs w:val="13"/>
          <w:color w:val="auto"/>
        </w:rPr>
        <w:t>Each participant will indicate with his initial enrollment form (or another form specified by the committee) the investment fund or funds (and the proportion in each fund when the participant designates more than one) he wishes to designate for this purpose. Thereafter, a participant may change his designation with respect to either the deemed investment of future credits to his account(s) hereunder or the deemed transfer of amounts from a previously designated investment fund to another fund. The committee shall establish the frequency with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62" w:lineRule="exact"/>
        <w:rPr>
          <w:sz w:val="20"/>
          <w:szCs w:val="20"/>
          <w:color w:val="auto"/>
        </w:rPr>
      </w:pPr>
    </w:p>
    <w:p>
      <w:pPr>
        <w:jc w:val="both"/>
        <w:ind w:right="400" w:firstLine="164"/>
        <w:spacing w:after="0" w:line="264" w:lineRule="auto"/>
        <w:rPr>
          <w:sz w:val="20"/>
          <w:szCs w:val="20"/>
          <w:color w:val="auto"/>
        </w:rPr>
      </w:pPr>
      <w:r>
        <w:rPr>
          <w:rFonts w:ascii="Arial" w:cs="Arial" w:eastAsia="Arial" w:hAnsi="Arial"/>
          <w:sz w:val="13"/>
          <w:szCs w:val="13"/>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57"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Deemed investment results under this subsection will be credited to a participant’s accounts effective as of the last day of each plan year (and as of such other valuation dates during a plan year as the committee may establish).</w:t>
      </w:r>
    </w:p>
    <w:p>
      <w:pPr>
        <w:spacing w:after="0" w:line="49" w:lineRule="exact"/>
        <w:rPr>
          <w:sz w:val="20"/>
          <w:szCs w:val="20"/>
          <w:color w:val="auto"/>
        </w:rPr>
      </w:pPr>
    </w:p>
    <w:p>
      <w:pPr>
        <w:ind w:right="280" w:firstLine="161"/>
        <w:spacing w:after="0" w:line="320" w:lineRule="auto"/>
        <w:rPr>
          <w:sz w:val="20"/>
          <w:szCs w:val="20"/>
          <w:color w:val="auto"/>
        </w:rPr>
      </w:pPr>
      <w:r>
        <w:rPr>
          <w:rFonts w:ascii="Arial" w:cs="Arial" w:eastAsia="Arial" w:hAnsi="Arial"/>
          <w:sz w:val="12"/>
          <w:szCs w:val="12"/>
          <w:color w:val="auto"/>
        </w:rPr>
        <w:t>The value of a participant’s accounts at any point in time will be his voluntary deferrals, employer 401(k) restoration credits, transition credits on his behalf, and prior plan and/or Biogen SERP transfer amounts, increased or decreased by deemed investment results as provided in this section through the most recent valuation date, and reduced by any distributions from the participant’s accounts.</w:t>
      </w:r>
    </w:p>
    <w:p>
      <w:pPr>
        <w:spacing w:after="0" w:line="25" w:lineRule="exact"/>
        <w:rPr>
          <w:sz w:val="20"/>
          <w:szCs w:val="20"/>
          <w:color w:val="auto"/>
        </w:rPr>
      </w:pPr>
    </w:p>
    <w:p>
      <w:pPr>
        <w:ind w:right="20" w:firstLine="162"/>
        <w:spacing w:after="0" w:line="264" w:lineRule="auto"/>
        <w:tabs>
          <w:tab w:leader="none" w:pos="349"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Fixed Income Option.</w:t>
      </w:r>
      <w:r>
        <w:rPr>
          <w:rFonts w:ascii="Arial" w:cs="Arial" w:eastAsia="Arial" w:hAnsi="Arial"/>
          <w:sz w:val="13"/>
          <w:szCs w:val="13"/>
          <w:color w:val="auto"/>
        </w:rPr>
        <w:t xml:space="preserve"> In addition to the investment funds offered under the Savings Plan as described in (a) above, a participant who is eligible to make voluntary deferrals (see Section 3.1(a)) may elect to have his accounts credited with the deemed investment results as if they were invested in a fixed income option earning a rate of return specified by the committee. The rate of return under the fixed income option will be 8% for the 2008 plan year. The rate of return of future plan years will be determined each year by the committee.</w:t>
      </w:r>
    </w:p>
    <w:p>
      <w:pPr>
        <w:spacing w:after="0" w:line="57" w:lineRule="exact"/>
        <w:rPr>
          <w:rFonts w:ascii="Arial" w:cs="Arial" w:eastAsia="Arial" w:hAnsi="Arial"/>
          <w:sz w:val="13"/>
          <w:szCs w:val="13"/>
          <w:color w:val="auto"/>
        </w:rPr>
      </w:pPr>
    </w:p>
    <w:p>
      <w:pPr>
        <w:ind w:firstLine="162"/>
        <w:spacing w:after="0" w:line="258" w:lineRule="auto"/>
        <w:tabs>
          <w:tab w:leader="none" w:pos="342"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Exception for Certain Prior Plan Accounts.</w:t>
      </w:r>
      <w:r>
        <w:rPr>
          <w:rFonts w:ascii="Arial" w:cs="Arial" w:eastAsia="Arial" w:hAnsi="Arial"/>
          <w:sz w:val="13"/>
          <w:szCs w:val="13"/>
          <w:color w:val="auto"/>
        </w:rPr>
        <w:t xml:space="preserve"> Former participants in the IDEC Pharmaceuticals Corporation Deferred Compensation Plan whose accounts were credited with interest under the fixed income option available under that plan immediately prior to the date such account was transferred to this plan may continue to have such transferred amount credited with deemed investment results equal to the interest rate under that fixed income option. Any additional contributions made under this plan will be credited with deemed investment results as described in subsection (a) or (b) above. Amounts being credited with interest under this subsection (c) may be transferred to an option described in subsection (a) or (b) above, but no amounts credited to a participant’s accounts may be transferred into the fixed income option under this subsection (c) (even if such amounts had previously been invested in such investment fund and then transferred to another investment fund).</w:t>
      </w:r>
    </w:p>
    <w:p>
      <w:pPr>
        <w:spacing w:after="0" w:line="61" w:lineRule="exact"/>
        <w:rPr>
          <w:rFonts w:ascii="Arial" w:cs="Arial" w:eastAsia="Arial" w:hAnsi="Arial"/>
          <w:sz w:val="13"/>
          <w:szCs w:val="13"/>
          <w:color w:val="auto"/>
        </w:rPr>
      </w:pPr>
    </w:p>
    <w:p>
      <w:pPr>
        <w:ind w:firstLine="162"/>
        <w:spacing w:after="0" w:line="296" w:lineRule="auto"/>
        <w:tabs>
          <w:tab w:leader="none" w:pos="349"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Special Rule for Transferred Prior Plan Accounts and Transferred Biogen SERP Accounts.</w:t>
      </w:r>
      <w:r>
        <w:rPr>
          <w:rFonts w:ascii="Arial" w:cs="Arial" w:eastAsia="Arial" w:hAnsi="Arial"/>
          <w:sz w:val="12"/>
          <w:szCs w:val="12"/>
          <w:color w:val="auto"/>
        </w:rPr>
        <w:t xml:space="preserve"> In connection with the transfer of participants’ prior plan account balances and Biogen SERP account balances to this plan, transferred account balances were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subsection (a)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2" w:name="page203"/>
    <w:bookmarkEnd w:id="202"/>
    <w:p>
      <w:pPr>
        <w:ind w:right="60" w:firstLine="162"/>
        <w:spacing w:after="0" w:line="276" w:lineRule="auto"/>
        <w:tabs>
          <w:tab w:leader="none" w:pos="342"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Bookkeeping Accounts.</w:t>
      </w:r>
      <w:r>
        <w:rPr>
          <w:rFonts w:ascii="Arial" w:cs="Arial" w:eastAsia="Arial" w:hAnsi="Arial"/>
          <w:sz w:val="13"/>
          <w:szCs w:val="13"/>
          <w:color w:val="auto"/>
        </w:rPr>
        <w:t xml:space="preserve"> Participants’ accounts and subaccounts will be maintained on the books of the participant’s employer for bookkeeping purposes only; such accounts will not represent any property or any secured or priority interest in any trust or in any segregated asset.</w:t>
      </w:r>
    </w:p>
    <w:p>
      <w:pPr>
        <w:spacing w:after="0" w:line="49"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In order to facilitate the administration of the plan, the committee may arrange for a participant’s account to be divided for recordkeeping purposes into two or more subaccounts, in accordance with procedures established by the committee.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5.3 Vesting.</w:t>
      </w:r>
    </w:p>
    <w:p>
      <w:pPr>
        <w:spacing w:after="0" w:line="90" w:lineRule="exact"/>
        <w:rPr>
          <w:sz w:val="20"/>
          <w:szCs w:val="20"/>
          <w:color w:val="auto"/>
        </w:rPr>
      </w:pPr>
    </w:p>
    <w:p>
      <w:pPr>
        <w:ind w:left="340" w:hanging="178"/>
        <w:spacing w:after="0"/>
        <w:tabs>
          <w:tab w:leader="none" w:pos="34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Employer 401(k) Restoration Account.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i w:val="1"/>
          <w:iCs w:val="1"/>
          <w:color w:val="auto"/>
        </w:rPr>
        <w:t>Before January 1, 2008.</w:t>
      </w:r>
      <w:r>
        <w:rPr>
          <w:rFonts w:ascii="Arial" w:cs="Arial" w:eastAsia="Arial" w:hAnsi="Arial"/>
          <w:sz w:val="13"/>
          <w:szCs w:val="13"/>
          <w:color w:val="auto"/>
        </w:rPr>
        <w:t xml:space="preserve"> This subsection (i) will apply to participants who incur a termination of employment before January 1, 2008.</w:t>
      </w:r>
    </w:p>
    <w:p>
      <w:pPr>
        <w:spacing w:after="0" w:line="84" w:lineRule="exact"/>
        <w:rPr>
          <w:sz w:val="20"/>
          <w:szCs w:val="20"/>
          <w:color w:val="auto"/>
        </w:rPr>
      </w:pPr>
    </w:p>
    <w:p>
      <w:pPr>
        <w:ind w:left="220" w:firstLine="156"/>
        <w:spacing w:after="0" w:line="280" w:lineRule="auto"/>
        <w:rPr>
          <w:sz w:val="20"/>
          <w:szCs w:val="20"/>
          <w:color w:val="auto"/>
        </w:rPr>
      </w:pPr>
      <w:r>
        <w:rPr>
          <w:rFonts w:ascii="Arial" w:cs="Arial" w:eastAsia="Arial" w:hAnsi="Arial"/>
          <w:sz w:val="13"/>
          <w:szCs w:val="13"/>
          <w:color w:val="auto"/>
        </w:rPr>
        <w:t>A participant who is an active employee will have a fully vested interest in his employer 401(k) restoration account at all times on and after his 55</w:t>
      </w:r>
      <w:r>
        <w:rPr>
          <w:rFonts w:ascii="Arial" w:cs="Arial" w:eastAsia="Arial" w:hAnsi="Arial"/>
          <w:sz w:val="11"/>
          <w:szCs w:val="11"/>
          <w:color w:val="auto"/>
        </w:rPr>
        <w:t>th</w:t>
      </w:r>
      <w:r>
        <w:rPr>
          <w:rFonts w:ascii="Arial" w:cs="Arial" w:eastAsia="Arial" w:hAnsi="Arial"/>
          <w:sz w:val="13"/>
          <w:szCs w:val="13"/>
          <w:color w:val="auto"/>
        </w:rPr>
        <w:t xml:space="preserve"> birthday. Before that date, such a participant will have a vested interest in that percentage of his employer 401(k) restoration account specified in the following table based upon his number of years of service under the plan: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0020" w:type="dxa"/>
            <w:vAlign w:val="bottom"/>
            <w:gridSpan w:val="2"/>
          </w:tcPr>
          <w:p>
            <w:pPr>
              <w:spacing w:after="0"/>
              <w:rPr>
                <w:sz w:val="20"/>
                <w:szCs w:val="20"/>
                <w:color w:val="auto"/>
              </w:rPr>
            </w:pPr>
            <w:r>
              <w:rPr>
                <w:rFonts w:ascii="Arial" w:cs="Arial" w:eastAsia="Arial" w:hAnsi="Arial"/>
                <w:sz w:val="10"/>
                <w:szCs w:val="10"/>
                <w:color w:val="auto"/>
              </w:rPr>
              <w:t>Years of Service</w:t>
            </w:r>
          </w:p>
        </w:tc>
        <w:tc>
          <w:tcPr>
            <w:tcW w:w="560" w:type="dxa"/>
            <w:vAlign w:val="bottom"/>
          </w:tcPr>
          <w:p>
            <w:pPr>
              <w:spacing w:after="0"/>
              <w:rPr>
                <w:sz w:val="10"/>
                <w:szCs w:val="10"/>
                <w:color w:val="auto"/>
              </w:rPr>
            </w:pPr>
          </w:p>
        </w:tc>
        <w:tc>
          <w:tcPr>
            <w:tcW w:w="880" w:type="dxa"/>
            <w:vAlign w:val="bottom"/>
          </w:tcPr>
          <w:p>
            <w:pPr>
              <w:jc w:val="right"/>
              <w:ind w:right="1"/>
              <w:spacing w:after="0"/>
              <w:rPr>
                <w:sz w:val="20"/>
                <w:szCs w:val="20"/>
                <w:color w:val="auto"/>
              </w:rPr>
            </w:pPr>
            <w:r>
              <w:rPr>
                <w:rFonts w:ascii="Arial" w:cs="Arial" w:eastAsia="Arial" w:hAnsi="Arial"/>
                <w:sz w:val="10"/>
                <w:szCs w:val="10"/>
                <w:color w:val="auto"/>
                <w:w w:val="94"/>
              </w:rPr>
              <w:t>Vested Percentage</w:t>
            </w:r>
          </w:p>
        </w:tc>
      </w:tr>
      <w:tr>
        <w:trPr>
          <w:trHeight w:val="147"/>
        </w:trPr>
        <w:tc>
          <w:tcPr>
            <w:tcW w:w="20" w:type="dxa"/>
            <w:vAlign w:val="bottom"/>
          </w:tcPr>
          <w:p>
            <w:pPr>
              <w:spacing w:after="0"/>
              <w:rPr>
                <w:sz w:val="12"/>
                <w:szCs w:val="12"/>
                <w:color w:val="auto"/>
              </w:rPr>
            </w:pPr>
          </w:p>
        </w:tc>
        <w:tc>
          <w:tcPr>
            <w:tcW w:w="100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Less than 1</w:t>
            </w:r>
          </w:p>
        </w:tc>
        <w:tc>
          <w:tcPr>
            <w:tcW w:w="56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61"/>
              <w:spacing w:after="0" w:line="148" w:lineRule="exact"/>
              <w:rPr>
                <w:sz w:val="20"/>
                <w:szCs w:val="20"/>
                <w:color w:val="auto"/>
              </w:rPr>
            </w:pPr>
            <w:r>
              <w:rPr>
                <w:rFonts w:ascii="Arial" w:cs="Arial" w:eastAsia="Arial" w:hAnsi="Arial"/>
                <w:sz w:val="13"/>
                <w:szCs w:val="13"/>
                <w:color w:val="auto"/>
              </w:rPr>
              <w:t>0%</w:t>
            </w:r>
          </w:p>
        </w:tc>
      </w:tr>
      <w:tr>
        <w:trPr>
          <w:trHeight w:val="157"/>
        </w:trPr>
        <w:tc>
          <w:tcPr>
            <w:tcW w:w="20" w:type="dxa"/>
            <w:vAlign w:val="bottom"/>
          </w:tcPr>
          <w:p>
            <w:pPr>
              <w:spacing w:after="0"/>
              <w:rPr>
                <w:sz w:val="13"/>
                <w:szCs w:val="13"/>
                <w:color w:val="auto"/>
              </w:rPr>
            </w:pPr>
          </w:p>
        </w:tc>
        <w:tc>
          <w:tcPr>
            <w:tcW w:w="10000" w:type="dxa"/>
            <w:vAlign w:val="bottom"/>
          </w:tcPr>
          <w:p>
            <w:pPr>
              <w:spacing w:after="0"/>
              <w:rPr>
                <w:sz w:val="20"/>
                <w:szCs w:val="20"/>
                <w:color w:val="auto"/>
              </w:rPr>
            </w:pPr>
            <w:r>
              <w:rPr>
                <w:rFonts w:ascii="Arial" w:cs="Arial" w:eastAsia="Arial" w:hAnsi="Arial"/>
                <w:sz w:val="13"/>
                <w:szCs w:val="13"/>
                <w:color w:val="auto"/>
              </w:rPr>
              <w:t>1</w:t>
            </w:r>
          </w:p>
        </w:tc>
        <w:tc>
          <w:tcPr>
            <w:tcW w:w="1440" w:type="dxa"/>
            <w:vAlign w:val="bottom"/>
            <w:gridSpan w:val="2"/>
          </w:tcPr>
          <w:p>
            <w:pPr>
              <w:jc w:val="right"/>
              <w:ind w:right="161"/>
              <w:spacing w:after="0"/>
              <w:rPr>
                <w:sz w:val="20"/>
                <w:szCs w:val="20"/>
                <w:color w:val="auto"/>
              </w:rPr>
            </w:pPr>
            <w:r>
              <w:rPr>
                <w:rFonts w:ascii="Arial" w:cs="Arial" w:eastAsia="Arial" w:hAnsi="Arial"/>
                <w:sz w:val="13"/>
                <w:szCs w:val="13"/>
                <w:color w:val="auto"/>
              </w:rPr>
              <w:t>25%</w:t>
            </w:r>
          </w:p>
        </w:tc>
      </w:tr>
      <w:tr>
        <w:trPr>
          <w:trHeight w:val="157"/>
        </w:trPr>
        <w:tc>
          <w:tcPr>
            <w:tcW w:w="20" w:type="dxa"/>
            <w:vAlign w:val="bottom"/>
          </w:tcPr>
          <w:p>
            <w:pPr>
              <w:spacing w:after="0"/>
              <w:rPr>
                <w:sz w:val="13"/>
                <w:szCs w:val="13"/>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3"/>
                <w:szCs w:val="13"/>
                <w:color w:val="auto"/>
              </w:rPr>
              <w:t>2</w:t>
            </w:r>
          </w:p>
        </w:tc>
        <w:tc>
          <w:tcPr>
            <w:tcW w:w="1440" w:type="dxa"/>
            <w:vAlign w:val="bottom"/>
            <w:gridSpan w:val="2"/>
            <w:shd w:val="clear" w:color="auto" w:fill="CCEEFF"/>
          </w:tcPr>
          <w:p>
            <w:pPr>
              <w:jc w:val="right"/>
              <w:ind w:right="161"/>
              <w:spacing w:after="0"/>
              <w:rPr>
                <w:sz w:val="20"/>
                <w:szCs w:val="20"/>
                <w:color w:val="auto"/>
              </w:rPr>
            </w:pPr>
            <w:r>
              <w:rPr>
                <w:rFonts w:ascii="Arial" w:cs="Arial" w:eastAsia="Arial" w:hAnsi="Arial"/>
                <w:sz w:val="13"/>
                <w:szCs w:val="13"/>
                <w:color w:val="auto"/>
              </w:rPr>
              <w:t>50%</w:t>
            </w:r>
          </w:p>
        </w:tc>
      </w:tr>
      <w:tr>
        <w:trPr>
          <w:trHeight w:val="157"/>
        </w:trPr>
        <w:tc>
          <w:tcPr>
            <w:tcW w:w="20" w:type="dxa"/>
            <w:vAlign w:val="bottom"/>
          </w:tcPr>
          <w:p>
            <w:pPr>
              <w:spacing w:after="0"/>
              <w:rPr>
                <w:sz w:val="13"/>
                <w:szCs w:val="13"/>
                <w:color w:val="auto"/>
              </w:rPr>
            </w:pPr>
          </w:p>
        </w:tc>
        <w:tc>
          <w:tcPr>
            <w:tcW w:w="10000" w:type="dxa"/>
            <w:vAlign w:val="bottom"/>
          </w:tcPr>
          <w:p>
            <w:pPr>
              <w:spacing w:after="0"/>
              <w:rPr>
                <w:sz w:val="20"/>
                <w:szCs w:val="20"/>
                <w:color w:val="auto"/>
              </w:rPr>
            </w:pPr>
            <w:r>
              <w:rPr>
                <w:rFonts w:ascii="Arial" w:cs="Arial" w:eastAsia="Arial" w:hAnsi="Arial"/>
                <w:sz w:val="13"/>
                <w:szCs w:val="13"/>
                <w:color w:val="auto"/>
              </w:rPr>
              <w:t>3</w:t>
            </w:r>
          </w:p>
        </w:tc>
        <w:tc>
          <w:tcPr>
            <w:tcW w:w="1440" w:type="dxa"/>
            <w:vAlign w:val="bottom"/>
            <w:gridSpan w:val="2"/>
          </w:tcPr>
          <w:p>
            <w:pPr>
              <w:jc w:val="right"/>
              <w:ind w:right="161"/>
              <w:spacing w:after="0"/>
              <w:rPr>
                <w:sz w:val="20"/>
                <w:szCs w:val="20"/>
                <w:color w:val="auto"/>
              </w:rPr>
            </w:pPr>
            <w:r>
              <w:rPr>
                <w:rFonts w:ascii="Arial" w:cs="Arial" w:eastAsia="Arial" w:hAnsi="Arial"/>
                <w:sz w:val="13"/>
                <w:szCs w:val="13"/>
                <w:color w:val="auto"/>
              </w:rPr>
              <w:t>75%</w:t>
            </w:r>
          </w:p>
        </w:tc>
      </w:tr>
      <w:tr>
        <w:trPr>
          <w:trHeight w:val="157"/>
        </w:trPr>
        <w:tc>
          <w:tcPr>
            <w:tcW w:w="20" w:type="dxa"/>
            <w:vAlign w:val="bottom"/>
          </w:tcPr>
          <w:p>
            <w:pPr>
              <w:spacing w:after="0"/>
              <w:rPr>
                <w:sz w:val="13"/>
                <w:szCs w:val="13"/>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3"/>
                <w:szCs w:val="13"/>
                <w:color w:val="auto"/>
              </w:rPr>
              <w:t>4 or more</w:t>
            </w:r>
          </w:p>
        </w:tc>
        <w:tc>
          <w:tcPr>
            <w:tcW w:w="1440" w:type="dxa"/>
            <w:vAlign w:val="bottom"/>
            <w:gridSpan w:val="2"/>
            <w:shd w:val="clear" w:color="auto" w:fill="CCEEFF"/>
          </w:tcPr>
          <w:p>
            <w:pPr>
              <w:jc w:val="right"/>
              <w:ind w:right="161"/>
              <w:spacing w:after="0"/>
              <w:rPr>
                <w:sz w:val="20"/>
                <w:szCs w:val="20"/>
                <w:color w:val="auto"/>
              </w:rPr>
            </w:pPr>
            <w:r>
              <w:rPr>
                <w:rFonts w:ascii="Arial" w:cs="Arial" w:eastAsia="Arial" w:hAnsi="Arial"/>
                <w:sz w:val="13"/>
                <w:szCs w:val="13"/>
                <w:color w:val="auto"/>
              </w:rPr>
              <w:t>100%</w:t>
            </w:r>
          </w:p>
        </w:tc>
      </w:tr>
    </w:tbl>
    <w:p>
      <w:pPr>
        <w:spacing w:after="0" w:line="70" w:lineRule="exact"/>
        <w:rPr>
          <w:sz w:val="20"/>
          <w:szCs w:val="20"/>
          <w:color w:val="auto"/>
        </w:rPr>
      </w:pPr>
    </w:p>
    <w:p>
      <w:pPr>
        <w:ind w:left="220" w:right="240" w:firstLine="172"/>
        <w:spacing w:after="0" w:line="320" w:lineRule="auto"/>
        <w:tabs>
          <w:tab w:leader="none" w:pos="576" w:val="left"/>
        </w:tabs>
        <w:numPr>
          <w:ilvl w:val="1"/>
          <w:numId w:val="95"/>
        </w:numPr>
        <w:rPr>
          <w:rFonts w:ascii="Arial" w:cs="Arial" w:eastAsia="Arial" w:hAnsi="Arial"/>
          <w:sz w:val="12"/>
          <w:szCs w:val="12"/>
          <w:color w:val="auto"/>
        </w:rPr>
      </w:pPr>
      <w:r>
        <w:rPr>
          <w:rFonts w:ascii="Arial" w:cs="Arial" w:eastAsia="Arial" w:hAnsi="Arial"/>
          <w:sz w:val="12"/>
          <w:szCs w:val="12"/>
          <w:i w:val="1"/>
          <w:iCs w:val="1"/>
          <w:color w:val="auto"/>
        </w:rPr>
        <w:t xml:space="preserve">On or After January 1, 2008. </w:t>
      </w:r>
      <w:r>
        <w:rPr>
          <w:rFonts w:ascii="Arial" w:cs="Arial" w:eastAsia="Arial" w:hAnsi="Arial"/>
          <w:sz w:val="12"/>
          <w:szCs w:val="12"/>
          <w:color w:val="auto"/>
        </w:rPr>
        <w:t>This subsection (ii) will apply to participants who are active employees on or after January 1, 2008 (i.e., have not incurred a termination of employment with Biogen Idec, or</w:t>
      </w:r>
      <w:r>
        <w:rPr>
          <w:rFonts w:ascii="Arial" w:cs="Arial" w:eastAsia="Arial" w:hAnsi="Arial"/>
          <w:sz w:val="12"/>
          <w:szCs w:val="12"/>
          <w:i w:val="1"/>
          <w:iCs w:val="1"/>
          <w:color w:val="auto"/>
        </w:rPr>
        <w:t xml:space="preserve"> </w:t>
      </w:r>
      <w:r>
        <w:rPr>
          <w:rFonts w:ascii="Arial" w:cs="Arial" w:eastAsia="Arial" w:hAnsi="Arial"/>
          <w:sz w:val="12"/>
          <w:szCs w:val="12"/>
          <w:color w:val="auto"/>
        </w:rPr>
        <w:t>another employer or other subsidiary or affiliate of Biogen Idec, before January 1, 2008). Each such participant will have a fully vested interest in his employer 401(k) restoration account at all times.</w:t>
      </w:r>
    </w:p>
    <w:p>
      <w:pPr>
        <w:spacing w:after="0" w:line="25" w:lineRule="exact"/>
        <w:rPr>
          <w:rFonts w:ascii="Arial" w:cs="Arial" w:eastAsia="Arial" w:hAnsi="Arial"/>
          <w:sz w:val="12"/>
          <w:szCs w:val="12"/>
          <w:color w:val="auto"/>
        </w:rPr>
      </w:pPr>
    </w:p>
    <w:p>
      <w:pPr>
        <w:ind w:left="340" w:hanging="178"/>
        <w:spacing w:after="0"/>
        <w:tabs>
          <w:tab w:leader="none" w:pos="34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Voluntary Deferred Compensation Account.</w:t>
      </w:r>
      <w:r>
        <w:rPr>
          <w:rFonts w:ascii="Arial" w:cs="Arial" w:eastAsia="Arial" w:hAnsi="Arial"/>
          <w:sz w:val="13"/>
          <w:szCs w:val="13"/>
          <w:color w:val="auto"/>
        </w:rPr>
        <w:t xml:space="preserve"> A participant will have a fully vested interest in his voluntary deferred compensation account at all times.</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Transition Account.</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1"/>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Before January 1, 2008. </w:t>
      </w:r>
      <w:r>
        <w:rPr>
          <w:rFonts w:ascii="Arial" w:cs="Arial" w:eastAsia="Arial" w:hAnsi="Arial"/>
          <w:sz w:val="13"/>
          <w:szCs w:val="13"/>
          <w:color w:val="auto"/>
        </w:rPr>
        <w:t>This subsection (i) will apply to participants who incur a termination of employment before January 1, 2008.</w:t>
      </w:r>
    </w:p>
    <w:p>
      <w:pPr>
        <w:spacing w:after="0" w:line="84" w:lineRule="exact"/>
        <w:rPr>
          <w:sz w:val="20"/>
          <w:szCs w:val="20"/>
          <w:color w:val="auto"/>
        </w:rPr>
      </w:pPr>
    </w:p>
    <w:p>
      <w:pPr>
        <w:ind w:left="220" w:right="200" w:firstLine="156"/>
        <w:spacing w:after="0" w:line="280" w:lineRule="auto"/>
        <w:rPr>
          <w:sz w:val="20"/>
          <w:szCs w:val="20"/>
          <w:color w:val="auto"/>
        </w:rPr>
      </w:pPr>
      <w:r>
        <w:rPr>
          <w:rFonts w:ascii="Arial" w:cs="Arial" w:eastAsia="Arial" w:hAnsi="Arial"/>
          <w:sz w:val="13"/>
          <w:szCs w:val="13"/>
          <w:color w:val="auto"/>
        </w:rPr>
        <w:t>A participant who is an active employee will have a fully vested interest in his transition account at all times on and after his 65</w:t>
      </w:r>
      <w:r>
        <w:rPr>
          <w:rFonts w:ascii="Arial" w:cs="Arial" w:eastAsia="Arial" w:hAnsi="Arial"/>
          <w:sz w:val="11"/>
          <w:szCs w:val="11"/>
          <w:color w:val="auto"/>
        </w:rPr>
        <w:t>th</w:t>
      </w:r>
      <w:r>
        <w:rPr>
          <w:rFonts w:ascii="Arial" w:cs="Arial" w:eastAsia="Arial" w:hAnsi="Arial"/>
          <w:sz w:val="13"/>
          <w:szCs w:val="13"/>
          <w:color w:val="auto"/>
        </w:rPr>
        <w:t xml:space="preserve"> birthday. Before that date, such a participant will have a vested interest in that percentage of his transition contribution account specified in the following table based upon his number of years of service under the plan: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gridSpan w:val="2"/>
          </w:tcPr>
          <w:p>
            <w:pPr>
              <w:spacing w:after="0"/>
              <w:rPr>
                <w:sz w:val="20"/>
                <w:szCs w:val="20"/>
                <w:color w:val="auto"/>
              </w:rPr>
            </w:pPr>
            <w:r>
              <w:rPr>
                <w:rFonts w:ascii="Arial" w:cs="Arial" w:eastAsia="Arial" w:hAnsi="Arial"/>
                <w:sz w:val="10"/>
                <w:szCs w:val="10"/>
                <w:color w:val="auto"/>
              </w:rPr>
              <w:t>Years of Service</w:t>
            </w:r>
          </w:p>
        </w:tc>
        <w:tc>
          <w:tcPr>
            <w:tcW w:w="6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tcPr>
          <w:p>
            <w:pPr>
              <w:jc w:val="right"/>
              <w:ind w:right="1"/>
              <w:spacing w:after="0"/>
              <w:rPr>
                <w:sz w:val="20"/>
                <w:szCs w:val="20"/>
                <w:color w:val="auto"/>
              </w:rPr>
            </w:pPr>
            <w:r>
              <w:rPr>
                <w:rFonts w:ascii="Arial" w:cs="Arial" w:eastAsia="Arial" w:hAnsi="Arial"/>
                <w:sz w:val="10"/>
                <w:szCs w:val="10"/>
                <w:color w:val="auto"/>
                <w:w w:val="94"/>
              </w:rPr>
              <w:t>Vested Percentage</w:t>
            </w:r>
          </w:p>
        </w:tc>
      </w:tr>
      <w:tr>
        <w:trPr>
          <w:trHeight w:val="147"/>
        </w:trPr>
        <w:tc>
          <w:tcPr>
            <w:tcW w:w="20" w:type="dxa"/>
            <w:vAlign w:val="bottom"/>
          </w:tcPr>
          <w:p>
            <w:pPr>
              <w:spacing w:after="0"/>
              <w:rPr>
                <w:sz w:val="12"/>
                <w:szCs w:val="12"/>
                <w:color w:val="auto"/>
              </w:rPr>
            </w:pPr>
          </w:p>
        </w:tc>
        <w:tc>
          <w:tcPr>
            <w:tcW w:w="31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Less than 2</w:t>
            </w:r>
          </w:p>
        </w:tc>
        <w:tc>
          <w:tcPr>
            <w:tcW w:w="68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61"/>
              <w:spacing w:after="0" w:line="148" w:lineRule="exact"/>
              <w:rPr>
                <w:sz w:val="20"/>
                <w:szCs w:val="20"/>
                <w:color w:val="auto"/>
              </w:rPr>
            </w:pPr>
            <w:r>
              <w:rPr>
                <w:rFonts w:ascii="Arial" w:cs="Arial" w:eastAsia="Arial" w:hAnsi="Arial"/>
                <w:sz w:val="13"/>
                <w:szCs w:val="13"/>
                <w:color w:val="auto"/>
              </w:rPr>
              <w:t>0%</w:t>
            </w: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3"/>
                <w:szCs w:val="13"/>
                <w:color w:val="auto"/>
              </w:rPr>
              <w:t>2</w:t>
            </w:r>
          </w:p>
        </w:tc>
        <w:tc>
          <w:tcPr>
            <w:tcW w:w="8260" w:type="dxa"/>
            <w:vAlign w:val="bottom"/>
            <w:gridSpan w:val="3"/>
          </w:tcPr>
          <w:p>
            <w:pPr>
              <w:jc w:val="right"/>
              <w:ind w:right="161"/>
              <w:spacing w:after="0"/>
              <w:rPr>
                <w:sz w:val="20"/>
                <w:szCs w:val="20"/>
                <w:color w:val="auto"/>
              </w:rPr>
            </w:pPr>
            <w:r>
              <w:rPr>
                <w:rFonts w:ascii="Arial" w:cs="Arial" w:eastAsia="Arial" w:hAnsi="Arial"/>
                <w:sz w:val="13"/>
                <w:szCs w:val="13"/>
                <w:color w:val="auto"/>
              </w:rPr>
              <w:t>20%</w:t>
            </w:r>
          </w:p>
        </w:tc>
      </w:tr>
      <w:tr>
        <w:trPr>
          <w:trHeight w:val="157"/>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3</w:t>
            </w:r>
          </w:p>
        </w:tc>
        <w:tc>
          <w:tcPr>
            <w:tcW w:w="8260" w:type="dxa"/>
            <w:vAlign w:val="bottom"/>
            <w:gridSpan w:val="3"/>
            <w:shd w:val="clear" w:color="auto" w:fill="CCEEFF"/>
          </w:tcPr>
          <w:p>
            <w:pPr>
              <w:jc w:val="right"/>
              <w:ind w:right="161"/>
              <w:spacing w:after="0"/>
              <w:rPr>
                <w:sz w:val="20"/>
                <w:szCs w:val="20"/>
                <w:color w:val="auto"/>
              </w:rPr>
            </w:pPr>
            <w:r>
              <w:rPr>
                <w:rFonts w:ascii="Arial" w:cs="Arial" w:eastAsia="Arial" w:hAnsi="Arial"/>
                <w:sz w:val="13"/>
                <w:szCs w:val="13"/>
                <w:color w:val="auto"/>
              </w:rPr>
              <w:t>50%</w:t>
            </w: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3"/>
                <w:szCs w:val="13"/>
                <w:color w:val="auto"/>
              </w:rPr>
              <w:t>4</w:t>
            </w:r>
          </w:p>
        </w:tc>
        <w:tc>
          <w:tcPr>
            <w:tcW w:w="8260" w:type="dxa"/>
            <w:vAlign w:val="bottom"/>
            <w:gridSpan w:val="3"/>
          </w:tcPr>
          <w:p>
            <w:pPr>
              <w:jc w:val="right"/>
              <w:ind w:right="161"/>
              <w:spacing w:after="0"/>
              <w:rPr>
                <w:sz w:val="20"/>
                <w:szCs w:val="20"/>
                <w:color w:val="auto"/>
              </w:rPr>
            </w:pPr>
            <w:r>
              <w:rPr>
                <w:rFonts w:ascii="Arial" w:cs="Arial" w:eastAsia="Arial" w:hAnsi="Arial"/>
                <w:sz w:val="13"/>
                <w:szCs w:val="13"/>
                <w:color w:val="auto"/>
              </w:rPr>
              <w:t>60%</w:t>
            </w:r>
          </w:p>
        </w:tc>
      </w:tr>
      <w:tr>
        <w:trPr>
          <w:trHeight w:val="157"/>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5</w:t>
            </w:r>
          </w:p>
        </w:tc>
        <w:tc>
          <w:tcPr>
            <w:tcW w:w="8260" w:type="dxa"/>
            <w:vAlign w:val="bottom"/>
            <w:gridSpan w:val="3"/>
            <w:shd w:val="clear" w:color="auto" w:fill="CCEEFF"/>
          </w:tcPr>
          <w:p>
            <w:pPr>
              <w:jc w:val="right"/>
              <w:ind w:right="161"/>
              <w:spacing w:after="0"/>
              <w:rPr>
                <w:sz w:val="20"/>
                <w:szCs w:val="20"/>
                <w:color w:val="auto"/>
              </w:rPr>
            </w:pPr>
            <w:r>
              <w:rPr>
                <w:rFonts w:ascii="Arial" w:cs="Arial" w:eastAsia="Arial" w:hAnsi="Arial"/>
                <w:sz w:val="13"/>
                <w:szCs w:val="13"/>
                <w:color w:val="auto"/>
              </w:rPr>
              <w:t>70%</w:t>
            </w:r>
          </w:p>
        </w:tc>
      </w:tr>
      <w:tr>
        <w:trPr>
          <w:trHeight w:val="157"/>
        </w:trPr>
        <w:tc>
          <w:tcPr>
            <w:tcW w:w="2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Arial" w:cs="Arial" w:eastAsia="Arial" w:hAnsi="Arial"/>
                <w:sz w:val="13"/>
                <w:szCs w:val="13"/>
                <w:color w:val="auto"/>
              </w:rPr>
              <w:t>6</w:t>
            </w:r>
          </w:p>
        </w:tc>
        <w:tc>
          <w:tcPr>
            <w:tcW w:w="8260" w:type="dxa"/>
            <w:vAlign w:val="bottom"/>
            <w:gridSpan w:val="3"/>
          </w:tcPr>
          <w:p>
            <w:pPr>
              <w:jc w:val="right"/>
              <w:ind w:right="161"/>
              <w:spacing w:after="0"/>
              <w:rPr>
                <w:sz w:val="20"/>
                <w:szCs w:val="20"/>
                <w:color w:val="auto"/>
              </w:rPr>
            </w:pPr>
            <w:r>
              <w:rPr>
                <w:rFonts w:ascii="Arial" w:cs="Arial" w:eastAsia="Arial" w:hAnsi="Arial"/>
                <w:sz w:val="13"/>
                <w:szCs w:val="13"/>
                <w:color w:val="auto"/>
              </w:rPr>
              <w:t>80%</w:t>
            </w:r>
          </w:p>
        </w:tc>
      </w:tr>
      <w:tr>
        <w:trPr>
          <w:trHeight w:val="157"/>
        </w:trPr>
        <w:tc>
          <w:tcPr>
            <w:tcW w:w="20" w:type="dxa"/>
            <w:vAlign w:val="bottom"/>
          </w:tcPr>
          <w:p>
            <w:pPr>
              <w:spacing w:after="0"/>
              <w:rPr>
                <w:sz w:val="13"/>
                <w:szCs w:val="13"/>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3"/>
                <w:szCs w:val="13"/>
                <w:color w:val="auto"/>
              </w:rPr>
              <w:t>7 or more</w:t>
            </w:r>
          </w:p>
        </w:tc>
        <w:tc>
          <w:tcPr>
            <w:tcW w:w="8260" w:type="dxa"/>
            <w:vAlign w:val="bottom"/>
            <w:gridSpan w:val="3"/>
            <w:shd w:val="clear" w:color="auto" w:fill="CCEEFF"/>
          </w:tcPr>
          <w:p>
            <w:pPr>
              <w:jc w:val="right"/>
              <w:ind w:right="161"/>
              <w:spacing w:after="0"/>
              <w:rPr>
                <w:sz w:val="20"/>
                <w:szCs w:val="20"/>
                <w:color w:val="auto"/>
              </w:rPr>
            </w:pPr>
            <w:r>
              <w:rPr>
                <w:rFonts w:ascii="Arial" w:cs="Arial" w:eastAsia="Arial" w:hAnsi="Arial"/>
                <w:sz w:val="13"/>
                <w:szCs w:val="13"/>
                <w:color w:val="auto"/>
              </w:rPr>
              <w:t>100%</w:t>
            </w:r>
          </w:p>
        </w:tc>
      </w:tr>
      <w:tr>
        <w:trPr>
          <w:trHeight w:val="29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20" w:type="dxa"/>
            <w:vAlign w:val="bottom"/>
          </w:tcPr>
          <w:p>
            <w:pPr>
              <w:jc w:val="right"/>
              <w:ind w:right="4194"/>
              <w:spacing w:after="0"/>
              <w:rPr>
                <w:sz w:val="20"/>
                <w:szCs w:val="20"/>
                <w:color w:val="auto"/>
              </w:rPr>
            </w:pPr>
            <w:r>
              <w:rPr>
                <w:rFonts w:ascii="Arial" w:cs="Arial" w:eastAsia="Arial" w:hAnsi="Arial"/>
                <w:sz w:val="13"/>
                <w:szCs w:val="13"/>
                <w:color w:val="auto"/>
              </w:rPr>
              <w:t>9</w:t>
            </w: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68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3" w:name="page204"/>
    <w:bookmarkEnd w:id="203"/>
    <w:p>
      <w:pPr>
        <w:ind w:left="220" w:right="180" w:firstLine="172"/>
        <w:spacing w:after="0" w:line="320" w:lineRule="auto"/>
        <w:tabs>
          <w:tab w:leader="none" w:pos="576" w:val="left"/>
        </w:tabs>
        <w:numPr>
          <w:ilvl w:val="1"/>
          <w:numId w:val="97"/>
        </w:numPr>
        <w:rPr>
          <w:rFonts w:ascii="Arial" w:cs="Arial" w:eastAsia="Arial" w:hAnsi="Arial"/>
          <w:sz w:val="12"/>
          <w:szCs w:val="12"/>
          <w:color w:val="auto"/>
        </w:rPr>
      </w:pPr>
      <w:r>
        <w:rPr>
          <w:rFonts w:ascii="Arial" w:cs="Arial" w:eastAsia="Arial" w:hAnsi="Arial"/>
          <w:sz w:val="12"/>
          <w:szCs w:val="12"/>
          <w:i w:val="1"/>
          <w:iCs w:val="1"/>
          <w:color w:val="auto"/>
        </w:rPr>
        <w:t xml:space="preserve">On or After January 1, 2008. </w:t>
      </w:r>
      <w:r>
        <w:rPr>
          <w:rFonts w:ascii="Arial" w:cs="Arial" w:eastAsia="Arial" w:hAnsi="Arial"/>
          <w:sz w:val="12"/>
          <w:szCs w:val="12"/>
          <w:color w:val="auto"/>
        </w:rPr>
        <w:t>This subsection (ii) will apply to participants who are active employees on or after January 1, 2008 (i.e., have not incurred a termination of employment with Biogen Idec, or</w:t>
      </w:r>
      <w:r>
        <w:rPr>
          <w:rFonts w:ascii="Arial" w:cs="Arial" w:eastAsia="Arial" w:hAnsi="Arial"/>
          <w:sz w:val="12"/>
          <w:szCs w:val="12"/>
          <w:i w:val="1"/>
          <w:iCs w:val="1"/>
          <w:color w:val="auto"/>
        </w:rPr>
        <w:t xml:space="preserve"> </w:t>
      </w:r>
      <w:r>
        <w:rPr>
          <w:rFonts w:ascii="Arial" w:cs="Arial" w:eastAsia="Arial" w:hAnsi="Arial"/>
          <w:sz w:val="12"/>
          <w:szCs w:val="12"/>
          <w:color w:val="auto"/>
        </w:rPr>
        <w:t>another employer or other subsidiary or affiliate of Biogen Idec, before January 1, 2008). Each such participant will have a fully vested interest in his transition account at all times.</w:t>
      </w:r>
    </w:p>
    <w:p>
      <w:pPr>
        <w:spacing w:after="0" w:line="25" w:lineRule="exact"/>
        <w:rPr>
          <w:rFonts w:ascii="Arial" w:cs="Arial" w:eastAsia="Arial" w:hAnsi="Arial"/>
          <w:sz w:val="12"/>
          <w:szCs w:val="12"/>
          <w:color w:val="auto"/>
        </w:rPr>
      </w:pPr>
    </w:p>
    <w:p>
      <w:pPr>
        <w:ind w:left="340" w:hanging="178"/>
        <w:spacing w:after="0"/>
        <w:tabs>
          <w:tab w:leader="none" w:pos="34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Prior Plan Account.</w:t>
      </w:r>
      <w:r>
        <w:rPr>
          <w:rFonts w:ascii="Arial" w:cs="Arial" w:eastAsia="Arial" w:hAnsi="Arial"/>
          <w:sz w:val="13"/>
          <w:szCs w:val="13"/>
          <w:color w:val="auto"/>
        </w:rPr>
        <w:t xml:space="preserve"> A participant will have a fully vested interest in his prior plan account at all times.</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Biogen SERP Account.</w:t>
      </w:r>
      <w:r>
        <w:rPr>
          <w:rFonts w:ascii="Arial" w:cs="Arial" w:eastAsia="Arial" w:hAnsi="Arial"/>
          <w:sz w:val="13"/>
          <w:szCs w:val="13"/>
          <w:color w:val="auto"/>
        </w:rPr>
        <w:t xml:space="preserve"> A participant who is an active employee will have a fully vested interest in his Biogen SERP account at all times effective January 1, 2004.</w:t>
      </w:r>
    </w:p>
    <w:p>
      <w:pPr>
        <w:spacing w:after="0" w:line="86" w:lineRule="exact"/>
        <w:rPr>
          <w:rFonts w:ascii="Arial" w:cs="Arial" w:eastAsia="Arial" w:hAnsi="Arial"/>
          <w:sz w:val="13"/>
          <w:szCs w:val="13"/>
          <w:color w:val="auto"/>
        </w:rPr>
      </w:pPr>
    </w:p>
    <w:p>
      <w:pPr>
        <w:ind w:left="320" w:hanging="158"/>
        <w:spacing w:after="0"/>
        <w:tabs>
          <w:tab w:leader="none" w:pos="320" w:val="left"/>
        </w:tabs>
        <w:numPr>
          <w:ilvl w:val="0"/>
          <w:numId w:val="98"/>
        </w:numPr>
        <w:rPr>
          <w:rFonts w:ascii="Arial" w:cs="Arial" w:eastAsia="Arial" w:hAnsi="Arial"/>
          <w:sz w:val="13"/>
          <w:szCs w:val="13"/>
          <w:color w:val="auto"/>
        </w:rPr>
      </w:pPr>
      <w:r>
        <w:rPr>
          <w:rFonts w:ascii="Arial" w:cs="Arial" w:eastAsia="Arial" w:hAnsi="Arial"/>
          <w:sz w:val="13"/>
          <w:szCs w:val="13"/>
          <w:u w:val="single" w:color="auto"/>
          <w:color w:val="auto"/>
        </w:rPr>
        <w:t>Full Vesting upon Death, Disability or Change in Control.</w:t>
      </w:r>
      <w:r>
        <w:rPr>
          <w:rFonts w:ascii="Arial" w:cs="Arial" w:eastAsia="Arial" w:hAnsi="Arial"/>
          <w:sz w:val="13"/>
          <w:szCs w:val="13"/>
          <w:color w:val="auto"/>
        </w:rPr>
        <w:t xml:space="preserve"> Notwithstanding subsections (a)(i) and (c)(i) above (for participants to whom such subsections apply):</w:t>
      </w:r>
    </w:p>
    <w:p>
      <w:pPr>
        <w:spacing w:after="0" w:line="86" w:lineRule="exact"/>
        <w:rPr>
          <w:rFonts w:ascii="Arial" w:cs="Arial" w:eastAsia="Arial" w:hAnsi="Arial"/>
          <w:sz w:val="13"/>
          <w:szCs w:val="13"/>
          <w:color w:val="auto"/>
        </w:rPr>
      </w:pPr>
    </w:p>
    <w:p>
      <w:pPr>
        <w:ind w:left="220" w:right="340" w:firstLine="172"/>
        <w:spacing w:after="0" w:line="276" w:lineRule="auto"/>
        <w:tabs>
          <w:tab w:leader="none" w:pos="540" w:val="left"/>
        </w:tabs>
        <w:numPr>
          <w:ilvl w:val="1"/>
          <w:numId w:val="98"/>
        </w:numPr>
        <w:rPr>
          <w:rFonts w:ascii="Arial" w:cs="Arial" w:eastAsia="Arial" w:hAnsi="Arial"/>
          <w:sz w:val="13"/>
          <w:szCs w:val="13"/>
          <w:color w:val="auto"/>
        </w:rPr>
      </w:pPr>
      <w:r>
        <w:rPr>
          <w:rFonts w:ascii="Arial" w:cs="Arial" w:eastAsia="Arial" w:hAnsi="Arial"/>
          <w:sz w:val="13"/>
          <w:szCs w:val="13"/>
          <w:color w:val="auto"/>
        </w:rPr>
        <w:t>If a participant’s employment by his employer (or another Biogen Idec subsidiary or affiliate) is terminated because of the participant’s death or disability, all his accounts hereunder will be fully vested regardless of his number of years of service.</w:t>
      </w:r>
    </w:p>
    <w:p>
      <w:pPr>
        <w:spacing w:after="0" w:line="49" w:lineRule="exact"/>
        <w:rPr>
          <w:sz w:val="20"/>
          <w:szCs w:val="20"/>
          <w:color w:val="auto"/>
        </w:rPr>
      </w:pPr>
    </w:p>
    <w:p>
      <w:pPr>
        <w:ind w:left="220" w:firstLine="172"/>
        <w:spacing w:after="0" w:line="276" w:lineRule="auto"/>
        <w:tabs>
          <w:tab w:leader="none" w:pos="576" w:val="left"/>
        </w:tabs>
        <w:numPr>
          <w:ilvl w:val="1"/>
          <w:numId w:val="99"/>
        </w:numPr>
        <w:rPr>
          <w:rFonts w:ascii="Arial" w:cs="Arial" w:eastAsia="Arial" w:hAnsi="Arial"/>
          <w:sz w:val="13"/>
          <w:szCs w:val="13"/>
          <w:color w:val="auto"/>
        </w:rPr>
      </w:pPr>
      <w:r>
        <w:rPr>
          <w:rFonts w:ascii="Arial" w:cs="Arial" w:eastAsia="Arial" w:hAnsi="Arial"/>
          <w:sz w:val="13"/>
          <w:szCs w:val="13"/>
          <w:color w:val="auto"/>
        </w:rPr>
        <w:t>In the event of a change in control (as defined in Section 2.8(a)), all accounts of all participants still employed by Biogen Idec at such time will be fully vested regardless of a participant’s number of years of service.</w:t>
      </w:r>
    </w:p>
    <w:p>
      <w:pPr>
        <w:spacing w:after="0" w:line="49" w:lineRule="exact"/>
        <w:rPr>
          <w:rFonts w:ascii="Arial" w:cs="Arial" w:eastAsia="Arial" w:hAnsi="Arial"/>
          <w:sz w:val="13"/>
          <w:szCs w:val="13"/>
          <w:color w:val="auto"/>
        </w:rPr>
      </w:pPr>
    </w:p>
    <w:p>
      <w:pPr>
        <w:ind w:right="80" w:firstLine="162"/>
        <w:spacing w:after="0" w:line="276" w:lineRule="auto"/>
        <w:tabs>
          <w:tab w:leader="none" w:pos="349"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Forfeiture of Non-Vested Account Balances.</w:t>
      </w:r>
      <w:r>
        <w:rPr>
          <w:rFonts w:ascii="Arial" w:cs="Arial" w:eastAsia="Arial" w:hAnsi="Arial"/>
          <w:sz w:val="13"/>
          <w:szCs w:val="13"/>
          <w:color w:val="auto"/>
        </w:rPr>
        <w:t xml:space="preserve"> If a participant terminates employment with his employer (and all other Biogen Idec subsidiaries or affiliates) under circumstances such that he is not fully vested in one or more accounts in accordance with the preceding subsections, the non-vested balance(s) as of the date of termination of employment will be forfeited and cancelled.</w:t>
      </w:r>
    </w:p>
    <w:p>
      <w:pPr>
        <w:spacing w:after="0" w:line="49" w:lineRule="exact"/>
        <w:rPr>
          <w:rFonts w:ascii="Arial" w:cs="Arial" w:eastAsia="Arial" w:hAnsi="Arial"/>
          <w:sz w:val="13"/>
          <w:szCs w:val="13"/>
          <w:color w:val="auto"/>
        </w:rPr>
      </w:pPr>
    </w:p>
    <w:p>
      <w:pPr>
        <w:ind w:right="100" w:firstLine="162"/>
        <w:spacing w:after="0" w:line="264" w:lineRule="auto"/>
        <w:tabs>
          <w:tab w:leader="none" w:pos="349"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Meaning of “Fully Vested.”</w:t>
      </w:r>
      <w:r>
        <w:rPr>
          <w:rFonts w:ascii="Arial" w:cs="Arial" w:eastAsia="Arial" w:hAnsi="Arial"/>
          <w:sz w:val="13"/>
          <w:szCs w:val="13"/>
          <w:color w:val="auto"/>
        </w:rPr>
        <w:t xml:space="preserve"> Reference to any account of a participant as “fully vested” means that such account is not subject to forfeiture; however, all participant accounts, including fully vested accounts, are subject to (i) fluctuation as a result of the crediting of deemed investment results (including losses) to such accounts as provided in the plan and (ii) the possibility of the insolvency or bankruptcy of Biogen Idec (or other employer) (see Section 7.2(a)).</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ARTICLE 6</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DISTRIBUTIONS TO PARTICIPANT</w:t>
      </w:r>
    </w:p>
    <w:p>
      <w:pPr>
        <w:spacing w:after="0" w:line="75" w:lineRule="exact"/>
        <w:rPr>
          <w:sz w:val="20"/>
          <w:szCs w:val="20"/>
          <w:color w:val="auto"/>
        </w:rPr>
      </w:pPr>
    </w:p>
    <w:p>
      <w:pPr>
        <w:ind w:right="100"/>
        <w:spacing w:after="0" w:line="318" w:lineRule="auto"/>
        <w:rPr>
          <w:sz w:val="20"/>
          <w:szCs w:val="20"/>
          <w:color w:val="auto"/>
        </w:rPr>
      </w:pPr>
      <w:r>
        <w:rPr>
          <w:rFonts w:ascii="Arial" w:cs="Arial" w:eastAsia="Arial" w:hAnsi="Arial"/>
          <w:sz w:val="11"/>
          <w:szCs w:val="11"/>
          <w:b w:val="1"/>
          <w:bCs w:val="1"/>
          <w:color w:val="auto"/>
        </w:rPr>
        <w:t xml:space="preserve">6.1 Distributions for Unforeseeable Emergency. </w:t>
      </w:r>
      <w:r>
        <w:rPr>
          <w:rFonts w:ascii="Arial" w:cs="Arial" w:eastAsia="Arial" w:hAnsi="Arial"/>
          <w:sz w:val="11"/>
          <w:szCs w:val="11"/>
          <w:color w:val="auto"/>
        </w:rPr>
        <w:t>If a participant has an unforeseeable emergency prior to his termination of employment with his employer, he may apply to the committee for a distribution from the</w:t>
      </w:r>
      <w:r>
        <w:rPr>
          <w:rFonts w:ascii="Arial" w:cs="Arial" w:eastAsia="Arial" w:hAnsi="Arial"/>
          <w:sz w:val="11"/>
          <w:szCs w:val="11"/>
          <w:b w:val="1"/>
          <w:bCs w:val="1"/>
          <w:color w:val="auto"/>
        </w:rPr>
        <w:t xml:space="preserve"> </w:t>
      </w:r>
      <w:r>
        <w:rPr>
          <w:rFonts w:ascii="Arial" w:cs="Arial" w:eastAsia="Arial" w:hAnsi="Arial"/>
          <w:sz w:val="11"/>
          <w:szCs w:val="11"/>
          <w:color w:val="auto"/>
        </w:rPr>
        <w:t>plan. If 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 any federal, state or local income taxes and penalties reasonably anticipated to result from the distribution), as determined by the committee, up to a maximum of the participant’s vested account balances. Such a distribution will be made from the participant’s accounts in a single lump sum payment. If such a participant’s account has two or more subaccounts, the committee will determine which subaccounts will be debited to reflect the unforeseeable emergency distribution.</w:t>
      </w:r>
    </w:p>
    <w:p>
      <w:pPr>
        <w:spacing w:after="0" w:line="31" w:lineRule="exact"/>
        <w:rPr>
          <w:sz w:val="20"/>
          <w:szCs w:val="20"/>
          <w:color w:val="auto"/>
        </w:rPr>
      </w:pPr>
    </w:p>
    <w:p>
      <w:pPr>
        <w:ind w:right="60" w:firstLine="157"/>
        <w:spacing w:after="0" w:line="260" w:lineRule="auto"/>
        <w:rPr>
          <w:sz w:val="20"/>
          <w:szCs w:val="20"/>
          <w:color w:val="auto"/>
        </w:rPr>
      </w:pPr>
      <w:r>
        <w:rPr>
          <w:rFonts w:ascii="Arial" w:cs="Arial" w:eastAsia="Arial" w:hAnsi="Arial"/>
          <w:sz w:val="13"/>
          <w:szCs w:val="13"/>
          <w:color w:val="auto"/>
        </w:rPr>
        <w:t>An unforeseeable emergency is a severe financial hardship affecting the participant resulting from illness or accident of the participant or the participant’s spouse, dependent or designated beneficiary, the need to rebuild the participant’s principal residence following damage not covered by insurance, or other similar extraordinary and unforeseeable circumstances arising as a result of events beyond the participant’s control. A circumstance or exigency of the participant does not constitute an unforeseeable emergency to the extent that the participant’s financial need is or may be relieved through reimbursement or compensation by insurance or otherwise, or by liquidation of assets (to the extent that such liquidation would not itself cause severe hardship).</w:t>
      </w:r>
    </w:p>
    <w:p>
      <w:pPr>
        <w:spacing w:after="0" w:line="60" w:lineRule="exact"/>
        <w:rPr>
          <w:sz w:val="20"/>
          <w:szCs w:val="20"/>
          <w:color w:val="auto"/>
        </w:rPr>
      </w:pPr>
    </w:p>
    <w:p>
      <w:pPr>
        <w:jc w:val="center"/>
        <w:ind w:right="-159"/>
        <w:spacing w:after="0"/>
        <w:rPr>
          <w:sz w:val="20"/>
          <w:szCs w:val="20"/>
          <w:color w:val="auto"/>
        </w:rPr>
      </w:pPr>
      <w:r>
        <w:rPr>
          <w:rFonts w:ascii="Arial" w:cs="Arial" w:eastAsia="Arial" w:hAnsi="Arial"/>
          <w:sz w:val="11"/>
          <w:szCs w:val="11"/>
          <w:color w:val="auto"/>
        </w:rPr>
        <w:t>The committee will determine whether a participant has incurred an unforeseeable emergency and the amount needed to alleviate the unforeseeable emergency. A participant is not entitled to a distribution under this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auto"/>
        </w:rPr>
        <w:t>section regardless of the participant’s circumstances or exigencies, and all such distributions and the amounts thereof are subject to the determination of the committee.</w:t>
      </w:r>
    </w:p>
    <w:p>
      <w:pPr>
        <w:spacing w:after="0" w:line="82" w:lineRule="exact"/>
        <w:rPr>
          <w:sz w:val="20"/>
          <w:szCs w:val="20"/>
          <w:color w:val="auto"/>
        </w:rPr>
      </w:pPr>
    </w:p>
    <w:p>
      <w:pPr>
        <w:jc w:val="both"/>
        <w:ind w:right="160"/>
        <w:spacing w:after="0" w:line="267" w:lineRule="auto"/>
        <w:rPr>
          <w:sz w:val="20"/>
          <w:szCs w:val="20"/>
          <w:color w:val="auto"/>
        </w:rPr>
      </w:pPr>
      <w:r>
        <w:rPr>
          <w:rFonts w:ascii="Arial" w:cs="Arial" w:eastAsia="Arial" w:hAnsi="Arial"/>
          <w:sz w:val="13"/>
          <w:szCs w:val="13"/>
          <w:b w:val="1"/>
          <w:bCs w:val="1"/>
          <w:color w:val="auto"/>
        </w:rPr>
        <w:t xml:space="preserve">6.2 Distribution Upon a Change in Control. </w:t>
      </w:r>
      <w:r>
        <w:rPr>
          <w:rFonts w:ascii="Arial" w:cs="Arial" w:eastAsia="Arial" w:hAnsi="Arial"/>
          <w:sz w:val="13"/>
          <w:szCs w:val="13"/>
          <w:color w:val="auto"/>
        </w:rPr>
        <w:t>In the event of a change in control (as defined in Section 2.8(b)), a participant who elected payment of his accounts under the second paragraph of Section 4.4(b)(i) will</w:t>
      </w:r>
      <w:r>
        <w:rPr>
          <w:rFonts w:ascii="Arial" w:cs="Arial" w:eastAsia="Arial" w:hAnsi="Arial"/>
          <w:sz w:val="13"/>
          <w:szCs w:val="13"/>
          <w:b w:val="1"/>
          <w:bCs w:val="1"/>
          <w:color w:val="auto"/>
        </w:rPr>
        <w:t xml:space="preserve"> </w:t>
      </w:r>
      <w:r>
        <w:rPr>
          <w:rFonts w:ascii="Arial" w:cs="Arial" w:eastAsia="Arial" w:hAnsi="Arial"/>
          <w:sz w:val="13"/>
          <w:szCs w:val="13"/>
          <w:color w:val="auto"/>
        </w:rPr>
        <w:t>receive a lump sum payment equal to the amount credited to his accounts hereunder. Such payment will be made 30 days after the occurrence of the change in control (but not before January 1, 2008 in the case of a change in control that occurs during 2007). This Section 6.2 is effective as of the date of execution of this amended and restated plan document.</w:t>
      </w: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3"/>
          <w:szCs w:val="13"/>
          <w:b w:val="1"/>
          <w:bCs w:val="1"/>
          <w:color w:val="auto"/>
        </w:rPr>
        <w:t xml:space="preserve">6.3 In-Service Distribution(s) at a Time Specified by Participant. </w:t>
      </w:r>
      <w:r>
        <w:rPr>
          <w:rFonts w:ascii="Arial" w:cs="Arial" w:eastAsia="Arial" w:hAnsi="Arial"/>
          <w:sz w:val="13"/>
          <w:szCs w:val="13"/>
          <w:color w:val="auto"/>
        </w:rPr>
        <w:t>A participant who is an eligible employee under Section 3.1(a) may, in accordance with this section and Section 4.4, elect an in-service distribution</w:t>
      </w:r>
      <w:r>
        <w:rPr>
          <w:rFonts w:ascii="Arial" w:cs="Arial" w:eastAsia="Arial" w:hAnsi="Arial"/>
          <w:sz w:val="13"/>
          <w:szCs w:val="13"/>
          <w:b w:val="1"/>
          <w:bCs w:val="1"/>
          <w:color w:val="auto"/>
        </w:rPr>
        <w:t xml:space="preserve"> </w:t>
      </w:r>
      <w:r>
        <w:rPr>
          <w:rFonts w:ascii="Arial" w:cs="Arial" w:eastAsia="Arial" w:hAnsi="Arial"/>
          <w:sz w:val="13"/>
          <w:szCs w:val="13"/>
          <w:color w:val="auto"/>
        </w:rPr>
        <w:t>at a specified future date (but not earlier than five years after the time the participant is making such election) of the portion of his vested accounts which is not invested in the fixed income option described in Section 5.2(b). If, in his initial enrollment or subsequent change of election form, the participant designated payment of such portion of his vested account(s) (or a specified part thereof) at a specified time(s) and he is still an employee of Biogen Idec (or another employer or other subsidiary or affiliate) at such time(s), the participant will receive payment of the amount elected, payable on the designated date(s). A participant’s election for in-service distributions under this Section 6.3 may be for a single payment or up to five annual payments (with the first payment on the date specified by the participant and subsequent payments on anniversaries of such date), in each case in an amount or portion specified by the participant in his initial enrollment or other subsequent change of election form (whichever applies). Each payment will be the amount specified (or the entire vested balance remaining in the participant’s accounts, if less).</w:t>
      </w:r>
    </w:p>
    <w:p>
      <w:pPr>
        <w:spacing w:after="0" w:line="63" w:lineRule="exact"/>
        <w:rPr>
          <w:sz w:val="20"/>
          <w:szCs w:val="20"/>
          <w:color w:val="auto"/>
        </w:rPr>
      </w:pPr>
    </w:p>
    <w:p>
      <w:pPr>
        <w:jc w:val="both"/>
        <w:ind w:right="500" w:firstLine="157"/>
        <w:spacing w:after="0" w:line="264" w:lineRule="auto"/>
        <w:rPr>
          <w:sz w:val="20"/>
          <w:szCs w:val="20"/>
          <w:color w:val="auto"/>
        </w:rPr>
      </w:pPr>
      <w:r>
        <w:rPr>
          <w:rFonts w:ascii="Arial" w:cs="Arial" w:eastAsia="Arial" w:hAnsi="Arial"/>
          <w:sz w:val="13"/>
          <w:szCs w:val="13"/>
          <w:color w:val="auto"/>
        </w:rPr>
        <w:t>Any amount in a participant’s accounts hereunder not distributed to the participant under this Section 6.3 will be distributed under Section 6.2 or under Section 6.4 or 6.5, whichever may be applicable, and Section 6.6, if applicable. If a participant is receiving multiple payments under this Section 6.3 and dies or otherwise terminates employment, or (if applicable) there is a change in control, payments under this subsection will cease and subsequent payments will be governed by Section 6.4 or 6.5, or Section 6.2, as the case may be.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6.4 Distribution upon Death of a Participant.</w:t>
      </w:r>
    </w:p>
    <w:p>
      <w:pPr>
        <w:spacing w:after="0" w:line="90" w:lineRule="exact"/>
        <w:rPr>
          <w:sz w:val="20"/>
          <w:szCs w:val="20"/>
          <w:color w:val="auto"/>
        </w:rPr>
      </w:pPr>
    </w:p>
    <w:p>
      <w:pPr>
        <w:ind w:firstLine="162"/>
        <w:spacing w:after="0" w:line="260" w:lineRule="auto"/>
        <w:tabs>
          <w:tab w:leader="none" w:pos="342"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xml:space="preserve"> If a participant dies while still an employee of Biogen Idec (or another employer or other subsidiary or affiliate) or after termination of such employment, but before the complete distribution of his vested accounts hereunder, his beneficiary will receive the total amount remaining in his vested accounts. Except as otherwise provided in Section 6.6, distribution will be made in a single sum payment on the first day of the month after the committee receives appropriate evidence of the participant’s death and of the right of any beneficiary to receive such payment (and in the case of payment to a participant’s estate, the appointment of a personal representative).</w:t>
      </w:r>
    </w:p>
    <w:p>
      <w:pPr>
        <w:spacing w:after="0" w:line="59" w:lineRule="exact"/>
        <w:rPr>
          <w:rFonts w:ascii="Arial" w:cs="Arial" w:eastAsia="Arial" w:hAnsi="Arial"/>
          <w:sz w:val="13"/>
          <w:szCs w:val="13"/>
          <w:color w:val="auto"/>
        </w:rPr>
      </w:pPr>
    </w:p>
    <w:p>
      <w:pPr>
        <w:jc w:val="both"/>
        <w:ind w:right="240" w:firstLine="162"/>
        <w:spacing w:after="0" w:line="264" w:lineRule="auto"/>
        <w:tabs>
          <w:tab w:leader="none" w:pos="349"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Beneficiary.</w:t>
      </w:r>
      <w:r>
        <w:rPr>
          <w:rFonts w:ascii="Arial" w:cs="Arial" w:eastAsia="Arial" w:hAnsi="Arial"/>
          <w:sz w:val="13"/>
          <w:szCs w:val="13"/>
          <w:color w:val="auto"/>
        </w:rPr>
        <w:t xml:space="preserve"> Each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 participant does not so designate, in equal shares. Any such designation of beneficiary will be made in accordance with such procedures or in such form as the committee may prescribe or deem acceptable.</w:t>
      </w:r>
    </w:p>
    <w:p>
      <w:pPr>
        <w:spacing w:after="0" w:line="57" w:lineRule="exact"/>
        <w:rPr>
          <w:sz w:val="20"/>
          <w:szCs w:val="20"/>
          <w:color w:val="auto"/>
        </w:rPr>
      </w:pPr>
    </w:p>
    <w:p>
      <w:pPr>
        <w:ind w:right="120" w:firstLine="157"/>
        <w:spacing w:after="0" w:line="276" w:lineRule="auto"/>
        <w:rPr>
          <w:sz w:val="20"/>
          <w:szCs w:val="20"/>
          <w:color w:val="auto"/>
        </w:rPr>
      </w:pPr>
      <w:r>
        <w:rPr>
          <w:rFonts w:ascii="Arial" w:cs="Arial" w:eastAsia="Arial" w:hAnsi="Arial"/>
          <w:sz w:val="13"/>
          <w:szCs w:val="13"/>
          <w:color w:val="auto"/>
        </w:rPr>
        <w:t>Any portion of a distribution payable upon the death of a participant that is not disposed of by a designation of beneficiary under the preceding paragraph, for any reason whatsoever, will be paid to the beneficiary determined under the following rules:</w:t>
      </w:r>
    </w:p>
    <w:p>
      <w:pPr>
        <w:spacing w:after="0" w:line="49" w:lineRule="exact"/>
        <w:rPr>
          <w:sz w:val="20"/>
          <w:szCs w:val="20"/>
          <w:color w:val="auto"/>
        </w:rPr>
      </w:pPr>
    </w:p>
    <w:p>
      <w:pPr>
        <w:ind w:left="220" w:right="100" w:firstLine="172"/>
        <w:spacing w:after="0" w:line="276" w:lineRule="auto"/>
        <w:tabs>
          <w:tab w:leader="none" w:pos="5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at the participant’s death the participant has an account under the Savings Plan and there is a valid designation of beneficiary under the Savings Plan, the beneficiary(ies) will be the same person(s) who is (are) the Savings Plan beneficiary(ies) (in the same proportions, if more than one).</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76"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subsection (a) does not apply, the participant’s account(s) hereunder will be paid to the participant’s spouse if living at his death, otherwise equally to the participant’s natural and adopted children living at his death (and the issue of a deceased child by right of representation), otherwise to the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05" w:name="page206"/>
    <w:bookmarkEnd w:id="205"/>
    <w:p>
      <w:pPr>
        <w:ind w:left="220" w:right="260"/>
        <w:spacing w:after="0" w:line="276" w:lineRule="auto"/>
        <w:rPr>
          <w:sz w:val="20"/>
          <w:szCs w:val="20"/>
          <w:color w:val="auto"/>
        </w:rPr>
      </w:pPr>
      <w:r>
        <w:rPr>
          <w:rFonts w:ascii="Arial" w:cs="Arial" w:eastAsia="Arial" w:hAnsi="Arial"/>
          <w:sz w:val="13"/>
          <w:szCs w:val="13"/>
          <w:color w:val="auto"/>
        </w:rPr>
        <w:t>participant’s estate. For purposes of the preceding sentence, a spouse includes a spouse of the same gender as the participant if the marriage occurred in a jurisdiction that recognizes as valid marriages between persons of the same gender.</w:t>
      </w:r>
    </w:p>
    <w:p>
      <w:pPr>
        <w:spacing w:after="0" w:line="4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6.5 Distribution upon Participant’s Termination of Employment.</w:t>
      </w:r>
    </w:p>
    <w:p>
      <w:pPr>
        <w:spacing w:after="0" w:line="90" w:lineRule="exact"/>
        <w:rPr>
          <w:sz w:val="20"/>
          <w:szCs w:val="20"/>
          <w:color w:val="auto"/>
        </w:rPr>
      </w:pPr>
    </w:p>
    <w:p>
      <w:pPr>
        <w:ind w:right="140" w:firstLine="162"/>
        <w:spacing w:after="0" w:line="320" w:lineRule="auto"/>
        <w:tabs>
          <w:tab w:leader="none" w:pos="342"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Time and Form of Payment.</w:t>
      </w:r>
      <w:r>
        <w:rPr>
          <w:rFonts w:ascii="Arial" w:cs="Arial" w:eastAsia="Arial" w:hAnsi="Arial"/>
          <w:sz w:val="12"/>
          <w:szCs w:val="12"/>
          <w:color w:val="auto"/>
        </w:rPr>
        <w:t xml:space="preserve"> Following a participant’s termination of employment (including as a result of disability) for any reason other than death, except as otherwise provided in Section 6.6, the participant will receive a single sum payment equal to his vested account balance, payable on the first business day following the six-month anniversary of the participant’s termination of employment.</w:t>
      </w:r>
    </w:p>
    <w:p>
      <w:pPr>
        <w:spacing w:after="0" w:line="25" w:lineRule="exact"/>
        <w:rPr>
          <w:rFonts w:ascii="Arial" w:cs="Arial" w:eastAsia="Arial" w:hAnsi="Arial"/>
          <w:sz w:val="12"/>
          <w:szCs w:val="12"/>
          <w:color w:val="auto"/>
        </w:rPr>
      </w:pPr>
    </w:p>
    <w:p>
      <w:pPr>
        <w:ind w:right="80" w:firstLine="162"/>
        <w:spacing w:after="0" w:line="276" w:lineRule="auto"/>
        <w:tabs>
          <w:tab w:leader="none" w:pos="349"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Termination of Employment.</w:t>
      </w:r>
      <w:r>
        <w:rPr>
          <w:rFonts w:ascii="Arial" w:cs="Arial" w:eastAsia="Arial" w:hAnsi="Arial"/>
          <w:sz w:val="13"/>
          <w:szCs w:val="13"/>
          <w:color w:val="auto"/>
        </w:rPr>
        <w:t xml:space="preserve"> For purposes of this plan, a participant will have a termination of employment only if the provisions of the regulations under Code Section 409A defining “separation from service” are satisfied.</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6.6 Installment Distributions in Certain Cases.</w:t>
      </w:r>
    </w:p>
    <w:p>
      <w:pPr>
        <w:spacing w:after="0" w:line="90" w:lineRule="exact"/>
        <w:rPr>
          <w:sz w:val="20"/>
          <w:szCs w:val="20"/>
          <w:color w:val="auto"/>
        </w:rPr>
      </w:pPr>
    </w:p>
    <w:p>
      <w:pPr>
        <w:ind w:right="20" w:firstLine="162"/>
        <w:spacing w:after="0" w:line="258" w:lineRule="auto"/>
        <w:tabs>
          <w:tab w:leader="none" w:pos="342"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Notwithstanding the provisions of Section 6.5, a participant may, at the time of filing his initial enrollment form under Section 4.4(b)(i) (or, if applicable, in a subsequent election under Section 4.4(b) (ii)), designate that the amount payable to him hereunder upon termination of employment will be paid in a number (minimum of two and maximum of fifteen) of annual installment payments, as specified by the participant. However, in the event the participant’s vested account balance as of the date that installment distributions would begin in accordance with Section 6.5 is equal to or less than the limit under Code Section 402(g)(1)(B) and (g)(4) (as in effect at such time—for example, $15,500 during 2008), such vested account balance will be automatically paid in the form of a lump sum payment to the extent not prohibited by the regulations under Code Section 409A.</w:t>
      </w:r>
    </w:p>
    <w:p>
      <w:pPr>
        <w:spacing w:after="0" w:line="61" w:lineRule="exact"/>
        <w:rPr>
          <w:rFonts w:ascii="Arial" w:cs="Arial" w:eastAsia="Arial" w:hAnsi="Arial"/>
          <w:sz w:val="13"/>
          <w:szCs w:val="13"/>
          <w:color w:val="auto"/>
        </w:rPr>
      </w:pPr>
    </w:p>
    <w:p>
      <w:pPr>
        <w:ind w:right="300" w:firstLine="162"/>
        <w:spacing w:after="0" w:line="276" w:lineRule="auto"/>
        <w:tabs>
          <w:tab w:leader="none" w:pos="349"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Beneficiary.</w:t>
      </w:r>
      <w:r>
        <w:rPr>
          <w:rFonts w:ascii="Arial" w:cs="Arial" w:eastAsia="Arial" w:hAnsi="Arial"/>
          <w:sz w:val="13"/>
          <w:szCs w:val="13"/>
          <w:color w:val="auto"/>
        </w:rPr>
        <w:t xml:space="preserve"> Notwithstanding Section 6.4, a participant may at the time of filing his initial enrollment form under Section 4.4 (or, if applicable, in a subsequent election), designate that, if the participant dies before receiving the entire amount payable to him hereunder, the beneficiary will receive either:</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 number of annual installment payments equal to:</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2"/>
          <w:numId w:val="104"/>
        </w:numPr>
        <w:rPr>
          <w:rFonts w:ascii="Arial" w:cs="Arial" w:eastAsia="Arial" w:hAnsi="Arial"/>
          <w:sz w:val="13"/>
          <w:szCs w:val="13"/>
          <w:color w:val="auto"/>
        </w:rPr>
      </w:pPr>
      <w:r>
        <w:rPr>
          <w:rFonts w:ascii="Arial" w:cs="Arial" w:eastAsia="Arial" w:hAnsi="Arial"/>
          <w:sz w:val="13"/>
          <w:szCs w:val="13"/>
          <w:color w:val="auto"/>
        </w:rPr>
        <w:t>the number the participant elected for himself under subsection (a) above (if the participant dies before receiving any installment payments), or</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2"/>
          <w:numId w:val="104"/>
        </w:numPr>
        <w:rPr>
          <w:rFonts w:ascii="Arial" w:cs="Arial" w:eastAsia="Arial" w:hAnsi="Arial"/>
          <w:sz w:val="13"/>
          <w:szCs w:val="13"/>
          <w:color w:val="auto"/>
        </w:rPr>
      </w:pPr>
      <w:r>
        <w:rPr>
          <w:rFonts w:ascii="Arial" w:cs="Arial" w:eastAsia="Arial" w:hAnsi="Arial"/>
          <w:sz w:val="13"/>
          <w:szCs w:val="13"/>
          <w:color w:val="auto"/>
        </w:rPr>
        <w:t>the number of remaining installment payments due to the participant under subsection (a) above (if the participant dies after receiving one or more installment payments);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 single payment.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Payment to the beneficiary (or the first installment) will be made at the time provided in Section 6.4(a).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the participant fails to designate the form of payment to the beneficiary, the default form of payment will be a single payment under (ii) above.</w:t>
      </w:r>
    </w:p>
    <w:p>
      <w:pPr>
        <w:spacing w:after="0" w:line="86" w:lineRule="exact"/>
        <w:rPr>
          <w:sz w:val="20"/>
          <w:szCs w:val="20"/>
          <w:color w:val="auto"/>
        </w:rPr>
      </w:pPr>
    </w:p>
    <w:p>
      <w:pPr>
        <w:ind w:right="200" w:firstLine="162"/>
        <w:spacing w:after="0" w:line="264" w:lineRule="auto"/>
        <w:tabs>
          <w:tab w:leader="none" w:pos="342" w:val="left"/>
        </w:tabs>
        <w:numPr>
          <w:ilvl w:val="0"/>
          <w:numId w:val="105"/>
        </w:numPr>
        <w:rPr>
          <w:rFonts w:ascii="Arial" w:cs="Arial" w:eastAsia="Arial" w:hAnsi="Arial"/>
          <w:sz w:val="13"/>
          <w:szCs w:val="13"/>
          <w:color w:val="auto"/>
        </w:rPr>
      </w:pPr>
      <w:r>
        <w:rPr>
          <w:rFonts w:ascii="Arial" w:cs="Arial" w:eastAsia="Arial" w:hAnsi="Arial"/>
          <w:sz w:val="13"/>
          <w:szCs w:val="13"/>
          <w:u w:val="single" w:color="auto"/>
          <w:color w:val="auto"/>
        </w:rPr>
        <w:t>Installment Payments.</w:t>
      </w:r>
      <w:r>
        <w:rPr>
          <w:rFonts w:ascii="Arial" w:cs="Arial" w:eastAsia="Arial" w:hAnsi="Arial"/>
          <w:sz w:val="13"/>
          <w:szCs w:val="13"/>
          <w:color w:val="auto"/>
        </w:rPr>
        <w:t xml:space="preserve"> Where installment payments are due, the first annual installment payment will be made on the date specified in Section 6.4 or 6.5 (whichever is applicable) and subsequent annual installments will be paid on succeeding anniversaries of the first payment date. The amount of each annual installment payment will be determined by multiplying the then amount of the participant’s vested account balances by a fraction whose numerator is one and whose denominator is the number of remaining annual installment payments.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6" w:name="page207"/>
    <w:bookmarkEnd w:id="206"/>
    <w:p>
      <w:pPr>
        <w:ind w:right="20" w:firstLine="162"/>
        <w:spacing w:after="0" w:line="264" w:lineRule="auto"/>
        <w:tabs>
          <w:tab w:leader="none" w:pos="349"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Death of Beneficiary.</w:t>
      </w:r>
      <w:r>
        <w:rPr>
          <w:rFonts w:ascii="Arial" w:cs="Arial" w:eastAsia="Arial" w:hAnsi="Arial"/>
          <w:sz w:val="13"/>
          <w:szCs w:val="13"/>
          <w:color w:val="auto"/>
        </w:rPr>
        <w:t xml:space="preserve"> If a participant’s designated beneficiary is receiving installment payments and dies before receiving payment of all the annual installments, the deceased beneficiary’s estate will receive a lump sum payment of the amount remaining to be distributed to such beneficiary. Such payment will be made on the first day of the month next following the committee’s receipt of satisfactory evidence of the death of the designated beneficiary and the appointment of a personal representative.</w:t>
      </w:r>
    </w:p>
    <w:p>
      <w:pPr>
        <w:spacing w:after="0" w:line="57" w:lineRule="exact"/>
        <w:rPr>
          <w:rFonts w:ascii="Arial" w:cs="Arial" w:eastAsia="Arial" w:hAnsi="Arial"/>
          <w:sz w:val="13"/>
          <w:szCs w:val="13"/>
          <w:color w:val="auto"/>
        </w:rPr>
      </w:pPr>
    </w:p>
    <w:p>
      <w:pPr>
        <w:ind w:right="160" w:firstLine="162"/>
        <w:spacing w:after="0" w:line="320" w:lineRule="auto"/>
        <w:tabs>
          <w:tab w:leader="none" w:pos="342"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Deemed Single Payment.</w:t>
      </w:r>
      <w:r>
        <w:rPr>
          <w:rFonts w:ascii="Arial" w:cs="Arial" w:eastAsia="Arial" w:hAnsi="Arial"/>
          <w:sz w:val="12"/>
          <w:szCs w:val="12"/>
          <w:color w:val="auto"/>
        </w:rPr>
        <w:t xml:space="preserve"> As provided in the regulations under Code Section 409A, installment payments to a participant will be deemed a single payment on the date of the first installment for purposes of the anti-acceleration rule (Section 4.4(b) and Section 6.9) and the rules governing the timing of changes in elections with respect to time and form of payment hereunder (Section 4.4(b)).</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6.7 Certain Other Distributions. </w:t>
      </w:r>
      <w:r>
        <w:rPr>
          <w:rFonts w:ascii="Arial" w:cs="Arial" w:eastAsia="Arial" w:hAnsi="Arial"/>
          <w:sz w:val="13"/>
          <w:szCs w:val="13"/>
          <w:color w:val="auto"/>
        </w:rPr>
        <w:t>In addition to the distributions provided for in the preceding sections of this Article 6, the committee may provide for a distribution from a participant’s account(s) under the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circumstances:</w:t>
      </w:r>
    </w:p>
    <w:p>
      <w:pPr>
        <w:spacing w:after="0" w:line="45" w:lineRule="exact"/>
        <w:rPr>
          <w:sz w:val="20"/>
          <w:szCs w:val="20"/>
          <w:color w:val="auto"/>
        </w:rPr>
      </w:pPr>
    </w:p>
    <w:p>
      <w:pPr>
        <w:ind w:right="440" w:firstLine="162"/>
        <w:spacing w:after="0" w:line="276" w:lineRule="auto"/>
        <w:tabs>
          <w:tab w:leader="none" w:pos="342"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Domestic Relations Order.</w:t>
      </w:r>
      <w:r>
        <w:rPr>
          <w:rFonts w:ascii="Arial" w:cs="Arial" w:eastAsia="Arial" w:hAnsi="Arial"/>
          <w:sz w:val="13"/>
          <w:szCs w:val="13"/>
          <w:color w:val="auto"/>
        </w:rPr>
        <w:t xml:space="preserve"> Distribution of the amount necessary to fulfill the requirements of a domestic relations order (as defined in Code Section 414(p)) requiring the payment of all or a portion of the participant’s vested account(s) to another individual (see Section 7.3(b)).</w:t>
      </w:r>
    </w:p>
    <w:p>
      <w:pPr>
        <w:spacing w:after="0" w:line="49" w:lineRule="exact"/>
        <w:rPr>
          <w:rFonts w:ascii="Arial" w:cs="Arial" w:eastAsia="Arial" w:hAnsi="Arial"/>
          <w:sz w:val="13"/>
          <w:szCs w:val="13"/>
          <w:color w:val="auto"/>
        </w:rPr>
      </w:pPr>
    </w:p>
    <w:p>
      <w:pPr>
        <w:ind w:right="20" w:firstLine="162"/>
        <w:spacing w:after="0" w:line="276" w:lineRule="auto"/>
        <w:tabs>
          <w:tab w:leader="none" w:pos="349"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Conflicts of Interest.</w:t>
      </w:r>
      <w:r>
        <w:rPr>
          <w:rFonts w:ascii="Arial" w:cs="Arial" w:eastAsia="Arial" w:hAnsi="Arial"/>
          <w:sz w:val="13"/>
          <w:szCs w:val="13"/>
          <w:color w:val="auto"/>
        </w:rPr>
        <w:t xml:space="preserve"> Distribution to the extent reasonably necessary to comply with a federal government ethics agreement or a federal, state, local or foreign ethics or conflicts of interest law (as described in the regulations under Code Section 409A).</w:t>
      </w:r>
    </w:p>
    <w:p>
      <w:pPr>
        <w:spacing w:after="0" w:line="49" w:lineRule="exact"/>
        <w:rPr>
          <w:rFonts w:ascii="Arial" w:cs="Arial" w:eastAsia="Arial" w:hAnsi="Arial"/>
          <w:sz w:val="13"/>
          <w:szCs w:val="13"/>
          <w:color w:val="auto"/>
        </w:rPr>
      </w:pPr>
    </w:p>
    <w:p>
      <w:pPr>
        <w:ind w:right="200" w:firstLine="162"/>
        <w:spacing w:after="0" w:line="264" w:lineRule="auto"/>
        <w:tabs>
          <w:tab w:leader="none" w:pos="342"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Violation of Code Section 409A.</w:t>
      </w:r>
      <w:r>
        <w:rPr>
          <w:rFonts w:ascii="Arial" w:cs="Arial" w:eastAsia="Arial" w:hAnsi="Arial"/>
          <w:sz w:val="13"/>
          <w:szCs w:val="13"/>
          <w:color w:val="auto"/>
        </w:rPr>
        <w:t xml:space="preserve"> In the event that, notwithstanding the intent that this plan satisfy in form and operation the requirements of Code Section 409A, it is determined that the requirements of Code Section 409 A have been violated with respect to one or more accounts of any participant or group of participants, distribution of the amount determined to be includable in taxable income of such participant or participants as a result of such a violation of Code Section 409A shall be made to such participant(s).</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Other Circumstances.</w:t>
      </w:r>
      <w:r>
        <w:rPr>
          <w:rFonts w:ascii="Arial" w:cs="Arial" w:eastAsia="Arial" w:hAnsi="Arial"/>
          <w:sz w:val="13"/>
          <w:szCs w:val="13"/>
          <w:color w:val="auto"/>
        </w:rPr>
        <w:t xml:space="preserve"> Distribution of any amount specifically permitted by Code Section 409A and the regulations thereunder.</w:t>
      </w:r>
    </w:p>
    <w:p>
      <w:pPr>
        <w:spacing w:after="0" w:line="82"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b w:val="1"/>
          <w:bCs w:val="1"/>
          <w:color w:val="auto"/>
        </w:rPr>
        <w:t xml:space="preserve">6.8 Delay in Distributions. </w:t>
      </w:r>
      <w:r>
        <w:rPr>
          <w:rFonts w:ascii="Arial" w:cs="Arial" w:eastAsia="Arial" w:hAnsi="Arial"/>
          <w:sz w:val="13"/>
          <w:szCs w:val="13"/>
          <w:color w:val="auto"/>
        </w:rPr>
        <w:t>Notwithstanding the provisions of any of the foregoing sections in this Article 6, the committee may delay the making of any payment due on a specified date to a subsequent date,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that the delayed payment is made not later than the latest time permitted under Code Section 409A and the regulations and rulings thereunder (generally, the later of the end of the calendar year in which the specified payment date occurs or the 15</w:t>
      </w:r>
      <w:r>
        <w:rPr>
          <w:rFonts w:ascii="Arial" w:cs="Arial" w:eastAsia="Arial" w:hAnsi="Arial"/>
          <w:sz w:val="11"/>
          <w:szCs w:val="11"/>
          <w:color w:val="auto"/>
        </w:rPr>
        <w:t>th</w:t>
      </w:r>
      <w:r>
        <w:rPr>
          <w:rFonts w:ascii="Arial" w:cs="Arial" w:eastAsia="Arial" w:hAnsi="Arial"/>
          <w:sz w:val="13"/>
          <w:szCs w:val="13"/>
          <w:color w:val="auto"/>
        </w:rPr>
        <w:t xml:space="preserve"> day of the third month after the specified payment date).</w:t>
      </w:r>
    </w:p>
    <w:p>
      <w:pPr>
        <w:spacing w:after="0" w:line="52"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b w:val="1"/>
          <w:bCs w:val="1"/>
          <w:color w:val="auto"/>
        </w:rPr>
        <w:t xml:space="preserve">6.9 Compliance with Code Section 409A. </w:t>
      </w:r>
      <w:r>
        <w:rPr>
          <w:rFonts w:ascii="Arial" w:cs="Arial" w:eastAsia="Arial" w:hAnsi="Arial"/>
          <w:sz w:val="13"/>
          <w:szCs w:val="13"/>
          <w:color w:val="auto"/>
        </w:rPr>
        <w:t>Notwithstanding any other provision of this plan (including, without limitation, Section 6.7(c)), distributions and elections respecting distributions are intended to be and will</w:t>
      </w:r>
      <w:r>
        <w:rPr>
          <w:rFonts w:ascii="Arial" w:cs="Arial" w:eastAsia="Arial" w:hAnsi="Arial"/>
          <w:sz w:val="13"/>
          <w:szCs w:val="13"/>
          <w:b w:val="1"/>
          <w:bCs w:val="1"/>
          <w:color w:val="auto"/>
        </w:rPr>
        <w:t xml:space="preserve"> </w:t>
      </w:r>
      <w:r>
        <w:rPr>
          <w:rFonts w:ascii="Arial" w:cs="Arial" w:eastAsia="Arial" w:hAnsi="Arial"/>
          <w:sz w:val="13"/>
          <w:szCs w:val="13"/>
          <w:color w:val="auto"/>
        </w:rPr>
        <w:t>be administered in accordance with the provisions of Code Section 409A and the regulations and rulings thereunder (including the provisions prohibiting acceleration of payment unless specifically permitted by such regulations and rulings).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7</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MISCELLANEOUS</w:t>
      </w: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3"/>
          <w:szCs w:val="13"/>
          <w:b w:val="1"/>
          <w:bCs w:val="1"/>
          <w:color w:val="auto"/>
        </w:rPr>
        <w:t xml:space="preserve">7.1 Amendment or Termination of Plan. </w:t>
      </w:r>
      <w:r>
        <w:rPr>
          <w:rFonts w:ascii="Arial" w:cs="Arial" w:eastAsia="Arial" w:hAnsi="Arial"/>
          <w:sz w:val="13"/>
          <w:szCs w:val="13"/>
          <w:color w:val="auto"/>
        </w:rPr>
        <w:t>Biogen Idec, by action of the Board or of the Compensation Committee (or such other committee thereof or officer or officers of Biogen Idec to whom the Board or</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Committee has delegated this 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by the Executive Vice President — Chief Financial Officer, or the Executive Vice President — Human Resources of Biogen Idec except for an amendment that would materially increase or reduce the benefits of the plan to participants or materially increase the cost of maintaining the plan to the employers; such committee or specified officer(s) may not terminate the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07" w:name="page208"/>
    <w:bookmarkEnd w:id="207"/>
    <w:p>
      <w:pPr>
        <w:ind w:right="20" w:firstLine="164"/>
        <w:spacing w:after="0" w:line="279" w:lineRule="auto"/>
        <w:rPr>
          <w:sz w:val="20"/>
          <w:szCs w:val="20"/>
          <w:color w:val="auto"/>
        </w:rPr>
      </w:pPr>
      <w:r>
        <w:rPr>
          <w:rFonts w:ascii="Arial" w:cs="Arial" w:eastAsia="Arial" w:hAnsi="Arial"/>
          <w:sz w:val="12"/>
          <w:szCs w:val="12"/>
          <w:color w:val="auto"/>
        </w:rPr>
        <w:t>Notwithstanding the preceding paragraph, no termination or amendment of the plan may reduce the amounts credited to the accounts of any participant under the plan (including a participant whose employment with the employer was terminated before such plan termination or amendment) or the vested percentages of such accounts. However, Biogen Idec may change the deemed investment options under Section 5.2, and Biogen Idec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Idec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effect a forfeiture of any of a participant’s account balances hereunder or render an account balance (or portion thereof) which previously was nonforfeitable forfeitable. Any amendment that is required by Code Section 409A and the regulations and rulings thereunder to have a delayed effective date will be effective no earlier than such required date.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7.2 Benefits Not Currently Funded.</w:t>
      </w:r>
    </w:p>
    <w:p>
      <w:pPr>
        <w:spacing w:after="0" w:line="90" w:lineRule="exact"/>
        <w:rPr>
          <w:sz w:val="20"/>
          <w:szCs w:val="20"/>
          <w:color w:val="auto"/>
        </w:rPr>
      </w:pPr>
    </w:p>
    <w:p>
      <w:pPr>
        <w:ind w:firstLine="162"/>
        <w:spacing w:after="0" w:line="289" w:lineRule="auto"/>
        <w:tabs>
          <w:tab w:leader="none" w:pos="342" w:val="left"/>
        </w:tabs>
        <w:numPr>
          <w:ilvl w:val="0"/>
          <w:numId w:val="108"/>
        </w:numPr>
        <w:rPr>
          <w:rFonts w:ascii="Arial" w:cs="Arial" w:eastAsia="Arial" w:hAnsi="Arial"/>
          <w:sz w:val="12"/>
          <w:szCs w:val="12"/>
          <w:color w:val="auto"/>
        </w:rPr>
      </w:pPr>
      <w:r>
        <w:rPr>
          <w:rFonts w:ascii="Arial" w:cs="Arial" w:eastAsia="Arial" w:hAnsi="Arial"/>
          <w:sz w:val="12"/>
          <w:szCs w:val="12"/>
          <w:color w:val="auto"/>
        </w:rPr>
        <w:t>Nothing in this plan will be construed to create a trust or to obligate Biogen Idec to segregate a fund, purchase an insurance contract or other investment, or in any other way currently to fund the future payment of any benefits hereunder, nor will anything herein be construed to give any participant or any other person rights to any specific assets of Biogen Idec or any other entity. However, in order to make provision for its obligations hereunder, Biogen Idec (or other employer) may in its discretion purchase an insurance contract or other investment; any such contract or investment will be a general asset belonging to Biogen Idec (or other employer), and no participant or beneficiary will have any rights to any such asset. The rights of a participant or beneficiary hereunder will be solely those of a general, unsecured creditor of his employer.</w:t>
      </w:r>
    </w:p>
    <w:p>
      <w:pPr>
        <w:spacing w:after="0" w:line="43" w:lineRule="exact"/>
        <w:rPr>
          <w:rFonts w:ascii="Arial" w:cs="Arial" w:eastAsia="Arial" w:hAnsi="Arial"/>
          <w:sz w:val="12"/>
          <w:szCs w:val="12"/>
          <w:color w:val="auto"/>
        </w:rPr>
      </w:pPr>
    </w:p>
    <w:p>
      <w:pPr>
        <w:jc w:val="both"/>
        <w:ind w:right="60" w:firstLine="162"/>
        <w:spacing w:after="0" w:line="260" w:lineRule="auto"/>
        <w:tabs>
          <w:tab w:leader="none" w:pos="34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Notwithstanding subsection (a) above, Biogen Idec (or other employer) in its sole discretion may establish a grantor trust of which it is treated as the owner under Code Section 671 to provide for the payment of benefits hereunder, subject to such terms and conditions as Biogen Idec (or other employer) may deem necessary or advisable to ensure that trust assets and benefit payments are not includable, by reason of the trust, in the taxable income of trust beneficiaries before actual distribution and that the existence of the trust does not cause the plan or any other arrangement to be considered funded for purposes of Title I of ERISA. Biogen Idec may terminate any such trust in accordance with its terms.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7.3 No Assignment.</w:t>
      </w:r>
    </w:p>
    <w:p>
      <w:pPr>
        <w:spacing w:after="0" w:line="90" w:lineRule="exact"/>
        <w:rPr>
          <w:sz w:val="20"/>
          <w:szCs w:val="20"/>
          <w:color w:val="auto"/>
        </w:rPr>
      </w:pPr>
    </w:p>
    <w:p>
      <w:pPr>
        <w:ind w:right="100" w:firstLine="162"/>
        <w:spacing w:after="0" w:line="264" w:lineRule="auto"/>
        <w:tabs>
          <w:tab w:leader="none" w:pos="34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57" w:lineRule="exact"/>
        <w:rPr>
          <w:rFonts w:ascii="Arial" w:cs="Arial" w:eastAsia="Arial" w:hAnsi="Arial"/>
          <w:sz w:val="13"/>
          <w:szCs w:val="13"/>
          <w:color w:val="auto"/>
        </w:rPr>
      </w:pPr>
    </w:p>
    <w:p>
      <w:pPr>
        <w:ind w:right="20" w:firstLine="162"/>
        <w:spacing w:after="0" w:line="282" w:lineRule="auto"/>
        <w:tabs>
          <w:tab w:leader="none" w:pos="349" w:val="left"/>
        </w:tabs>
        <w:numPr>
          <w:ilvl w:val="0"/>
          <w:numId w:val="109"/>
        </w:numPr>
        <w:rPr>
          <w:rFonts w:ascii="Arial" w:cs="Arial" w:eastAsia="Arial" w:hAnsi="Arial"/>
          <w:sz w:val="12"/>
          <w:szCs w:val="12"/>
          <w:color w:val="auto"/>
        </w:rPr>
      </w:pPr>
      <w:r>
        <w:rPr>
          <w:rFonts w:ascii="Arial" w:cs="Arial" w:eastAsia="Arial" w:hAnsi="Arial"/>
          <w:sz w:val="12"/>
          <w:szCs w:val="12"/>
          <w:color w:val="auto"/>
        </w:rPr>
        <w:t>Notwithstanding subsection (a) above, all or a portion of a participant’s account balances may be assigned to the participant’s spouse, former spouse, or other dependent (for purposes of this section, an “alternate recipient”) in connection with a domestic relations order (as defined in Code Section 414(p)) awarding such portion(s) to the alternate recipient. However, no such order may award to an alternate recipient greater rights than the participant has with respect to his account. If any portion of an account so assigned is not fully vested at such time, such portion will vest only in accordance with the applicable provisions of this plan based upon the participant’s years of service. Upon receipt of a copy of the relevant provisions of any such order or property settlement agreement, certified or represented to the committee’s satisfaction to be accurate and in effect, and an acknowledgment by the alternate recipient that such alternate recipient will be responsible for income taxes on such amounts when distributed or made available to such alternate recipient and that such amounts are subject to income tax withholding as provided in this plan, and such other information (including the alternate recipient’s social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8" w:name="page209"/>
    <w:bookmarkEnd w:id="208"/>
    <w:p>
      <w:pPr>
        <w:ind w:right="160"/>
        <w:spacing w:after="0" w:line="276" w:lineRule="auto"/>
        <w:rPr>
          <w:sz w:val="20"/>
          <w:szCs w:val="20"/>
          <w:color w:val="auto"/>
        </w:rPr>
      </w:pPr>
      <w:r>
        <w:rPr>
          <w:rFonts w:ascii="Arial" w:cs="Arial" w:eastAsia="Arial" w:hAnsi="Arial"/>
          <w:sz w:val="13"/>
          <w:szCs w:val="13"/>
          <w:color w:val="auto"/>
        </w:rPr>
        <w:t>security number) as the committee may reasonably request, the committee will assign such amount to a separate account hereunder and will distribute such account to the alternate recipient at the time specified under the domestic relations order (except for any unvested amounts) as provided in Section 6.7(a).</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7.4 Effect of Change in Control.</w:t>
      </w:r>
    </w:p>
    <w:p>
      <w:pPr>
        <w:spacing w:after="0" w:line="90" w:lineRule="exact"/>
        <w:rPr>
          <w:sz w:val="20"/>
          <w:szCs w:val="20"/>
          <w:color w:val="auto"/>
        </w:rPr>
      </w:pPr>
    </w:p>
    <w:p>
      <w:pPr>
        <w:ind w:firstLine="162"/>
        <w:spacing w:after="0" w:line="275" w:lineRule="auto"/>
        <w:tabs>
          <w:tab w:leader="none" w:pos="342" w:val="left"/>
        </w:tabs>
        <w:numPr>
          <w:ilvl w:val="0"/>
          <w:numId w:val="110"/>
        </w:numPr>
        <w:rPr>
          <w:rFonts w:ascii="Arial" w:cs="Arial" w:eastAsia="Arial" w:hAnsi="Arial"/>
          <w:sz w:val="12"/>
          <w:szCs w:val="12"/>
          <w:color w:val="auto"/>
        </w:rPr>
      </w:pPr>
      <w:r>
        <w:rPr>
          <w:rFonts w:ascii="Arial" w:cs="Arial" w:eastAsia="Arial" w:hAnsi="Arial"/>
          <w:sz w:val="12"/>
          <w:szCs w:val="12"/>
          <w:u w:val="single" w:color="auto"/>
          <w:color w:val="auto"/>
        </w:rPr>
        <w:t>Amendments.</w:t>
      </w:r>
      <w:r>
        <w:rPr>
          <w:rFonts w:ascii="Arial" w:cs="Arial" w:eastAsia="Arial" w:hAnsi="Arial"/>
          <w:sz w:val="12"/>
          <w:szCs w:val="12"/>
          <w:color w:val="auto"/>
        </w:rPr>
        <w:t xml:space="preserve"> Notwithstanding Section 7.1, following the occurrence of a change in control (as defined in Section 2.8(a)):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4.4(b)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under Section 5.2(b) at a rate lower than that available under life insurance or annuity contracts obtained by a vendor or service provider (currently, The Todd Organization) for purposes of the plan; and (ii) the committee will maintain a menu of investment funds under</w:t>
      </w:r>
    </w:p>
    <w:p>
      <w:pPr>
        <w:spacing w:after="0" w:line="2"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Section 5.2(a) that is substantially similar (in terms of investment styles and ability to position account(s) on a risk/reward spectrum) to the array of funds available immediately prior to the change in control.</w:t>
      </w:r>
    </w:p>
    <w:p>
      <w:pPr>
        <w:spacing w:after="0" w:line="90" w:lineRule="exact"/>
        <w:rPr>
          <w:rFonts w:ascii="Arial" w:cs="Arial" w:eastAsia="Arial" w:hAnsi="Arial"/>
          <w:sz w:val="12"/>
          <w:szCs w:val="12"/>
          <w:color w:val="auto"/>
        </w:rPr>
      </w:pPr>
    </w:p>
    <w:p>
      <w:pPr>
        <w:ind w:right="80" w:firstLine="162"/>
        <w:spacing w:after="0" w:line="334" w:lineRule="auto"/>
        <w:tabs>
          <w:tab w:leader="none" w:pos="349" w:val="left"/>
        </w:tabs>
        <w:numPr>
          <w:ilvl w:val="0"/>
          <w:numId w:val="110"/>
        </w:numPr>
        <w:rPr>
          <w:rFonts w:ascii="Arial" w:cs="Arial" w:eastAsia="Arial" w:hAnsi="Arial"/>
          <w:sz w:val="11"/>
          <w:szCs w:val="11"/>
          <w:color w:val="auto"/>
        </w:rPr>
      </w:pPr>
      <w:r>
        <w:rPr>
          <w:rFonts w:ascii="Arial" w:cs="Arial" w:eastAsia="Arial" w:hAnsi="Arial"/>
          <w:sz w:val="11"/>
          <w:szCs w:val="11"/>
          <w:u w:val="single" w:color="auto"/>
          <w:color w:val="auto"/>
        </w:rPr>
        <w:t>Termination.</w:t>
      </w:r>
      <w:r>
        <w:rPr>
          <w:rFonts w:ascii="Arial" w:cs="Arial" w:eastAsia="Arial" w:hAnsi="Arial"/>
          <w:sz w:val="11"/>
          <w:szCs w:val="11"/>
          <w:color w:val="auto"/>
        </w:rPr>
        <w:t xml:space="preserve">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 claiming through such deceased participant). This subsection (b) will not preclude the merger of this plan into a nonqualified deferred compensation plan maintained by a successor to Biogen Idec provided that the benefits and rights of participants hereunder (including this Section 7.4) are preserved in such successor plan.</w:t>
      </w:r>
    </w:p>
    <w:p>
      <w:pPr>
        <w:spacing w:after="0" w:line="22" w:lineRule="exact"/>
        <w:rPr>
          <w:rFonts w:ascii="Arial" w:cs="Arial" w:eastAsia="Arial" w:hAnsi="Arial"/>
          <w:sz w:val="11"/>
          <w:szCs w:val="11"/>
          <w:color w:val="auto"/>
        </w:rPr>
      </w:pPr>
    </w:p>
    <w:p>
      <w:pPr>
        <w:ind w:left="340" w:hanging="178"/>
        <w:spacing w:after="0"/>
        <w:tabs>
          <w:tab w:leader="none" w:pos="34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Effective Date.</w:t>
      </w:r>
      <w:r>
        <w:rPr>
          <w:rFonts w:ascii="Arial" w:cs="Arial" w:eastAsia="Arial" w:hAnsi="Arial"/>
          <w:sz w:val="13"/>
          <w:szCs w:val="13"/>
          <w:color w:val="auto"/>
        </w:rPr>
        <w:t xml:space="preserve"> This Section 7.4 is effective as of the date of execution of this amended and restated plan document.</w:t>
      </w:r>
    </w:p>
    <w:p>
      <w:pPr>
        <w:spacing w:after="0" w:line="82"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b w:val="1"/>
          <w:bCs w:val="1"/>
          <w:color w:val="auto"/>
        </w:rPr>
        <w:t xml:space="preserve">7.5 Responsibilities and Authority of Committee. </w:t>
      </w:r>
      <w:r>
        <w:rPr>
          <w:rFonts w:ascii="Arial" w:cs="Arial" w:eastAsia="Arial" w:hAnsi="Arial"/>
          <w:sz w:val="13"/>
          <w:szCs w:val="13"/>
          <w:color w:val="auto"/>
        </w:rPr>
        <w:t>The committee will control and manage the operation and administration of the plan except to the extent that such responsibilities are specifically assigned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to Biogen Idec, the Board or the Compensation Committee, or to a specified officer of Biogen Idec.</w:t>
      </w:r>
    </w:p>
    <w:p>
      <w:pPr>
        <w:spacing w:after="0" w:line="45" w:lineRule="exact"/>
        <w:rPr>
          <w:sz w:val="20"/>
          <w:szCs w:val="20"/>
          <w:color w:val="auto"/>
        </w:rPr>
      </w:pPr>
    </w:p>
    <w:p>
      <w:pPr>
        <w:ind w:right="40" w:firstLine="161"/>
        <w:spacing w:after="0" w:line="285" w:lineRule="auto"/>
        <w:rPr>
          <w:sz w:val="20"/>
          <w:szCs w:val="20"/>
          <w:color w:val="auto"/>
        </w:rPr>
      </w:pPr>
      <w:r>
        <w:rPr>
          <w:rFonts w:ascii="Arial" w:cs="Arial" w:eastAsia="Arial" w:hAnsi="Arial"/>
          <w:sz w:val="12"/>
          <w:szCs w:val="12"/>
          <w:color w:val="auto"/>
        </w:rPr>
        <w:t>The committee will have all powers and authority necessary or appropriate to carry out its responsibilities for the operation and administration of the plan. It will have discretionary authority to interpret and apply all plan provisions and may correct any defect, supply any omission or reconcile any inconsistency or ambiguity in such manner as it deems advisable. It will make all final determinations concerning eligibility, 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Biogen Idec will be the “plan administrator” and the “named fiduciary” for purposes of ERISA.</w:t>
      </w:r>
    </w:p>
    <w:p>
      <w:pPr>
        <w:spacing w:after="0" w:line="82" w:lineRule="exact"/>
        <w:rPr>
          <w:sz w:val="20"/>
          <w:szCs w:val="20"/>
          <w:color w:val="auto"/>
        </w:rPr>
      </w:pPr>
    </w:p>
    <w:p>
      <w:pPr>
        <w:ind w:right="500"/>
        <w:spacing w:after="0" w:line="283" w:lineRule="auto"/>
        <w:rPr>
          <w:sz w:val="20"/>
          <w:szCs w:val="20"/>
          <w:color w:val="auto"/>
        </w:rPr>
      </w:pPr>
      <w:r>
        <w:rPr>
          <w:rFonts w:ascii="Arial" w:cs="Arial" w:eastAsia="Arial" w:hAnsi="Arial"/>
          <w:sz w:val="13"/>
          <w:szCs w:val="13"/>
          <w:b w:val="1"/>
          <w:bCs w:val="1"/>
          <w:color w:val="auto"/>
        </w:rPr>
        <w:t xml:space="preserve">7.6 Limitation on Rights Created by Plan. </w:t>
      </w:r>
      <w:r>
        <w:rPr>
          <w:rFonts w:ascii="Arial" w:cs="Arial" w:eastAsia="Arial" w:hAnsi="Arial"/>
          <w:sz w:val="13"/>
          <w:szCs w:val="13"/>
          <w:color w:val="auto"/>
        </w:rPr>
        <w:t>Nothing appearing in the plan will be construed (a) to give any person any benefit, right or interest except as expressly provided herein, or (b) to create a contract of</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or to give any employee the right to continue as an employee or to affect or modify his terms of employment in any way.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7.7 Tax Withholding. </w:t>
      </w:r>
      <w:r>
        <w:rPr>
          <w:rFonts w:ascii="Arial" w:cs="Arial" w:eastAsia="Arial" w:hAnsi="Arial"/>
          <w:sz w:val="13"/>
          <w:szCs w:val="13"/>
          <w:color w:val="auto"/>
        </w:rPr>
        <w:t>Any payment hereunder to a participant, beneficiary or alternate recipient will be subject to withholding of income and other taxes to the extent required by law.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9" w:name="page210"/>
    <w:bookmarkEnd w:id="209"/>
    <w:p>
      <w:pPr>
        <w:spacing w:after="0"/>
        <w:rPr>
          <w:sz w:val="20"/>
          <w:szCs w:val="20"/>
          <w:color w:val="auto"/>
        </w:rPr>
      </w:pPr>
      <w:r>
        <w:rPr>
          <w:rFonts w:ascii="Arial" w:cs="Arial" w:eastAsia="Arial" w:hAnsi="Arial"/>
          <w:sz w:val="13"/>
          <w:szCs w:val="13"/>
          <w:b w:val="1"/>
          <w:bCs w:val="1"/>
          <w:color w:val="auto"/>
        </w:rPr>
        <w:t xml:space="preserve">7.8 Text Controls. </w:t>
      </w:r>
      <w:r>
        <w:rPr>
          <w:rFonts w:ascii="Arial" w:cs="Arial" w:eastAsia="Arial" w:hAnsi="Arial"/>
          <w:sz w:val="13"/>
          <w:szCs w:val="13"/>
          <w:color w:val="auto"/>
        </w:rPr>
        <w:t>Headings and titles are for convenience only, and the text will control in all matters.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7.9 Applicable State Law. </w:t>
      </w:r>
      <w:r>
        <w:rPr>
          <w:rFonts w:ascii="Arial" w:cs="Arial" w:eastAsia="Arial" w:hAnsi="Arial"/>
          <w:sz w:val="12"/>
          <w:szCs w:val="12"/>
          <w:color w:val="auto"/>
        </w:rPr>
        <w:t>To the extent that state law applies, the provisions of the plan will be construed, enforced and administered according to the laws of the Commonwealth of Massachusetts.</w:t>
      </w:r>
    </w:p>
    <w:p>
      <w:pPr>
        <w:spacing w:after="0" w:line="98" w:lineRule="exact"/>
        <w:rPr>
          <w:sz w:val="20"/>
          <w:szCs w:val="20"/>
          <w:color w:val="auto"/>
        </w:rPr>
      </w:pPr>
    </w:p>
    <w:p>
      <w:pPr>
        <w:spacing w:after="0" w:line="327" w:lineRule="auto"/>
        <w:rPr>
          <w:sz w:val="20"/>
          <w:szCs w:val="20"/>
          <w:color w:val="auto"/>
        </w:rPr>
      </w:pPr>
      <w:r>
        <w:rPr>
          <w:rFonts w:ascii="Arial" w:cs="Arial" w:eastAsia="Arial" w:hAnsi="Arial"/>
          <w:sz w:val="12"/>
          <w:szCs w:val="12"/>
          <w:b w:val="1"/>
          <w:bCs w:val="1"/>
          <w:color w:val="auto"/>
        </w:rPr>
        <w:t xml:space="preserve">7.10 Paperless Administration. </w:t>
      </w:r>
      <w:r>
        <w:rPr>
          <w:rFonts w:ascii="Arial" w:cs="Arial" w:eastAsia="Arial" w:hAnsi="Arial"/>
          <w:sz w:val="12"/>
          <w:szCs w:val="12"/>
          <w:color w:val="auto"/>
        </w:rPr>
        <w:t>The committee may establish procedures whereby an electronic, internet or voice recognized authorization or election will or may be utilized under the plan in lieu a written form or</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 otherwise required by the terms of the plan. In such event, any reference herein to a written election, authorization or other form shall be deemed to include such other authorization or election.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w:t>
      </w:r>
    </w:p>
    <w:p>
      <w:pPr>
        <w:spacing w:after="0" w:line="165" w:lineRule="exact"/>
        <w:rPr>
          <w:sz w:val="20"/>
          <w:szCs w:val="20"/>
          <w:color w:val="auto"/>
        </w:rPr>
      </w:pPr>
    </w:p>
    <w:p>
      <w:pPr>
        <w:ind w:left="380"/>
        <w:spacing w:after="0"/>
        <w:tabs>
          <w:tab w:leader="none" w:pos="6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Craig Schneier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91465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Craig Schneier</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EVP, HR, Public Affairs &amp; Communications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10/25/07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91465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Dated:</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17" w:right="45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3"/>
          <w:szCs w:val="13"/>
          <w:u w:val="single" w:color="auto"/>
          <w:color w:val="auto"/>
        </w:rPr>
        <w:t>APPENDIX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Historical Information; Amendments</w:t>
      </w:r>
    </w:p>
    <w:p>
      <w:pPr>
        <w:spacing w:after="0" w:line="82" w:lineRule="exact"/>
        <w:rPr>
          <w:sz w:val="20"/>
          <w:szCs w:val="20"/>
          <w:color w:val="auto"/>
        </w:rPr>
      </w:pPr>
    </w:p>
    <w:p>
      <w:pPr>
        <w:ind w:right="720"/>
        <w:spacing w:after="0" w:line="283" w:lineRule="auto"/>
        <w:rPr>
          <w:sz w:val="20"/>
          <w:szCs w:val="20"/>
          <w:color w:val="auto"/>
        </w:rPr>
      </w:pPr>
      <w:r>
        <w:rPr>
          <w:rFonts w:ascii="Arial" w:cs="Arial" w:eastAsia="Arial" w:hAnsi="Arial"/>
          <w:sz w:val="13"/>
          <w:szCs w:val="13"/>
          <w:color w:val="auto"/>
        </w:rPr>
        <w:t xml:space="preserve">A.1 </w:t>
      </w:r>
      <w:r>
        <w:rPr>
          <w:rFonts w:ascii="Arial" w:cs="Arial" w:eastAsia="Arial" w:hAnsi="Arial"/>
          <w:sz w:val="13"/>
          <w:szCs w:val="13"/>
          <w:b w:val="1"/>
          <w:bCs w:val="1"/>
          <w:color w:val="auto"/>
        </w:rPr>
        <w:t>Adoption of Plan Document.</w:t>
      </w:r>
      <w:r>
        <w:rPr>
          <w:rFonts w:ascii="Arial" w:cs="Arial" w:eastAsia="Arial" w:hAnsi="Arial"/>
          <w:sz w:val="13"/>
          <w:szCs w:val="13"/>
          <w:color w:val="auto"/>
        </w:rPr>
        <w:t xml:space="preserve"> This plan document, effective as of January 1, 2004, was approved by the Corporation (Biogen Idec Inc.) under the initial name of “Biogen Idec Inc. Voluntary Executive Supplemental Savings Plan.” Prior to execution of the plan document, the name of the plan was changed to “Biogen Idec Inc. Supplemental Savings Plan.”</w:t>
      </w:r>
    </w:p>
    <w:p>
      <w:pPr>
        <w:spacing w:after="0" w:line="45"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color w:val="auto"/>
        </w:rPr>
        <w:t>By appropriate votes, (i) the IDEC Pharmaceuticals Corporation Deferred Compensation Plan maintained by IDEC Pharmaceuticals Corporation, (ii) the Biogen, Inc. Voluntary Executive Supplemental Savings Plan maintained by Biogen, Inc., and (iii) the Biogen, Inc. Supplemental Executive Retirement Plan maintained by Biogen, Inc. prior to the merger transaction, were merged into this plan.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A.2 </w:t>
      </w:r>
      <w:r>
        <w:rPr>
          <w:rFonts w:ascii="Arial" w:cs="Arial" w:eastAsia="Arial" w:hAnsi="Arial"/>
          <w:sz w:val="12"/>
          <w:szCs w:val="12"/>
          <w:b w:val="1"/>
          <w:bCs w:val="1"/>
          <w:color w:val="auto"/>
        </w:rPr>
        <w:t>2005 Amendment and Restatement.</w:t>
      </w:r>
      <w:r>
        <w:rPr>
          <w:rFonts w:ascii="Arial" w:cs="Arial" w:eastAsia="Arial" w:hAnsi="Arial"/>
          <w:sz w:val="12"/>
          <w:szCs w:val="12"/>
          <w:color w:val="auto"/>
        </w:rPr>
        <w:t xml:space="preserve"> The plan was amended and restated in its entirety, effective as of January 1, 2005 (except as otherwise specified), primarily to comply with the requirements of Code</w:t>
      </w:r>
    </w:p>
    <w:p>
      <w:pPr>
        <w:spacing w:after="0" w:line="31"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Section 409A and regulations thereunder. During the period from January 1, 2005 until the date of execution of this amended and restated plan document, the plan was interpreted and administered in accordance with a good faith interpretation of the requirements of Code Section 409A and applicable guidance of the Internal Revenue Service thereunder.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provisions herein relating to distributions and other changes upon the occurrence of a change in control (primarily Sections 2.8(b),</w:t>
      </w:r>
    </w:p>
    <w:p>
      <w:pPr>
        <w:spacing w:after="0" w:line="15"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4.4(b), 6.2 and 7.4) are effective as of the date of execution of this amended and restated plan document. The provisions relating to full vesting of all accounts (subsections 5.3(a) and (c)) and the increase in the threshold for the payment of a lump sum in place of installments from $10,000 to the Code Section 402(g)(1)(B) and (g)(4) limit (the last sentence of subsection 6.6(a)) are effective as of January 1, 2008.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APPENDIX 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Biogen, Inc. Supplemental Executive Retirement Plan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B.1 </w:t>
      </w:r>
      <w:r>
        <w:rPr>
          <w:rFonts w:ascii="Arial" w:cs="Arial" w:eastAsia="Arial" w:hAnsi="Arial"/>
          <w:sz w:val="13"/>
          <w:szCs w:val="13"/>
          <w:b w:val="1"/>
          <w:bCs w:val="1"/>
          <w:color w:val="auto"/>
        </w:rPr>
        <w:t>Applicability.</w:t>
      </w:r>
    </w:p>
    <w:p>
      <w:pPr>
        <w:spacing w:after="0" w:line="90" w:lineRule="exact"/>
        <w:rPr>
          <w:sz w:val="20"/>
          <w:szCs w:val="20"/>
          <w:color w:val="auto"/>
        </w:rPr>
      </w:pPr>
    </w:p>
    <w:p>
      <w:pPr>
        <w:ind w:firstLine="162"/>
        <w:spacing w:after="0" w:line="264" w:lineRule="auto"/>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provisions of this Appendix B will govern the treatment of transferred Biogen SERP account balances (or supplemental pension benefit formula benefit under Section 4.1(a) of the Biogen SERP, if applicable) of persons who were entitled to a benefit under the Biogen SERP but who were not active employees of Biogen Idec or any of its subsidiaries or other affiliates as of the date of transfer. To the extent that the provisions of this Appendix B are applicable, they will govern over any other provisions of this plan.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participant whose Biogen SERP account (or supplemental pension formula benefit, if applicable) is governed by this Appendix will be referred to as an “Appendix B participant.”</w:t>
      </w:r>
    </w:p>
    <w:p>
      <w:pPr>
        <w:spacing w:after="0" w:line="86" w:lineRule="exact"/>
        <w:rPr>
          <w:sz w:val="20"/>
          <w:szCs w:val="20"/>
          <w:color w:val="auto"/>
        </w:rPr>
      </w:pPr>
    </w:p>
    <w:p>
      <w:pPr>
        <w:ind w:right="80" w:firstLine="162"/>
        <w:spacing w:after="0" w:line="264" w:lineRule="auto"/>
        <w:tabs>
          <w:tab w:leader="none" w:pos="347"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This Appendix B will not apply to any transferred Biogen SERP account balances of any person who was an active employee of Biogen Idec (or any of its subsidiaries or other affiliates) as of the date of transfer as described in Section 3.1(c) and 5.1(e). The other provisions of this plan (including, without limitation, the crediting of deemed investment experience and the distribution provisions) will govern such transferred SERP account balance.</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For purposes of Code Section 409A, this Appendix B will be treated as a separate grandfathered non-qualified deferred compensation plan not subject to the requirements of such section.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B.2 </w:t>
      </w:r>
      <w:r>
        <w:rPr>
          <w:rFonts w:ascii="Arial" w:cs="Arial" w:eastAsia="Arial" w:hAnsi="Arial"/>
          <w:sz w:val="13"/>
          <w:szCs w:val="13"/>
          <w:b w:val="1"/>
          <w:bCs w:val="1"/>
          <w:color w:val="auto"/>
        </w:rPr>
        <w:t>Amount Transferred.</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For an Appendix B participant in the excess benefit formulas in Section 4.2 of the Biogen SERP, the amount transferred from the Biogen SERP to this plan on behalf of an Appendix B participant was the vested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11" w:name="page212"/>
    <w:bookmarkEnd w:id="211"/>
    <w:p>
      <w:pPr>
        <w:spacing w:after="0" w:line="276" w:lineRule="auto"/>
        <w:rPr>
          <w:sz w:val="20"/>
          <w:szCs w:val="20"/>
          <w:color w:val="auto"/>
        </w:rPr>
      </w:pPr>
      <w:r>
        <w:rPr>
          <w:rFonts w:ascii="Arial" w:cs="Arial" w:eastAsia="Arial" w:hAnsi="Arial"/>
          <w:sz w:val="13"/>
          <w:szCs w:val="13"/>
          <w:color w:val="auto"/>
        </w:rPr>
        <w:t>amount in the Appendix B participant’s Biogen SERP account as of his or her date of termination of employment, with subsequent interest credits on such amounts in accordance with the terms of the Biogen SERP. The full vesting provisions of Section 5.3(e) of this plan will not apply to an Appendix B participant.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B.3 </w:t>
      </w:r>
      <w:r>
        <w:rPr>
          <w:rFonts w:ascii="Arial" w:cs="Arial" w:eastAsia="Arial" w:hAnsi="Arial"/>
          <w:sz w:val="13"/>
          <w:szCs w:val="13"/>
          <w:b w:val="1"/>
          <w:bCs w:val="1"/>
          <w:color w:val="auto"/>
        </w:rPr>
        <w:t>Interest Credits.</w:t>
      </w:r>
    </w:p>
    <w:p>
      <w:pPr>
        <w:spacing w:after="0" w:line="9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For an Appendix B participant described in Section B.2, interest credits shall continue to be added to each such Appendix B participant’s Biogen SERP account as of the last day of the plan year based on the amount of the participant’s Biogen SERP account balance as of the first day of the plan year in the same manner as interest credits were added before such transfer.</w:t>
      </w:r>
    </w:p>
    <w:p>
      <w:pPr>
        <w:spacing w:after="0" w:line="49"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annual rate of interest used to determine the interest credit shall be the annual average of the yield on the one-year Treasury Bill constant maturity rate for the preceding plan year plus 100 basis points. However, in no event shall the annual interest rate be less than 5.25% or more than 10.0%.</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Notwithstanding the foregoing, for any plan year in which a plan benefit commences, an interest credit shall be added on the amount of the participant’s Biogen SERP account balance as of the first day of the plan year for the period from the first day of such plan year until the participant’s expected date of distribution. The interest rate shall be the annual interest rate as described above multiplied by the number of complete months since the end of the prior plan year divided by 12. Interest credits shall continue to be made during any period in which payment of an Appendix B participant’s benefit is being deferred. In no event will interest credits be made after benefits have commenced.</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B.4 </w:t>
      </w:r>
      <w:r>
        <w:rPr>
          <w:rFonts w:ascii="Arial" w:cs="Arial" w:eastAsia="Arial" w:hAnsi="Arial"/>
          <w:sz w:val="13"/>
          <w:szCs w:val="13"/>
          <w:b w:val="1"/>
          <w:bCs w:val="1"/>
          <w:color w:val="auto"/>
        </w:rPr>
        <w:t>Distributions.</w:t>
      </w:r>
    </w:p>
    <w:p>
      <w:pPr>
        <w:spacing w:after="0" w:line="90" w:lineRule="exact"/>
        <w:rPr>
          <w:sz w:val="20"/>
          <w:szCs w:val="20"/>
          <w:color w:val="auto"/>
        </w:rPr>
      </w:pPr>
    </w:p>
    <w:p>
      <w:pPr>
        <w:ind w:right="140" w:firstLine="157"/>
        <w:spacing w:after="0" w:line="264" w:lineRule="auto"/>
        <w:rPr>
          <w:sz w:val="20"/>
          <w:szCs w:val="20"/>
          <w:color w:val="auto"/>
        </w:rPr>
      </w:pPr>
      <w:r>
        <w:rPr>
          <w:rFonts w:ascii="Arial" w:cs="Arial" w:eastAsia="Arial" w:hAnsi="Arial"/>
          <w:sz w:val="13"/>
          <w:szCs w:val="13"/>
          <w:color w:val="auto"/>
        </w:rPr>
        <w:t>An Appendix B participant’s Biogen SERP account (or supplemental pension formula benefit, if applicable) will be paid in the same form and beginning at approximately the same time that his benefit under the Retirement Plan is payable, subject to the following rules. Notwithstanding the preceding sentence, if a participant elects a lump sum form of payment under the Retirement Plan, payment in such form under this plan will be subject to the approval of the committee.</w:t>
      </w:r>
    </w:p>
    <w:p>
      <w:pPr>
        <w:spacing w:after="0" w:line="57" w:lineRule="exact"/>
        <w:rPr>
          <w:sz w:val="20"/>
          <w:szCs w:val="20"/>
          <w:color w:val="auto"/>
        </w:rPr>
      </w:pPr>
    </w:p>
    <w:p>
      <w:pPr>
        <w:ind w:right="60" w:firstLine="162"/>
        <w:spacing w:after="0" w:line="276" w:lineRule="auto"/>
        <w:tabs>
          <w:tab w:leader="none" w:pos="342"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Annuity Options.</w:t>
      </w:r>
      <w:r>
        <w:rPr>
          <w:rFonts w:ascii="Arial" w:cs="Arial" w:eastAsia="Arial" w:hAnsi="Arial"/>
          <w:sz w:val="13"/>
          <w:szCs w:val="13"/>
          <w:color w:val="auto"/>
        </w:rPr>
        <w:t xml:space="preserve"> If an Appendix B participant’s Biogen SERP account balance (or supplemental pension formula benefit, if applicable) is payable in any form other than a lump sum, the actuarial factors used to convert his Biogen SERP account balance to such other form of payment will be the same as the factors used for such purpose in the Retirement Plan.</w:t>
      </w:r>
    </w:p>
    <w:p>
      <w:pPr>
        <w:spacing w:after="0" w:line="49" w:lineRule="exact"/>
        <w:rPr>
          <w:rFonts w:ascii="Arial" w:cs="Arial" w:eastAsia="Arial" w:hAnsi="Arial"/>
          <w:sz w:val="13"/>
          <w:szCs w:val="13"/>
          <w:color w:val="auto"/>
        </w:rPr>
      </w:pPr>
    </w:p>
    <w:p>
      <w:pPr>
        <w:ind w:right="40" w:firstLine="162"/>
        <w:spacing w:after="0" w:line="264" w:lineRule="auto"/>
        <w:tabs>
          <w:tab w:leader="none" w:pos="349"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Lump Sum.</w:t>
      </w:r>
      <w:r>
        <w:rPr>
          <w:rFonts w:ascii="Arial" w:cs="Arial" w:eastAsia="Arial" w:hAnsi="Arial"/>
          <w:sz w:val="13"/>
          <w:szCs w:val="13"/>
          <w:color w:val="auto"/>
        </w:rPr>
        <w:t xml:space="preserve"> If an Appendix B participant’s Biogen SERP account is payable in a single sum, the payment amount is the amount credited to the participant’s account as of the date of payment, with interest credits hereunder to such date (or as close thereto as is practicable). For a participant with a supplemental pension benefit under Section 4.1(a) of the Biogen SERP, the amount of lump sum payment shall be the supplemental pension amount converted to a single lump sum using the assumptions set forth in the Biogen Retirement Plan for such purpose.</w:t>
      </w:r>
    </w:p>
    <w:p>
      <w:pPr>
        <w:spacing w:after="0" w:line="57" w:lineRule="exact"/>
        <w:rPr>
          <w:rFonts w:ascii="Arial" w:cs="Arial" w:eastAsia="Arial" w:hAnsi="Arial"/>
          <w:sz w:val="13"/>
          <w:szCs w:val="13"/>
          <w:color w:val="auto"/>
        </w:rPr>
      </w:pPr>
    </w:p>
    <w:p>
      <w:pPr>
        <w:ind w:firstLine="162"/>
        <w:spacing w:after="0" w:line="276" w:lineRule="auto"/>
        <w:tabs>
          <w:tab w:leader="none" w:pos="342"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Lump Sum Override.</w:t>
      </w:r>
      <w:r>
        <w:rPr>
          <w:rFonts w:ascii="Arial" w:cs="Arial" w:eastAsia="Arial" w:hAnsi="Arial"/>
          <w:sz w:val="13"/>
          <w:szCs w:val="13"/>
          <w:color w:val="auto"/>
        </w:rPr>
        <w:t xml:space="preserve"> Notwithstanding the preceding provisions of this section, if an Appendix B participant’s Biogen SERF account balance (or lump sum value of his supplemental pension benefit, if applicable) is $10,000 or less as of the date that distribution would be made, such amount will be paid in the form of a lump sum payment.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B.5 </w:t>
      </w:r>
      <w:r>
        <w:rPr>
          <w:rFonts w:ascii="Arial" w:cs="Arial" w:eastAsia="Arial" w:hAnsi="Arial"/>
          <w:sz w:val="13"/>
          <w:szCs w:val="13"/>
          <w:b w:val="1"/>
          <w:bCs w:val="1"/>
          <w:color w:val="auto"/>
        </w:rPr>
        <w:t>Death Benefits.</w:t>
      </w:r>
    </w:p>
    <w:p>
      <w:pPr>
        <w:spacing w:after="0" w:line="90" w:lineRule="exact"/>
        <w:rPr>
          <w:sz w:val="20"/>
          <w:szCs w:val="20"/>
          <w:color w:val="auto"/>
        </w:rPr>
      </w:pPr>
    </w:p>
    <w:p>
      <w:pPr>
        <w:ind w:right="180" w:firstLine="162"/>
        <w:spacing w:after="0" w:line="276" w:lineRule="auto"/>
        <w:tabs>
          <w:tab w:leader="none" w:pos="342"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Applicability of this Section.</w:t>
      </w:r>
      <w:r>
        <w:rPr>
          <w:rFonts w:ascii="Arial" w:cs="Arial" w:eastAsia="Arial" w:hAnsi="Arial"/>
          <w:sz w:val="13"/>
          <w:szCs w:val="13"/>
          <w:color w:val="auto"/>
        </w:rPr>
        <w:t xml:space="preserve"> This section specifies the benefits payable upon the death of an Appendix B participant, either before or after the date his benefit payments hereunder begin. Except as specified in this section, no benefits are payable upon the death of an Appendix B participant.</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14"/>
        </w:numPr>
        <w:rPr>
          <w:rFonts w:ascii="Arial" w:cs="Arial" w:eastAsia="Arial" w:hAnsi="Arial"/>
          <w:sz w:val="11"/>
          <w:szCs w:val="11"/>
          <w:color w:val="auto"/>
        </w:rPr>
      </w:pPr>
      <w:r>
        <w:rPr>
          <w:rFonts w:ascii="Arial" w:cs="Arial" w:eastAsia="Arial" w:hAnsi="Arial"/>
          <w:sz w:val="11"/>
          <w:szCs w:val="11"/>
          <w:u w:val="single" w:color="auto"/>
          <w:color w:val="auto"/>
        </w:rPr>
        <w:t>Preretirement Death Benefits.</w:t>
      </w:r>
      <w:r>
        <w:rPr>
          <w:rFonts w:ascii="Arial" w:cs="Arial" w:eastAsia="Arial" w:hAnsi="Arial"/>
          <w:sz w:val="11"/>
          <w:szCs w:val="11"/>
          <w:color w:val="auto"/>
        </w:rPr>
        <w:t xml:space="preserve"> If an Appendix B participant dies before the date when his Biogen SERP account balance is converted to an annuity or paid to such participant, his beneficiary will receive payment</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color w:val="auto"/>
        </w:rPr>
        <w:t>the participant’s Biogen SERP account balance (or value of supplemental pension benefit, if applicable). Such amount will be paid in a single payment to the beneficiary.</w:t>
      </w:r>
    </w:p>
    <w:p>
      <w:pPr>
        <w:spacing w:after="0" w:line="86" w:lineRule="exact"/>
        <w:rPr>
          <w:sz w:val="20"/>
          <w:szCs w:val="20"/>
          <w:color w:val="auto"/>
        </w:rPr>
      </w:pPr>
    </w:p>
    <w:p>
      <w:pPr>
        <w:ind w:firstLine="162"/>
        <w:spacing w:after="0" w:line="276" w:lineRule="auto"/>
        <w:tabs>
          <w:tab w:leader="none" w:pos="342" w:val="left"/>
        </w:tabs>
        <w:numPr>
          <w:ilvl w:val="0"/>
          <w:numId w:val="115"/>
        </w:numPr>
        <w:rPr>
          <w:rFonts w:ascii="Arial" w:cs="Arial" w:eastAsia="Arial" w:hAnsi="Arial"/>
          <w:sz w:val="13"/>
          <w:szCs w:val="13"/>
          <w:color w:val="auto"/>
        </w:rPr>
      </w:pPr>
      <w:r>
        <w:rPr>
          <w:rFonts w:ascii="Arial" w:cs="Arial" w:eastAsia="Arial" w:hAnsi="Arial"/>
          <w:sz w:val="13"/>
          <w:szCs w:val="13"/>
          <w:u w:val="single" w:color="auto"/>
          <w:color w:val="auto"/>
        </w:rPr>
        <w:t>Death After Benefit Payments Begin.</w:t>
      </w:r>
      <w:r>
        <w:rPr>
          <w:rFonts w:ascii="Arial" w:cs="Arial" w:eastAsia="Arial" w:hAnsi="Arial"/>
          <w:sz w:val="13"/>
          <w:szCs w:val="13"/>
          <w:color w:val="auto"/>
        </w:rPr>
        <w:t xml:space="preserve"> If a participant dies while receiving benefit payments hereunder, his surviving spouse, contingent annuitant or beneficiary will receive the benefit, if any, payable under the form of payment in effect for such participant.</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B-3</w:t>
      </w:r>
    </w:p>
    <w:p>
      <w:pPr>
        <w:sectPr>
          <w:pgSz w:w="11900" w:h="16838" w:orient="portrait"/>
          <w:cols w:equalWidth="0" w:num="1">
            <w:col w:w="11300"/>
          </w:cols>
          <w:pgMar w:left="220" w:top="720" w:right="379" w:bottom="1440" w:gutter="0" w:footer="0" w:header="0"/>
        </w:sectPr>
      </w:pPr>
    </w:p>
    <w:bookmarkStart w:id="213" w:name="page214"/>
    <w:bookmarkEnd w:id="213"/>
    <w:p>
      <w:pPr>
        <w:jc w:val="right"/>
        <w:spacing w:after="0"/>
        <w:rPr>
          <w:sz w:val="20"/>
          <w:szCs w:val="20"/>
          <w:color w:val="auto"/>
        </w:rPr>
      </w:pPr>
      <w:r>
        <w:rPr>
          <w:rFonts w:ascii="Arial" w:cs="Arial" w:eastAsia="Arial" w:hAnsi="Arial"/>
          <w:sz w:val="13"/>
          <w:szCs w:val="13"/>
          <w:b w:val="1"/>
          <w:bCs w:val="1"/>
          <w:color w:val="auto"/>
        </w:rPr>
        <w:t>Exhibit 10.56</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BIOGEN IDEC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VOLUNTARY BOARD OF DIRECTORS SAVINGS PLAN</w:t>
      </w:r>
    </w:p>
    <w:p>
      <w:pPr>
        <w:spacing w:after="0" w:line="259" w:lineRule="exact"/>
        <w:rPr>
          <w:sz w:val="20"/>
          <w:szCs w:val="20"/>
          <w:color w:val="auto"/>
        </w:rPr>
      </w:pPr>
    </w:p>
    <w:p>
      <w:pPr>
        <w:ind w:left="3240"/>
        <w:spacing w:after="0"/>
        <w:rPr>
          <w:sz w:val="20"/>
          <w:szCs w:val="20"/>
          <w:color w:val="auto"/>
        </w:rPr>
      </w:pPr>
      <w:r>
        <w:rPr>
          <w:rFonts w:ascii="Arial" w:cs="Arial" w:eastAsia="Arial" w:hAnsi="Arial"/>
          <w:sz w:val="13"/>
          <w:szCs w:val="13"/>
          <w:color w:val="auto"/>
        </w:rPr>
        <w:t>(Plan Provisions as in Effect on January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0" w:type="dxa"/>
            <w:vAlign w:val="bottom"/>
          </w:tcPr>
          <w:p>
            <w:pPr>
              <w:jc w:val="right"/>
              <w:ind w:right="4955"/>
              <w:spacing w:after="0"/>
              <w:rPr>
                <w:sz w:val="20"/>
                <w:szCs w:val="20"/>
                <w:color w:val="auto"/>
              </w:rPr>
            </w:pPr>
            <w:r>
              <w:rPr>
                <w:rFonts w:ascii="Arial" w:cs="Arial" w:eastAsia="Arial" w:hAnsi="Arial"/>
                <w:sz w:val="13"/>
                <w:szCs w:val="13"/>
                <w:b w:val="1"/>
                <w:bCs w:val="1"/>
                <w:color w:val="auto"/>
              </w:rPr>
              <w:t>TABLE OF CONTENTS</w:t>
            </w:r>
          </w:p>
        </w:tc>
      </w:tr>
      <w:tr>
        <w:trPr>
          <w:trHeight w:val="258"/>
        </w:trPr>
        <w:tc>
          <w:tcPr>
            <w:tcW w:w="3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7200" w:type="dxa"/>
            <w:vAlign w:val="bottom"/>
          </w:tcPr>
          <w:p>
            <w:pPr>
              <w:jc w:val="right"/>
              <w:ind w:right="255"/>
              <w:spacing w:after="0"/>
              <w:rPr>
                <w:sz w:val="20"/>
                <w:szCs w:val="20"/>
                <w:color w:val="auto"/>
              </w:rPr>
            </w:pPr>
            <w:r>
              <w:rPr>
                <w:rFonts w:ascii="Arial" w:cs="Arial" w:eastAsia="Arial" w:hAnsi="Arial"/>
                <w:sz w:val="10"/>
                <w:szCs w:val="10"/>
                <w:color w:val="auto"/>
              </w:rPr>
              <w:t>Page</w:t>
            </w:r>
          </w:p>
        </w:tc>
      </w:tr>
      <w:tr>
        <w:trPr>
          <w:trHeight w:val="157"/>
        </w:trPr>
        <w:tc>
          <w:tcPr>
            <w:tcW w:w="4260" w:type="dxa"/>
            <w:vAlign w:val="bottom"/>
            <w:gridSpan w:val="2"/>
          </w:tcPr>
          <w:p>
            <w:pPr>
              <w:spacing w:after="0"/>
              <w:rPr>
                <w:sz w:val="20"/>
                <w:szCs w:val="20"/>
                <w:color w:val="auto"/>
              </w:rPr>
            </w:pPr>
            <w:r>
              <w:rPr>
                <w:rFonts w:ascii="Arial" w:cs="Arial" w:eastAsia="Arial" w:hAnsi="Arial"/>
                <w:sz w:val="13"/>
                <w:szCs w:val="13"/>
                <w:color w:val="auto"/>
              </w:rPr>
              <w:t>ARTICLE 1 INTRODUCTION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1.1</w:t>
            </w:r>
          </w:p>
        </w:tc>
        <w:tc>
          <w:tcPr>
            <w:tcW w:w="3940" w:type="dxa"/>
            <w:vAlign w:val="bottom"/>
          </w:tcPr>
          <w:p>
            <w:pPr>
              <w:ind w:left="20"/>
              <w:spacing w:after="0"/>
              <w:rPr>
                <w:sz w:val="20"/>
                <w:szCs w:val="20"/>
                <w:color w:val="auto"/>
              </w:rPr>
            </w:pPr>
            <w:r>
              <w:rPr>
                <w:rFonts w:ascii="Arial" w:cs="Arial" w:eastAsia="Arial" w:hAnsi="Arial"/>
                <w:sz w:val="13"/>
                <w:szCs w:val="13"/>
                <w:color w:val="auto"/>
              </w:rPr>
              <w:t>Purpose and Effective Date</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2 DEFINITIONS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2.1</w:t>
            </w:r>
          </w:p>
        </w:tc>
        <w:tc>
          <w:tcPr>
            <w:tcW w:w="3940" w:type="dxa"/>
            <w:vAlign w:val="bottom"/>
          </w:tcPr>
          <w:p>
            <w:pPr>
              <w:ind w:left="20"/>
              <w:spacing w:after="0"/>
              <w:rPr>
                <w:sz w:val="20"/>
                <w:szCs w:val="20"/>
                <w:color w:val="auto"/>
              </w:rPr>
            </w:pPr>
            <w:r>
              <w:rPr>
                <w:rFonts w:ascii="Arial" w:cs="Arial" w:eastAsia="Arial" w:hAnsi="Arial"/>
                <w:sz w:val="13"/>
                <w:szCs w:val="13"/>
                <w:color w:val="auto"/>
              </w:rPr>
              <w:t>Biogen Idec</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2.2</w:t>
            </w:r>
          </w:p>
        </w:tc>
        <w:tc>
          <w:tcPr>
            <w:tcW w:w="3940" w:type="dxa"/>
            <w:vAlign w:val="bottom"/>
          </w:tcPr>
          <w:p>
            <w:pPr>
              <w:ind w:left="20"/>
              <w:spacing w:after="0"/>
              <w:rPr>
                <w:sz w:val="20"/>
                <w:szCs w:val="20"/>
                <w:color w:val="auto"/>
              </w:rPr>
            </w:pPr>
            <w:r>
              <w:rPr>
                <w:rFonts w:ascii="Arial" w:cs="Arial" w:eastAsia="Arial" w:hAnsi="Arial"/>
                <w:sz w:val="13"/>
                <w:szCs w:val="13"/>
                <w:color w:val="auto"/>
              </w:rPr>
              <w:t>Board</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2.3</w:t>
            </w:r>
          </w:p>
        </w:tc>
        <w:tc>
          <w:tcPr>
            <w:tcW w:w="3940" w:type="dxa"/>
            <w:vAlign w:val="bottom"/>
          </w:tcPr>
          <w:p>
            <w:pPr>
              <w:ind w:left="20"/>
              <w:spacing w:after="0"/>
              <w:rPr>
                <w:sz w:val="20"/>
                <w:szCs w:val="20"/>
                <w:color w:val="auto"/>
              </w:rPr>
            </w:pPr>
            <w:r>
              <w:rPr>
                <w:rFonts w:ascii="Arial" w:cs="Arial" w:eastAsia="Arial" w:hAnsi="Arial"/>
                <w:sz w:val="13"/>
                <w:szCs w:val="13"/>
                <w:color w:val="auto"/>
              </w:rPr>
              <w:t>Change in Control</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2.4</w:t>
            </w:r>
          </w:p>
        </w:tc>
        <w:tc>
          <w:tcPr>
            <w:tcW w:w="3940" w:type="dxa"/>
            <w:vAlign w:val="bottom"/>
          </w:tcPr>
          <w:p>
            <w:pPr>
              <w:ind w:left="20"/>
              <w:spacing w:after="0"/>
              <w:rPr>
                <w:sz w:val="20"/>
                <w:szCs w:val="20"/>
                <w:color w:val="auto"/>
              </w:rPr>
            </w:pPr>
            <w:r>
              <w:rPr>
                <w:rFonts w:ascii="Arial" w:cs="Arial" w:eastAsia="Arial" w:hAnsi="Arial"/>
                <w:sz w:val="13"/>
                <w:szCs w:val="13"/>
                <w:color w:val="auto"/>
              </w:rPr>
              <w:t>Committee</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2.5</w:t>
            </w:r>
          </w:p>
        </w:tc>
        <w:tc>
          <w:tcPr>
            <w:tcW w:w="3940" w:type="dxa"/>
            <w:vAlign w:val="bottom"/>
          </w:tcPr>
          <w:p>
            <w:pPr>
              <w:ind w:left="20"/>
              <w:spacing w:after="0"/>
              <w:rPr>
                <w:sz w:val="20"/>
                <w:szCs w:val="20"/>
                <w:color w:val="auto"/>
              </w:rPr>
            </w:pPr>
            <w:r>
              <w:rPr>
                <w:rFonts w:ascii="Arial" w:cs="Arial" w:eastAsia="Arial" w:hAnsi="Arial"/>
                <w:sz w:val="13"/>
                <w:szCs w:val="13"/>
                <w:color w:val="auto"/>
              </w:rPr>
              <w:t>Director</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2.6</w:t>
            </w:r>
          </w:p>
        </w:tc>
        <w:tc>
          <w:tcPr>
            <w:tcW w:w="3940" w:type="dxa"/>
            <w:vAlign w:val="bottom"/>
          </w:tcPr>
          <w:p>
            <w:pPr>
              <w:ind w:left="20"/>
              <w:spacing w:after="0"/>
              <w:rPr>
                <w:sz w:val="20"/>
                <w:szCs w:val="20"/>
                <w:color w:val="auto"/>
              </w:rPr>
            </w:pPr>
            <w:r>
              <w:rPr>
                <w:rFonts w:ascii="Arial" w:cs="Arial" w:eastAsia="Arial" w:hAnsi="Arial"/>
                <w:sz w:val="13"/>
                <w:szCs w:val="13"/>
                <w:color w:val="auto"/>
              </w:rPr>
              <w:t>Fees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2.7</w:t>
            </w:r>
          </w:p>
        </w:tc>
        <w:tc>
          <w:tcPr>
            <w:tcW w:w="3940" w:type="dxa"/>
            <w:vAlign w:val="bottom"/>
          </w:tcPr>
          <w:p>
            <w:pPr>
              <w:ind w:left="20"/>
              <w:spacing w:after="0"/>
              <w:rPr>
                <w:sz w:val="20"/>
                <w:szCs w:val="20"/>
                <w:color w:val="auto"/>
              </w:rPr>
            </w:pPr>
            <w:r>
              <w:rPr>
                <w:rFonts w:ascii="Arial" w:cs="Arial" w:eastAsia="Arial" w:hAnsi="Arial"/>
                <w:sz w:val="13"/>
                <w:szCs w:val="13"/>
                <w:color w:val="auto"/>
              </w:rPr>
              <w:t>Participant</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2.8</w:t>
            </w:r>
          </w:p>
        </w:tc>
        <w:tc>
          <w:tcPr>
            <w:tcW w:w="3940" w:type="dxa"/>
            <w:vAlign w:val="bottom"/>
          </w:tcPr>
          <w:p>
            <w:pPr>
              <w:ind w:left="20"/>
              <w:spacing w:after="0"/>
              <w:rPr>
                <w:sz w:val="20"/>
                <w:szCs w:val="20"/>
                <w:color w:val="auto"/>
              </w:rPr>
            </w:pPr>
            <w:r>
              <w:rPr>
                <w:rFonts w:ascii="Arial" w:cs="Arial" w:eastAsia="Arial" w:hAnsi="Arial"/>
                <w:sz w:val="13"/>
                <w:szCs w:val="13"/>
                <w:color w:val="auto"/>
              </w:rPr>
              <w:t>Plan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2.9</w:t>
            </w:r>
          </w:p>
        </w:tc>
        <w:tc>
          <w:tcPr>
            <w:tcW w:w="3940" w:type="dxa"/>
            <w:vAlign w:val="bottom"/>
          </w:tcPr>
          <w:p>
            <w:pPr>
              <w:ind w:left="20"/>
              <w:spacing w:after="0"/>
              <w:rPr>
                <w:sz w:val="20"/>
                <w:szCs w:val="20"/>
                <w:color w:val="auto"/>
              </w:rPr>
            </w:pPr>
            <w:r>
              <w:rPr>
                <w:rFonts w:ascii="Arial" w:cs="Arial" w:eastAsia="Arial" w:hAnsi="Arial"/>
                <w:sz w:val="13"/>
                <w:szCs w:val="13"/>
                <w:color w:val="auto"/>
              </w:rPr>
              <w:t>Plan Year</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57"/>
        </w:trPr>
        <w:tc>
          <w:tcPr>
            <w:tcW w:w="4260" w:type="dxa"/>
            <w:vAlign w:val="bottom"/>
            <w:gridSpan w:val="2"/>
          </w:tcPr>
          <w:p>
            <w:pPr>
              <w:ind w:left="140"/>
              <w:spacing w:after="0"/>
              <w:rPr>
                <w:sz w:val="20"/>
                <w:szCs w:val="20"/>
                <w:color w:val="auto"/>
              </w:rPr>
            </w:pPr>
            <w:r>
              <w:rPr>
                <w:rFonts w:ascii="Arial" w:cs="Arial" w:eastAsia="Arial" w:hAnsi="Arial"/>
                <w:sz w:val="13"/>
                <w:szCs w:val="13"/>
                <w:color w:val="auto"/>
              </w:rPr>
              <w:t>2.10 Retainer</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65"/>
        </w:trPr>
        <w:tc>
          <w:tcPr>
            <w:tcW w:w="4260" w:type="dxa"/>
            <w:vAlign w:val="bottom"/>
            <w:gridSpan w:val="2"/>
          </w:tcPr>
          <w:p>
            <w:pPr>
              <w:ind w:left="140"/>
              <w:spacing w:after="0"/>
              <w:rPr>
                <w:sz w:val="20"/>
                <w:szCs w:val="20"/>
                <w:color w:val="auto"/>
              </w:rPr>
            </w:pPr>
            <w:r>
              <w:rPr>
                <w:rFonts w:ascii="Arial" w:cs="Arial" w:eastAsia="Arial" w:hAnsi="Arial"/>
                <w:sz w:val="13"/>
                <w:szCs w:val="13"/>
                <w:color w:val="auto"/>
              </w:rPr>
              <w:t>2.11 Savings Plan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3 PARTICIPATION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3.1</w:t>
            </w:r>
          </w:p>
        </w:tc>
        <w:tc>
          <w:tcPr>
            <w:tcW w:w="3940" w:type="dxa"/>
            <w:vAlign w:val="bottom"/>
          </w:tcPr>
          <w:p>
            <w:pPr>
              <w:ind w:left="20"/>
              <w:spacing w:after="0"/>
              <w:rPr>
                <w:sz w:val="20"/>
                <w:szCs w:val="20"/>
                <w:color w:val="auto"/>
              </w:rPr>
            </w:pPr>
            <w:r>
              <w:rPr>
                <w:rFonts w:ascii="Arial" w:cs="Arial" w:eastAsia="Arial" w:hAnsi="Arial"/>
                <w:sz w:val="13"/>
                <w:szCs w:val="13"/>
                <w:color w:val="auto"/>
              </w:rPr>
              <w:t>Eligibility and Participation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3.2</w:t>
            </w:r>
          </w:p>
        </w:tc>
        <w:tc>
          <w:tcPr>
            <w:tcW w:w="3940" w:type="dxa"/>
            <w:vAlign w:val="bottom"/>
          </w:tcPr>
          <w:p>
            <w:pPr>
              <w:ind w:left="20"/>
              <w:spacing w:after="0"/>
              <w:rPr>
                <w:sz w:val="20"/>
                <w:szCs w:val="20"/>
                <w:color w:val="auto"/>
              </w:rPr>
            </w:pPr>
            <w:r>
              <w:rPr>
                <w:rFonts w:ascii="Arial" w:cs="Arial" w:eastAsia="Arial" w:hAnsi="Arial"/>
                <w:sz w:val="13"/>
                <w:szCs w:val="13"/>
                <w:color w:val="auto"/>
              </w:rPr>
              <w:t>End of Participation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4 VOLUNTARY DEFERRALS BY PARTICIPANTS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4.1</w:t>
            </w:r>
          </w:p>
        </w:tc>
        <w:tc>
          <w:tcPr>
            <w:tcW w:w="3940" w:type="dxa"/>
            <w:vAlign w:val="bottom"/>
          </w:tcPr>
          <w:p>
            <w:pPr>
              <w:ind w:left="20"/>
              <w:spacing w:after="0"/>
              <w:rPr>
                <w:sz w:val="20"/>
                <w:szCs w:val="20"/>
                <w:color w:val="auto"/>
              </w:rPr>
            </w:pPr>
            <w:r>
              <w:rPr>
                <w:rFonts w:ascii="Arial" w:cs="Arial" w:eastAsia="Arial" w:hAnsi="Arial"/>
                <w:sz w:val="13"/>
                <w:szCs w:val="13"/>
                <w:color w:val="auto"/>
              </w:rPr>
              <w:t>Voluntary Deferrals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4.2</w:t>
            </w:r>
          </w:p>
        </w:tc>
        <w:tc>
          <w:tcPr>
            <w:tcW w:w="3940" w:type="dxa"/>
            <w:vAlign w:val="bottom"/>
          </w:tcPr>
          <w:p>
            <w:pPr>
              <w:ind w:left="20"/>
              <w:spacing w:after="0"/>
              <w:rPr>
                <w:sz w:val="20"/>
                <w:szCs w:val="20"/>
                <w:color w:val="auto"/>
              </w:rPr>
            </w:pPr>
            <w:r>
              <w:rPr>
                <w:rFonts w:ascii="Arial" w:cs="Arial" w:eastAsia="Arial" w:hAnsi="Arial"/>
                <w:sz w:val="13"/>
                <w:szCs w:val="13"/>
                <w:color w:val="auto"/>
              </w:rPr>
              <w:t>Election Procedures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2</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5 PARTICIPANT ACCOUNTS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5.1</w:t>
            </w:r>
          </w:p>
        </w:tc>
        <w:tc>
          <w:tcPr>
            <w:tcW w:w="3940" w:type="dxa"/>
            <w:vAlign w:val="bottom"/>
          </w:tcPr>
          <w:p>
            <w:pPr>
              <w:ind w:left="20"/>
              <w:spacing w:after="0"/>
              <w:rPr>
                <w:sz w:val="20"/>
                <w:szCs w:val="20"/>
                <w:color w:val="auto"/>
              </w:rPr>
            </w:pPr>
            <w:r>
              <w:rPr>
                <w:rFonts w:ascii="Arial" w:cs="Arial" w:eastAsia="Arial" w:hAnsi="Arial"/>
                <w:sz w:val="13"/>
                <w:szCs w:val="13"/>
                <w:color w:val="auto"/>
              </w:rPr>
              <w:t>Participant Accounts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4</w:t>
            </w: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5.2</w:t>
            </w:r>
          </w:p>
        </w:tc>
        <w:tc>
          <w:tcPr>
            <w:tcW w:w="3940" w:type="dxa"/>
            <w:vAlign w:val="bottom"/>
          </w:tcPr>
          <w:p>
            <w:pPr>
              <w:ind w:left="20"/>
              <w:spacing w:after="0"/>
              <w:rPr>
                <w:sz w:val="20"/>
                <w:szCs w:val="20"/>
                <w:color w:val="auto"/>
              </w:rPr>
            </w:pPr>
            <w:r>
              <w:rPr>
                <w:rFonts w:ascii="Arial" w:cs="Arial" w:eastAsia="Arial" w:hAnsi="Arial"/>
                <w:sz w:val="13"/>
                <w:szCs w:val="13"/>
                <w:color w:val="auto"/>
              </w:rPr>
              <w:t>Vesting</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5</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6 DISTRIBUTIONS TO PARTICIPANT</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6.1</w:t>
            </w:r>
          </w:p>
        </w:tc>
        <w:tc>
          <w:tcPr>
            <w:tcW w:w="3940" w:type="dxa"/>
            <w:vAlign w:val="bottom"/>
          </w:tcPr>
          <w:p>
            <w:pPr>
              <w:ind w:left="20"/>
              <w:spacing w:after="0"/>
              <w:rPr>
                <w:sz w:val="20"/>
                <w:szCs w:val="20"/>
                <w:color w:val="auto"/>
              </w:rPr>
            </w:pPr>
            <w:r>
              <w:rPr>
                <w:rFonts w:ascii="Arial" w:cs="Arial" w:eastAsia="Arial" w:hAnsi="Arial"/>
                <w:sz w:val="13"/>
                <w:szCs w:val="13"/>
                <w:color w:val="auto"/>
              </w:rPr>
              <w:t>Distributions for Unforeseeable Emergency</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6.2</w:t>
            </w:r>
          </w:p>
        </w:tc>
        <w:tc>
          <w:tcPr>
            <w:tcW w:w="3940" w:type="dxa"/>
            <w:vAlign w:val="bottom"/>
          </w:tcPr>
          <w:p>
            <w:pPr>
              <w:ind w:left="20"/>
              <w:spacing w:after="0"/>
              <w:rPr>
                <w:sz w:val="20"/>
                <w:szCs w:val="20"/>
                <w:color w:val="auto"/>
              </w:rPr>
            </w:pPr>
            <w:r>
              <w:rPr>
                <w:rFonts w:ascii="Arial" w:cs="Arial" w:eastAsia="Arial" w:hAnsi="Arial"/>
                <w:sz w:val="13"/>
                <w:szCs w:val="13"/>
                <w:color w:val="auto"/>
              </w:rPr>
              <w:t>In-Service Distribution(s) at a Time Specified by Participant</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6.3</w:t>
            </w:r>
          </w:p>
        </w:tc>
        <w:tc>
          <w:tcPr>
            <w:tcW w:w="3940" w:type="dxa"/>
            <w:vAlign w:val="bottom"/>
          </w:tcPr>
          <w:p>
            <w:pPr>
              <w:ind w:left="20"/>
              <w:spacing w:after="0"/>
              <w:rPr>
                <w:sz w:val="20"/>
                <w:szCs w:val="20"/>
                <w:color w:val="auto"/>
              </w:rPr>
            </w:pPr>
            <w:r>
              <w:rPr>
                <w:rFonts w:ascii="Arial" w:cs="Arial" w:eastAsia="Arial" w:hAnsi="Arial"/>
                <w:sz w:val="13"/>
                <w:szCs w:val="13"/>
                <w:color w:val="auto"/>
              </w:rPr>
              <w:t>Distribution Upon a Change in Control</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6.4</w:t>
            </w:r>
          </w:p>
        </w:tc>
        <w:tc>
          <w:tcPr>
            <w:tcW w:w="3940" w:type="dxa"/>
            <w:vAlign w:val="bottom"/>
          </w:tcPr>
          <w:p>
            <w:pPr>
              <w:ind w:left="20"/>
              <w:spacing w:after="0"/>
              <w:rPr>
                <w:sz w:val="20"/>
                <w:szCs w:val="20"/>
                <w:color w:val="auto"/>
              </w:rPr>
            </w:pPr>
            <w:r>
              <w:rPr>
                <w:rFonts w:ascii="Arial" w:cs="Arial" w:eastAsia="Arial" w:hAnsi="Arial"/>
                <w:sz w:val="13"/>
                <w:szCs w:val="13"/>
                <w:color w:val="auto"/>
              </w:rPr>
              <w:t>Distribution Upon Death of a Participant</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6.5</w:t>
            </w:r>
          </w:p>
        </w:tc>
        <w:tc>
          <w:tcPr>
            <w:tcW w:w="3940" w:type="dxa"/>
            <w:vAlign w:val="bottom"/>
          </w:tcPr>
          <w:p>
            <w:pPr>
              <w:ind w:left="20"/>
              <w:spacing w:after="0"/>
              <w:rPr>
                <w:sz w:val="20"/>
                <w:szCs w:val="20"/>
                <w:color w:val="auto"/>
              </w:rPr>
            </w:pPr>
            <w:r>
              <w:rPr>
                <w:rFonts w:ascii="Arial" w:cs="Arial" w:eastAsia="Arial" w:hAnsi="Arial"/>
                <w:sz w:val="13"/>
                <w:szCs w:val="13"/>
                <w:color w:val="auto"/>
              </w:rPr>
              <w:t>Other Distributions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6.6</w:t>
            </w:r>
          </w:p>
        </w:tc>
        <w:tc>
          <w:tcPr>
            <w:tcW w:w="3940" w:type="dxa"/>
            <w:vAlign w:val="bottom"/>
          </w:tcPr>
          <w:p>
            <w:pPr>
              <w:ind w:left="20"/>
              <w:spacing w:after="0"/>
              <w:rPr>
                <w:sz w:val="20"/>
                <w:szCs w:val="20"/>
                <w:color w:val="auto"/>
              </w:rPr>
            </w:pPr>
            <w:r>
              <w:rPr>
                <w:rFonts w:ascii="Arial" w:cs="Arial" w:eastAsia="Arial" w:hAnsi="Arial"/>
                <w:sz w:val="13"/>
                <w:szCs w:val="13"/>
                <w:color w:val="auto"/>
              </w:rPr>
              <w:t>Installment Distributions in Certain Cases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6</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6.7</w:t>
            </w:r>
          </w:p>
        </w:tc>
        <w:tc>
          <w:tcPr>
            <w:tcW w:w="3940" w:type="dxa"/>
            <w:vAlign w:val="bottom"/>
          </w:tcPr>
          <w:p>
            <w:pPr>
              <w:ind w:left="20"/>
              <w:spacing w:after="0"/>
              <w:rPr>
                <w:sz w:val="20"/>
                <w:szCs w:val="20"/>
                <w:color w:val="auto"/>
              </w:rPr>
            </w:pPr>
            <w:r>
              <w:rPr>
                <w:rFonts w:ascii="Arial" w:cs="Arial" w:eastAsia="Arial" w:hAnsi="Arial"/>
                <w:sz w:val="13"/>
                <w:szCs w:val="13"/>
                <w:color w:val="auto"/>
              </w:rPr>
              <w:t>Certain Other Distributions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7</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6.8</w:t>
            </w:r>
          </w:p>
        </w:tc>
        <w:tc>
          <w:tcPr>
            <w:tcW w:w="3940" w:type="dxa"/>
            <w:vAlign w:val="bottom"/>
          </w:tcPr>
          <w:p>
            <w:pPr>
              <w:ind w:left="20"/>
              <w:spacing w:after="0"/>
              <w:rPr>
                <w:sz w:val="20"/>
                <w:szCs w:val="20"/>
                <w:color w:val="auto"/>
              </w:rPr>
            </w:pPr>
            <w:r>
              <w:rPr>
                <w:rFonts w:ascii="Arial" w:cs="Arial" w:eastAsia="Arial" w:hAnsi="Arial"/>
                <w:sz w:val="13"/>
                <w:szCs w:val="13"/>
                <w:color w:val="auto"/>
              </w:rPr>
              <w:t>Delay in Distributions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8</w:t>
            </w: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6.9</w:t>
            </w:r>
          </w:p>
        </w:tc>
        <w:tc>
          <w:tcPr>
            <w:tcW w:w="3940" w:type="dxa"/>
            <w:vAlign w:val="bottom"/>
          </w:tcPr>
          <w:p>
            <w:pPr>
              <w:ind w:left="20"/>
              <w:spacing w:after="0"/>
              <w:rPr>
                <w:sz w:val="20"/>
                <w:szCs w:val="20"/>
                <w:color w:val="auto"/>
              </w:rPr>
            </w:pPr>
            <w:r>
              <w:rPr>
                <w:rFonts w:ascii="Arial" w:cs="Arial" w:eastAsia="Arial" w:hAnsi="Arial"/>
                <w:sz w:val="13"/>
                <w:szCs w:val="13"/>
                <w:color w:val="auto"/>
              </w:rPr>
              <w:t>Compliance with Code Section 409A</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8</w:t>
            </w:r>
          </w:p>
        </w:tc>
      </w:tr>
      <w:tr>
        <w:trPr>
          <w:trHeight w:val="307"/>
        </w:trPr>
        <w:tc>
          <w:tcPr>
            <w:tcW w:w="4260" w:type="dxa"/>
            <w:vAlign w:val="bottom"/>
            <w:gridSpan w:val="2"/>
          </w:tcPr>
          <w:p>
            <w:pPr>
              <w:spacing w:after="0"/>
              <w:rPr>
                <w:sz w:val="20"/>
                <w:szCs w:val="20"/>
                <w:color w:val="auto"/>
              </w:rPr>
            </w:pPr>
            <w:r>
              <w:rPr>
                <w:rFonts w:ascii="Arial" w:cs="Arial" w:eastAsia="Arial" w:hAnsi="Arial"/>
                <w:sz w:val="13"/>
                <w:szCs w:val="13"/>
                <w:color w:val="auto"/>
              </w:rPr>
              <w:t>ARTICLE 7 MISCELLANEOUS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7.1</w:t>
            </w:r>
          </w:p>
        </w:tc>
        <w:tc>
          <w:tcPr>
            <w:tcW w:w="3940" w:type="dxa"/>
            <w:vAlign w:val="bottom"/>
          </w:tcPr>
          <w:p>
            <w:pPr>
              <w:ind w:left="20"/>
              <w:spacing w:after="0"/>
              <w:rPr>
                <w:sz w:val="20"/>
                <w:szCs w:val="20"/>
                <w:color w:val="auto"/>
              </w:rPr>
            </w:pPr>
            <w:r>
              <w:rPr>
                <w:rFonts w:ascii="Arial" w:cs="Arial" w:eastAsia="Arial" w:hAnsi="Arial"/>
                <w:sz w:val="13"/>
                <w:szCs w:val="13"/>
                <w:color w:val="auto"/>
              </w:rPr>
              <w:t>Amendment or Termination of Plan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7.2</w:t>
            </w:r>
          </w:p>
        </w:tc>
        <w:tc>
          <w:tcPr>
            <w:tcW w:w="3940" w:type="dxa"/>
            <w:vAlign w:val="bottom"/>
          </w:tcPr>
          <w:p>
            <w:pPr>
              <w:ind w:left="20"/>
              <w:spacing w:after="0"/>
              <w:rPr>
                <w:sz w:val="20"/>
                <w:szCs w:val="20"/>
                <w:color w:val="auto"/>
              </w:rPr>
            </w:pPr>
            <w:r>
              <w:rPr>
                <w:rFonts w:ascii="Arial" w:cs="Arial" w:eastAsia="Arial" w:hAnsi="Arial"/>
                <w:sz w:val="13"/>
                <w:szCs w:val="13"/>
                <w:color w:val="auto"/>
              </w:rPr>
              <w:t>Benefits Not Currently Funded</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8</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7.3</w:t>
            </w:r>
          </w:p>
        </w:tc>
        <w:tc>
          <w:tcPr>
            <w:tcW w:w="3940" w:type="dxa"/>
            <w:vAlign w:val="bottom"/>
          </w:tcPr>
          <w:p>
            <w:pPr>
              <w:ind w:left="20"/>
              <w:spacing w:after="0"/>
              <w:rPr>
                <w:sz w:val="20"/>
                <w:szCs w:val="20"/>
                <w:color w:val="auto"/>
              </w:rPr>
            </w:pPr>
            <w:r>
              <w:rPr>
                <w:rFonts w:ascii="Arial" w:cs="Arial" w:eastAsia="Arial" w:hAnsi="Arial"/>
                <w:sz w:val="13"/>
                <w:szCs w:val="13"/>
                <w:color w:val="auto"/>
              </w:rPr>
              <w:t>No Assignment</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7.4</w:t>
            </w:r>
          </w:p>
        </w:tc>
        <w:tc>
          <w:tcPr>
            <w:tcW w:w="3940" w:type="dxa"/>
            <w:vAlign w:val="bottom"/>
          </w:tcPr>
          <w:p>
            <w:pPr>
              <w:ind w:left="20"/>
              <w:spacing w:after="0"/>
              <w:rPr>
                <w:sz w:val="20"/>
                <w:szCs w:val="20"/>
                <w:color w:val="auto"/>
              </w:rPr>
            </w:pPr>
            <w:r>
              <w:rPr>
                <w:rFonts w:ascii="Arial" w:cs="Arial" w:eastAsia="Arial" w:hAnsi="Arial"/>
                <w:sz w:val="13"/>
                <w:szCs w:val="13"/>
                <w:color w:val="auto"/>
              </w:rPr>
              <w:t>Effect of Change in Control</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9</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7.5</w:t>
            </w:r>
          </w:p>
        </w:tc>
        <w:tc>
          <w:tcPr>
            <w:tcW w:w="3940" w:type="dxa"/>
            <w:vAlign w:val="bottom"/>
          </w:tcPr>
          <w:p>
            <w:pPr>
              <w:ind w:left="20"/>
              <w:spacing w:after="0"/>
              <w:rPr>
                <w:sz w:val="20"/>
                <w:szCs w:val="20"/>
                <w:color w:val="auto"/>
              </w:rPr>
            </w:pPr>
            <w:r>
              <w:rPr>
                <w:rFonts w:ascii="Arial" w:cs="Arial" w:eastAsia="Arial" w:hAnsi="Arial"/>
                <w:sz w:val="13"/>
                <w:szCs w:val="13"/>
                <w:color w:val="auto"/>
              </w:rPr>
              <w:t>Responsibilities and Authority of Committee</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7.6</w:t>
            </w:r>
          </w:p>
        </w:tc>
        <w:tc>
          <w:tcPr>
            <w:tcW w:w="3940" w:type="dxa"/>
            <w:vAlign w:val="bottom"/>
          </w:tcPr>
          <w:p>
            <w:pPr>
              <w:ind w:left="20"/>
              <w:spacing w:after="0"/>
              <w:rPr>
                <w:sz w:val="20"/>
                <w:szCs w:val="20"/>
                <w:color w:val="auto"/>
              </w:rPr>
            </w:pPr>
            <w:r>
              <w:rPr>
                <w:rFonts w:ascii="Arial" w:cs="Arial" w:eastAsia="Arial" w:hAnsi="Arial"/>
                <w:sz w:val="13"/>
                <w:szCs w:val="13"/>
                <w:color w:val="auto"/>
              </w:rPr>
              <w:t>Limitation on Rights Created by Plan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7.7</w:t>
            </w:r>
          </w:p>
        </w:tc>
        <w:tc>
          <w:tcPr>
            <w:tcW w:w="3940" w:type="dxa"/>
            <w:vAlign w:val="bottom"/>
          </w:tcPr>
          <w:p>
            <w:pPr>
              <w:ind w:left="20"/>
              <w:spacing w:after="0"/>
              <w:rPr>
                <w:sz w:val="20"/>
                <w:szCs w:val="20"/>
                <w:color w:val="auto"/>
              </w:rPr>
            </w:pPr>
            <w:r>
              <w:rPr>
                <w:rFonts w:ascii="Arial" w:cs="Arial" w:eastAsia="Arial" w:hAnsi="Arial"/>
                <w:sz w:val="13"/>
                <w:szCs w:val="13"/>
                <w:color w:val="auto"/>
              </w:rPr>
              <w:t>Tax Withholding</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7.8</w:t>
            </w:r>
          </w:p>
        </w:tc>
        <w:tc>
          <w:tcPr>
            <w:tcW w:w="3940" w:type="dxa"/>
            <w:vAlign w:val="bottom"/>
          </w:tcPr>
          <w:p>
            <w:pPr>
              <w:ind w:left="20"/>
              <w:spacing w:after="0"/>
              <w:rPr>
                <w:sz w:val="20"/>
                <w:szCs w:val="20"/>
                <w:color w:val="auto"/>
              </w:rPr>
            </w:pPr>
            <w:r>
              <w:rPr>
                <w:rFonts w:ascii="Arial" w:cs="Arial" w:eastAsia="Arial" w:hAnsi="Arial"/>
                <w:sz w:val="13"/>
                <w:szCs w:val="13"/>
                <w:color w:val="auto"/>
              </w:rPr>
              <w:t>Text Controls</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7.9</w:t>
            </w:r>
          </w:p>
        </w:tc>
        <w:tc>
          <w:tcPr>
            <w:tcW w:w="3940" w:type="dxa"/>
            <w:vAlign w:val="bottom"/>
          </w:tcPr>
          <w:p>
            <w:pPr>
              <w:ind w:left="20"/>
              <w:spacing w:after="0"/>
              <w:rPr>
                <w:sz w:val="20"/>
                <w:szCs w:val="20"/>
                <w:color w:val="auto"/>
              </w:rPr>
            </w:pPr>
            <w:r>
              <w:rPr>
                <w:rFonts w:ascii="Arial" w:cs="Arial" w:eastAsia="Arial" w:hAnsi="Arial"/>
                <w:sz w:val="13"/>
                <w:szCs w:val="13"/>
                <w:color w:val="auto"/>
              </w:rPr>
              <w:t>Applicable State Law</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165"/>
        </w:trPr>
        <w:tc>
          <w:tcPr>
            <w:tcW w:w="4260" w:type="dxa"/>
            <w:vAlign w:val="bottom"/>
            <w:gridSpan w:val="2"/>
          </w:tcPr>
          <w:p>
            <w:pPr>
              <w:ind w:left="140"/>
              <w:spacing w:after="0"/>
              <w:rPr>
                <w:sz w:val="20"/>
                <w:szCs w:val="20"/>
                <w:color w:val="auto"/>
              </w:rPr>
            </w:pPr>
            <w:r>
              <w:rPr>
                <w:rFonts w:ascii="Arial" w:cs="Arial" w:eastAsia="Arial" w:hAnsi="Arial"/>
                <w:sz w:val="13"/>
                <w:szCs w:val="13"/>
                <w:color w:val="auto"/>
              </w:rPr>
              <w:t>7.10 Paperless Administration</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10</w:t>
            </w:r>
          </w:p>
        </w:tc>
      </w:tr>
      <w:tr>
        <w:trPr>
          <w:trHeight w:val="315"/>
        </w:trPr>
        <w:tc>
          <w:tcPr>
            <w:tcW w:w="4260" w:type="dxa"/>
            <w:vAlign w:val="bottom"/>
            <w:gridSpan w:val="2"/>
          </w:tcPr>
          <w:p>
            <w:pPr>
              <w:ind w:left="140"/>
              <w:spacing w:after="0"/>
              <w:rPr>
                <w:sz w:val="20"/>
                <w:szCs w:val="20"/>
                <w:color w:val="auto"/>
              </w:rPr>
            </w:pPr>
            <w:r>
              <w:rPr>
                <w:rFonts w:ascii="Arial" w:cs="Arial" w:eastAsia="Arial" w:hAnsi="Arial"/>
                <w:sz w:val="13"/>
                <w:szCs w:val="13"/>
                <w:color w:val="auto"/>
              </w:rPr>
              <w:t>APPENDIX A</w:t>
            </w:r>
          </w:p>
        </w:tc>
        <w:tc>
          <w:tcPr>
            <w:tcW w:w="7200" w:type="dxa"/>
            <w:vAlign w:val="bottom"/>
          </w:tcPr>
          <w:p>
            <w:pPr>
              <w:jc w:val="right"/>
              <w:ind w:right="155"/>
              <w:spacing w:after="0"/>
              <w:rPr>
                <w:sz w:val="20"/>
                <w:szCs w:val="20"/>
                <w:color w:val="auto"/>
              </w:rPr>
            </w:pPr>
            <w:r>
              <w:rPr>
                <w:rFonts w:ascii="Arial" w:cs="Arial" w:eastAsia="Arial" w:hAnsi="Arial"/>
                <w:sz w:val="13"/>
                <w:szCs w:val="13"/>
                <w:color w:val="auto"/>
              </w:rPr>
              <w:t>A-l</w:t>
            </w:r>
          </w:p>
        </w:tc>
      </w:tr>
      <w:tr>
        <w:trPr>
          <w:trHeight w:val="458"/>
        </w:trPr>
        <w:tc>
          <w:tcPr>
            <w:tcW w:w="3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7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3"/>
          <w:szCs w:val="13"/>
          <w:b w:val="1"/>
          <w:bCs w:val="1"/>
          <w:color w:val="auto"/>
        </w:rPr>
        <w:t>ARTICLE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INTRODUCTION</w:t>
      </w:r>
    </w:p>
    <w:p>
      <w:pPr>
        <w:spacing w:after="0" w:line="75"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b w:val="1"/>
          <w:bCs w:val="1"/>
          <w:color w:val="auto"/>
        </w:rPr>
        <w:t xml:space="preserve">1.1 Purpose and Effective Date. </w:t>
      </w:r>
      <w:r>
        <w:rPr>
          <w:rFonts w:ascii="Arial" w:cs="Arial" w:eastAsia="Arial" w:hAnsi="Arial"/>
          <w:sz w:val="13"/>
          <w:szCs w:val="13"/>
          <w:color w:val="auto"/>
        </w:rPr>
        <w:t>The purpose of this plan is to provide members of the Board of Directors of Biogen Idec with a tax-deferred savings opportunity. This plan allows participants to defer all or a portion</w:t>
      </w:r>
      <w:r>
        <w:rPr>
          <w:rFonts w:ascii="Arial" w:cs="Arial" w:eastAsia="Arial" w:hAnsi="Arial"/>
          <w:sz w:val="13"/>
          <w:szCs w:val="13"/>
          <w:b w:val="1"/>
          <w:bCs w:val="1"/>
          <w:color w:val="auto"/>
        </w:rPr>
        <w:t xml:space="preserve"> </w:t>
      </w:r>
      <w:r>
        <w:rPr>
          <w:rFonts w:ascii="Arial" w:cs="Arial" w:eastAsia="Arial" w:hAnsi="Arial"/>
          <w:sz w:val="13"/>
          <w:szCs w:val="13"/>
          <w:color w:val="auto"/>
        </w:rPr>
        <w:t>of their cash directors’ fees and retainer by so electing before such fees and retainer have been earned.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amended and restated plan is effective as of January 1, 2005, except as otherwise stated. Certain historical information about the plan and any amendments thereto is set forth in Appendix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section contains definitions of terms used in the plan. Where the context so requires, the masculine includes the feminine, the singular includes the plural, and the plural includes the singular.</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2.1 Biogen Idec </w:t>
      </w:r>
      <w:r>
        <w:rPr>
          <w:rFonts w:ascii="Arial" w:cs="Arial" w:eastAsia="Arial" w:hAnsi="Arial"/>
          <w:sz w:val="12"/>
          <w:szCs w:val="12"/>
          <w:color w:val="auto"/>
        </w:rPr>
        <w:t>means Biogen Idec Inc., a Delaware corporation, or any successor to all or the major portion of its assets or business which assumes the obligations of Biogen Idec Inc. under this plan.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 Board </w:t>
      </w:r>
      <w:r>
        <w:rPr>
          <w:rFonts w:ascii="Arial" w:cs="Arial" w:eastAsia="Arial" w:hAnsi="Arial"/>
          <w:sz w:val="13"/>
          <w:szCs w:val="13"/>
          <w:color w:val="auto"/>
        </w:rPr>
        <w:t>means the Board of Directors of Biogen Idec.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2.3 Change in Control</w:t>
      </w:r>
    </w:p>
    <w:p>
      <w:pPr>
        <w:spacing w:after="0" w:line="90" w:lineRule="exact"/>
        <w:rPr>
          <w:sz w:val="20"/>
          <w:szCs w:val="20"/>
          <w:color w:val="auto"/>
        </w:rPr>
      </w:pPr>
    </w:p>
    <w:p>
      <w:pPr>
        <w:ind w:left="340" w:hanging="178"/>
        <w:spacing w:after="0"/>
        <w:tabs>
          <w:tab w:leader="none" w:pos="3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For purposes of Section 7.4: a change in control means a “Corporate Change in Control” or a “Corporate Transaction” as each is defined in the Biogen Idec 2005 Omnibus Equity Plan.</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For purposes of Section 4.2(b) and Section 6.3: a change in control means (i) the acquisition by a person or group of stock of Biogen Idec that, together with stock previously held by such person or group,</w:t>
      </w:r>
    </w:p>
    <w:p>
      <w:pPr>
        <w:spacing w:after="0" w:line="26" w:lineRule="exact"/>
        <w:rPr>
          <w:rFonts w:ascii="Arial" w:cs="Arial" w:eastAsia="Arial" w:hAnsi="Arial"/>
          <w:sz w:val="12"/>
          <w:szCs w:val="12"/>
          <w:color w:val="auto"/>
        </w:rPr>
      </w:pPr>
    </w:p>
    <w:p>
      <w:pPr>
        <w:spacing w:after="0" w:line="254" w:lineRule="auto"/>
        <w:rPr>
          <w:rFonts w:ascii="Arial" w:cs="Arial" w:eastAsia="Arial" w:hAnsi="Arial"/>
          <w:sz w:val="12"/>
          <w:szCs w:val="12"/>
          <w:color w:val="auto"/>
        </w:rPr>
      </w:pPr>
      <w:r>
        <w:rPr>
          <w:rFonts w:ascii="Arial" w:cs="Arial" w:eastAsia="Arial" w:hAnsi="Arial"/>
          <w:sz w:val="13"/>
          <w:szCs w:val="13"/>
          <w:color w:val="auto"/>
        </w:rPr>
        <w:t>constitutes more than 50 percent of the total fair market value or total voting power of the stock of Biogen Idec; (ii) a change in the effective control of Biogen Idec resulting from either the acquisition by any person or group during a 12-month period of stock of Biogen Idec possessing 30 percent or more of the total voting power of Biogen Idec stock; or the replacement of a majority of the members of the Board during any 12-month period by directors whose appointment or election was not endorsed by a majority of the members of the Board in office immediately before the start of such 12-month period; or (iii) the acquisition by any person or group (during any 12-month period) of assets having a gross fair market value equal to or greater than 40 percent of the total gross fair market value of all assets of Biogen Idec. This subsection (b) and terms used herein will be interpreted in accordance with the regulations under Code Section 409A relating to a change in the ownership or effective control of a corporation or a change in the ownership of a substantial portion of the assets of a corporation.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subsection 2.3(b) is effective as of the date of execution of this amended and restated plan document.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2.4 Committee </w:t>
      </w:r>
      <w:r>
        <w:rPr>
          <w:rFonts w:ascii="Arial" w:cs="Arial" w:eastAsia="Arial" w:hAnsi="Arial"/>
          <w:sz w:val="13"/>
          <w:szCs w:val="13"/>
          <w:color w:val="auto"/>
        </w:rPr>
        <w:t>means the committee designated by the Board to administer this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2.5 Director </w:t>
      </w:r>
      <w:r>
        <w:rPr>
          <w:rFonts w:ascii="Arial" w:cs="Arial" w:eastAsia="Arial" w:hAnsi="Arial"/>
          <w:sz w:val="13"/>
          <w:szCs w:val="13"/>
          <w:color w:val="auto"/>
        </w:rPr>
        <w:t>means an individual serving as a non-employee director of Biogen Idec in accordance with its articles and by-laws.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2.6 Fees </w:t>
      </w:r>
      <w:r>
        <w:rPr>
          <w:rFonts w:ascii="Arial" w:cs="Arial" w:eastAsia="Arial" w:hAnsi="Arial"/>
          <w:sz w:val="13"/>
          <w:szCs w:val="13"/>
          <w:color w:val="auto"/>
        </w:rPr>
        <w:t>means the cash amounts payable to a director as compensation for his or her attendance at a meeting of the Board or a committee of the Board or for other special services.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2.7 Participant </w:t>
      </w:r>
      <w:r>
        <w:rPr>
          <w:rFonts w:ascii="Arial" w:cs="Arial" w:eastAsia="Arial" w:hAnsi="Arial"/>
          <w:sz w:val="13"/>
          <w:szCs w:val="13"/>
          <w:color w:val="auto"/>
        </w:rPr>
        <w:t>means a director who has made a voluntary deferral hereunder or for whom an amount has been transferred to this plan.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Plan </w:t>
      </w:r>
      <w:r>
        <w:rPr>
          <w:rFonts w:ascii="Arial" w:cs="Arial" w:eastAsia="Arial" w:hAnsi="Arial"/>
          <w:sz w:val="13"/>
          <w:szCs w:val="13"/>
          <w:color w:val="auto"/>
        </w:rPr>
        <w:t>means the Biogen Idec Inc. Voluntary Board of Directors Savings Plan, as set forth in this plan instrument, and as it may be amended from time to time.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b w:val="1"/>
          <w:bCs w:val="1"/>
          <w:color w:val="auto"/>
        </w:rPr>
        <w:t xml:space="preserve">2.9 Plan Year </w:t>
      </w:r>
      <w:r>
        <w:rPr>
          <w:rFonts w:ascii="Arial" w:cs="Arial" w:eastAsia="Arial" w:hAnsi="Arial"/>
          <w:sz w:val="13"/>
          <w:szCs w:val="13"/>
          <w:color w:val="auto"/>
        </w:rPr>
        <w:t>means the 12-month periods commencing on January 1, 2005 and on each subsequent January 1 while this plan remains in effect.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2.10 Retainer </w:t>
      </w:r>
      <w:r>
        <w:rPr>
          <w:rFonts w:ascii="Arial" w:cs="Arial" w:eastAsia="Arial" w:hAnsi="Arial"/>
          <w:sz w:val="13"/>
          <w:szCs w:val="13"/>
          <w:color w:val="auto"/>
        </w:rPr>
        <w:t>means the cash amount payable to a director as an annual retainer for service in such capacity, as in effect from time to time.</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2.11 Savings Plan </w:t>
      </w:r>
      <w:r>
        <w:rPr>
          <w:rFonts w:ascii="Arial" w:cs="Arial" w:eastAsia="Arial" w:hAnsi="Arial"/>
          <w:sz w:val="11"/>
          <w:szCs w:val="11"/>
          <w:color w:val="auto"/>
        </w:rPr>
        <w:t>means the Biogen Idec 401(k) Savings Plan, as amended from time to time. Any term defined in the Savings Plan will have the same meaning when used in this plan unless otherwise defined herein.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PARTICIPATION</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3"/>
          <w:szCs w:val="13"/>
          <w:b w:val="1"/>
          <w:bCs w:val="1"/>
          <w:color w:val="auto"/>
        </w:rPr>
        <w:t xml:space="preserve">3.1 Eligibility and Participation. </w:t>
      </w:r>
      <w:r>
        <w:rPr>
          <w:rFonts w:ascii="Arial" w:cs="Arial" w:eastAsia="Arial" w:hAnsi="Arial"/>
          <w:sz w:val="13"/>
          <w:szCs w:val="13"/>
          <w:color w:val="auto"/>
        </w:rPr>
        <w:t>Each director will be eligible to be a participant in this plan as long as he is a director. A director will become a participant hereunder when he makes a voluntary deferral to this plan or</w:t>
      </w:r>
      <w:r>
        <w:rPr>
          <w:rFonts w:ascii="Arial" w:cs="Arial" w:eastAsia="Arial" w:hAnsi="Arial"/>
          <w:sz w:val="13"/>
          <w:szCs w:val="13"/>
          <w:b w:val="1"/>
          <w:bCs w:val="1"/>
          <w:color w:val="auto"/>
        </w:rPr>
        <w:t xml:space="preserve"> </w:t>
      </w:r>
      <w:r>
        <w:rPr>
          <w:rFonts w:ascii="Arial" w:cs="Arial" w:eastAsia="Arial" w:hAnsi="Arial"/>
          <w:sz w:val="13"/>
          <w:szCs w:val="13"/>
          <w:color w:val="auto"/>
        </w:rPr>
        <w:t>when his account balance under the Biogen, Inc. Voluntary Board of Directors Savings Plan (the “Biogen Directors Plan”) is transferred to this plan. Voluntary deferrals under this plan are voluntary and no director will be required to make such deferrals.</w:t>
      </w:r>
    </w:p>
    <w:p>
      <w:pPr>
        <w:spacing w:after="0" w:line="52" w:lineRule="exact"/>
        <w:rPr>
          <w:sz w:val="20"/>
          <w:szCs w:val="20"/>
          <w:color w:val="auto"/>
        </w:rPr>
      </w:pPr>
    </w:p>
    <w:p>
      <w:pPr>
        <w:jc w:val="both"/>
        <w:ind w:right="220"/>
        <w:spacing w:after="0" w:line="267" w:lineRule="auto"/>
        <w:rPr>
          <w:sz w:val="20"/>
          <w:szCs w:val="20"/>
          <w:color w:val="auto"/>
        </w:rPr>
      </w:pPr>
      <w:r>
        <w:rPr>
          <w:rFonts w:ascii="Arial" w:cs="Arial" w:eastAsia="Arial" w:hAnsi="Arial"/>
          <w:sz w:val="13"/>
          <w:szCs w:val="13"/>
          <w:b w:val="1"/>
          <w:bCs w:val="1"/>
          <w:color w:val="auto"/>
        </w:rPr>
        <w:t xml:space="preserve">3.2 End of Participation. </w:t>
      </w:r>
      <w:r>
        <w:rPr>
          <w:rFonts w:ascii="Arial" w:cs="Arial" w:eastAsia="Arial" w:hAnsi="Arial"/>
          <w:sz w:val="13"/>
          <w:szCs w:val="13"/>
          <w:color w:val="auto"/>
        </w:rPr>
        <w:t>A participant’s participation in this plan will end upon the termination of his service as a director of Biogen Idec because of death, retirement, resignation, failure of reelection, or any other</w:t>
      </w:r>
      <w:r>
        <w:rPr>
          <w:rFonts w:ascii="Arial" w:cs="Arial" w:eastAsia="Arial" w:hAnsi="Arial"/>
          <w:sz w:val="13"/>
          <w:szCs w:val="13"/>
          <w:b w:val="1"/>
          <w:bCs w:val="1"/>
          <w:color w:val="auto"/>
        </w:rPr>
        <w:t xml:space="preserve"> </w:t>
      </w:r>
      <w:r>
        <w:rPr>
          <w:rFonts w:ascii="Arial" w:cs="Arial" w:eastAsia="Arial" w:hAnsi="Arial"/>
          <w:sz w:val="13"/>
          <w:szCs w:val="13"/>
          <w:color w:val="auto"/>
        </w:rPr>
        <w:t>reason. Upon the termination of a participant’s participation in this plan in accordance with this section, the participant may make no further voluntary deferrals hereunder. However, the participant will be entitled to receive any amounts in his account in accordance with this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VOLUNTARY DEFERRALS BY PARTICIPANTS</w:t>
      </w:r>
    </w:p>
    <w:p>
      <w:pPr>
        <w:spacing w:after="0" w:line="75" w:lineRule="exact"/>
        <w:rPr>
          <w:sz w:val="20"/>
          <w:szCs w:val="20"/>
          <w:color w:val="auto"/>
        </w:rPr>
      </w:pPr>
    </w:p>
    <w:p>
      <w:pPr>
        <w:jc w:val="both"/>
        <w:ind w:right="20" w:firstLine="164"/>
        <w:spacing w:after="0" w:line="267" w:lineRule="auto"/>
        <w:rPr>
          <w:sz w:val="20"/>
          <w:szCs w:val="20"/>
          <w:color w:val="auto"/>
        </w:rPr>
      </w:pPr>
      <w:r>
        <w:rPr>
          <w:rFonts w:ascii="Arial" w:cs="Arial" w:eastAsia="Arial" w:hAnsi="Arial"/>
          <w:sz w:val="13"/>
          <w:szCs w:val="13"/>
          <w:b w:val="1"/>
          <w:bCs w:val="1"/>
          <w:color w:val="auto"/>
        </w:rPr>
        <w:t xml:space="preserve">4.1 Voluntary Deferrals. </w:t>
      </w:r>
      <w:r>
        <w:rPr>
          <w:rFonts w:ascii="Arial" w:cs="Arial" w:eastAsia="Arial" w:hAnsi="Arial"/>
          <w:sz w:val="13"/>
          <w:szCs w:val="13"/>
          <w:color w:val="auto"/>
        </w:rPr>
        <w:t>Each director may make voluntary deferrals to the plan from his fees and retainer in any whole percentage of such fees and/or such retainer, from a minimum of 1% to a maximum of 100%,</w:t>
      </w:r>
      <w:r>
        <w:rPr>
          <w:rFonts w:ascii="Arial" w:cs="Arial" w:eastAsia="Arial" w:hAnsi="Arial"/>
          <w:sz w:val="13"/>
          <w:szCs w:val="13"/>
          <w:b w:val="1"/>
          <w:bCs w:val="1"/>
          <w:color w:val="auto"/>
        </w:rPr>
        <w:t xml:space="preserve"> </w:t>
      </w:r>
      <w:r>
        <w:rPr>
          <w:rFonts w:ascii="Arial" w:cs="Arial" w:eastAsia="Arial" w:hAnsi="Arial"/>
          <w:sz w:val="13"/>
          <w:szCs w:val="13"/>
          <w:color w:val="auto"/>
        </w:rPr>
        <w:t>by electing to reduce his fees and/or retainer by such amount in accordance with this plan. If a director’s fees include separately identified types of fees (for example, meeting fees or special service fees), the committee may permit separate elections to defer with respect to different categories of fees.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All amounts by which a participant reduces his fees and/or retainer hereunder are referred to herein as the participant’s </w:t>
      </w:r>
      <w:r>
        <w:rPr>
          <w:rFonts w:ascii="Arial" w:cs="Arial" w:eastAsia="Arial" w:hAnsi="Arial"/>
          <w:sz w:val="13"/>
          <w:szCs w:val="13"/>
          <w:u w:val="single" w:color="auto"/>
          <w:color w:val="auto"/>
        </w:rPr>
        <w:t>voluntary deferrals</w:t>
      </w:r>
      <w:r>
        <w:rPr>
          <w:rFonts w:ascii="Arial" w:cs="Arial" w:eastAsia="Arial" w:hAnsi="Arial"/>
          <w:sz w:val="13"/>
          <w:szCs w:val="13"/>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4.2 Election Procedures</w:t>
      </w:r>
    </w:p>
    <w:p>
      <w:pPr>
        <w:spacing w:after="0" w:line="90" w:lineRule="exact"/>
        <w:rPr>
          <w:sz w:val="20"/>
          <w:szCs w:val="20"/>
          <w:color w:val="auto"/>
        </w:rPr>
      </w:pPr>
    </w:p>
    <w:p>
      <w:pPr>
        <w:ind w:right="140" w:firstLine="162"/>
        <w:spacing w:after="0" w:line="264" w:lineRule="auto"/>
        <w:tabs>
          <w:tab w:leader="none" w:pos="342"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Voluntary Deferrals</w:t>
      </w:r>
      <w:r>
        <w:rPr>
          <w:rFonts w:ascii="Arial" w:cs="Arial" w:eastAsia="Arial" w:hAnsi="Arial"/>
          <w:sz w:val="13"/>
          <w:szCs w:val="13"/>
          <w:color w:val="auto"/>
        </w:rPr>
        <w:t>. A director who wishes to reduce his fees and/or retainer to be earned during a particular plan year in order to make voluntary deferrals under Section 4.1 must complete an enrollment form specifying the amount of his voluntary deferrals (with separate percentages for his meeting fees, special service fees (if any) and/or retainer, if desired), agreeing to reduce such fees and/or retainer by the amount(s) he specifies, and providing such other information as the committee may require.</w:t>
      </w:r>
    </w:p>
    <w:p>
      <w:pPr>
        <w:spacing w:after="0" w:line="57" w:lineRule="exact"/>
        <w:rPr>
          <w:sz w:val="20"/>
          <w:szCs w:val="20"/>
          <w:color w:val="auto"/>
        </w:rPr>
      </w:pPr>
    </w:p>
    <w:p>
      <w:pPr>
        <w:ind w:right="20" w:firstLine="157"/>
        <w:spacing w:after="0" w:line="282" w:lineRule="auto"/>
        <w:rPr>
          <w:sz w:val="20"/>
          <w:szCs w:val="20"/>
          <w:color w:val="auto"/>
        </w:rPr>
      </w:pPr>
      <w:r>
        <w:rPr>
          <w:rFonts w:ascii="Arial" w:cs="Arial" w:eastAsia="Arial" w:hAnsi="Arial"/>
          <w:sz w:val="12"/>
          <w:szCs w:val="12"/>
          <w:color w:val="auto"/>
        </w:rPr>
        <w:t>A director’s enrollment form electing voluntary deferrals for any plan year must be filed with the committee by such deadline as the committee specifies, but in any event before the start of such plan year. In addition, in the case of an individual who anticipates being elected as a director during a plan year, such person may make an election hereunder in anticipation of his or her election and such election will be effective with respect to fees and/or retainer to be earned after the date of such election; such an election will be effective as of the date when it is made but will be subject to such individual’s actual election as a director. Finally, in the case of a newly elected director, who did not make an election under the preceding sentence, such person may elect to defer his fees and/or retainer for the plan year of his election to office, within 30 days after the committee sends him an enrollment form, provided that such election will relate only to fees and retainer to be earned after the date of filing his completed enrollment form, and provided further that such person had not previously been eligible to make voluntary deferrals under this plan for a period of at least 24 months. A participant may change the amount of his voluntary deferrals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17" w:name="page218"/>
    <w:bookmarkEnd w:id="217"/>
    <w:p>
      <w:pPr>
        <w:jc w:val="both"/>
        <w:ind w:right="340"/>
        <w:spacing w:after="0" w:line="264" w:lineRule="auto"/>
        <w:rPr>
          <w:sz w:val="20"/>
          <w:szCs w:val="20"/>
          <w:color w:val="auto"/>
        </w:rPr>
      </w:pPr>
      <w:r>
        <w:rPr>
          <w:rFonts w:ascii="Arial" w:cs="Arial" w:eastAsia="Arial" w:hAnsi="Arial"/>
          <w:sz w:val="13"/>
          <w:szCs w:val="13"/>
          <w:color w:val="auto"/>
        </w:rPr>
        <w:t>with respect to any subsequent plan year by filing a new enrollment form before the start of such subsequent plan year, and the change will become effective as of the first day of such subsequent plan year. Once a participant has elected to defer fees and/or retainer, his enrollment form will remain in effect for future plan years unless the participant changes or terminates his prior elections by filing a new enrollment form in accordance with the preceding sentence.</w:t>
      </w:r>
    </w:p>
    <w:p>
      <w:pPr>
        <w:spacing w:after="0" w:line="57" w:lineRule="exact"/>
        <w:rPr>
          <w:sz w:val="20"/>
          <w:szCs w:val="20"/>
          <w:color w:val="auto"/>
        </w:rPr>
      </w:pPr>
    </w:p>
    <w:p>
      <w:pPr>
        <w:ind w:right="60" w:firstLine="157"/>
        <w:spacing w:after="0" w:line="320" w:lineRule="auto"/>
        <w:rPr>
          <w:sz w:val="20"/>
          <w:szCs w:val="20"/>
          <w:color w:val="auto"/>
        </w:rPr>
      </w:pPr>
      <w:r>
        <w:rPr>
          <w:rFonts w:ascii="Arial" w:cs="Arial" w:eastAsia="Arial" w:hAnsi="Arial"/>
          <w:sz w:val="12"/>
          <w:szCs w:val="12"/>
          <w:color w:val="auto"/>
        </w:rPr>
        <w:t>After a plan year has begun, a participant may not change the amount of voluntary deferrals (if any) he had elected for such plan year. However, if during a plan year a participant has an unforeseeable emergency (as defined in Section 6.1) and receives a distribution under Section 6.1, the participant’s voluntary deferral election for the balance of that year will automatically be cancelled.</w:t>
      </w:r>
    </w:p>
    <w:p>
      <w:pPr>
        <w:spacing w:after="0" w:line="25" w:lineRule="exact"/>
        <w:rPr>
          <w:sz w:val="20"/>
          <w:szCs w:val="20"/>
          <w:color w:val="auto"/>
        </w:rPr>
      </w:pPr>
    </w:p>
    <w:p>
      <w:pPr>
        <w:ind w:left="340" w:hanging="178"/>
        <w:spacing w:after="0"/>
        <w:tabs>
          <w:tab w:leader="none" w:pos="3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Form and Time of Payment.</w:t>
      </w:r>
    </w:p>
    <w:p>
      <w:pPr>
        <w:spacing w:after="0" w:line="86" w:lineRule="exact"/>
        <w:rPr>
          <w:rFonts w:ascii="Arial" w:cs="Arial" w:eastAsia="Arial" w:hAnsi="Arial"/>
          <w:sz w:val="13"/>
          <w:szCs w:val="13"/>
          <w:color w:val="auto"/>
        </w:rPr>
      </w:pPr>
    </w:p>
    <w:p>
      <w:pPr>
        <w:ind w:left="340" w:right="40" w:firstLine="166"/>
        <w:spacing w:after="0" w:line="334" w:lineRule="auto"/>
        <w:tabs>
          <w:tab w:leader="none" w:pos="660" w:val="left"/>
        </w:tabs>
        <w:numPr>
          <w:ilvl w:val="1"/>
          <w:numId w:val="118"/>
        </w:numPr>
        <w:rPr>
          <w:rFonts w:ascii="Arial" w:cs="Arial" w:eastAsia="Arial" w:hAnsi="Arial"/>
          <w:sz w:val="11"/>
          <w:szCs w:val="11"/>
          <w:color w:val="auto"/>
        </w:rPr>
      </w:pPr>
      <w:r>
        <w:rPr>
          <w:rFonts w:ascii="Arial" w:cs="Arial" w:eastAsia="Arial" w:hAnsi="Arial"/>
          <w:sz w:val="11"/>
          <w:szCs w:val="11"/>
          <w:i w:val="1"/>
          <w:iCs w:val="1"/>
          <w:color w:val="auto"/>
        </w:rPr>
        <w:t xml:space="preserve">Initial Election. </w:t>
      </w:r>
      <w:r>
        <w:rPr>
          <w:rFonts w:ascii="Arial" w:cs="Arial" w:eastAsia="Arial" w:hAnsi="Arial"/>
          <w:sz w:val="11"/>
          <w:szCs w:val="11"/>
          <w:color w:val="auto"/>
        </w:rPr>
        <w:t>Each participant in the initial enrollment form filed hereunder or another form designated by the committee must specify the form of payment (lump sum or installments in accordance with</w:t>
      </w:r>
      <w:r>
        <w:rPr>
          <w:rFonts w:ascii="Arial" w:cs="Arial" w:eastAsia="Arial" w:hAnsi="Arial"/>
          <w:sz w:val="11"/>
          <w:szCs w:val="11"/>
          <w:i w:val="1"/>
          <w:iCs w:val="1"/>
          <w:color w:val="auto"/>
        </w:rPr>
        <w:t xml:space="preserve"> </w:t>
      </w:r>
      <w:r>
        <w:rPr>
          <w:rFonts w:ascii="Arial" w:cs="Arial" w:eastAsia="Arial" w:hAnsi="Arial"/>
          <w:sz w:val="11"/>
          <w:szCs w:val="11"/>
          <w:color w:val="auto"/>
        </w:rPr>
        <w:t>Section 6.4(a), 6.5 and/or 6.6(a) below, as applicable) of his account hereunder in the event of the participant’s death or other termination of service as a director (including as a result of disability). In addition, effective as of the date of execution of this amended and restated plan document, a participant may elect payment of his account under Section 6.3 in the event of a change in control (as defined in Section 2.3(b)).</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In addition, a participant may (but is not required to) specify one or more in-service distributions to the participant in accordance with Section 6.2 if desired by the participant.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time and form payments under the plan are governed by the provisions of Article 6 and participant elections must conform to the requirements of such provisions.</w:t>
      </w:r>
    </w:p>
    <w:p>
      <w:pPr>
        <w:spacing w:after="0" w:line="86" w:lineRule="exact"/>
        <w:rPr>
          <w:sz w:val="20"/>
          <w:szCs w:val="20"/>
          <w:color w:val="auto"/>
        </w:rPr>
      </w:pPr>
    </w:p>
    <w:p>
      <w:pPr>
        <w:ind w:left="340" w:right="280" w:firstLine="166"/>
        <w:spacing w:after="0" w:line="276" w:lineRule="auto"/>
        <w:tabs>
          <w:tab w:leader="none" w:pos="697" w:val="left"/>
        </w:tabs>
        <w:numPr>
          <w:ilvl w:val="0"/>
          <w:numId w:val="119"/>
        </w:numPr>
        <w:rPr>
          <w:rFonts w:ascii="Arial" w:cs="Arial" w:eastAsia="Arial" w:hAnsi="Arial"/>
          <w:sz w:val="13"/>
          <w:szCs w:val="13"/>
          <w:color w:val="auto"/>
        </w:rPr>
      </w:pPr>
      <w:r>
        <w:rPr>
          <w:rFonts w:ascii="Arial" w:cs="Arial" w:eastAsia="Arial" w:hAnsi="Arial"/>
          <w:sz w:val="13"/>
          <w:szCs w:val="13"/>
          <w:i w:val="1"/>
          <w:iCs w:val="1"/>
          <w:color w:val="auto"/>
        </w:rPr>
        <w:t xml:space="preserve">Change of Election. </w:t>
      </w:r>
      <w:r>
        <w:rPr>
          <w:rFonts w:ascii="Arial" w:cs="Arial" w:eastAsia="Arial" w:hAnsi="Arial"/>
          <w:sz w:val="13"/>
          <w:szCs w:val="13"/>
          <w:color w:val="auto"/>
        </w:rPr>
        <w:t>Notwithstanding subsection (i) above, the following changes of election will be permitted. If such a subsequent election becomes effective as provided below, then the participant’s</w:t>
      </w:r>
      <w:r>
        <w:rPr>
          <w:rFonts w:ascii="Arial" w:cs="Arial" w:eastAsia="Arial" w:hAnsi="Arial"/>
          <w:sz w:val="13"/>
          <w:szCs w:val="13"/>
          <w:i w:val="1"/>
          <w:iCs w:val="1"/>
          <w:color w:val="auto"/>
        </w:rPr>
        <w:t xml:space="preserve"> </w:t>
      </w:r>
      <w:r>
        <w:rPr>
          <w:rFonts w:ascii="Arial" w:cs="Arial" w:eastAsia="Arial" w:hAnsi="Arial"/>
          <w:sz w:val="13"/>
          <w:szCs w:val="13"/>
          <w:color w:val="auto"/>
        </w:rPr>
        <w:t>account will be payable at the time and in the form specified in his subsequent election.</w:t>
      </w:r>
    </w:p>
    <w:p>
      <w:pPr>
        <w:spacing w:after="0" w:line="49" w:lineRule="exact"/>
        <w:rPr>
          <w:rFonts w:ascii="Arial" w:cs="Arial" w:eastAsia="Arial" w:hAnsi="Arial"/>
          <w:sz w:val="13"/>
          <w:szCs w:val="13"/>
          <w:color w:val="auto"/>
        </w:rPr>
      </w:pPr>
    </w:p>
    <w:p>
      <w:pPr>
        <w:ind w:left="1020" w:hanging="451"/>
        <w:spacing w:after="0" w:line="289" w:lineRule="auto"/>
        <w:tabs>
          <w:tab w:leader="none" w:pos="1020" w:val="left"/>
        </w:tabs>
        <w:numPr>
          <w:ilvl w:val="1"/>
          <w:numId w:val="119"/>
        </w:numPr>
        <w:rPr>
          <w:rFonts w:ascii="Arial" w:cs="Arial" w:eastAsia="Arial" w:hAnsi="Arial"/>
          <w:sz w:val="12"/>
          <w:szCs w:val="12"/>
          <w:color w:val="auto"/>
        </w:rPr>
      </w:pPr>
      <w:r>
        <w:rPr>
          <w:rFonts w:ascii="Arial" w:cs="Arial" w:eastAsia="Arial" w:hAnsi="Arial"/>
          <w:sz w:val="12"/>
          <w:szCs w:val="12"/>
          <w:u w:val="single" w:color="auto"/>
          <w:color w:val="auto"/>
        </w:rPr>
        <w:t>In-Service Distributions.</w:t>
      </w:r>
      <w:r>
        <w:rPr>
          <w:rFonts w:ascii="Arial" w:cs="Arial" w:eastAsia="Arial" w:hAnsi="Arial"/>
          <w:sz w:val="12"/>
          <w:szCs w:val="12"/>
          <w:color w:val="auto"/>
        </w:rPr>
        <w:t xml:space="preserve"> In the case of a participant who elected an in-service distribution, at any time that is at least one year prior to the date for payment originally elected by the participant, if the participant is still a director of Biogen Idec at such time, the participant may make one subsequent election to defer the time when any previously elected in-service distribution under Section 6.2 from his account would otherwise be payable (or installment payments would otherwise begin) to a subsequent date specified by him, and/or may elect another form of payment or a different number of installments with respect to the in-service distribution of his account, subject in all cases to the requirements of this section and to the requirements of Section 6.2.</w:t>
      </w:r>
    </w:p>
    <w:p>
      <w:pPr>
        <w:spacing w:after="0" w:line="52" w:lineRule="exact"/>
        <w:rPr>
          <w:rFonts w:ascii="Arial" w:cs="Arial" w:eastAsia="Arial" w:hAnsi="Arial"/>
          <w:sz w:val="12"/>
          <w:szCs w:val="12"/>
          <w:color w:val="auto"/>
        </w:rPr>
      </w:pPr>
    </w:p>
    <w:p>
      <w:pPr>
        <w:ind w:left="1020" w:right="80" w:hanging="451"/>
        <w:spacing w:after="0" w:line="276" w:lineRule="auto"/>
        <w:tabs>
          <w:tab w:leader="none" w:pos="1020" w:val="left"/>
        </w:tabs>
        <w:numPr>
          <w:ilvl w:val="1"/>
          <w:numId w:val="119"/>
        </w:numPr>
        <w:rPr>
          <w:rFonts w:ascii="Arial" w:cs="Arial" w:eastAsia="Arial" w:hAnsi="Arial"/>
          <w:sz w:val="13"/>
          <w:szCs w:val="13"/>
          <w:color w:val="auto"/>
        </w:rPr>
      </w:pPr>
      <w:r>
        <w:rPr>
          <w:rFonts w:ascii="Arial" w:cs="Arial" w:eastAsia="Arial" w:hAnsi="Arial"/>
          <w:sz w:val="13"/>
          <w:szCs w:val="13"/>
          <w:u w:val="single" w:color="auto"/>
          <w:color w:val="auto"/>
        </w:rPr>
        <w:t>Death or Termination of Employment.</w:t>
      </w:r>
      <w:r>
        <w:rPr>
          <w:rFonts w:ascii="Arial" w:cs="Arial" w:eastAsia="Arial" w:hAnsi="Arial"/>
          <w:sz w:val="13"/>
          <w:szCs w:val="13"/>
          <w:color w:val="auto"/>
        </w:rPr>
        <w:t xml:space="preserve"> A participant who is still a director of Biogen Idec may make one subsequent election to change the form of payment hereunder that will be used following his death or other termination of employment. Such an election must comply with the applicable requirements of Sections 6.4, 6.5 and 6.6 (as applicable).</w:t>
      </w:r>
    </w:p>
    <w:p>
      <w:pPr>
        <w:spacing w:after="0" w:line="59" w:lineRule="exact"/>
        <w:rPr>
          <w:rFonts w:ascii="Arial" w:cs="Arial" w:eastAsia="Arial" w:hAnsi="Arial"/>
          <w:sz w:val="13"/>
          <w:szCs w:val="13"/>
          <w:color w:val="auto"/>
        </w:rPr>
      </w:pPr>
    </w:p>
    <w:p>
      <w:pPr>
        <w:ind w:left="1020" w:right="20" w:hanging="451"/>
        <w:spacing w:after="0" w:line="260" w:lineRule="auto"/>
        <w:tabs>
          <w:tab w:leader="none" w:pos="1020" w:val="left"/>
        </w:tabs>
        <w:numPr>
          <w:ilvl w:val="1"/>
          <w:numId w:val="119"/>
        </w:numPr>
        <w:rPr>
          <w:rFonts w:ascii="Arial" w:cs="Arial" w:eastAsia="Arial" w:hAnsi="Arial"/>
          <w:sz w:val="13"/>
          <w:szCs w:val="13"/>
          <w:color w:val="auto"/>
        </w:rPr>
      </w:pPr>
      <w:r>
        <w:rPr>
          <w:rFonts w:ascii="Arial" w:cs="Arial" w:eastAsia="Arial" w:hAnsi="Arial"/>
          <w:sz w:val="13"/>
          <w:szCs w:val="13"/>
          <w:u w:val="single" w:color="auto"/>
          <w:color w:val="auto"/>
        </w:rPr>
        <w:t>Effectiveness of Subsequent Election.</w:t>
      </w:r>
      <w:r>
        <w:rPr>
          <w:rFonts w:ascii="Arial" w:cs="Arial" w:eastAsia="Arial" w:hAnsi="Arial"/>
          <w:sz w:val="13"/>
          <w:szCs w:val="13"/>
          <w:color w:val="auto"/>
        </w:rPr>
        <w:t xml:space="preserve"> A participant’s subsequent election under this subsection (ii) will become effective only if the following requirements are satisfied: (1) the subsequent election does not take effect until one year after the date of the subsequent election and the participant remains a director of Biogen Idec during such one year period, (2) the election extends the date for payment, or the start date for installment payments, by at least five years, and (3) in the case of a subsequent election to defer a previously elected in-service distribution (under subsection (A) above), the subsequent election is made at least 12 months before the date previously elected for such in-service distribution.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8" w:name="page219"/>
    <w:bookmarkEnd w:id="218"/>
    <w:p>
      <w:pPr>
        <w:ind w:left="500"/>
        <w:spacing w:after="0"/>
        <w:rPr>
          <w:sz w:val="20"/>
          <w:szCs w:val="20"/>
          <w:color w:val="auto"/>
        </w:rPr>
      </w:pPr>
      <w:r>
        <w:rPr>
          <w:rFonts w:ascii="Arial" w:cs="Arial" w:eastAsia="Arial" w:hAnsi="Arial"/>
          <w:sz w:val="12"/>
          <w:szCs w:val="12"/>
          <w:color w:val="auto"/>
        </w:rPr>
        <w:t>No election under this subsection (ii) may operate to accelerate any payment or distribution hereunder or violate any requirement of Code Section 409A or the regulations and rulings thereunder.</w:t>
      </w:r>
    </w:p>
    <w:p>
      <w:pPr>
        <w:spacing w:after="0" w:line="98" w:lineRule="exact"/>
        <w:rPr>
          <w:sz w:val="20"/>
          <w:szCs w:val="20"/>
          <w:color w:val="auto"/>
        </w:rPr>
      </w:pPr>
    </w:p>
    <w:p>
      <w:pPr>
        <w:ind w:left="340" w:firstLine="157"/>
        <w:spacing w:after="0" w:line="289" w:lineRule="auto"/>
        <w:rPr>
          <w:sz w:val="20"/>
          <w:szCs w:val="20"/>
          <w:color w:val="auto"/>
        </w:rPr>
      </w:pPr>
      <w:r>
        <w:rPr>
          <w:rFonts w:ascii="Arial" w:cs="Arial" w:eastAsia="Arial" w:hAnsi="Arial"/>
          <w:sz w:val="12"/>
          <w:szCs w:val="12"/>
          <w:color w:val="auto"/>
        </w:rPr>
        <w:t>A participant may make only one subsequent election under subsection (ii) (A) and only one subsequent election under subsection (ii)(B). Such subsequent election(s) may be made at the same or at different times. Also, the committee may permit additional election opportunities (in accordance with the transition or other rules under the regulations or other Internal Revenue Service guidance under Code Section 409A or in such other circumstances as the committee deems appropriate). Any such additional subsequent elections under subsection (ii) must satisfy all the requirements of this section and any other applicable requirements under the plan or, alternatively, must satisfy such requirements as the committee may impose in connection with a new election under a Code Section 409A transition or other rule.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5</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PARTICIPANT ACCOUNTS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5.1 Participant Accounts.</w:t>
      </w:r>
    </w:p>
    <w:p>
      <w:pPr>
        <w:spacing w:after="0" w:line="90" w:lineRule="exact"/>
        <w:rPr>
          <w:sz w:val="20"/>
          <w:szCs w:val="20"/>
          <w:color w:val="auto"/>
        </w:rPr>
      </w:pPr>
    </w:p>
    <w:p>
      <w:pPr>
        <w:ind w:right="100" w:firstLine="162"/>
        <w:spacing w:after="0" w:line="276" w:lineRule="auto"/>
        <w:tabs>
          <w:tab w:leader="none" w:pos="342"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Voluntary Deferrals Accounts</w:t>
      </w:r>
      <w:r>
        <w:rPr>
          <w:rFonts w:ascii="Arial" w:cs="Arial" w:eastAsia="Arial" w:hAnsi="Arial"/>
          <w:sz w:val="13"/>
          <w:szCs w:val="13"/>
          <w:color w:val="auto"/>
        </w:rPr>
        <w:t>. Voluntary deferrals by a participant from his fees and/or retainer hereunder will be credited to an account in the name of such participant. Such account will be called his voluntary deferrals account.</w:t>
      </w:r>
    </w:p>
    <w:p>
      <w:pPr>
        <w:spacing w:after="0" w:line="49" w:lineRule="exact"/>
        <w:rPr>
          <w:rFonts w:ascii="Arial" w:cs="Arial" w:eastAsia="Arial" w:hAnsi="Arial"/>
          <w:sz w:val="13"/>
          <w:szCs w:val="13"/>
          <w:color w:val="auto"/>
        </w:rPr>
      </w:pPr>
    </w:p>
    <w:p>
      <w:pPr>
        <w:ind w:right="360" w:firstLine="162"/>
        <w:spacing w:after="0" w:line="264" w:lineRule="auto"/>
        <w:tabs>
          <w:tab w:leader="none" w:pos="349"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Participant’s Account Value</w:t>
      </w:r>
      <w:r>
        <w:rPr>
          <w:rFonts w:ascii="Arial" w:cs="Arial" w:eastAsia="Arial" w:hAnsi="Arial"/>
          <w:sz w:val="13"/>
          <w:szCs w:val="13"/>
          <w:color w:val="auto"/>
        </w:rPr>
        <w:t>. A participant’s account will be credited with deemed investment results as if his voluntary deferrals account were invested in one or more designated investment funds and all dividends and distributions on shares of a particular investment fund were reinvested in shares of such fund. The investment funds available for this purpose will be those from time to time available as investment options under the Savings Plan.</w:t>
      </w:r>
    </w:p>
    <w:p>
      <w:pPr>
        <w:spacing w:after="0" w:line="57"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In addition to the investment funds offered under the Savings Plan as described in the preceding paragraph, a participant may elect to have his account credited with the deemed investment results as if such amounts were invested in a fixed income option earning a rate of return specified by the committee. The rate of return under the fixed income option will be 8% for the 2008 plan year. The rate of return of future plan years will be determined by the committee.</w:t>
      </w:r>
    </w:p>
    <w:p>
      <w:pPr>
        <w:spacing w:after="0" w:line="57"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Investment funds hereunder are for the sole purpose of providing a basis for crediting deemed investment results to participants’ accounts, and do not represent any actual funds or assets held hereunder for the benefit of participants.</w:t>
      </w:r>
    </w:p>
    <w:p>
      <w:pPr>
        <w:spacing w:after="0" w:line="49"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Each participant will indicate with his initial enrollment form (or other form specified by the committee) the investment fund or funds (and the proportion in each fund when the participant designates more than one) he wishes to designate for this purpose. Thereafter, a participant may change his designation either with respect to the deemed investment of future voluntary deferrals or the deemed transfer of amounts from a previously designated investment fund to another fund. The committee shall establish the frequency by which such a change may be made, the method of making such a change, and the effective date of such a change and shall prescribe such other rules and procedures as it deems appropriate. Such designation will remain in effect until subsequently changed by the participant in accordance with this paragraph. Following a participant’s death and before the payment of any amount due to the participant’s beneficiary hereunder has been completed, the beneficiary will exercise the participant’s designation powers under this section.</w:t>
      </w:r>
    </w:p>
    <w:p>
      <w:pPr>
        <w:spacing w:after="0" w:line="46" w:lineRule="exact"/>
        <w:rPr>
          <w:sz w:val="20"/>
          <w:szCs w:val="20"/>
          <w:color w:val="auto"/>
        </w:rPr>
      </w:pPr>
    </w:p>
    <w:p>
      <w:pPr>
        <w:jc w:val="both"/>
        <w:ind w:right="400" w:firstLine="164"/>
        <w:spacing w:after="0" w:line="264" w:lineRule="auto"/>
        <w:rPr>
          <w:sz w:val="20"/>
          <w:szCs w:val="20"/>
          <w:color w:val="auto"/>
        </w:rPr>
      </w:pPr>
      <w:r>
        <w:rPr>
          <w:rFonts w:ascii="Arial" w:cs="Arial" w:eastAsia="Arial" w:hAnsi="Arial"/>
          <w:sz w:val="13"/>
          <w:szCs w:val="13"/>
          <w:color w:val="auto"/>
        </w:rPr>
        <w:t>Notwithstanding the preceding paragraph, the committee may establish one or more default investment funds that will be used to determine deemed investment results in the case of any participant or group of participants who have not made a designation under the preceding paragraph. Such default investment fund(s) will be used to determine deemed investment results applicable to the account of such participant or participants until any such participant makes a designation of investment fund(s) in accordance with the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19" w:name="page220"/>
    <w:bookmarkEnd w:id="219"/>
    <w:p>
      <w:pPr>
        <w:ind w:right="60" w:firstLine="164"/>
        <w:spacing w:after="0" w:line="276" w:lineRule="auto"/>
        <w:rPr>
          <w:sz w:val="20"/>
          <w:szCs w:val="20"/>
          <w:color w:val="auto"/>
        </w:rPr>
      </w:pPr>
      <w:r>
        <w:rPr>
          <w:rFonts w:ascii="Arial" w:cs="Arial" w:eastAsia="Arial" w:hAnsi="Arial"/>
          <w:sz w:val="13"/>
          <w:szCs w:val="13"/>
          <w:color w:val="auto"/>
        </w:rPr>
        <w:t>Deemed investment results under this subsection will be credited to a participant’s account effective as of the last day of each plan year (and as of such other valuation dates during a plan year as the committee may establish).</w:t>
      </w:r>
    </w:p>
    <w:p>
      <w:pPr>
        <w:spacing w:after="0" w:line="49" w:lineRule="exact"/>
        <w:rPr>
          <w:sz w:val="20"/>
          <w:szCs w:val="20"/>
          <w:color w:val="auto"/>
        </w:rPr>
      </w:pPr>
    </w:p>
    <w:p>
      <w:pPr>
        <w:ind w:right="460" w:firstLine="161"/>
        <w:spacing w:after="0" w:line="276" w:lineRule="auto"/>
        <w:rPr>
          <w:sz w:val="20"/>
          <w:szCs w:val="20"/>
          <w:color w:val="auto"/>
        </w:rPr>
      </w:pPr>
      <w:r>
        <w:rPr>
          <w:rFonts w:ascii="Arial" w:cs="Arial" w:eastAsia="Arial" w:hAnsi="Arial"/>
          <w:sz w:val="13"/>
          <w:szCs w:val="13"/>
          <w:color w:val="auto"/>
        </w:rPr>
        <w:t>The value of a participant’s account at any point in time will be his voluntary deferrals (plus, if applicable, his transferred account balance from the Biogen Directors Plan), increased or decreased by deemed investment results as provided in this subsection (b) through the end of the most recent valuation date, and reduced by any distributions from the participant’s account.</w:t>
      </w:r>
    </w:p>
    <w:p>
      <w:pPr>
        <w:spacing w:after="0" w:line="49"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Notwithstanding the foregoing, in connection with the transfer of participants’ Biogen Directors Plan account balances to this plan, transferred account balances will be initially credited with deemed investment results as if the participant had selected the money market fund investment option under the Savings Plan. Deemed investment results in accordance with the preceding sentence will apply to such transferred account balances until a participant changes such designation in accordance with this section.</w:t>
      </w:r>
    </w:p>
    <w:p>
      <w:pPr>
        <w:spacing w:after="0" w:line="57" w:lineRule="exact"/>
        <w:rPr>
          <w:sz w:val="20"/>
          <w:szCs w:val="20"/>
          <w:color w:val="auto"/>
        </w:rPr>
      </w:pPr>
    </w:p>
    <w:p>
      <w:pPr>
        <w:ind w:firstLine="162"/>
        <w:spacing w:after="0" w:line="276" w:lineRule="auto"/>
        <w:tabs>
          <w:tab w:leader="none" w:pos="342" w:val="left"/>
        </w:tabs>
        <w:numPr>
          <w:ilvl w:val="0"/>
          <w:numId w:val="121"/>
        </w:numPr>
        <w:rPr>
          <w:rFonts w:ascii="Arial" w:cs="Arial" w:eastAsia="Arial" w:hAnsi="Arial"/>
          <w:sz w:val="13"/>
          <w:szCs w:val="13"/>
          <w:color w:val="auto"/>
        </w:rPr>
      </w:pPr>
      <w:r>
        <w:rPr>
          <w:rFonts w:ascii="Arial" w:cs="Arial" w:eastAsia="Arial" w:hAnsi="Arial"/>
          <w:sz w:val="13"/>
          <w:szCs w:val="13"/>
          <w:u w:val="single" w:color="auto"/>
          <w:color w:val="auto"/>
        </w:rPr>
        <w:t>Bookkeeping Accounts</w:t>
      </w:r>
      <w:r>
        <w:rPr>
          <w:rFonts w:ascii="Arial" w:cs="Arial" w:eastAsia="Arial" w:hAnsi="Arial"/>
          <w:sz w:val="13"/>
          <w:szCs w:val="13"/>
          <w:color w:val="auto"/>
        </w:rPr>
        <w:t>. Participants’ accounts and subaccounts will be maintained on Biogen Idec’s books for bookkeeping purposes only; such accounts will not represent any property or any secured or priority interest in any trust or in any segregated asset.</w:t>
      </w:r>
    </w:p>
    <w:p>
      <w:pPr>
        <w:spacing w:after="0" w:line="49"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In order to facilitate the administration of the plan, the committee may arrange for a participant’s voluntary deferrals account to be divided for recordkeeping purposes into two or more subaccounts, in accordance with procedures established by the committee.</w:t>
      </w:r>
    </w:p>
    <w:p>
      <w:pPr>
        <w:spacing w:after="0" w:line="45"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5.2 Vesting. </w:t>
      </w:r>
      <w:r>
        <w:rPr>
          <w:rFonts w:ascii="Arial" w:cs="Arial" w:eastAsia="Arial" w:hAnsi="Arial"/>
          <w:sz w:val="13"/>
          <w:szCs w:val="13"/>
          <w:color w:val="auto"/>
        </w:rPr>
        <w:t>A participant will have a fully vested interest in his voluntary deferrals account at all times. For this purpose, “fully vested” means that such account is not subject to forfeiture; however, all participant</w:t>
      </w:r>
      <w:r>
        <w:rPr>
          <w:rFonts w:ascii="Arial" w:cs="Arial" w:eastAsia="Arial" w:hAnsi="Arial"/>
          <w:sz w:val="13"/>
          <w:szCs w:val="13"/>
          <w:b w:val="1"/>
          <w:bCs w:val="1"/>
          <w:color w:val="auto"/>
        </w:rPr>
        <w:t xml:space="preserve"> </w:t>
      </w:r>
      <w:r>
        <w:rPr>
          <w:rFonts w:ascii="Arial" w:cs="Arial" w:eastAsia="Arial" w:hAnsi="Arial"/>
          <w:sz w:val="13"/>
          <w:szCs w:val="13"/>
          <w:color w:val="auto"/>
        </w:rPr>
        <w:t>accounts are subject to (i) fluctuation as a result of the crediting of deemed investment results (including losses) to such accounts as provided in the plan and (ii) the possibility of the insolvency or bankruptcy of Biogen Idec (see Section 7.2(a)).</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6</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DISTRIBUTIONS TO PARTICIPANT</w:t>
      </w:r>
    </w:p>
    <w:p>
      <w:pPr>
        <w:spacing w:after="0" w:line="75"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b w:val="1"/>
          <w:bCs w:val="1"/>
          <w:color w:val="auto"/>
        </w:rPr>
        <w:t xml:space="preserve">6.1 Distributions for Unforeseeable Emergency. </w:t>
      </w:r>
      <w:r>
        <w:rPr>
          <w:rFonts w:ascii="Arial" w:cs="Arial" w:eastAsia="Arial" w:hAnsi="Arial"/>
          <w:sz w:val="12"/>
          <w:szCs w:val="12"/>
          <w:color w:val="auto"/>
        </w:rPr>
        <w:t>If a participant has an unforeseeable emergency prior to his termination of service as a director, he may apply to the committee for a distribution from his account. If</w:t>
      </w:r>
      <w:r>
        <w:rPr>
          <w:rFonts w:ascii="Arial" w:cs="Arial" w:eastAsia="Arial" w:hAnsi="Arial"/>
          <w:sz w:val="12"/>
          <w:szCs w:val="12"/>
          <w:b w:val="1"/>
          <w:bCs w:val="1"/>
          <w:color w:val="auto"/>
        </w:rPr>
        <w:t xml:space="preserve"> </w:t>
      </w:r>
      <w:r>
        <w:rPr>
          <w:rFonts w:ascii="Arial" w:cs="Arial" w:eastAsia="Arial" w:hAnsi="Arial"/>
          <w:sz w:val="12"/>
          <w:szCs w:val="12"/>
          <w:color w:val="auto"/>
        </w:rPr>
        <w:t>such application for an unforeseeable emergency distribution is approved by the committee, distribution of the approved amount will be made on the date of approval by the committee. The amount of the distribution will be the amount reasonably needed to alleviate the participant’s unforeseeable emergency (including the amount necessary to pay any federal, state or local income taxes and penalties reasonably anticipated to result from the distribution), as determined by the committee, up to a maximum of the participant’s account balance. Such a distribution will be made from the participant’s account in a single lump sum payment. If such a participant’s account has two or more subaccounts, the committee will determine which subaccount(s) will be debited to reflect the unforeseeable emergency distribution.</w:t>
      </w:r>
    </w:p>
    <w:p>
      <w:pPr>
        <w:spacing w:after="0" w:line="47" w:lineRule="exact"/>
        <w:rPr>
          <w:sz w:val="20"/>
          <w:szCs w:val="20"/>
          <w:color w:val="auto"/>
        </w:rPr>
      </w:pPr>
    </w:p>
    <w:p>
      <w:pPr>
        <w:ind w:right="120" w:firstLine="157"/>
        <w:spacing w:after="0" w:line="289" w:lineRule="auto"/>
        <w:rPr>
          <w:sz w:val="20"/>
          <w:szCs w:val="20"/>
          <w:color w:val="auto"/>
        </w:rPr>
      </w:pPr>
      <w:r>
        <w:rPr>
          <w:rFonts w:ascii="Arial" w:cs="Arial" w:eastAsia="Arial" w:hAnsi="Arial"/>
          <w:sz w:val="12"/>
          <w:szCs w:val="12"/>
          <w:color w:val="auto"/>
        </w:rPr>
        <w:t>An unforeseeable emergency is a severe financial hardship affecting the participant resulting from illness of the participant or spouse, dependent or designated beneficiary, need to rebuild the participant’s principal residence following damage not covered by insurance, or other similar extraordinary and unforeseeable circumstances arising as a result of events beyond the participant’s control. A circumstance or exigency of the participant does not constitute an unforeseeable emergency to the extent that the participant’s financial need is or may be relieved through reimbursement or compensation by insurance or otherwise, by liquidation of assets (to the extent that such liquidation would not itself cause severe hardship), or by cessation of voluntary deferrals in accordance with Section 4.1.</w:t>
      </w:r>
    </w:p>
    <w:p>
      <w:pPr>
        <w:spacing w:after="0" w:line="43"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committee will determine whether a participant has incurred an unforeseeable emergency and the amount needed to alleviate the unforeseeable emergency. A participant is not entitled to a distribution under this section regardless of the participant’s circumstances or exigencies, and all such distributions and the amounts thereof are subject to the determination of the committee.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20" w:name="page221"/>
    <w:bookmarkEnd w:id="220"/>
    <w:p>
      <w:pPr>
        <w:spacing w:after="0" w:line="284" w:lineRule="auto"/>
        <w:rPr>
          <w:sz w:val="20"/>
          <w:szCs w:val="20"/>
          <w:color w:val="auto"/>
        </w:rPr>
      </w:pPr>
      <w:r>
        <w:rPr>
          <w:rFonts w:ascii="Arial" w:cs="Arial" w:eastAsia="Arial" w:hAnsi="Arial"/>
          <w:sz w:val="12"/>
          <w:szCs w:val="12"/>
          <w:b w:val="1"/>
          <w:bCs w:val="1"/>
          <w:color w:val="auto"/>
        </w:rPr>
        <w:t xml:space="preserve">6.2. In-Service Distribution(s) at a Time Specified by Participant. </w:t>
      </w:r>
      <w:r>
        <w:rPr>
          <w:rFonts w:ascii="Arial" w:cs="Arial" w:eastAsia="Arial" w:hAnsi="Arial"/>
          <w:sz w:val="12"/>
          <w:szCs w:val="12"/>
          <w:color w:val="auto"/>
        </w:rPr>
        <w:t>A participant shall be permitted, in accordance with this section, to elect an in-service distribution at a specified date (but not earlier than five years</w:t>
      </w:r>
      <w:r>
        <w:rPr>
          <w:rFonts w:ascii="Arial" w:cs="Arial" w:eastAsia="Arial" w:hAnsi="Arial"/>
          <w:sz w:val="12"/>
          <w:szCs w:val="12"/>
          <w:b w:val="1"/>
          <w:bCs w:val="1"/>
          <w:color w:val="auto"/>
        </w:rPr>
        <w:t xml:space="preserve"> </w:t>
      </w:r>
      <w:r>
        <w:rPr>
          <w:rFonts w:ascii="Arial" w:cs="Arial" w:eastAsia="Arial" w:hAnsi="Arial"/>
          <w:sz w:val="12"/>
          <w:szCs w:val="12"/>
          <w:color w:val="auto"/>
        </w:rPr>
        <w:t>after the date he is making such election) of the portion of his account that is not invested in the fixed income option described in the second paragraph of Section 5.1(b). If, in his initial enrollment or other election form (or, if applicable, a subsequent election under Section 4.2(b)(ii)), the participant elected payment of such portion of his account (or a specified part of such portion) at a specified time(s) and he is still a director at such time(s), the participant will receive payment of the amount elected, payable on the designated date(s). A participant’s election for in-service distributions under this Section 6.2 may be for a single payment or up to five annual payments (with the first payment on the date specified by the participant and subsequent payments on anniversaries of such date), in each case in an amount or portion specified by the participant in his enrollment or other election form. Each payment will be the amount specified (or the entire balance remaining in the participant’s account, if less).</w:t>
      </w:r>
    </w:p>
    <w:p>
      <w:pPr>
        <w:spacing w:after="0" w:line="47" w:lineRule="exact"/>
        <w:rPr>
          <w:sz w:val="20"/>
          <w:szCs w:val="20"/>
          <w:color w:val="auto"/>
        </w:rPr>
      </w:pPr>
    </w:p>
    <w:p>
      <w:pPr>
        <w:ind w:right="80" w:firstLine="157"/>
        <w:spacing w:after="0" w:line="264" w:lineRule="auto"/>
        <w:rPr>
          <w:sz w:val="20"/>
          <w:szCs w:val="20"/>
          <w:color w:val="auto"/>
        </w:rPr>
      </w:pPr>
      <w:r>
        <w:rPr>
          <w:rFonts w:ascii="Arial" w:cs="Arial" w:eastAsia="Arial" w:hAnsi="Arial"/>
          <w:sz w:val="13"/>
          <w:szCs w:val="13"/>
          <w:color w:val="auto"/>
        </w:rPr>
        <w:t>Any amount in a participant’s account hereunder not distributed to the participant under this Section 6.2 will be distributed under Section 6.3, 6.4 or 6.5, whichever may be applicable, and Section 6.6 (if applicable). If a participant is receiving multiple payments under this Section 6.2 and dies or otherwise terminates service as a director, payments under this subsection will cease and subsequent payments will be governed by Section 6.4 or 6.5, as the case may be.</w:t>
      </w:r>
    </w:p>
    <w:p>
      <w:pPr>
        <w:spacing w:after="0" w:line="53"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b w:val="1"/>
          <w:bCs w:val="1"/>
          <w:color w:val="auto"/>
        </w:rPr>
        <w:t xml:space="preserve">6.3 Distribution Upon a Change in Control. </w:t>
      </w:r>
      <w:r>
        <w:rPr>
          <w:rFonts w:ascii="Arial" w:cs="Arial" w:eastAsia="Arial" w:hAnsi="Arial"/>
          <w:sz w:val="13"/>
          <w:szCs w:val="13"/>
          <w:color w:val="auto"/>
        </w:rPr>
        <w:t>In the event of a change in control (as defined in Section 2.3(b), a participant who elected payment of his account under Section 4.2(b)(i) will receive a lump sum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equal to the amount credited to his account hereunder. Such payment will be made 30 days after the occurrence of the change in control (but not before January 1, 2008 in the case of a change in control that occurs during 2007). This Section 6.2 is effective as of the date of execution of this amended and restated plan document.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6.4 Distribution upon Death of a Participant.</w:t>
      </w:r>
    </w:p>
    <w:p>
      <w:pPr>
        <w:spacing w:after="0" w:line="90" w:lineRule="exact"/>
        <w:rPr>
          <w:sz w:val="20"/>
          <w:szCs w:val="20"/>
          <w:color w:val="auto"/>
        </w:rPr>
      </w:pPr>
    </w:p>
    <w:p>
      <w:pPr>
        <w:ind w:firstLine="162"/>
        <w:spacing w:after="0" w:line="264" w:lineRule="auto"/>
        <w:tabs>
          <w:tab w:leader="none" w:pos="342"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If a participant dies before his entire account balance has been distributed, his beneficiary will receive the amount remaining in the participant’s account. Except as provided in Section 6.6, distribution will be made in a single sum payment on the first day of the month after the committee receives appropriate evidence of the participant’s death and of the right of any beneficiary to receive such payment (and in the case of payment to the participant’s estate, the appointment of a personal representative).</w:t>
      </w:r>
    </w:p>
    <w:p>
      <w:pPr>
        <w:spacing w:after="0" w:line="57" w:lineRule="exact"/>
        <w:rPr>
          <w:rFonts w:ascii="Arial" w:cs="Arial" w:eastAsia="Arial" w:hAnsi="Arial"/>
          <w:sz w:val="13"/>
          <w:szCs w:val="13"/>
          <w:color w:val="auto"/>
        </w:rPr>
      </w:pPr>
    </w:p>
    <w:p>
      <w:pPr>
        <w:ind w:right="100" w:firstLine="162"/>
        <w:spacing w:after="0" w:line="264" w:lineRule="auto"/>
        <w:tabs>
          <w:tab w:leader="none" w:pos="34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Beneficiary</w:t>
      </w:r>
      <w:r>
        <w:rPr>
          <w:rFonts w:ascii="Arial" w:cs="Arial" w:eastAsia="Arial" w:hAnsi="Arial"/>
          <w:sz w:val="13"/>
          <w:szCs w:val="13"/>
          <w:color w:val="auto"/>
        </w:rPr>
        <w:t>. A participant may designate one or more beneficiaries to receive a distribution payable under subsection (a) above and may revoke or change such a designation at any time. If the participant names two or more beneficiaries, distribution to them will be in such proportions as the participant designates or, if the participant does not so designate, in equal shares. Any designation of beneficiary will be made in accordance with such procedures or in such form as the committee may prescribe or deem acceptable.</w:t>
      </w:r>
    </w:p>
    <w:p>
      <w:pPr>
        <w:spacing w:after="0" w:line="57"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Any portion of a distribution payable upon the death of a participant that is not disposed of by a designation of beneficiary under the preceding paragraph, for any reason whatsoever, will be paid to the participant’s spouse if living at his death, otherwise equally to the participant’s natural and adopted children (and the issue of a deceased child by right of representation), otherwise to the participant’s estate.</w:t>
      </w:r>
    </w:p>
    <w:p>
      <w:pPr>
        <w:spacing w:after="0" w:line="25"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The committee may direct payment in accordance with a prior designation of beneficiary (and will be fully protected in so doing) if such direction (i) is given before a later designation is received, or (ii) is due to the committee’s inability to verify the authenticity of a later designation. Such a distribution will discharge all liability therefor under the plan.</w:t>
      </w:r>
    </w:p>
    <w:p>
      <w:pPr>
        <w:spacing w:after="0" w:line="45"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b w:val="1"/>
          <w:bCs w:val="1"/>
          <w:color w:val="auto"/>
        </w:rPr>
        <w:t xml:space="preserve">6.5 Other Distributions. </w:t>
      </w:r>
      <w:r>
        <w:rPr>
          <w:rFonts w:ascii="Arial" w:cs="Arial" w:eastAsia="Arial" w:hAnsi="Arial"/>
          <w:sz w:val="13"/>
          <w:szCs w:val="13"/>
          <w:color w:val="auto"/>
        </w:rPr>
        <w:t>Except in the case of the participant’s death (in which case distribution is made in accordance with Section 6.4), distribution of a participant’s account will be made at the time elected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in accordance with Section 4.2. In the absence of such an election, distribution of the participant’s account will be made on the first day of the month after the participant’s termination of service as a director. Distribution will be made in a single lump sum payment.</w:t>
      </w:r>
    </w:p>
    <w:p>
      <w:pPr>
        <w:spacing w:after="0" w:line="5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In applying the distribution provisions of this Article 6, in the case of a participant who terminates service as a director but thereupon becomes an employee of Biogen Idec (or a subsidiary or other affiliate of Biogen Idec),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21" w:name="page222"/>
    <w:bookmarkEnd w:id="221"/>
    <w:p>
      <w:pPr>
        <w:ind w:left="1"/>
        <w:spacing w:after="0"/>
        <w:rPr>
          <w:sz w:val="20"/>
          <w:szCs w:val="20"/>
          <w:color w:val="auto"/>
        </w:rPr>
      </w:pPr>
      <w:r>
        <w:rPr>
          <w:rFonts w:ascii="Arial" w:cs="Arial" w:eastAsia="Arial" w:hAnsi="Arial"/>
          <w:sz w:val="13"/>
          <w:szCs w:val="13"/>
          <w:color w:val="auto"/>
        </w:rPr>
        <w:t>such participant will be deemed not to have a termination of service as a director until he terminates employment with Biogen Idec (or subsidiary or other affiliate).</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6.6 Installment Distributions in Certain Cases.</w:t>
      </w:r>
    </w:p>
    <w:p>
      <w:pPr>
        <w:spacing w:after="0" w:line="90" w:lineRule="exact"/>
        <w:rPr>
          <w:sz w:val="20"/>
          <w:szCs w:val="20"/>
          <w:color w:val="auto"/>
        </w:rPr>
      </w:pPr>
    </w:p>
    <w:p>
      <w:pPr>
        <w:ind w:left="1" w:firstLine="162"/>
        <w:spacing w:after="0" w:line="303" w:lineRule="auto"/>
        <w:tabs>
          <w:tab w:leader="none" w:pos="343" w:val="left"/>
        </w:tabs>
        <w:numPr>
          <w:ilvl w:val="1"/>
          <w:numId w:val="123"/>
        </w:numPr>
        <w:rPr>
          <w:rFonts w:ascii="Arial" w:cs="Arial" w:eastAsia="Arial" w:hAnsi="Arial"/>
          <w:sz w:val="11"/>
          <w:szCs w:val="11"/>
          <w:color w:val="auto"/>
        </w:rPr>
      </w:pPr>
      <w:r>
        <w:rPr>
          <w:rFonts w:ascii="Arial" w:cs="Arial" w:eastAsia="Arial" w:hAnsi="Arial"/>
          <w:sz w:val="11"/>
          <w:szCs w:val="11"/>
          <w:u w:val="single" w:color="auto"/>
          <w:color w:val="auto"/>
        </w:rPr>
        <w:t>Participant</w:t>
      </w:r>
      <w:r>
        <w:rPr>
          <w:rFonts w:ascii="Arial" w:cs="Arial" w:eastAsia="Arial" w:hAnsi="Arial"/>
          <w:sz w:val="11"/>
          <w:szCs w:val="11"/>
          <w:color w:val="auto"/>
        </w:rPr>
        <w:t>. Notwithstanding the provisions of Section 6.5, a participant may, at the time of filing his initial enrollment form under Section 4.2(b)(i) (or, if applicable, in a subsequent election under Section 4.2(b) (ii)), designate that the amount payable to him hereunder upon termination of service as a director will be paid in a number (minimum of two and maximum of fifteen) of annual installment payments, as specified by the participant. However, in the event the participant’s account balance as of the date that installment distribution would begin in accordance with Section 6.5 is equal to or less than the limit under Code Section 402(g)(l)</w:t>
      </w:r>
    </w:p>
    <w:p>
      <w:pPr>
        <w:ind w:left="1" w:right="420" w:hanging="1"/>
        <w:spacing w:after="0" w:line="264" w:lineRule="auto"/>
        <w:tabs>
          <w:tab w:leader="none" w:pos="209"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and (g)(4) as in effect when installments would begin (for example, $15,500 for 2008)), such account balance will automatically be paid in the form of a lump sum payment to the extent not prohibited by the regulations under Code Section 409A.</w:t>
      </w:r>
    </w:p>
    <w:p>
      <w:pPr>
        <w:spacing w:after="0" w:line="56" w:lineRule="exact"/>
        <w:rPr>
          <w:rFonts w:ascii="Arial" w:cs="Arial" w:eastAsia="Arial" w:hAnsi="Arial"/>
          <w:sz w:val="13"/>
          <w:szCs w:val="13"/>
          <w:color w:val="auto"/>
        </w:rPr>
      </w:pPr>
    </w:p>
    <w:p>
      <w:pPr>
        <w:ind w:left="1" w:firstLine="162"/>
        <w:spacing w:after="0" w:line="276" w:lineRule="auto"/>
        <w:tabs>
          <w:tab w:leader="none" w:pos="351" w:val="left"/>
        </w:tabs>
        <w:numPr>
          <w:ilvl w:val="1"/>
          <w:numId w:val="124"/>
        </w:numPr>
        <w:rPr>
          <w:rFonts w:ascii="Arial" w:cs="Arial" w:eastAsia="Arial" w:hAnsi="Arial"/>
          <w:sz w:val="13"/>
          <w:szCs w:val="13"/>
          <w:color w:val="auto"/>
        </w:rPr>
      </w:pPr>
      <w:r>
        <w:rPr>
          <w:rFonts w:ascii="Arial" w:cs="Arial" w:eastAsia="Arial" w:hAnsi="Arial"/>
          <w:sz w:val="13"/>
          <w:szCs w:val="13"/>
          <w:u w:val="single" w:color="auto"/>
          <w:color w:val="auto"/>
        </w:rPr>
        <w:t>Beneficiary.</w:t>
      </w:r>
      <w:r>
        <w:rPr>
          <w:rFonts w:ascii="Arial" w:cs="Arial" w:eastAsia="Arial" w:hAnsi="Arial"/>
          <w:sz w:val="13"/>
          <w:szCs w:val="13"/>
          <w:color w:val="auto"/>
        </w:rPr>
        <w:t xml:space="preserve"> Notwithstanding Section 6.4, a participant may at the time of filing his initial enrollment form under Section 4.2 (or, if applicable, in a subsequent election) designate that, if the participant dies before receiving the entire amount payable to him hereunder, the beneficiary will receive either:</w:t>
      </w:r>
    </w:p>
    <w:p>
      <w:pPr>
        <w:spacing w:after="0" w:line="49" w:lineRule="exact"/>
        <w:rPr>
          <w:rFonts w:ascii="Arial" w:cs="Arial" w:eastAsia="Arial" w:hAnsi="Arial"/>
          <w:sz w:val="13"/>
          <w:szCs w:val="13"/>
          <w:color w:val="auto"/>
        </w:rPr>
      </w:pPr>
    </w:p>
    <w:p>
      <w:pPr>
        <w:ind w:left="1021" w:hanging="451"/>
        <w:spacing w:after="0"/>
        <w:tabs>
          <w:tab w:leader="none" w:pos="1021" w:val="left"/>
        </w:tabs>
        <w:numPr>
          <w:ilvl w:val="2"/>
          <w:numId w:val="124"/>
        </w:numPr>
        <w:rPr>
          <w:rFonts w:ascii="Arial" w:cs="Arial" w:eastAsia="Arial" w:hAnsi="Arial"/>
          <w:sz w:val="13"/>
          <w:szCs w:val="13"/>
          <w:color w:val="auto"/>
        </w:rPr>
      </w:pPr>
      <w:r>
        <w:rPr>
          <w:rFonts w:ascii="Arial" w:cs="Arial" w:eastAsia="Arial" w:hAnsi="Arial"/>
          <w:sz w:val="13"/>
          <w:szCs w:val="13"/>
          <w:color w:val="auto"/>
        </w:rPr>
        <w:t>A number of annual installment payments equal to:</w:t>
      </w:r>
    </w:p>
    <w:p>
      <w:pPr>
        <w:spacing w:after="0" w:line="86" w:lineRule="exact"/>
        <w:rPr>
          <w:rFonts w:ascii="Arial" w:cs="Arial" w:eastAsia="Arial" w:hAnsi="Arial"/>
          <w:sz w:val="13"/>
          <w:szCs w:val="13"/>
          <w:color w:val="auto"/>
        </w:rPr>
      </w:pPr>
    </w:p>
    <w:p>
      <w:pPr>
        <w:ind w:left="1481" w:hanging="449"/>
        <w:spacing w:after="0"/>
        <w:tabs>
          <w:tab w:leader="none" w:pos="1481" w:val="left"/>
        </w:tabs>
        <w:numPr>
          <w:ilvl w:val="3"/>
          <w:numId w:val="124"/>
        </w:numPr>
        <w:rPr>
          <w:rFonts w:ascii="Arial" w:cs="Arial" w:eastAsia="Arial" w:hAnsi="Arial"/>
          <w:sz w:val="13"/>
          <w:szCs w:val="13"/>
          <w:color w:val="auto"/>
        </w:rPr>
      </w:pPr>
      <w:r>
        <w:rPr>
          <w:rFonts w:ascii="Arial" w:cs="Arial" w:eastAsia="Arial" w:hAnsi="Arial"/>
          <w:sz w:val="13"/>
          <w:szCs w:val="13"/>
          <w:color w:val="auto"/>
        </w:rPr>
        <w:t>the number the participant elected for himself under subsection (a) above (if the participant dies before receiving any installment payments), or</w:t>
      </w:r>
    </w:p>
    <w:p>
      <w:pPr>
        <w:spacing w:after="0" w:line="96" w:lineRule="exact"/>
        <w:rPr>
          <w:rFonts w:ascii="Arial" w:cs="Arial" w:eastAsia="Arial" w:hAnsi="Arial"/>
          <w:sz w:val="13"/>
          <w:szCs w:val="13"/>
          <w:color w:val="auto"/>
        </w:rPr>
      </w:pPr>
    </w:p>
    <w:p>
      <w:pPr>
        <w:ind w:left="1481" w:hanging="449"/>
        <w:spacing w:after="0"/>
        <w:tabs>
          <w:tab w:leader="none" w:pos="1481" w:val="left"/>
        </w:tabs>
        <w:numPr>
          <w:ilvl w:val="3"/>
          <w:numId w:val="124"/>
        </w:numPr>
        <w:rPr>
          <w:rFonts w:ascii="Arial" w:cs="Arial" w:eastAsia="Arial" w:hAnsi="Arial"/>
          <w:sz w:val="13"/>
          <w:szCs w:val="13"/>
          <w:color w:val="auto"/>
        </w:rPr>
      </w:pPr>
      <w:r>
        <w:rPr>
          <w:rFonts w:ascii="Arial" w:cs="Arial" w:eastAsia="Arial" w:hAnsi="Arial"/>
          <w:sz w:val="13"/>
          <w:szCs w:val="13"/>
          <w:color w:val="auto"/>
        </w:rPr>
        <w:t>the number of remaining installment payments due to the participant under subsection (a) above (if the participant dies after receiving one or more installment payments); or</w:t>
      </w:r>
    </w:p>
    <w:p>
      <w:pPr>
        <w:spacing w:after="0" w:line="86" w:lineRule="exact"/>
        <w:rPr>
          <w:rFonts w:ascii="Arial" w:cs="Arial" w:eastAsia="Arial" w:hAnsi="Arial"/>
          <w:sz w:val="13"/>
          <w:szCs w:val="13"/>
          <w:color w:val="auto"/>
        </w:rPr>
      </w:pPr>
    </w:p>
    <w:p>
      <w:pPr>
        <w:ind w:left="1021" w:hanging="451"/>
        <w:spacing w:after="0"/>
        <w:tabs>
          <w:tab w:leader="none" w:pos="1021" w:val="left"/>
        </w:tabs>
        <w:numPr>
          <w:ilvl w:val="2"/>
          <w:numId w:val="124"/>
        </w:numPr>
        <w:rPr>
          <w:rFonts w:ascii="Arial" w:cs="Arial" w:eastAsia="Arial" w:hAnsi="Arial"/>
          <w:sz w:val="13"/>
          <w:szCs w:val="13"/>
          <w:color w:val="auto"/>
        </w:rPr>
      </w:pPr>
      <w:r>
        <w:rPr>
          <w:rFonts w:ascii="Arial" w:cs="Arial" w:eastAsia="Arial" w:hAnsi="Arial"/>
          <w:sz w:val="13"/>
          <w:szCs w:val="13"/>
          <w:color w:val="auto"/>
        </w:rPr>
        <w:t>a single payment.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Payment to the beneficiary (or the first installment) will be made or begin as provided in Section 6.4(a).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If the participant fails to designate the form of payment to the beneficiary, the default form of payment will be a single payment under (ii) above.</w:t>
      </w:r>
    </w:p>
    <w:p>
      <w:pPr>
        <w:spacing w:after="0" w:line="86" w:lineRule="exact"/>
        <w:rPr>
          <w:sz w:val="20"/>
          <w:szCs w:val="20"/>
          <w:color w:val="auto"/>
        </w:rPr>
      </w:pPr>
    </w:p>
    <w:p>
      <w:pPr>
        <w:ind w:left="1" w:right="260" w:firstLine="162"/>
        <w:spacing w:after="0" w:line="264" w:lineRule="auto"/>
        <w:tabs>
          <w:tab w:leader="none" w:pos="343"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Installment Payments</w:t>
      </w:r>
      <w:r>
        <w:rPr>
          <w:rFonts w:ascii="Arial" w:cs="Arial" w:eastAsia="Arial" w:hAnsi="Arial"/>
          <w:sz w:val="13"/>
          <w:szCs w:val="13"/>
          <w:color w:val="auto"/>
        </w:rPr>
        <w:t>. Where installment payments are due, the first annual installment payment will be made on the date specified in Section 6.4 or 6.5 (whichever is applicable) and subsequent annual installments will be paid on succeeding anniversaries of the first payment date. The amount of each annual installment payment will be determined by multiplying the amount then remaining to be paid by a fraction whose numerator is one and whose denominator is the number of remaining annual installment payments.</w:t>
      </w:r>
    </w:p>
    <w:p>
      <w:pPr>
        <w:spacing w:after="0" w:line="57" w:lineRule="exact"/>
        <w:rPr>
          <w:rFonts w:ascii="Arial" w:cs="Arial" w:eastAsia="Arial" w:hAnsi="Arial"/>
          <w:sz w:val="13"/>
          <w:szCs w:val="13"/>
          <w:color w:val="auto"/>
        </w:rPr>
      </w:pPr>
    </w:p>
    <w:p>
      <w:pPr>
        <w:ind w:left="1" w:right="100" w:firstLine="162"/>
        <w:spacing w:after="0" w:line="264" w:lineRule="auto"/>
        <w:tabs>
          <w:tab w:leader="none" w:pos="351"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Death of Beneficiary</w:t>
      </w:r>
      <w:r>
        <w:rPr>
          <w:rFonts w:ascii="Arial" w:cs="Arial" w:eastAsia="Arial" w:hAnsi="Arial"/>
          <w:sz w:val="13"/>
          <w:szCs w:val="13"/>
          <w:color w:val="auto"/>
        </w:rPr>
        <w:t>. If a participant’s designated beneficiary is receiving installment payments and dies before receiving payment of all the annual installments, the designated beneficiary’s estate will receive a lump sum payment of the amount remaining to the distributed to such deceased beneficiary. Such payment will be made on the first day of the month next following the committee’s receipt of satisfactory evidence of the death of the designated beneficiary and the appointment of a personal representative.</w:t>
      </w:r>
    </w:p>
    <w:p>
      <w:pPr>
        <w:spacing w:after="0" w:line="57" w:lineRule="exact"/>
        <w:rPr>
          <w:rFonts w:ascii="Arial" w:cs="Arial" w:eastAsia="Arial" w:hAnsi="Arial"/>
          <w:sz w:val="13"/>
          <w:szCs w:val="13"/>
          <w:color w:val="auto"/>
        </w:rPr>
      </w:pPr>
    </w:p>
    <w:p>
      <w:pPr>
        <w:ind w:left="1" w:right="200" w:firstLine="162"/>
        <w:spacing w:after="0" w:line="320" w:lineRule="auto"/>
        <w:tabs>
          <w:tab w:leader="none" w:pos="343" w:val="left"/>
        </w:tabs>
        <w:numPr>
          <w:ilvl w:val="0"/>
          <w:numId w:val="125"/>
        </w:numPr>
        <w:rPr>
          <w:rFonts w:ascii="Arial" w:cs="Arial" w:eastAsia="Arial" w:hAnsi="Arial"/>
          <w:sz w:val="12"/>
          <w:szCs w:val="12"/>
          <w:color w:val="auto"/>
        </w:rPr>
      </w:pPr>
      <w:r>
        <w:rPr>
          <w:rFonts w:ascii="Arial" w:cs="Arial" w:eastAsia="Arial" w:hAnsi="Arial"/>
          <w:sz w:val="12"/>
          <w:szCs w:val="12"/>
          <w:u w:val="single" w:color="auto"/>
          <w:color w:val="auto"/>
        </w:rPr>
        <w:t>Deemed Single Payment</w:t>
      </w:r>
      <w:r>
        <w:rPr>
          <w:rFonts w:ascii="Arial" w:cs="Arial" w:eastAsia="Arial" w:hAnsi="Arial"/>
          <w:sz w:val="12"/>
          <w:szCs w:val="12"/>
          <w:color w:val="auto"/>
        </w:rPr>
        <w:t>. As provided in the regulations under Code Section 409A, installment payments to a participant will be deemed a single payment on the date of the first installment for purposes of the anti-acceleration rule (Section 4.2(b) and Section 6.9) and the rules governing the timing of changes in elections with respect to time and form of payment hereunder (Section 4.2(b)).</w:t>
      </w:r>
    </w:p>
    <w:p>
      <w:pPr>
        <w:spacing w:after="0" w:line="21" w:lineRule="exact"/>
        <w:rPr>
          <w:sz w:val="20"/>
          <w:szCs w:val="20"/>
          <w:color w:val="auto"/>
        </w:rPr>
      </w:pPr>
    </w:p>
    <w:p>
      <w:pPr>
        <w:ind w:left="1" w:right="200"/>
        <w:spacing w:after="0" w:line="283" w:lineRule="auto"/>
        <w:rPr>
          <w:sz w:val="20"/>
          <w:szCs w:val="20"/>
          <w:color w:val="auto"/>
        </w:rPr>
      </w:pPr>
      <w:r>
        <w:rPr>
          <w:rFonts w:ascii="Arial" w:cs="Arial" w:eastAsia="Arial" w:hAnsi="Arial"/>
          <w:sz w:val="13"/>
          <w:szCs w:val="13"/>
          <w:b w:val="1"/>
          <w:bCs w:val="1"/>
          <w:color w:val="auto"/>
        </w:rPr>
        <w:t xml:space="preserve">6.7 Certain Other Distributions. </w:t>
      </w:r>
      <w:r>
        <w:rPr>
          <w:rFonts w:ascii="Arial" w:cs="Arial" w:eastAsia="Arial" w:hAnsi="Arial"/>
          <w:sz w:val="13"/>
          <w:szCs w:val="13"/>
          <w:color w:val="auto"/>
        </w:rPr>
        <w:t>In addition to the distributions provided for in the preceding sections of this Article 6, the committee may provide for a distribution from a participant’s account under the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circumstances:</w:t>
      </w:r>
    </w:p>
    <w:p>
      <w:pPr>
        <w:spacing w:after="0" w:line="45" w:lineRule="exact"/>
        <w:rPr>
          <w:sz w:val="20"/>
          <w:szCs w:val="20"/>
          <w:color w:val="auto"/>
        </w:rPr>
      </w:pPr>
    </w:p>
    <w:p>
      <w:pPr>
        <w:ind w:left="1" w:right="660" w:firstLine="162"/>
        <w:spacing w:after="0" w:line="276" w:lineRule="auto"/>
        <w:tabs>
          <w:tab w:leader="none" w:pos="343"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Domestic Relations Order</w:t>
      </w:r>
      <w:r>
        <w:rPr>
          <w:rFonts w:ascii="Arial" w:cs="Arial" w:eastAsia="Arial" w:hAnsi="Arial"/>
          <w:sz w:val="13"/>
          <w:szCs w:val="13"/>
          <w:color w:val="auto"/>
        </w:rPr>
        <w:t>. Distribution of the amount necessary to fulfill the requirements of a domestic relations order (as defined in Code Section 414(p)) requiring the payment of all or a portion of participant’s account to another individual (see Section 7.3(b)).</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22" w:name="page223"/>
    <w:bookmarkEnd w:id="222"/>
    <w:p>
      <w:pPr>
        <w:ind w:firstLine="162"/>
        <w:spacing w:after="0" w:line="276" w:lineRule="auto"/>
        <w:tabs>
          <w:tab w:leader="none" w:pos="349"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Conflicts of Interest</w:t>
      </w:r>
      <w:r>
        <w:rPr>
          <w:rFonts w:ascii="Arial" w:cs="Arial" w:eastAsia="Arial" w:hAnsi="Arial"/>
          <w:sz w:val="13"/>
          <w:szCs w:val="13"/>
          <w:color w:val="auto"/>
        </w:rPr>
        <w:t>. Distribution to the extent reasonably necessary to comply with a federal government ethics agreement or a federal, state, local or foreign ethics or conflicts of interest law (as described in the regulations under Code Section 409A.</w:t>
      </w:r>
    </w:p>
    <w:p>
      <w:pPr>
        <w:spacing w:after="0" w:line="49" w:lineRule="exact"/>
        <w:rPr>
          <w:rFonts w:ascii="Arial" w:cs="Arial" w:eastAsia="Arial" w:hAnsi="Arial"/>
          <w:sz w:val="13"/>
          <w:szCs w:val="13"/>
          <w:color w:val="auto"/>
        </w:rPr>
      </w:pPr>
    </w:p>
    <w:p>
      <w:pPr>
        <w:ind w:right="140" w:firstLine="162"/>
        <w:spacing w:after="0" w:line="264" w:lineRule="auto"/>
        <w:tabs>
          <w:tab w:leader="none" w:pos="342"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Violation of Code Section 409A</w:t>
      </w:r>
      <w:r>
        <w:rPr>
          <w:rFonts w:ascii="Arial" w:cs="Arial" w:eastAsia="Arial" w:hAnsi="Arial"/>
          <w:sz w:val="13"/>
          <w:szCs w:val="13"/>
          <w:color w:val="auto"/>
        </w:rPr>
        <w:t>. In the event that, notwithstanding the intent that this plan satisfy in form and operation the requirements of Code Section 409A, it is determined that the requirements of Code Section 409A have been violated with respect to any participant or group of participants, distribution of the amount determined to be includable in taxable income of such participant or participants as a result of such violation of Code Section 409A.</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Other Circumstances</w:t>
      </w:r>
      <w:r>
        <w:rPr>
          <w:rFonts w:ascii="Arial" w:cs="Arial" w:eastAsia="Arial" w:hAnsi="Arial"/>
          <w:sz w:val="13"/>
          <w:szCs w:val="13"/>
          <w:color w:val="auto"/>
        </w:rPr>
        <w:t>. Distribution of any amount specifically permitted by Code Section 409A and the regulations thereunder.</w:t>
      </w:r>
    </w:p>
    <w:p>
      <w:pPr>
        <w:spacing w:after="0" w:line="82" w:lineRule="exact"/>
        <w:rPr>
          <w:sz w:val="20"/>
          <w:szCs w:val="20"/>
          <w:color w:val="auto"/>
        </w:rPr>
      </w:pPr>
    </w:p>
    <w:p>
      <w:pPr>
        <w:ind w:right="260"/>
        <w:spacing w:after="0" w:line="267" w:lineRule="auto"/>
        <w:rPr>
          <w:sz w:val="20"/>
          <w:szCs w:val="20"/>
          <w:color w:val="auto"/>
        </w:rPr>
      </w:pPr>
      <w:r>
        <w:rPr>
          <w:rFonts w:ascii="Arial" w:cs="Arial" w:eastAsia="Arial" w:hAnsi="Arial"/>
          <w:sz w:val="13"/>
          <w:szCs w:val="13"/>
          <w:b w:val="1"/>
          <w:bCs w:val="1"/>
          <w:color w:val="auto"/>
        </w:rPr>
        <w:t xml:space="preserve">6.8 Delay in Distributions. </w:t>
      </w:r>
      <w:r>
        <w:rPr>
          <w:rFonts w:ascii="Arial" w:cs="Arial" w:eastAsia="Arial" w:hAnsi="Arial"/>
          <w:sz w:val="13"/>
          <w:szCs w:val="13"/>
          <w:color w:val="auto"/>
        </w:rPr>
        <w:t>Notwithstanding the provisions of any of the foregoing sections in this Article 6, the committee may delay the making of any payment to a subsequent date, provided that the delayed</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is made not later than the latest time permitted under Code Section 409A and the regulations and rulings thereunder (generally, the later of the end of the calendar year in which the specified payment date occurs or the 15</w:t>
      </w:r>
      <w:r>
        <w:rPr>
          <w:rFonts w:ascii="Arial" w:cs="Arial" w:eastAsia="Arial" w:hAnsi="Arial"/>
          <w:sz w:val="11"/>
          <w:szCs w:val="11"/>
          <w:color w:val="auto"/>
        </w:rPr>
        <w:t>th</w:t>
      </w:r>
      <w:r>
        <w:rPr>
          <w:rFonts w:ascii="Arial" w:cs="Arial" w:eastAsia="Arial" w:hAnsi="Arial"/>
          <w:sz w:val="13"/>
          <w:szCs w:val="13"/>
          <w:color w:val="auto"/>
        </w:rPr>
        <w:t xml:space="preserve"> day of the third month after the specified payment date).</w:t>
      </w:r>
    </w:p>
    <w:p>
      <w:pPr>
        <w:spacing w:after="0" w:line="52" w:lineRule="exact"/>
        <w:rPr>
          <w:sz w:val="20"/>
          <w:szCs w:val="20"/>
          <w:color w:val="auto"/>
        </w:rPr>
      </w:pPr>
    </w:p>
    <w:p>
      <w:pPr>
        <w:spacing w:after="0" w:line="267" w:lineRule="auto"/>
        <w:rPr>
          <w:sz w:val="20"/>
          <w:szCs w:val="20"/>
          <w:color w:val="auto"/>
        </w:rPr>
      </w:pPr>
      <w:r>
        <w:rPr>
          <w:rFonts w:ascii="Arial" w:cs="Arial" w:eastAsia="Arial" w:hAnsi="Arial"/>
          <w:sz w:val="13"/>
          <w:szCs w:val="13"/>
          <w:b w:val="1"/>
          <w:bCs w:val="1"/>
          <w:color w:val="auto"/>
        </w:rPr>
        <w:t xml:space="preserve">6.9 Compliance with Code Section 409A. </w:t>
      </w:r>
      <w:r>
        <w:rPr>
          <w:rFonts w:ascii="Arial" w:cs="Arial" w:eastAsia="Arial" w:hAnsi="Arial"/>
          <w:sz w:val="13"/>
          <w:szCs w:val="13"/>
          <w:color w:val="auto"/>
        </w:rPr>
        <w:t>Notwithstanding any other provision of this plan (including, without limitation, Section 6.7(c)), distributions and elections respecting distributions are intended to be and will</w:t>
      </w:r>
      <w:r>
        <w:rPr>
          <w:rFonts w:ascii="Arial" w:cs="Arial" w:eastAsia="Arial" w:hAnsi="Arial"/>
          <w:sz w:val="13"/>
          <w:szCs w:val="13"/>
          <w:b w:val="1"/>
          <w:bCs w:val="1"/>
          <w:color w:val="auto"/>
        </w:rPr>
        <w:t xml:space="preserve"> </w:t>
      </w:r>
      <w:r>
        <w:rPr>
          <w:rFonts w:ascii="Arial" w:cs="Arial" w:eastAsia="Arial" w:hAnsi="Arial"/>
          <w:sz w:val="13"/>
          <w:szCs w:val="13"/>
          <w:color w:val="auto"/>
        </w:rPr>
        <w:t>be administered in accordance with the provisions of Code Section 409A and the regulations and rulings thereunder (including the provisions prohibiting acceleration of payment unless specifically permitted by such regulations and rulings).</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7</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MISCELLANEOUS</w:t>
      </w:r>
    </w:p>
    <w:p>
      <w:pPr>
        <w:spacing w:after="0" w:line="75"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b w:val="1"/>
          <w:bCs w:val="1"/>
          <w:color w:val="auto"/>
        </w:rPr>
        <w:t xml:space="preserve">7.1 Amendment or Termination of Plan. </w:t>
      </w:r>
      <w:r>
        <w:rPr>
          <w:rFonts w:ascii="Arial" w:cs="Arial" w:eastAsia="Arial" w:hAnsi="Arial"/>
          <w:sz w:val="13"/>
          <w:szCs w:val="13"/>
          <w:color w:val="auto"/>
        </w:rPr>
        <w:t>Biogen Idec, by action of the Board or of the Compensation Committee (or such committee thereof or officer or officers of Biogen Idec to whom the Board has delegated this</w:t>
      </w:r>
      <w:r>
        <w:rPr>
          <w:rFonts w:ascii="Arial" w:cs="Arial" w:eastAsia="Arial" w:hAnsi="Arial"/>
          <w:sz w:val="13"/>
          <w:szCs w:val="13"/>
          <w:b w:val="1"/>
          <w:bCs w:val="1"/>
          <w:color w:val="auto"/>
        </w:rPr>
        <w:t xml:space="preserve"> </w:t>
      </w:r>
      <w:r>
        <w:rPr>
          <w:rFonts w:ascii="Arial" w:cs="Arial" w:eastAsia="Arial" w:hAnsi="Arial"/>
          <w:sz w:val="13"/>
          <w:szCs w:val="13"/>
          <w:color w:val="auto"/>
        </w:rPr>
        <w:t>authority), at any time and from time to time, may amend or modify any or all of the provisions of this plan or may terminate this plan without the consent of any participant (or beneficiary or other person claiming through a participant). In addition, any amendment may be made by the committee, or the Executive Vice President — Chief Financial Officer, or the Executive Vice President — Human Resources of Biogen Idec except for an amendment that would materially increase or reduce the benefits of the plan to participants or materially increase the cost of maintaining the plan to Biogen Idec; such committee or specified officers may not terminate the plan.</w:t>
      </w:r>
    </w:p>
    <w:p>
      <w:pPr>
        <w:spacing w:after="0" w:line="59" w:lineRule="exact"/>
        <w:rPr>
          <w:sz w:val="20"/>
          <w:szCs w:val="20"/>
          <w:color w:val="auto"/>
        </w:rPr>
      </w:pPr>
    </w:p>
    <w:p>
      <w:pPr>
        <w:ind w:right="20" w:firstLine="164"/>
        <w:spacing w:after="0" w:line="280" w:lineRule="auto"/>
        <w:rPr>
          <w:sz w:val="20"/>
          <w:szCs w:val="20"/>
          <w:color w:val="auto"/>
        </w:rPr>
      </w:pPr>
      <w:r>
        <w:rPr>
          <w:rFonts w:ascii="Arial" w:cs="Arial" w:eastAsia="Arial" w:hAnsi="Arial"/>
          <w:sz w:val="12"/>
          <w:szCs w:val="12"/>
          <w:color w:val="auto"/>
        </w:rPr>
        <w:t>No termination or amendment of the plan may reduce the amount credited to the account of any participant under the plan (including a participant whose service as a director terminated before such plan termination or amendment). However, Biogen Idec may change the deemed investment options under Section 5.1(b), and Biogen Idec may upon termination of this plan pay participants’ account balances to the participants regardless of the times elected for payment (or the start of installment payments) elected by the participants and may pay such amounts in single sum payments regardless of whether installment distributions would otherwise be payable under Section 6.6; provided that any such distributions upon plan termination must be permitted by Code Section 409A and the regulations and rulings thereunder. In addition, Biogen Idec may, from time to time, make any amendment that it deems necessary or desirable to satisfy the applicable requirements of the tax laws and rulings and regulations thereunder in order to preserve, if possible, the tax deferral features of this plan for participants. No diminution or restriction on a participant’s opportunity to make elections or withdrawals, or exercise other privileges or rights hereunder pursuant to the preceding sentence will be deemed to violate the rights of any participant or beneficiary hereunder so long as such change does not render a participant’s account balance forfeitable. Any amendment that is required by Code Section 409A and the regulations and rulings thereunder to have a delayed effective date will be effective no earlier than such required date.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23" w:name="page224"/>
    <w:bookmarkEnd w:id="223"/>
    <w:p>
      <w:pPr>
        <w:spacing w:after="0"/>
        <w:rPr>
          <w:sz w:val="20"/>
          <w:szCs w:val="20"/>
          <w:color w:val="auto"/>
        </w:rPr>
      </w:pPr>
      <w:r>
        <w:rPr>
          <w:rFonts w:ascii="Arial" w:cs="Arial" w:eastAsia="Arial" w:hAnsi="Arial"/>
          <w:sz w:val="13"/>
          <w:szCs w:val="13"/>
          <w:b w:val="1"/>
          <w:bCs w:val="1"/>
          <w:color w:val="auto"/>
        </w:rPr>
        <w:t>7.2 Benefits Not Currently Funded.</w:t>
      </w:r>
    </w:p>
    <w:p>
      <w:pPr>
        <w:spacing w:after="0" w:line="90" w:lineRule="exact"/>
        <w:rPr>
          <w:sz w:val="20"/>
          <w:szCs w:val="20"/>
          <w:color w:val="auto"/>
        </w:rPr>
      </w:pPr>
    </w:p>
    <w:p>
      <w:pPr>
        <w:ind w:right="120" w:firstLine="162"/>
        <w:spacing w:after="0" w:line="289" w:lineRule="auto"/>
        <w:tabs>
          <w:tab w:leader="none" w:pos="342" w:val="left"/>
        </w:tabs>
        <w:numPr>
          <w:ilvl w:val="0"/>
          <w:numId w:val="128"/>
        </w:numPr>
        <w:rPr>
          <w:rFonts w:ascii="Arial" w:cs="Arial" w:eastAsia="Arial" w:hAnsi="Arial"/>
          <w:sz w:val="12"/>
          <w:szCs w:val="12"/>
          <w:color w:val="auto"/>
        </w:rPr>
      </w:pPr>
      <w:r>
        <w:rPr>
          <w:rFonts w:ascii="Arial" w:cs="Arial" w:eastAsia="Arial" w:hAnsi="Arial"/>
          <w:sz w:val="12"/>
          <w:szCs w:val="12"/>
          <w:color w:val="auto"/>
        </w:rPr>
        <w:t>Nothing in this plan will be construed to create a trust or to obligate Biogen Idec to segregate a fund, purchase an insurance contract or other investment, or in any other way currently to fund the future payment of any benefits hereunder, nor will anything herein be construed to give any participant or any other person rights to any specific assets of Biogen Idec or any other entity. However, in order to make provision for its obligations hereunder, Biogen Idec may in its discretion purchase an insurance contract or other investment; any such contract or investment will be a general asset belonging to Biogen Idec, and no participant or beneficiary will have any rights to any such asset. The rights of a participant or beneficiary hereunder will be solely those of a general, unsecured creditor of Biogen Idec.</w:t>
      </w:r>
    </w:p>
    <w:p>
      <w:pPr>
        <w:spacing w:after="0" w:line="43" w:lineRule="exact"/>
        <w:rPr>
          <w:rFonts w:ascii="Arial" w:cs="Arial" w:eastAsia="Arial" w:hAnsi="Arial"/>
          <w:sz w:val="12"/>
          <w:szCs w:val="12"/>
          <w:color w:val="auto"/>
        </w:rPr>
      </w:pPr>
    </w:p>
    <w:p>
      <w:pPr>
        <w:ind w:right="120" w:firstLine="162"/>
        <w:spacing w:after="0" w:line="289" w:lineRule="auto"/>
        <w:tabs>
          <w:tab w:leader="none" w:pos="349" w:val="left"/>
        </w:tabs>
        <w:numPr>
          <w:ilvl w:val="0"/>
          <w:numId w:val="128"/>
        </w:numPr>
        <w:rPr>
          <w:rFonts w:ascii="Arial" w:cs="Arial" w:eastAsia="Arial" w:hAnsi="Arial"/>
          <w:sz w:val="12"/>
          <w:szCs w:val="12"/>
          <w:color w:val="auto"/>
        </w:rPr>
      </w:pPr>
      <w:r>
        <w:rPr>
          <w:rFonts w:ascii="Arial" w:cs="Arial" w:eastAsia="Arial" w:hAnsi="Arial"/>
          <w:sz w:val="12"/>
          <w:szCs w:val="12"/>
          <w:color w:val="auto"/>
        </w:rPr>
        <w:t>Notwithstanding subsection (a) above, Biogen Idec in its sole discretion may establish a grantor trust of which it is treated as the owner under Code Section 671 to provide for the payment of benefits hereunder, subject to such terms and conditions as Biogen Idec may deem necessary or advisable to ensure that trust assets and benefit payments hereunder are not includable, by reason of the trust, in the taxable income of trust beneficiaries before actual distribution and that the existence of the trust does not cause the plan or any other arrangement to be considered funded for purposes of Title I of the Employee Retirement Income Security Act of 1974, as amended (“ERISA”) or for purposes of the Internal Revenue Code of 1986, as amended. Biogen Idec may terminate any such trust in accordance with its terms.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7.3 No Assignment.</w:t>
      </w:r>
    </w:p>
    <w:p>
      <w:pPr>
        <w:spacing w:after="0" w:line="90" w:lineRule="exact"/>
        <w:rPr>
          <w:sz w:val="20"/>
          <w:szCs w:val="20"/>
          <w:color w:val="auto"/>
        </w:rPr>
      </w:pPr>
    </w:p>
    <w:p>
      <w:pPr>
        <w:ind w:right="100" w:firstLine="162"/>
        <w:spacing w:after="0" w:line="264" w:lineRule="auto"/>
        <w:tabs>
          <w:tab w:leader="none" w:pos="342" w:val="left"/>
        </w:tabs>
        <w:numPr>
          <w:ilvl w:val="0"/>
          <w:numId w:val="129"/>
        </w:numPr>
        <w:rPr>
          <w:rFonts w:ascii="Arial" w:cs="Arial" w:eastAsia="Arial" w:hAnsi="Arial"/>
          <w:sz w:val="13"/>
          <w:szCs w:val="13"/>
          <w:color w:val="auto"/>
        </w:rPr>
      </w:pPr>
      <w:r>
        <w:rPr>
          <w:rFonts w:ascii="Arial" w:cs="Arial" w:eastAsia="Arial" w:hAnsi="Arial"/>
          <w:sz w:val="13"/>
          <w:szCs w:val="13"/>
          <w:color w:val="auto"/>
        </w:rPr>
        <w:t>No participant or beneficiary will have any power or right to transfer, assign, anticipate or otherwise encumber any benefit or amount payable under this plan, nor shall any such benefit or amount payable be subject to seizure or attachment by any creditor of a participant or a beneficiary, or to any other legal, equitable or other process, or be liable for, or subject to, the debts, liabilities or other obligations of a participant or beneficiary except as otherwise required by law.</w:t>
      </w:r>
    </w:p>
    <w:p>
      <w:pPr>
        <w:spacing w:after="0" w:line="57" w:lineRule="exact"/>
        <w:rPr>
          <w:rFonts w:ascii="Arial" w:cs="Arial" w:eastAsia="Arial" w:hAnsi="Arial"/>
          <w:sz w:val="13"/>
          <w:szCs w:val="13"/>
          <w:color w:val="auto"/>
        </w:rPr>
      </w:pPr>
    </w:p>
    <w:p>
      <w:pPr>
        <w:ind w:right="40" w:firstLine="162"/>
        <w:spacing w:after="0" w:line="282" w:lineRule="auto"/>
        <w:tabs>
          <w:tab w:leader="none" w:pos="349" w:val="left"/>
        </w:tabs>
        <w:numPr>
          <w:ilvl w:val="0"/>
          <w:numId w:val="129"/>
        </w:numPr>
        <w:rPr>
          <w:rFonts w:ascii="Arial" w:cs="Arial" w:eastAsia="Arial" w:hAnsi="Arial"/>
          <w:sz w:val="12"/>
          <w:szCs w:val="12"/>
          <w:color w:val="auto"/>
        </w:rPr>
      </w:pPr>
      <w:r>
        <w:rPr>
          <w:rFonts w:ascii="Arial" w:cs="Arial" w:eastAsia="Arial" w:hAnsi="Arial"/>
          <w:sz w:val="12"/>
          <w:szCs w:val="12"/>
          <w:color w:val="auto"/>
        </w:rPr>
        <w:t>Notwithstanding subsection (a) above, all or a portion of a participant’s account balance may be assigned to the participant’s spouse, former spouse, or other dependent (for purposes of this section, an “alternate recipient”) in connection with a domestic relations order (as defined in Code Section 414(p)) awarding such portion to the alternate recipient. However, no such order may award an alternate recipient greater rights than the participant has with respect to his account. Upon receipt of a copy of the relevant provisions of any such order or property settlement agreement, certified to be accurate and in effect by the participant, and an acknowledgment by the alternate recipient that such alternate recipient will be responsible for income taxes on such amounts when distributed or made available to such alternate recipient and that such amounts are subject to income tax withholding as provided in this plan, and such other information (including the alternate recipient’s social security number) as the committee may reasonably request, the committee will assign such amount to a separate account hereunder and will distribute such account to the alternate recipient at the time specified under the domestic relations order.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7.4 Effect of Change in Control.</w:t>
      </w:r>
    </w:p>
    <w:p>
      <w:pPr>
        <w:spacing w:after="0" w:line="90" w:lineRule="exact"/>
        <w:rPr>
          <w:sz w:val="20"/>
          <w:szCs w:val="20"/>
          <w:color w:val="auto"/>
        </w:rPr>
      </w:pPr>
    </w:p>
    <w:p>
      <w:pPr>
        <w:ind w:firstLine="162"/>
        <w:spacing w:after="0" w:line="255" w:lineRule="auto"/>
        <w:tabs>
          <w:tab w:leader="none" w:pos="342"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Amendments</w:t>
      </w:r>
      <w:r>
        <w:rPr>
          <w:rFonts w:ascii="Arial" w:cs="Arial" w:eastAsia="Arial" w:hAnsi="Arial"/>
          <w:sz w:val="13"/>
          <w:szCs w:val="13"/>
          <w:color w:val="auto"/>
        </w:rPr>
        <w:t>. Notwithstanding Section 7.1, following the occurrence of a change in control (as defined in Section 2.3(a)): No amendment will be made following a change in control without the consent of the affected participant (or beneficiary or other person claiming through a participant) that adversely affects the rights of a participant (or beneficiary or other person claiming through a participant) under the plan as in effect immediately before such change in control, including (i) the right to make elections concerning the form and time of payment of distributions in accordance with Section 4.2(b) and the right to receive distributions in the form elected by the participant thereunder; and (ii) the right to the investment funds or options specified herein for the determination of deemed investment results applicable to participants’ accounts, as in effect immediately before such change in control. In particular, for purposes of clause (ii) of the preceding sentence (i) the committee may not set the rate of return of the fixed income option under Section 5.1(b) at a rate lower than that available under life insurance or annuity contracts obtained by a vendor or service provider (currently, The Todd Organization) for purposes of the plan; and (ii) the committee will maintain a menu of investment funds under Section 5.1(b) that is substantially similar (in terms of investment styles and ability to position an account on a risk/reward spectrum) to the array of funds available immediately prior to the change in control.</w:t>
      </w:r>
    </w:p>
    <w:p>
      <w:pPr>
        <w:spacing w:after="0" w:line="66" w:lineRule="exact"/>
        <w:rPr>
          <w:rFonts w:ascii="Arial" w:cs="Arial" w:eastAsia="Arial" w:hAnsi="Arial"/>
          <w:sz w:val="13"/>
          <w:szCs w:val="13"/>
          <w:color w:val="auto"/>
        </w:rPr>
      </w:pPr>
    </w:p>
    <w:p>
      <w:pPr>
        <w:ind w:right="100" w:firstLine="162"/>
        <w:spacing w:after="0" w:line="276" w:lineRule="auto"/>
        <w:tabs>
          <w:tab w:leader="none" w:pos="349"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xml:space="preserve"> The plan will not be terminated before the payment of all benefits hereunder in accordance with the terms of the plan as in effect immediately before such change in control without the consent of a majority of the participants (including, in the case of the deceased participant, the beneficiary or other person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24" w:name="page225"/>
    <w:bookmarkEnd w:id="224"/>
    <w:p>
      <w:pPr>
        <w:ind w:right="260"/>
        <w:spacing w:after="0" w:line="276" w:lineRule="auto"/>
        <w:rPr>
          <w:sz w:val="20"/>
          <w:szCs w:val="20"/>
          <w:color w:val="auto"/>
        </w:rPr>
      </w:pPr>
      <w:r>
        <w:rPr>
          <w:rFonts w:ascii="Arial" w:cs="Arial" w:eastAsia="Arial" w:hAnsi="Arial"/>
          <w:sz w:val="13"/>
          <w:szCs w:val="13"/>
          <w:color w:val="auto"/>
        </w:rPr>
        <w:t>claiming through such deceased participant). This subsection (b) will not preclude the merger of this plan into a nonqualified deferred compensation plan maintained by a successor to Biogen Idec provided that the benefits and rights of participants hereunder (including this Section 7.4) are preserved in such successor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(c) </w:t>
      </w:r>
      <w:r>
        <w:rPr>
          <w:rFonts w:ascii="Arial" w:cs="Arial" w:eastAsia="Arial" w:hAnsi="Arial"/>
          <w:sz w:val="13"/>
          <w:szCs w:val="13"/>
          <w:u w:val="single" w:color="auto"/>
          <w:color w:val="auto"/>
        </w:rPr>
        <w:t>Effective Date.</w:t>
      </w:r>
      <w:r>
        <w:rPr>
          <w:rFonts w:ascii="Arial" w:cs="Arial" w:eastAsia="Arial" w:hAnsi="Arial"/>
          <w:sz w:val="13"/>
          <w:szCs w:val="13"/>
          <w:color w:val="auto"/>
        </w:rPr>
        <w:t xml:space="preserve"> This Section 7.4 is effective as of the date of execution of this amended and restated plan document.</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color w:val="auto"/>
        </w:rPr>
        <w:t xml:space="preserve">7.5 Responsibilities and Authority of Committee. </w:t>
      </w:r>
      <w:r>
        <w:rPr>
          <w:rFonts w:ascii="Arial" w:cs="Arial" w:eastAsia="Arial" w:hAnsi="Arial"/>
          <w:sz w:val="13"/>
          <w:szCs w:val="13"/>
          <w:color w:val="auto"/>
        </w:rPr>
        <w:t>The committee will control and manage the operation and administration of the plan except to the extent that such responsibilities are specifically assigned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to Biogen Idec, the Board, the Compensation Committee (or a delegatee of the Board or the Compensation Committee).</w:t>
      </w:r>
    </w:p>
    <w:p>
      <w:pPr>
        <w:spacing w:after="0" w:line="45"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The committee will have all powers and authority necessary or appropriate to carry out its responsibilities for the operation and administration of the plan. It will have discretionary authority to interpret and apply all plan provisions and to correct any defect, supply any omission or reconcile any inconsistency or ambiguity in such manner as it deems advisable. It will make all final determinations concerning eligibility, benefits and rights hereunder, and all other matters concerning plan administration and interpretation. All determinations and actions of the committee will be conclusive and binding upon all persons, except as otherwise provided herein or by law, and except that the committee may revoke or modify a determination or action previously made in error. It is intended that any action or inaction by the committee will be given the maximum possible deference by any reviewing body (whether a court or other reviewing body), and will be reversed by such reviewing court or other body only if found to be arbitrary and capricious.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Biogen Idec will be the “plan administrator” and the “named fiduciary” for purposes of ERISA.</w:t>
      </w:r>
    </w:p>
    <w:p>
      <w:pPr>
        <w:spacing w:after="0" w:line="82" w:lineRule="exact"/>
        <w:rPr>
          <w:sz w:val="20"/>
          <w:szCs w:val="20"/>
          <w:color w:val="auto"/>
        </w:rPr>
      </w:pPr>
    </w:p>
    <w:p>
      <w:pPr>
        <w:ind w:right="460"/>
        <w:spacing w:after="0" w:line="283" w:lineRule="auto"/>
        <w:rPr>
          <w:sz w:val="20"/>
          <w:szCs w:val="20"/>
          <w:color w:val="auto"/>
        </w:rPr>
      </w:pPr>
      <w:r>
        <w:rPr>
          <w:rFonts w:ascii="Arial" w:cs="Arial" w:eastAsia="Arial" w:hAnsi="Arial"/>
          <w:sz w:val="13"/>
          <w:szCs w:val="13"/>
          <w:b w:val="1"/>
          <w:bCs w:val="1"/>
          <w:color w:val="auto"/>
        </w:rPr>
        <w:t xml:space="preserve">7.6 Limitation on Rights Created by Plan. </w:t>
      </w:r>
      <w:r>
        <w:rPr>
          <w:rFonts w:ascii="Arial" w:cs="Arial" w:eastAsia="Arial" w:hAnsi="Arial"/>
          <w:sz w:val="13"/>
          <w:szCs w:val="13"/>
          <w:color w:val="auto"/>
        </w:rPr>
        <w:t>Nothing appearing in the plan will be construed (a) to give any person any benefit, right or interest except as expressly provided herein, or (b) to create a contract of</w:t>
      </w:r>
      <w:r>
        <w:rPr>
          <w:rFonts w:ascii="Arial" w:cs="Arial" w:eastAsia="Arial" w:hAnsi="Arial"/>
          <w:sz w:val="13"/>
          <w:szCs w:val="13"/>
          <w:b w:val="1"/>
          <w:bCs w:val="1"/>
          <w:color w:val="auto"/>
        </w:rPr>
        <w:t xml:space="preserve"> </w:t>
      </w:r>
      <w:r>
        <w:rPr>
          <w:rFonts w:ascii="Arial" w:cs="Arial" w:eastAsia="Arial" w:hAnsi="Arial"/>
          <w:sz w:val="13"/>
          <w:szCs w:val="13"/>
          <w:color w:val="auto"/>
        </w:rPr>
        <w:t>employment or to give any director the right to continue in such capacity or to affect or modify the terms of his service as a director in any way.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7.7 Tax Withholding. </w:t>
      </w:r>
      <w:r>
        <w:rPr>
          <w:rFonts w:ascii="Arial" w:cs="Arial" w:eastAsia="Arial" w:hAnsi="Arial"/>
          <w:sz w:val="13"/>
          <w:szCs w:val="13"/>
          <w:color w:val="auto"/>
        </w:rPr>
        <w:t>Any payment hereunder to a participant, beneficiary or alternate recipient will be subject to withholding of income and other taxes to the extent required by law.</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7.8 Text Controls. </w:t>
      </w:r>
      <w:r>
        <w:rPr>
          <w:rFonts w:ascii="Arial" w:cs="Arial" w:eastAsia="Arial" w:hAnsi="Arial"/>
          <w:sz w:val="13"/>
          <w:szCs w:val="13"/>
          <w:color w:val="auto"/>
        </w:rPr>
        <w:t>Headings and titles are for convenience only, and the text will control in all matters.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7.9 Applicable State Law. </w:t>
      </w:r>
      <w:r>
        <w:rPr>
          <w:rFonts w:ascii="Arial" w:cs="Arial" w:eastAsia="Arial" w:hAnsi="Arial"/>
          <w:sz w:val="13"/>
          <w:szCs w:val="13"/>
          <w:color w:val="auto"/>
        </w:rPr>
        <w:t>To the extent that state law applies, the provisions of the plan will be construed, enforced and administered according to the laws of the Commonwealth of Massachusetts.</w:t>
      </w:r>
    </w:p>
    <w:p>
      <w:pPr>
        <w:spacing w:after="0" w:line="86" w:lineRule="exact"/>
        <w:rPr>
          <w:sz w:val="20"/>
          <w:szCs w:val="20"/>
          <w:color w:val="auto"/>
        </w:rPr>
      </w:pPr>
    </w:p>
    <w:p>
      <w:pPr>
        <w:ind w:right="200"/>
        <w:spacing w:after="0" w:line="327" w:lineRule="auto"/>
        <w:rPr>
          <w:sz w:val="20"/>
          <w:szCs w:val="20"/>
          <w:color w:val="auto"/>
        </w:rPr>
      </w:pPr>
      <w:r>
        <w:rPr>
          <w:rFonts w:ascii="Arial" w:cs="Arial" w:eastAsia="Arial" w:hAnsi="Arial"/>
          <w:sz w:val="12"/>
          <w:szCs w:val="12"/>
          <w:b w:val="1"/>
          <w:bCs w:val="1"/>
          <w:color w:val="auto"/>
        </w:rPr>
        <w:t xml:space="preserve">7.10 Paperless Administration. </w:t>
      </w:r>
      <w:r>
        <w:rPr>
          <w:rFonts w:ascii="Arial" w:cs="Arial" w:eastAsia="Arial" w:hAnsi="Arial"/>
          <w:sz w:val="12"/>
          <w:szCs w:val="12"/>
          <w:color w:val="auto"/>
        </w:rPr>
        <w:t>The committee may establish procedures whereby an electronic, internet or voice recognized authorization or election will or may be utilized under the plan in lieu a written form or</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 otherwise required by the terms of the plan. In such event, any reference herein to a written election, authorization or other form shall be deemed to include such other authorization or election.</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w:t>
      </w:r>
    </w:p>
    <w:p>
      <w:pPr>
        <w:spacing w:after="0" w:line="165" w:lineRule="exact"/>
        <w:rPr>
          <w:sz w:val="20"/>
          <w:szCs w:val="20"/>
          <w:color w:val="auto"/>
        </w:rPr>
      </w:pPr>
    </w:p>
    <w:p>
      <w:pPr>
        <w:ind w:left="560"/>
        <w:spacing w:after="0"/>
        <w:tabs>
          <w:tab w:leader="none" w:pos="880" w:val="left"/>
        </w:tabs>
        <w:rPr>
          <w:sz w:val="20"/>
          <w:szCs w:val="20"/>
          <w:color w:val="auto"/>
        </w:rPr>
      </w:pPr>
      <w:r>
        <w:rPr>
          <w:rFonts w:ascii="Arial" w:cs="Arial" w:eastAsia="Arial" w:hAnsi="Arial"/>
          <w:sz w:val="13"/>
          <w:szCs w:val="13"/>
          <w:color w:val="auto"/>
        </w:rPr>
        <w:t>By:</w:t>
        <w:tab/>
        <w:t>/s/ Craig Schneier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10795</wp:posOffset>
            </wp:positionV>
            <wp:extent cx="22098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209800" cy="6350"/>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Craig Schneier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3"/>
          <w:szCs w:val="13"/>
          <w:color w:val="auto"/>
        </w:rPr>
        <w:t>EVP, HR, Public Affairs &amp; Communications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10/25/07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10795</wp:posOffset>
            </wp:positionV>
            <wp:extent cx="220980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09800" cy="635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3"/>
          <w:szCs w:val="13"/>
          <w:color w:val="auto"/>
        </w:rPr>
        <w:t>Dated: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25" w:name="page226"/>
    <w:bookmarkEnd w:id="225"/>
    <w:p>
      <w:pPr>
        <w:ind w:left="5340"/>
        <w:spacing w:after="0"/>
        <w:rPr>
          <w:sz w:val="20"/>
          <w:szCs w:val="20"/>
          <w:color w:val="auto"/>
        </w:rPr>
      </w:pPr>
      <w:r>
        <w:rPr>
          <w:rFonts w:ascii="Arial" w:cs="Arial" w:eastAsia="Arial" w:hAnsi="Arial"/>
          <w:sz w:val="13"/>
          <w:szCs w:val="13"/>
          <w:u w:val="single" w:color="auto"/>
          <w:color w:val="auto"/>
        </w:rPr>
        <w:t>APPENDIX A</w:t>
      </w:r>
    </w:p>
    <w:p>
      <w:pPr>
        <w:spacing w:after="0" w:line="86" w:lineRule="exact"/>
        <w:rPr>
          <w:sz w:val="20"/>
          <w:szCs w:val="20"/>
          <w:color w:val="auto"/>
        </w:rPr>
      </w:pPr>
    </w:p>
    <w:p>
      <w:pPr>
        <w:ind w:left="4760"/>
        <w:spacing w:after="0"/>
        <w:rPr>
          <w:sz w:val="20"/>
          <w:szCs w:val="20"/>
          <w:color w:val="auto"/>
        </w:rPr>
      </w:pPr>
      <w:r>
        <w:rPr>
          <w:rFonts w:ascii="Arial" w:cs="Arial" w:eastAsia="Arial" w:hAnsi="Arial"/>
          <w:sz w:val="13"/>
          <w:szCs w:val="13"/>
          <w:color w:val="auto"/>
        </w:rPr>
        <w:t>Historical Information; Amendments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A.1 </w:t>
      </w:r>
      <w:r>
        <w:rPr>
          <w:rFonts w:ascii="Arial" w:cs="Arial" w:eastAsia="Arial" w:hAnsi="Arial"/>
          <w:sz w:val="13"/>
          <w:szCs w:val="13"/>
          <w:b w:val="1"/>
          <w:bCs w:val="1"/>
          <w:color w:val="auto"/>
        </w:rPr>
        <w:t>Adoption of Plan Document.</w:t>
      </w:r>
      <w:r>
        <w:rPr>
          <w:rFonts w:ascii="Arial" w:cs="Arial" w:eastAsia="Arial" w:hAnsi="Arial"/>
          <w:sz w:val="13"/>
          <w:szCs w:val="13"/>
          <w:color w:val="auto"/>
        </w:rPr>
        <w:t xml:space="preserve"> This plan document was approved by the Board of Directors of the Corporation (Biogen Idec Inc.), effective as of January 1, 2004.</w:t>
      </w:r>
    </w:p>
    <w:p>
      <w:pPr>
        <w:spacing w:after="0" w:line="90"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By appropriate votes, the account balances of certain directors who previously were participants under the Biogen, Inc. Voluntary Board of Directors Savings Plan, maintained by Biogen, Inc. prior to the merger transaction, were transferred to and merged into this plan.</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A.2 </w:t>
      </w:r>
      <w:r>
        <w:rPr>
          <w:rFonts w:ascii="Arial" w:cs="Arial" w:eastAsia="Arial" w:hAnsi="Arial"/>
          <w:sz w:val="12"/>
          <w:szCs w:val="12"/>
          <w:b w:val="1"/>
          <w:bCs w:val="1"/>
          <w:color w:val="auto"/>
        </w:rPr>
        <w:t>2005 Amendment and Restatement.</w:t>
      </w:r>
      <w:r>
        <w:rPr>
          <w:rFonts w:ascii="Arial" w:cs="Arial" w:eastAsia="Arial" w:hAnsi="Arial"/>
          <w:sz w:val="12"/>
          <w:szCs w:val="12"/>
          <w:color w:val="auto"/>
        </w:rPr>
        <w:t xml:space="preserve"> The plan was amended and restated in its entirety, effective as of January 1, 2005 (except as otherwise specified), primarily to comply with the requirements of Code</w:t>
      </w:r>
    </w:p>
    <w:p>
      <w:pPr>
        <w:spacing w:after="0" w:line="31"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Section 409A and regulations thereunder. During the period from January 1, 2005 until the date of execution of this amended and restated plan document, the plan was interpreted and administered in accordance with a good faith interpretation of the requirements of Code Section 409A and applicable guidance of the Internal Revenue Service thereunder.</w:t>
      </w:r>
    </w:p>
    <w:p>
      <w:pPr>
        <w:spacing w:after="0" w:line="57"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The provisions herein relating to distributions and other changes upon the occurrence of a change in control (primarily Sections 2.3, 4.2(b), 6.3 and 7.4) are effective as of the date of execution of this amended and restated plan document. The provisions relating to the increase in the threshold for the payment of a lump sum in place of installments from $10,000 to the Code Section 402(g)(l)(B) and (g)(4) limit (the last sentence of Section 6.6(a)) are effective as of January 1, 2008.</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A-1</w:t>
      </w:r>
    </w:p>
    <w:p>
      <w:pPr>
        <w:sectPr>
          <w:pgSz w:w="11900" w:h="16838" w:orient="portrait"/>
          <w:cols w:equalWidth="0" w:num="1">
            <w:col w:w="11440"/>
          </w:cols>
          <w:pgMar w:left="220" w:top="740"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BIOGEN IDEC INC.</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list of subsidiaries of the Company as of December 31, 2007, omitting some subsidiaries which, considered in the aggregate, would not constitute a significant subsidiary.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4640" w:type="dxa"/>
            <w:vAlign w:val="bottom"/>
          </w:tcPr>
          <w:p>
            <w:pPr>
              <w:ind w:left="2680"/>
              <w:spacing w:after="0"/>
              <w:rPr>
                <w:sz w:val="20"/>
                <w:szCs w:val="20"/>
                <w:color w:val="auto"/>
              </w:rPr>
            </w:pPr>
            <w:r>
              <w:rPr>
                <w:rFonts w:ascii="Arial" w:cs="Arial" w:eastAsia="Arial" w:hAnsi="Arial"/>
                <w:sz w:val="10"/>
                <w:szCs w:val="10"/>
                <w:b w:val="1"/>
                <w:bCs w:val="1"/>
                <w:color w:val="auto"/>
              </w:rPr>
              <w:t>STATE OR OTHER JURISDICTION OF</w:t>
            </w:r>
          </w:p>
        </w:tc>
        <w:tc>
          <w:tcPr>
            <w:tcW w:w="0" w:type="dxa"/>
            <w:vAlign w:val="bottom"/>
          </w:tcPr>
          <w:p>
            <w:pPr>
              <w:spacing w:after="0"/>
              <w:rPr>
                <w:sz w:val="1"/>
                <w:szCs w:val="1"/>
                <w:color w:val="auto"/>
              </w:rPr>
            </w:pPr>
          </w:p>
        </w:tc>
      </w:tr>
      <w:tr>
        <w:trPr>
          <w:trHeight w:val="135"/>
        </w:trPr>
        <w:tc>
          <w:tcPr>
            <w:tcW w:w="6500" w:type="dxa"/>
            <w:vAlign w:val="bottom"/>
            <w:vMerge w:val="continue"/>
          </w:tcPr>
          <w:p>
            <w:pPr>
              <w:spacing w:after="0"/>
              <w:rPr>
                <w:sz w:val="11"/>
                <w:szCs w:val="11"/>
                <w:color w:val="auto"/>
              </w:rPr>
            </w:pPr>
          </w:p>
        </w:tc>
        <w:tc>
          <w:tcPr>
            <w:tcW w:w="4640" w:type="dxa"/>
            <w:vAlign w:val="bottom"/>
          </w:tcPr>
          <w:p>
            <w:pPr>
              <w:ind w:left="2680"/>
              <w:spacing w:after="0"/>
              <w:rPr>
                <w:sz w:val="20"/>
                <w:szCs w:val="20"/>
                <w:color w:val="auto"/>
              </w:rPr>
            </w:pPr>
            <w:r>
              <w:rPr>
                <w:rFonts w:ascii="Arial" w:cs="Arial" w:eastAsia="Arial" w:hAnsi="Arial"/>
                <w:sz w:val="10"/>
                <w:szCs w:val="10"/>
                <w:b w:val="1"/>
                <w:bCs w:val="1"/>
                <w:color w:val="auto"/>
              </w:rPr>
              <w:t>INCORPORATION OR ORGANIZATION</w:t>
            </w:r>
          </w:p>
        </w:tc>
        <w:tc>
          <w:tcPr>
            <w:tcW w:w="0" w:type="dxa"/>
            <w:vAlign w:val="bottom"/>
          </w:tcPr>
          <w:p>
            <w:pPr>
              <w:spacing w:after="0"/>
              <w:rPr>
                <w:sz w:val="1"/>
                <w:szCs w:val="1"/>
                <w:color w:val="auto"/>
              </w:rPr>
            </w:pPr>
          </w:p>
        </w:tc>
      </w:tr>
      <w:tr>
        <w:trPr>
          <w:trHeight w:val="295"/>
        </w:trPr>
        <w:tc>
          <w:tcPr>
            <w:tcW w:w="6500" w:type="dxa"/>
            <w:vAlign w:val="bottom"/>
          </w:tcPr>
          <w:p>
            <w:pPr>
              <w:spacing w:after="0"/>
              <w:rPr>
                <w:sz w:val="20"/>
                <w:szCs w:val="20"/>
                <w:color w:val="auto"/>
              </w:rPr>
            </w:pPr>
            <w:r>
              <w:rPr>
                <w:rFonts w:ascii="Arial" w:cs="Arial" w:eastAsia="Arial" w:hAnsi="Arial"/>
                <w:sz w:val="13"/>
                <w:szCs w:val="13"/>
                <w:color w:val="auto"/>
              </w:rPr>
              <w:t>Biogen Idec MA Inc.</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Holding I Inc.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Holding II Inc.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Realty Corporation</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Realty Limited Partnership</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U.S. Corporation</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U.S. Limited Partnership</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Realty LLC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The Biogen Idec Foundation Inc.</w:t>
            </w:r>
          </w:p>
        </w:tc>
        <w:tc>
          <w:tcPr>
            <w:tcW w:w="4640" w:type="dxa"/>
            <w:vAlign w:val="bottom"/>
          </w:tcPr>
          <w:p>
            <w:pPr>
              <w:ind w:left="2680"/>
              <w:spacing w:after="0"/>
              <w:rPr>
                <w:sz w:val="20"/>
                <w:szCs w:val="20"/>
                <w:color w:val="auto"/>
              </w:rPr>
            </w:pPr>
            <w:r>
              <w:rPr>
                <w:rFonts w:ascii="Arial" w:cs="Arial" w:eastAsia="Arial" w:hAnsi="Arial"/>
                <w:sz w:val="13"/>
                <w:szCs w:val="13"/>
                <w:color w:val="auto"/>
              </w:rPr>
              <w:t>Massachusetts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U.S. Pacific LLC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U.S. West Corporation</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Nobel Research Center, LLC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Conforma Therapeutics Corporation</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Syntonix Pharmaceuticals, Inc.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Canada Inc.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Biogen Idec SRO, Inc.</w:t>
            </w:r>
          </w:p>
        </w:tc>
        <w:tc>
          <w:tcPr>
            <w:tcW w:w="4640" w:type="dxa"/>
            <w:vAlign w:val="bottom"/>
          </w:tcPr>
          <w:p>
            <w:pPr>
              <w:ind w:left="2680"/>
              <w:spacing w:after="0"/>
              <w:rPr>
                <w:sz w:val="20"/>
                <w:szCs w:val="20"/>
                <w:color w:val="auto"/>
              </w:rPr>
            </w:pPr>
            <w:r>
              <w:rPr>
                <w:rFonts w:ascii="Arial" w:cs="Arial" w:eastAsia="Arial" w:hAnsi="Arial"/>
                <w:sz w:val="13"/>
                <w:szCs w:val="13"/>
                <w:color w:val="auto"/>
              </w:rPr>
              <w:t>Delaware</w:t>
            </w:r>
          </w:p>
        </w:tc>
        <w:tc>
          <w:tcPr>
            <w:tcW w:w="0" w:type="dxa"/>
            <w:vAlign w:val="bottom"/>
          </w:tcPr>
          <w:p>
            <w:pPr>
              <w:spacing w:after="0"/>
              <w:rPr>
                <w:sz w:val="1"/>
                <w:szCs w:val="1"/>
                <w:color w:val="auto"/>
              </w:rPr>
            </w:pPr>
          </w:p>
        </w:tc>
      </w:tr>
      <w:tr>
        <w:trPr>
          <w:trHeight w:val="307"/>
        </w:trPr>
        <w:tc>
          <w:tcPr>
            <w:tcW w:w="6500" w:type="dxa"/>
            <w:vAlign w:val="bottom"/>
          </w:tcPr>
          <w:p>
            <w:pPr>
              <w:spacing w:after="0"/>
              <w:rPr>
                <w:sz w:val="20"/>
                <w:szCs w:val="20"/>
                <w:color w:val="auto"/>
              </w:rPr>
            </w:pPr>
            <w:r>
              <w:rPr>
                <w:rFonts w:ascii="Arial" w:cs="Arial" w:eastAsia="Arial" w:hAnsi="Arial"/>
                <w:sz w:val="13"/>
                <w:szCs w:val="13"/>
                <w:color w:val="auto"/>
              </w:rPr>
              <w:t>Biogen Idec (Argentina) SRL</w:t>
            </w:r>
          </w:p>
        </w:tc>
        <w:tc>
          <w:tcPr>
            <w:tcW w:w="4640" w:type="dxa"/>
            <w:vAlign w:val="bottom"/>
          </w:tcPr>
          <w:p>
            <w:pPr>
              <w:ind w:left="2680"/>
              <w:spacing w:after="0"/>
              <w:rPr>
                <w:sz w:val="20"/>
                <w:szCs w:val="20"/>
                <w:color w:val="auto"/>
              </w:rPr>
            </w:pPr>
            <w:r>
              <w:rPr>
                <w:rFonts w:ascii="Arial" w:cs="Arial" w:eastAsia="Arial" w:hAnsi="Arial"/>
                <w:sz w:val="13"/>
                <w:szCs w:val="13"/>
                <w:color w:val="auto"/>
              </w:rPr>
              <w:t>Argentina</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Australia PTY Ltd</w:t>
            </w:r>
          </w:p>
        </w:tc>
        <w:tc>
          <w:tcPr>
            <w:tcW w:w="4640" w:type="dxa"/>
            <w:vAlign w:val="bottom"/>
          </w:tcPr>
          <w:p>
            <w:pPr>
              <w:ind w:left="2680"/>
              <w:spacing w:after="0"/>
              <w:rPr>
                <w:sz w:val="20"/>
                <w:szCs w:val="20"/>
                <w:color w:val="auto"/>
              </w:rPr>
            </w:pPr>
            <w:r>
              <w:rPr>
                <w:rFonts w:ascii="Arial" w:cs="Arial" w:eastAsia="Arial" w:hAnsi="Arial"/>
                <w:sz w:val="13"/>
                <w:szCs w:val="13"/>
                <w:color w:val="auto"/>
              </w:rPr>
              <w:t>Australia</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Austria GmbH</w:t>
            </w:r>
          </w:p>
        </w:tc>
        <w:tc>
          <w:tcPr>
            <w:tcW w:w="4640" w:type="dxa"/>
            <w:vAlign w:val="bottom"/>
          </w:tcPr>
          <w:p>
            <w:pPr>
              <w:ind w:left="2680"/>
              <w:spacing w:after="0"/>
              <w:rPr>
                <w:sz w:val="20"/>
                <w:szCs w:val="20"/>
                <w:color w:val="auto"/>
              </w:rPr>
            </w:pPr>
            <w:r>
              <w:rPr>
                <w:rFonts w:ascii="Arial" w:cs="Arial" w:eastAsia="Arial" w:hAnsi="Arial"/>
                <w:sz w:val="13"/>
                <w:szCs w:val="13"/>
                <w:color w:val="auto"/>
              </w:rPr>
              <w:t>Austria</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Belgium N.V.</w:t>
            </w:r>
          </w:p>
        </w:tc>
        <w:tc>
          <w:tcPr>
            <w:tcW w:w="4640" w:type="dxa"/>
            <w:vAlign w:val="bottom"/>
          </w:tcPr>
          <w:p>
            <w:pPr>
              <w:ind w:left="2680"/>
              <w:spacing w:after="0"/>
              <w:rPr>
                <w:sz w:val="20"/>
                <w:szCs w:val="20"/>
                <w:color w:val="auto"/>
              </w:rPr>
            </w:pPr>
            <w:r>
              <w:rPr>
                <w:rFonts w:ascii="Arial" w:cs="Arial" w:eastAsia="Arial" w:hAnsi="Arial"/>
                <w:sz w:val="13"/>
                <w:szCs w:val="13"/>
                <w:color w:val="auto"/>
              </w:rPr>
              <w:t>Belgium</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Brazil Produtos Farmaceuticos LTDA</w:t>
            </w:r>
          </w:p>
        </w:tc>
        <w:tc>
          <w:tcPr>
            <w:tcW w:w="4640" w:type="dxa"/>
            <w:vAlign w:val="bottom"/>
          </w:tcPr>
          <w:p>
            <w:pPr>
              <w:ind w:left="2680"/>
              <w:spacing w:after="0"/>
              <w:rPr>
                <w:sz w:val="20"/>
                <w:szCs w:val="20"/>
                <w:color w:val="auto"/>
              </w:rPr>
            </w:pPr>
            <w:r>
              <w:rPr>
                <w:rFonts w:ascii="Arial" w:cs="Arial" w:eastAsia="Arial" w:hAnsi="Arial"/>
                <w:sz w:val="13"/>
                <w:szCs w:val="13"/>
                <w:color w:val="auto"/>
              </w:rPr>
              <w:t>Brazil</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(Czech Republic) s.r.o.</w:t>
            </w:r>
          </w:p>
        </w:tc>
        <w:tc>
          <w:tcPr>
            <w:tcW w:w="4640" w:type="dxa"/>
            <w:vAlign w:val="bottom"/>
          </w:tcPr>
          <w:p>
            <w:pPr>
              <w:ind w:left="2680"/>
              <w:spacing w:after="0"/>
              <w:rPr>
                <w:sz w:val="20"/>
                <w:szCs w:val="20"/>
                <w:color w:val="auto"/>
              </w:rPr>
            </w:pPr>
            <w:r>
              <w:rPr>
                <w:rFonts w:ascii="Arial" w:cs="Arial" w:eastAsia="Arial" w:hAnsi="Arial"/>
                <w:sz w:val="13"/>
                <w:szCs w:val="13"/>
                <w:color w:val="auto"/>
              </w:rPr>
              <w:t>Czech Republic</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(Denmark) A/S</w:t>
            </w:r>
          </w:p>
        </w:tc>
        <w:tc>
          <w:tcPr>
            <w:tcW w:w="4640" w:type="dxa"/>
            <w:vAlign w:val="bottom"/>
          </w:tcPr>
          <w:p>
            <w:pPr>
              <w:ind w:left="268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(Denmark) Manufacturing ApS</w:t>
            </w:r>
          </w:p>
        </w:tc>
        <w:tc>
          <w:tcPr>
            <w:tcW w:w="4640" w:type="dxa"/>
            <w:vAlign w:val="bottom"/>
          </w:tcPr>
          <w:p>
            <w:pPr>
              <w:ind w:left="268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Holding APS</w:t>
            </w:r>
          </w:p>
        </w:tc>
        <w:tc>
          <w:tcPr>
            <w:tcW w:w="4640" w:type="dxa"/>
            <w:vAlign w:val="bottom"/>
          </w:tcPr>
          <w:p>
            <w:pPr>
              <w:ind w:left="268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Finland OY</w:t>
            </w:r>
          </w:p>
        </w:tc>
        <w:tc>
          <w:tcPr>
            <w:tcW w:w="4640" w:type="dxa"/>
            <w:vAlign w:val="bottom"/>
          </w:tcPr>
          <w:p>
            <w:pPr>
              <w:ind w:left="2680"/>
              <w:spacing w:after="0"/>
              <w:rPr>
                <w:sz w:val="20"/>
                <w:szCs w:val="20"/>
                <w:color w:val="auto"/>
              </w:rPr>
            </w:pPr>
            <w:r>
              <w:rPr>
                <w:rFonts w:ascii="Arial" w:cs="Arial" w:eastAsia="Arial" w:hAnsi="Arial"/>
                <w:sz w:val="13"/>
                <w:szCs w:val="13"/>
                <w:color w:val="auto"/>
              </w:rPr>
              <w:t>Finland</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France S.A.S.</w:t>
            </w:r>
          </w:p>
        </w:tc>
        <w:tc>
          <w:tcPr>
            <w:tcW w:w="4640" w:type="dxa"/>
            <w:vAlign w:val="bottom"/>
          </w:tcPr>
          <w:p>
            <w:pPr>
              <w:ind w:left="2680"/>
              <w:spacing w:after="0"/>
              <w:rPr>
                <w:sz w:val="20"/>
                <w:szCs w:val="20"/>
                <w:color w:val="auto"/>
              </w:rPr>
            </w:pPr>
            <w:r>
              <w:rPr>
                <w:rFonts w:ascii="Arial" w:cs="Arial" w:eastAsia="Arial" w:hAnsi="Arial"/>
                <w:sz w:val="13"/>
                <w:szCs w:val="13"/>
                <w:color w:val="auto"/>
              </w:rPr>
              <w:t>France</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GmbH</w:t>
            </w:r>
          </w:p>
        </w:tc>
        <w:tc>
          <w:tcPr>
            <w:tcW w:w="4640" w:type="dxa"/>
            <w:vAlign w:val="bottom"/>
          </w:tcPr>
          <w:p>
            <w:pPr>
              <w:ind w:left="2680"/>
              <w:spacing w:after="0"/>
              <w:rPr>
                <w:sz w:val="20"/>
                <w:szCs w:val="20"/>
                <w:color w:val="auto"/>
              </w:rPr>
            </w:pPr>
            <w:r>
              <w:rPr>
                <w:rFonts w:ascii="Arial" w:cs="Arial" w:eastAsia="Arial" w:hAnsi="Arial"/>
                <w:sz w:val="13"/>
                <w:szCs w:val="13"/>
                <w:color w:val="auto"/>
              </w:rPr>
              <w:t>Germany</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Biotech India Pvt. Ltd.</w:t>
            </w:r>
          </w:p>
        </w:tc>
        <w:tc>
          <w:tcPr>
            <w:tcW w:w="4640" w:type="dxa"/>
            <w:vAlign w:val="bottom"/>
          </w:tcPr>
          <w:p>
            <w:pPr>
              <w:ind w:left="2680"/>
              <w:spacing w:after="0"/>
              <w:rPr>
                <w:sz w:val="20"/>
                <w:szCs w:val="20"/>
                <w:color w:val="auto"/>
              </w:rPr>
            </w:pPr>
            <w:r>
              <w:rPr>
                <w:rFonts w:ascii="Arial" w:cs="Arial" w:eastAsia="Arial" w:hAnsi="Arial"/>
                <w:sz w:val="13"/>
                <w:szCs w:val="13"/>
                <w:color w:val="auto"/>
              </w:rPr>
              <w:t>India</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(Ireland) Ltd.</w:t>
            </w:r>
          </w:p>
        </w:tc>
        <w:tc>
          <w:tcPr>
            <w:tcW w:w="4640" w:type="dxa"/>
            <w:vAlign w:val="bottom"/>
          </w:tcPr>
          <w:p>
            <w:pPr>
              <w:ind w:left="2680"/>
              <w:spacing w:after="0"/>
              <w:rPr>
                <w:sz w:val="20"/>
                <w:szCs w:val="20"/>
                <w:color w:val="auto"/>
              </w:rPr>
            </w:pPr>
            <w:r>
              <w:rPr>
                <w:rFonts w:ascii="Arial" w:cs="Arial" w:eastAsia="Arial" w:hAnsi="Arial"/>
                <w:sz w:val="13"/>
                <w:szCs w:val="13"/>
                <w:color w:val="auto"/>
              </w:rPr>
              <w:t>Ireland</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Japan Ltd.</w:t>
            </w:r>
          </w:p>
        </w:tc>
        <w:tc>
          <w:tcPr>
            <w:tcW w:w="4640" w:type="dxa"/>
            <w:vAlign w:val="bottom"/>
          </w:tcPr>
          <w:p>
            <w:pPr>
              <w:ind w:left="2680"/>
              <w:spacing w:after="0"/>
              <w:rPr>
                <w:sz w:val="20"/>
                <w:szCs w:val="20"/>
                <w:color w:val="auto"/>
              </w:rPr>
            </w:pPr>
            <w:r>
              <w:rPr>
                <w:rFonts w:ascii="Arial" w:cs="Arial" w:eastAsia="Arial" w:hAnsi="Arial"/>
                <w:sz w:val="13"/>
                <w:szCs w:val="13"/>
                <w:color w:val="auto"/>
              </w:rPr>
              <w:t>Japan</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Mexico S. DE R.L. DE C.V.</w:t>
            </w:r>
          </w:p>
        </w:tc>
        <w:tc>
          <w:tcPr>
            <w:tcW w:w="4640" w:type="dxa"/>
            <w:vAlign w:val="bottom"/>
          </w:tcPr>
          <w:p>
            <w:pPr>
              <w:ind w:left="2680"/>
              <w:spacing w:after="0"/>
              <w:rPr>
                <w:sz w:val="20"/>
                <w:szCs w:val="20"/>
                <w:color w:val="auto"/>
              </w:rPr>
            </w:pPr>
            <w:r>
              <w:rPr>
                <w:rFonts w:ascii="Arial" w:cs="Arial" w:eastAsia="Arial" w:hAnsi="Arial"/>
                <w:sz w:val="13"/>
                <w:szCs w:val="13"/>
                <w:color w:val="auto"/>
              </w:rPr>
              <w:t>Mexico</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B.V.</w:t>
            </w:r>
          </w:p>
        </w:tc>
        <w:tc>
          <w:tcPr>
            <w:tcW w:w="4640" w:type="dxa"/>
            <w:vAlign w:val="bottom"/>
          </w:tcPr>
          <w:p>
            <w:pPr>
              <w:ind w:left="268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International B.V.</w:t>
            </w:r>
          </w:p>
        </w:tc>
        <w:tc>
          <w:tcPr>
            <w:tcW w:w="4640" w:type="dxa"/>
            <w:vAlign w:val="bottom"/>
          </w:tcPr>
          <w:p>
            <w:pPr>
              <w:ind w:left="268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Norway AS</w:t>
            </w:r>
          </w:p>
        </w:tc>
        <w:tc>
          <w:tcPr>
            <w:tcW w:w="4640" w:type="dxa"/>
            <w:vAlign w:val="bottom"/>
          </w:tcPr>
          <w:p>
            <w:pPr>
              <w:ind w:left="2680"/>
              <w:spacing w:after="0"/>
              <w:rPr>
                <w:sz w:val="20"/>
                <w:szCs w:val="20"/>
                <w:color w:val="auto"/>
              </w:rPr>
            </w:pPr>
            <w:r>
              <w:rPr>
                <w:rFonts w:ascii="Arial" w:cs="Arial" w:eastAsia="Arial" w:hAnsi="Arial"/>
                <w:sz w:val="13"/>
                <w:szCs w:val="13"/>
                <w:color w:val="auto"/>
              </w:rPr>
              <w:t>Norway</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NZ Ltd.</w:t>
            </w:r>
          </w:p>
        </w:tc>
        <w:tc>
          <w:tcPr>
            <w:tcW w:w="4640" w:type="dxa"/>
            <w:vAlign w:val="bottom"/>
          </w:tcPr>
          <w:p>
            <w:pPr>
              <w:ind w:left="2680"/>
              <w:spacing w:after="0"/>
              <w:rPr>
                <w:sz w:val="20"/>
                <w:szCs w:val="20"/>
                <w:color w:val="auto"/>
              </w:rPr>
            </w:pPr>
            <w:r>
              <w:rPr>
                <w:rFonts w:ascii="Arial" w:cs="Arial" w:eastAsia="Arial" w:hAnsi="Arial"/>
                <w:sz w:val="13"/>
                <w:szCs w:val="13"/>
                <w:color w:val="auto"/>
              </w:rPr>
              <w:t>New Zealand</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Portugal Sociedade Farmaceutica, Unipessoal, Lda.</w:t>
            </w:r>
          </w:p>
        </w:tc>
        <w:tc>
          <w:tcPr>
            <w:tcW w:w="4640" w:type="dxa"/>
            <w:vAlign w:val="bottom"/>
          </w:tcPr>
          <w:p>
            <w:pPr>
              <w:ind w:left="2680"/>
              <w:spacing w:after="0"/>
              <w:rPr>
                <w:sz w:val="20"/>
                <w:szCs w:val="20"/>
                <w:color w:val="auto"/>
              </w:rPr>
            </w:pPr>
            <w:r>
              <w:rPr>
                <w:rFonts w:ascii="Arial" w:cs="Arial" w:eastAsia="Arial" w:hAnsi="Arial"/>
                <w:sz w:val="13"/>
                <w:szCs w:val="13"/>
                <w:color w:val="auto"/>
              </w:rPr>
              <w:t>Portugal</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Iberia, S.L.</w:t>
            </w:r>
          </w:p>
        </w:tc>
        <w:tc>
          <w:tcPr>
            <w:tcW w:w="4640" w:type="dxa"/>
            <w:vAlign w:val="bottom"/>
          </w:tcPr>
          <w:p>
            <w:pPr>
              <w:ind w:left="2680"/>
              <w:spacing w:after="0"/>
              <w:rPr>
                <w:sz w:val="20"/>
                <w:szCs w:val="20"/>
                <w:color w:val="auto"/>
              </w:rPr>
            </w:pPr>
            <w:r>
              <w:rPr>
                <w:rFonts w:ascii="Arial" w:cs="Arial" w:eastAsia="Arial" w:hAnsi="Arial"/>
                <w:sz w:val="13"/>
                <w:szCs w:val="13"/>
                <w:color w:val="auto"/>
              </w:rPr>
              <w:t>Spain</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(Slovak Republic) s.r.o.</w:t>
            </w:r>
          </w:p>
        </w:tc>
        <w:tc>
          <w:tcPr>
            <w:tcW w:w="4640" w:type="dxa"/>
            <w:vAlign w:val="bottom"/>
          </w:tcPr>
          <w:p>
            <w:pPr>
              <w:ind w:left="2680"/>
              <w:spacing w:after="0"/>
              <w:rPr>
                <w:sz w:val="20"/>
                <w:szCs w:val="20"/>
                <w:color w:val="auto"/>
              </w:rPr>
            </w:pPr>
            <w:r>
              <w:rPr>
                <w:rFonts w:ascii="Arial" w:cs="Arial" w:eastAsia="Arial" w:hAnsi="Arial"/>
                <w:sz w:val="13"/>
                <w:szCs w:val="13"/>
                <w:color w:val="auto"/>
              </w:rPr>
              <w:t>Slovak Republic</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promet s farmacevtskimi in biotehnoloskimi proizvodi d.o.o</w:t>
            </w:r>
          </w:p>
        </w:tc>
        <w:tc>
          <w:tcPr>
            <w:tcW w:w="4640" w:type="dxa"/>
            <w:vAlign w:val="bottom"/>
          </w:tcPr>
          <w:p>
            <w:pPr>
              <w:ind w:left="2680"/>
              <w:spacing w:after="0"/>
              <w:rPr>
                <w:sz w:val="20"/>
                <w:szCs w:val="20"/>
                <w:color w:val="auto"/>
              </w:rPr>
            </w:pPr>
            <w:r>
              <w:rPr>
                <w:rFonts w:ascii="Arial" w:cs="Arial" w:eastAsia="Arial" w:hAnsi="Arial"/>
                <w:sz w:val="13"/>
                <w:szCs w:val="13"/>
                <w:color w:val="auto"/>
              </w:rPr>
              <w:t>Slovenia</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International GmbH</w:t>
            </w:r>
          </w:p>
        </w:tc>
        <w:tc>
          <w:tcPr>
            <w:tcW w:w="4640" w:type="dxa"/>
            <w:vAlign w:val="bottom"/>
          </w:tcPr>
          <w:p>
            <w:pPr>
              <w:ind w:left="2680"/>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Ltd.</w:t>
            </w:r>
          </w:p>
        </w:tc>
        <w:tc>
          <w:tcPr>
            <w:tcW w:w="4640" w:type="dxa"/>
            <w:vAlign w:val="bottom"/>
          </w:tcPr>
          <w:p>
            <w:pPr>
              <w:ind w:left="2680"/>
              <w:spacing w:after="0"/>
              <w:rPr>
                <w:sz w:val="20"/>
                <w:szCs w:val="20"/>
                <w:color w:val="auto"/>
              </w:rPr>
            </w:pPr>
            <w:r>
              <w:rPr>
                <w:rFonts w:ascii="Arial" w:cs="Arial" w:eastAsia="Arial" w:hAnsi="Arial"/>
                <w:sz w:val="13"/>
                <w:szCs w:val="13"/>
                <w:color w:val="auto"/>
              </w:rPr>
              <w:t>UK</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BiogenIdec Sweden AB</w:t>
            </w:r>
          </w:p>
        </w:tc>
        <w:tc>
          <w:tcPr>
            <w:tcW w:w="4640" w:type="dxa"/>
            <w:vAlign w:val="bottom"/>
          </w:tcPr>
          <w:p>
            <w:pPr>
              <w:ind w:left="2680"/>
              <w:spacing w:after="0"/>
              <w:rPr>
                <w:sz w:val="20"/>
                <w:szCs w:val="20"/>
                <w:color w:val="auto"/>
              </w:rPr>
            </w:pPr>
            <w:r>
              <w:rPr>
                <w:rFonts w:ascii="Arial" w:cs="Arial" w:eastAsia="Arial" w:hAnsi="Arial"/>
                <w:sz w:val="13"/>
                <w:szCs w:val="13"/>
                <w:color w:val="auto"/>
              </w:rPr>
              <w:t>Sweden</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Biogen-Dompé AG</w:t>
            </w:r>
          </w:p>
        </w:tc>
        <w:tc>
          <w:tcPr>
            <w:tcW w:w="4640" w:type="dxa"/>
            <w:vAlign w:val="bottom"/>
          </w:tcPr>
          <w:p>
            <w:pPr>
              <w:ind w:left="2680"/>
              <w:spacing w:after="0"/>
              <w:rPr>
                <w:sz w:val="20"/>
                <w:szCs w:val="20"/>
                <w:color w:val="auto"/>
              </w:rPr>
            </w:pPr>
            <w:r>
              <w:rPr>
                <w:rFonts w:ascii="Arial" w:cs="Arial" w:eastAsia="Arial" w:hAnsi="Arial"/>
                <w:sz w:val="13"/>
                <w:szCs w:val="13"/>
                <w:color w:val="auto"/>
              </w:rPr>
              <w:t>Switzerland</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Biogen-Dompé SRL</w:t>
            </w:r>
          </w:p>
        </w:tc>
        <w:tc>
          <w:tcPr>
            <w:tcW w:w="4640" w:type="dxa"/>
            <w:vAlign w:val="bottom"/>
          </w:tcPr>
          <w:p>
            <w:pPr>
              <w:ind w:left="2680"/>
              <w:spacing w:after="0"/>
              <w:rPr>
                <w:sz w:val="20"/>
                <w:szCs w:val="20"/>
                <w:color w:val="auto"/>
              </w:rPr>
            </w:pPr>
            <w:r>
              <w:rPr>
                <w:rFonts w:ascii="Arial" w:cs="Arial" w:eastAsia="Arial" w:hAnsi="Arial"/>
                <w:sz w:val="13"/>
                <w:szCs w:val="13"/>
                <w:color w:val="auto"/>
              </w:rPr>
              <w:t>Italy</w:t>
            </w:r>
          </w:p>
        </w:tc>
        <w:tc>
          <w:tcPr>
            <w:tcW w:w="0" w:type="dxa"/>
            <w:vAlign w:val="bottom"/>
          </w:tcPr>
          <w:p>
            <w:pPr>
              <w:spacing w:after="0"/>
              <w:rPr>
                <w:sz w:val="1"/>
                <w:szCs w:val="1"/>
                <w:color w:val="auto"/>
              </w:rPr>
            </w:pP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Biogen Idec K/S</w:t>
            </w:r>
          </w:p>
        </w:tc>
        <w:tc>
          <w:tcPr>
            <w:tcW w:w="4640" w:type="dxa"/>
            <w:vAlign w:val="bottom"/>
          </w:tcPr>
          <w:p>
            <w:pPr>
              <w:ind w:left="2680"/>
              <w:spacing w:after="0"/>
              <w:rPr>
                <w:sz w:val="20"/>
                <w:szCs w:val="20"/>
                <w:color w:val="auto"/>
              </w:rPr>
            </w:pPr>
            <w:r>
              <w:rPr>
                <w:rFonts w:ascii="Arial" w:cs="Arial" w:eastAsia="Arial" w:hAnsi="Arial"/>
                <w:sz w:val="13"/>
                <w:szCs w:val="13"/>
                <w:color w:val="auto"/>
              </w:rPr>
              <w:t>Denmark</w:t>
            </w:r>
          </w:p>
        </w:tc>
        <w:tc>
          <w:tcPr>
            <w:tcW w:w="0" w:type="dxa"/>
            <w:vAlign w:val="bottom"/>
          </w:tcPr>
          <w:p>
            <w:pPr>
              <w:spacing w:after="0"/>
              <w:rPr>
                <w:sz w:val="1"/>
                <w:szCs w:val="1"/>
                <w:color w:val="auto"/>
              </w:rPr>
            </w:pP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Biotech Manufacturing CV</w:t>
            </w:r>
          </w:p>
        </w:tc>
        <w:tc>
          <w:tcPr>
            <w:tcW w:w="4640" w:type="dxa"/>
            <w:vAlign w:val="bottom"/>
          </w:tcPr>
          <w:p>
            <w:pPr>
              <w:ind w:left="2680"/>
              <w:spacing w:after="0"/>
              <w:rPr>
                <w:sz w:val="20"/>
                <w:szCs w:val="20"/>
                <w:color w:val="auto"/>
              </w:rPr>
            </w:pPr>
            <w:r>
              <w:rPr>
                <w:rFonts w:ascii="Arial" w:cs="Arial" w:eastAsia="Arial" w:hAnsi="Arial"/>
                <w:sz w:val="13"/>
                <w:szCs w:val="13"/>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460"/>
          </w:cols>
          <w:pgMar w:left="220" w:top="716" w:right="2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Exhibit 23.1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right="100" w:firstLine="399"/>
        <w:spacing w:after="0" w:line="296" w:lineRule="auto"/>
        <w:rPr>
          <w:sz w:val="20"/>
          <w:szCs w:val="20"/>
          <w:color w:val="auto"/>
        </w:rPr>
      </w:pPr>
      <w:r>
        <w:rPr>
          <w:rFonts w:ascii="Arial" w:cs="Arial" w:eastAsia="Arial" w:hAnsi="Arial"/>
          <w:sz w:val="12"/>
          <w:szCs w:val="12"/>
          <w:color w:val="auto"/>
        </w:rPr>
        <w:t>We hereby consent to the incorporation by reference in the Registration Statement on Form S-3 (No. 333-89792), Registration Statement on Form S-4 (No. 333-107098) and Registration Statements on Form S-8 (Nos. 333-97211, 333-106794, 333-47904, 333-65494, 333-81625, 333-110432, 333-110433, 333-128339 and 333-140817) of Biogen Idec Inc. of our report dated February 14, 2008 relating to the financial statements and the effectiveness of internal control over financial reporting, which appears in this Form 10-K.</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RICEWATERHOUSE</w:t>
      </w:r>
      <w:r>
        <w:rPr>
          <w:rFonts w:ascii="Arial" w:cs="Arial" w:eastAsia="Arial" w:hAnsi="Arial"/>
          <w:sz w:val="13"/>
          <w:szCs w:val="13"/>
          <w:color w:val="auto"/>
        </w:rPr>
        <w:t>C</w:t>
      </w:r>
      <w:r>
        <w:rPr>
          <w:rFonts w:ascii="Arial" w:cs="Arial" w:eastAsia="Arial" w:hAnsi="Arial"/>
          <w:sz w:val="8"/>
          <w:szCs w:val="8"/>
          <w:color w:val="auto"/>
        </w:rPr>
        <w:t>OOPERS</w:t>
      </w:r>
      <w:r>
        <w:rPr>
          <w:rFonts w:ascii="Arial" w:cs="Arial" w:eastAsia="Arial" w:hAnsi="Arial"/>
          <w:sz w:val="13"/>
          <w:szCs w:val="13"/>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Boston, MA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February 14, 2008</w:t>
      </w:r>
    </w:p>
    <w:p>
      <w:pPr>
        <w:sectPr>
          <w:pgSz w:w="11900" w:h="16838" w:orient="portrait"/>
          <w:cols w:equalWidth="0" w:num="1">
            <w:col w:w="9980"/>
          </w:cols>
          <w:pgMar w:left="900" w:top="716" w:right="10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I, James C. Mullen, certify that:</w:t>
      </w:r>
    </w:p>
    <w:p>
      <w:pPr>
        <w:spacing w:after="0" w:line="96" w:lineRule="exact"/>
        <w:rPr>
          <w:sz w:val="20"/>
          <w:szCs w:val="20"/>
          <w:color w:val="auto"/>
        </w:rPr>
      </w:pPr>
    </w:p>
    <w:p>
      <w:pPr>
        <w:ind w:left="540" w:hanging="134"/>
        <w:spacing w:after="0"/>
        <w:tabs>
          <w:tab w:leader="none" w:pos="5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3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3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1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3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James C. Mullen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Executive Officer and President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14, 2008</w:t>
      </w:r>
    </w:p>
    <w:p>
      <w:pPr>
        <w:sectPr>
          <w:pgSz w:w="11900" w:h="16838" w:orient="portrait"/>
          <w:cols w:equalWidth="0" w:num="1">
            <w:col w:w="9980"/>
          </w:cols>
          <w:pgMar w:left="900" w:top="716" w:right="10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3"/>
          <w:szCs w:val="13"/>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I, Paul J. Clancy, certify that:</w:t>
      </w:r>
    </w:p>
    <w:p>
      <w:pPr>
        <w:spacing w:after="0" w:line="96" w:lineRule="exact"/>
        <w:rPr>
          <w:sz w:val="20"/>
          <w:szCs w:val="20"/>
          <w:color w:val="auto"/>
        </w:rPr>
      </w:pPr>
    </w:p>
    <w:p>
      <w:pPr>
        <w:ind w:left="540" w:hanging="134"/>
        <w:spacing w:after="0"/>
        <w:tabs>
          <w:tab w:leader="none" w:pos="5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 have reviewed this annual report of Biogen Idec Inc.;</w:t>
      </w:r>
    </w:p>
    <w:p>
      <w:pPr>
        <w:spacing w:after="0" w:line="96" w:lineRule="exact"/>
        <w:rPr>
          <w:rFonts w:ascii="Arial" w:cs="Arial" w:eastAsia="Arial" w:hAnsi="Arial"/>
          <w:sz w:val="13"/>
          <w:szCs w:val="13"/>
          <w:color w:val="auto"/>
        </w:rPr>
      </w:pPr>
    </w:p>
    <w:p>
      <w:pPr>
        <w:ind w:right="140" w:firstLine="406"/>
        <w:spacing w:after="0" w:line="276" w:lineRule="auto"/>
        <w:tabs>
          <w:tab w:leader="none" w:pos="53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20" w:firstLine="406"/>
        <w:spacing w:after="0" w:line="276" w:lineRule="auto"/>
        <w:tabs>
          <w:tab w:leader="none" w:pos="53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28"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w:t>
      </w:r>
    </w:p>
    <w:p>
      <w:pPr>
        <w:spacing w:after="0" w:line="26" w:lineRule="exact"/>
        <w:rPr>
          <w:rFonts w:ascii="Arial" w:cs="Arial" w:eastAsia="Arial" w:hAnsi="Arial"/>
          <w:sz w:val="12"/>
          <w:szCs w:val="12"/>
          <w:color w:val="auto"/>
        </w:rPr>
      </w:pPr>
    </w:p>
    <w:p>
      <w:pPr>
        <w:ind w:left="400" w:right="80"/>
        <w:spacing w:after="0" w:line="264" w:lineRule="auto"/>
        <w:rPr>
          <w:rFonts w:ascii="Arial" w:cs="Arial" w:eastAsia="Arial" w:hAnsi="Arial"/>
          <w:sz w:val="12"/>
          <w:szCs w:val="12"/>
          <w:color w:val="auto"/>
        </w:rPr>
      </w:pPr>
      <w:r>
        <w:rPr>
          <w:rFonts w:ascii="Arial" w:cs="Arial" w:eastAsia="Arial" w:hAnsi="Arial"/>
          <w:sz w:val="13"/>
          <w:szCs w:val="13"/>
          <w:color w:val="auto"/>
        </w:rPr>
        <w:t>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2"/>
          <w:szCs w:val="12"/>
          <w:color w:val="auto"/>
        </w:rPr>
      </w:pPr>
    </w:p>
    <w:p>
      <w:pPr>
        <w:ind w:left="400" w:right="20" w:firstLine="389"/>
        <w:spacing w:after="0" w:line="371" w:lineRule="auto"/>
        <w:tabs>
          <w:tab w:leader="none" w:pos="925" w:val="left"/>
        </w:tabs>
        <w:numPr>
          <w:ilvl w:val="1"/>
          <w:numId w:val="13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400" w:firstLine="389"/>
        <w:spacing w:after="0" w:line="276" w:lineRule="auto"/>
        <w:tabs>
          <w:tab w:leader="none" w:pos="918" w:val="left"/>
        </w:tabs>
        <w:numPr>
          <w:ilvl w:val="1"/>
          <w:numId w:val="13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80" w:firstLine="389"/>
        <w:spacing w:after="0" w:line="264" w:lineRule="auto"/>
        <w:tabs>
          <w:tab w:leader="none" w:pos="925" w:val="left"/>
        </w:tabs>
        <w:numPr>
          <w:ilvl w:val="1"/>
          <w:numId w:val="13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120" w:firstLine="406"/>
        <w:spacing w:after="0" w:line="276" w:lineRule="auto"/>
        <w:tabs>
          <w:tab w:leader="none" w:pos="528"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18"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40" w:hanging="151"/>
        <w:spacing w:after="0"/>
        <w:tabs>
          <w:tab w:leader="none" w:pos="94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Paul J. Clancy</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Executive Vice President, Finance and</w:t>
      </w:r>
    </w:p>
    <w:p>
      <w:pPr>
        <w:spacing w:after="0" w:line="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14, 2008</w:t>
      </w:r>
    </w:p>
    <w:p>
      <w:pPr>
        <w:sectPr>
          <w:pgSz w:w="11900" w:h="16838" w:orient="portrait"/>
          <w:cols w:equalWidth="0" w:num="1">
            <w:col w:w="9980"/>
          </w:cols>
          <w:pgMar w:left="900" w:top="716" w:right="10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(Subsections (a) and (b) of Section 1350, Chapter 63 of Title 18, United States Code)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Pursuant to section 906 of the Sarbanes-Oxley Act of 2002 (subsections (a) and (b) of section 1350, chapter 63 of title 18, United States Code), each of the undersigned officers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Biogen Idec Inc., a Delaware corporation (the “Company”), does hereby certify, to such officer’s knowledge, that:</w:t>
      </w:r>
    </w:p>
    <w:p>
      <w:pPr>
        <w:spacing w:after="0" w:line="89" w:lineRule="exact"/>
        <w:rPr>
          <w:sz w:val="20"/>
          <w:szCs w:val="20"/>
          <w:color w:val="auto"/>
        </w:rPr>
      </w:pPr>
    </w:p>
    <w:p>
      <w:pPr>
        <w:jc w:val="both"/>
        <w:ind w:right="180" w:firstLine="399"/>
        <w:spacing w:after="0" w:line="371" w:lineRule="auto"/>
        <w:rPr>
          <w:sz w:val="20"/>
          <w:szCs w:val="20"/>
          <w:color w:val="auto"/>
        </w:rPr>
      </w:pPr>
      <w:r>
        <w:rPr>
          <w:rFonts w:ascii="Arial" w:cs="Arial" w:eastAsia="Arial" w:hAnsi="Arial"/>
          <w:sz w:val="11"/>
          <w:szCs w:val="11"/>
          <w:color w:val="auto"/>
        </w:rPr>
        <w:t>The Annual Report on Form 10-K for the year ended December 31, 2007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Arial" w:cs="Arial" w:eastAsia="Arial" w:hAnsi="Arial"/>
                <w:sz w:val="13"/>
                <w:szCs w:val="13"/>
                <w:color w:val="auto"/>
              </w:rPr>
              <w:t>Date: February 14, 2008</w:t>
            </w:r>
          </w:p>
        </w:tc>
        <w:tc>
          <w:tcPr>
            <w:tcW w:w="8300" w:type="dxa"/>
            <w:vAlign w:val="bottom"/>
            <w:gridSpan w:val="2"/>
          </w:tcPr>
          <w:p>
            <w:pPr>
              <w:jc w:val="right"/>
              <w:ind w:right="2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AMES</w:t>
            </w:r>
            <w:r>
              <w:rPr>
                <w:rFonts w:ascii="Arial" w:cs="Arial" w:eastAsia="Arial" w:hAnsi="Arial"/>
                <w:sz w:val="13"/>
                <w:szCs w:val="13"/>
                <w:color w:val="auto"/>
              </w:rPr>
              <w:t xml:space="preserve"> C. M</w:t>
            </w:r>
            <w:r>
              <w:rPr>
                <w:rFonts w:ascii="Arial" w:cs="Arial" w:eastAsia="Arial" w:hAnsi="Arial"/>
                <w:sz w:val="8"/>
                <w:szCs w:val="8"/>
                <w:color w:val="auto"/>
              </w:rPr>
              <w:t>ULLEN</w:t>
            </w:r>
          </w:p>
        </w:tc>
      </w:tr>
      <w:tr>
        <w:trPr>
          <w:trHeight w:val="144"/>
        </w:trPr>
        <w:tc>
          <w:tcPr>
            <w:tcW w:w="1700" w:type="dxa"/>
            <w:vAlign w:val="bottom"/>
            <w:tcBorders>
              <w:top w:val="single" w:sz="8" w:color="auto"/>
            </w:tcBorders>
          </w:tcPr>
          <w:p>
            <w:pPr>
              <w:spacing w:after="0"/>
              <w:rPr>
                <w:sz w:val="12"/>
                <w:szCs w:val="12"/>
                <w:color w:val="auto"/>
              </w:rPr>
            </w:pPr>
          </w:p>
        </w:tc>
        <w:tc>
          <w:tcPr>
            <w:tcW w:w="8280" w:type="dxa"/>
            <w:vAlign w:val="bottom"/>
            <w:tcBorders>
              <w:top w:val="single" w:sz="8" w:color="auto"/>
            </w:tcBorders>
          </w:tcPr>
          <w:p>
            <w:pPr>
              <w:ind w:left="400"/>
              <w:spacing w:after="0" w:line="144" w:lineRule="exact"/>
              <w:rPr>
                <w:sz w:val="20"/>
                <w:szCs w:val="20"/>
                <w:color w:val="auto"/>
              </w:rPr>
            </w:pPr>
            <w:r>
              <w:rPr>
                <w:rFonts w:ascii="Arial" w:cs="Arial" w:eastAsia="Arial" w:hAnsi="Arial"/>
                <w:sz w:val="13"/>
                <w:szCs w:val="13"/>
                <w:color w:val="auto"/>
              </w:rPr>
              <w:t>James C. Mullen</w:t>
            </w:r>
          </w:p>
        </w:tc>
        <w:tc>
          <w:tcPr>
            <w:tcW w:w="2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Chief Executive Officer and</w:t>
            </w:r>
          </w:p>
        </w:tc>
      </w:tr>
      <w:tr>
        <w:trPr>
          <w:trHeight w:val="157"/>
        </w:trPr>
        <w:tc>
          <w:tcPr>
            <w:tcW w:w="1700" w:type="dxa"/>
            <w:vAlign w:val="bottom"/>
          </w:tcPr>
          <w:p>
            <w:pPr>
              <w:spacing w:after="0"/>
              <w:rPr>
                <w:sz w:val="13"/>
                <w:szCs w:val="13"/>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President</w:t>
            </w:r>
          </w:p>
        </w:tc>
      </w:tr>
      <w:tr>
        <w:trPr>
          <w:trHeight w:val="165"/>
        </w:trPr>
        <w:tc>
          <w:tcPr>
            <w:tcW w:w="1700" w:type="dxa"/>
            <w:vAlign w:val="bottom"/>
          </w:tcPr>
          <w:p>
            <w:pPr>
              <w:spacing w:after="0"/>
              <w:rPr>
                <w:sz w:val="14"/>
                <w:szCs w:val="14"/>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[principal executive officer]</w:t>
            </w:r>
          </w:p>
        </w:tc>
      </w:tr>
      <w:tr>
        <w:trPr>
          <w:trHeight w:val="482"/>
        </w:trPr>
        <w:tc>
          <w:tcPr>
            <w:tcW w:w="1700" w:type="dxa"/>
            <w:vAlign w:val="bottom"/>
          </w:tcPr>
          <w:p>
            <w:pPr>
              <w:spacing w:after="0"/>
              <w:rPr>
                <w:sz w:val="20"/>
                <w:szCs w:val="20"/>
                <w:color w:val="auto"/>
              </w:rPr>
            </w:pPr>
            <w:r>
              <w:rPr>
                <w:rFonts w:ascii="Arial" w:cs="Arial" w:eastAsia="Arial" w:hAnsi="Arial"/>
                <w:sz w:val="13"/>
                <w:szCs w:val="13"/>
                <w:color w:val="auto"/>
              </w:rPr>
              <w:t>Date: February 14, 2008</w:t>
            </w:r>
          </w:p>
        </w:tc>
        <w:tc>
          <w:tcPr>
            <w:tcW w:w="8300" w:type="dxa"/>
            <w:vAlign w:val="bottom"/>
            <w:gridSpan w:val="2"/>
          </w:tcPr>
          <w:p>
            <w:pPr>
              <w:jc w:val="right"/>
              <w:ind w:right="20"/>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J. C</w:t>
            </w:r>
            <w:r>
              <w:rPr>
                <w:rFonts w:ascii="Arial" w:cs="Arial" w:eastAsia="Arial" w:hAnsi="Arial"/>
                <w:sz w:val="8"/>
                <w:szCs w:val="8"/>
                <w:color w:val="auto"/>
              </w:rPr>
              <w:t>LANCY</w:t>
            </w:r>
          </w:p>
        </w:tc>
      </w:tr>
      <w:tr>
        <w:trPr>
          <w:trHeight w:val="139"/>
        </w:trPr>
        <w:tc>
          <w:tcPr>
            <w:tcW w:w="1700" w:type="dxa"/>
            <w:vAlign w:val="bottom"/>
            <w:tcBorders>
              <w:top w:val="single" w:sz="8" w:color="auto"/>
            </w:tcBorders>
          </w:tcPr>
          <w:p>
            <w:pPr>
              <w:spacing w:after="0"/>
              <w:rPr>
                <w:sz w:val="12"/>
                <w:szCs w:val="12"/>
                <w:color w:val="auto"/>
              </w:rPr>
            </w:pPr>
          </w:p>
        </w:tc>
        <w:tc>
          <w:tcPr>
            <w:tcW w:w="8280" w:type="dxa"/>
            <w:vAlign w:val="bottom"/>
            <w:tcBorders>
              <w:top w:val="single" w:sz="8" w:color="auto"/>
            </w:tcBorders>
          </w:tcPr>
          <w:p>
            <w:pPr>
              <w:ind w:left="400"/>
              <w:spacing w:after="0" w:line="139" w:lineRule="exact"/>
              <w:rPr>
                <w:sz w:val="20"/>
                <w:szCs w:val="20"/>
                <w:color w:val="auto"/>
              </w:rPr>
            </w:pPr>
            <w:r>
              <w:rPr>
                <w:rFonts w:ascii="Arial" w:cs="Arial" w:eastAsia="Arial" w:hAnsi="Arial"/>
                <w:sz w:val="13"/>
                <w:szCs w:val="13"/>
                <w:color w:val="auto"/>
              </w:rPr>
              <w:t>Paul J. Clancy</w:t>
            </w:r>
          </w:p>
        </w:tc>
        <w:tc>
          <w:tcPr>
            <w:tcW w:w="20" w:type="dxa"/>
            <w:vAlign w:val="bottom"/>
          </w:tcPr>
          <w:p>
            <w:pPr>
              <w:spacing w:after="0"/>
              <w:rPr>
                <w:sz w:val="12"/>
                <w:szCs w:val="12"/>
                <w:color w:val="auto"/>
              </w:rPr>
            </w:pPr>
          </w:p>
        </w:tc>
      </w:tr>
      <w:tr>
        <w:trPr>
          <w:trHeight w:val="157"/>
        </w:trPr>
        <w:tc>
          <w:tcPr>
            <w:tcW w:w="1700" w:type="dxa"/>
            <w:vAlign w:val="bottom"/>
          </w:tcPr>
          <w:p>
            <w:pPr>
              <w:spacing w:after="0"/>
              <w:rPr>
                <w:sz w:val="13"/>
                <w:szCs w:val="13"/>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Executive Vice President, Finance</w:t>
            </w:r>
          </w:p>
        </w:tc>
      </w:tr>
      <w:tr>
        <w:trPr>
          <w:trHeight w:val="157"/>
        </w:trPr>
        <w:tc>
          <w:tcPr>
            <w:tcW w:w="1700" w:type="dxa"/>
            <w:vAlign w:val="bottom"/>
          </w:tcPr>
          <w:p>
            <w:pPr>
              <w:spacing w:after="0"/>
              <w:rPr>
                <w:sz w:val="13"/>
                <w:szCs w:val="13"/>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and Chief Financial Officer</w:t>
            </w:r>
          </w:p>
        </w:tc>
      </w:tr>
      <w:tr>
        <w:trPr>
          <w:trHeight w:val="165"/>
        </w:trPr>
        <w:tc>
          <w:tcPr>
            <w:tcW w:w="1700" w:type="dxa"/>
            <w:vAlign w:val="bottom"/>
          </w:tcPr>
          <w:p>
            <w:pPr>
              <w:spacing w:after="0"/>
              <w:rPr>
                <w:sz w:val="14"/>
                <w:szCs w:val="14"/>
                <w:color w:val="auto"/>
              </w:rPr>
            </w:pPr>
          </w:p>
        </w:tc>
        <w:tc>
          <w:tcPr>
            <w:tcW w:w="8300" w:type="dxa"/>
            <w:vAlign w:val="bottom"/>
            <w:gridSpan w:val="2"/>
          </w:tcPr>
          <w:p>
            <w:pPr>
              <w:ind w:left="400"/>
              <w:spacing w:after="0"/>
              <w:rPr>
                <w:sz w:val="20"/>
                <w:szCs w:val="20"/>
                <w:color w:val="auto"/>
              </w:rPr>
            </w:pPr>
            <w:r>
              <w:rPr>
                <w:rFonts w:ascii="Arial" w:cs="Arial" w:eastAsia="Arial" w:hAnsi="Arial"/>
                <w:sz w:val="13"/>
                <w:szCs w:val="13"/>
                <w:color w:val="auto"/>
              </w:rPr>
              <w:t>[principal financial officer]</w:t>
            </w:r>
          </w:p>
        </w:tc>
      </w:tr>
    </w:tbl>
    <w:p>
      <w:pPr>
        <w:spacing w:after="0" w:line="81" w:lineRule="exact"/>
        <w:rPr>
          <w:sz w:val="20"/>
          <w:szCs w:val="20"/>
          <w:color w:val="auto"/>
        </w:rPr>
      </w:pPr>
    </w:p>
    <w:p>
      <w:pPr>
        <w:ind w:right="400" w:firstLine="399"/>
        <w:spacing w:after="0" w:line="276"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980"/>
      </w:cols>
      <w:pgMar w:left="900" w:top="71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o"/>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1)"/>
      <w:numFmt w:val="decimal"/>
      <w:start w:val="2"/>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decimal"/>
      <w:start w:val="1"/>
    </w:lvl>
  </w:abstractNum>
  <w:abstractNum w:abstractNumId="26">
    <w:nsid w:val="3B0FD379"/>
    <w:multiLevelType w:val="hybridMultilevel"/>
    <w:lvl w:ilvl="0">
      <w:lvlJc w:val="left"/>
      <w:lvlText w:val="(%1)"/>
      <w:numFmt w:val="decimal"/>
      <w:start w:val="6"/>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decimal"/>
      <w:start w:val="3"/>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decimal"/>
      <w:start w:val="10"/>
    </w:lvl>
  </w:abstractNum>
  <w:abstractNum w:abstractNumId="38">
    <w:nsid w:val="6F6DD9AC"/>
    <w:multiLevelType w:val="hybridMultilevel"/>
    <w:lvl w:ilvl="0">
      <w:lvlJc w:val="left"/>
      <w:lvlText w:val="(%1)"/>
      <w:numFmt w:val="decimal"/>
      <w:start w:val="23"/>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1."/>
      <w:numFmt w:val="decimal"/>
      <w:start w:val="2"/>
    </w:lvl>
  </w:abstractNum>
  <w:abstractNum w:abstractNumId="41">
    <w:nsid w:val="76272110"/>
    <w:multiLevelType w:val="hybridMultilevel"/>
    <w:lvl w:ilvl="0">
      <w:lvlJc w:val="left"/>
      <w:lvlText w:val="%1."/>
      <w:numFmt w:val="decimal"/>
      <w:start w:val="3"/>
    </w:lvl>
  </w:abstractNum>
  <w:abstractNum w:abstractNumId="42">
    <w:nsid w:val="4C04A8AF"/>
    <w:multiLevelType w:val="hybridMultilevel"/>
    <w:lvl w:ilvl="0">
      <w:lvlJc w:val="left"/>
      <w:lvlText w:val="%1."/>
      <w:numFmt w:val="decimal"/>
      <w:start w:val="5"/>
    </w:lvl>
  </w:abstractNum>
  <w:abstractNum w:abstractNumId="43">
    <w:nsid w:val="1716703B"/>
    <w:multiLevelType w:val="hybridMultilevel"/>
    <w:lvl w:ilvl="0">
      <w:lvlJc w:val="left"/>
      <w:lvlText w:val="%1."/>
      <w:numFmt w:val="decimal"/>
      <w:start w:val="6"/>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1."/>
      <w:numFmt w:val="decimal"/>
      <w:start w:val="8"/>
    </w:lvl>
  </w:abstractNum>
  <w:abstractNum w:abstractNumId="46">
    <w:nsid w:val="74DE0EE3"/>
    <w:multiLevelType w:val="hybridMultilevel"/>
    <w:lvl w:ilvl="0">
      <w:lvlJc w:val="left"/>
      <w:lvlText w:val="%1."/>
      <w:numFmt w:val="decimal"/>
      <w:start w:val="12"/>
    </w:lvl>
  </w:abstractNum>
  <w:abstractNum w:abstractNumId="47">
    <w:nsid w:val="68EBC550"/>
    <w:multiLevelType w:val="hybridMultilevel"/>
    <w:lvl w:ilvl="0">
      <w:lvlJc w:val="left"/>
      <w:lvlText w:val="%1."/>
      <w:numFmt w:val="decimal"/>
      <w:start w:val="14"/>
    </w:lvl>
  </w:abstractNum>
  <w:abstractNum w:abstractNumId="48">
    <w:nsid w:val="2DF6D648"/>
    <w:multiLevelType w:val="hybridMultilevel"/>
    <w:lvl w:ilvl="0">
      <w:lvlJc w:val="left"/>
      <w:lvlText w:val="%1."/>
      <w:numFmt w:val="decimal"/>
      <w:start w:val="15"/>
    </w:lvl>
  </w:abstractNum>
  <w:abstractNum w:abstractNumId="49">
    <w:nsid w:val="46B7D447"/>
    <w:multiLevelType w:val="hybridMultilevel"/>
    <w:lvl w:ilvl="0">
      <w:lvlJc w:val="left"/>
      <w:lvlText w:val="%1."/>
      <w:numFmt w:val="decimal"/>
      <w:start w:val="16"/>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1."/>
      <w:numFmt w:val="decimal"/>
      <w:start w:val="17"/>
    </w:lvl>
  </w:abstractNum>
  <w:abstractNum w:abstractNumId="52">
    <w:nsid w:val="57FC4FBB"/>
    <w:multiLevelType w:val="hybridMultilevel"/>
    <w:lvl w:ilvl="0">
      <w:lvlJc w:val="left"/>
      <w:lvlText w:val="%1."/>
      <w:numFmt w:val="decimal"/>
      <w:start w:val="18"/>
    </w:lvl>
  </w:abstractNum>
  <w:abstractNum w:abstractNumId="53">
    <w:nsid w:val="CC1016F"/>
    <w:multiLevelType w:val="hybridMultilevel"/>
    <w:lvl w:ilvl="0">
      <w:lvlJc w:val="left"/>
      <w:lvlText w:val="%1."/>
      <w:numFmt w:val="decimal"/>
      <w:start w:val="20"/>
    </w:lvl>
  </w:abstractNum>
  <w:abstractNum w:abstractNumId="54">
    <w:nsid w:val="43F18422"/>
    <w:multiLevelType w:val="hybridMultilevel"/>
    <w:lvl w:ilvl="0">
      <w:lvlJc w:val="left"/>
      <w:lvlText w:val="%1."/>
      <w:numFmt w:val="decimal"/>
      <w:start w:val="21"/>
    </w:lvl>
  </w:abstractNum>
  <w:abstractNum w:abstractNumId="55">
    <w:nsid w:val="60EF0119"/>
    <w:multiLevelType w:val="hybridMultilevel"/>
    <w:lvl w:ilvl="0">
      <w:lvlJc w:val="left"/>
      <w:lvlText w:val="%1."/>
      <w:numFmt w:val="decimal"/>
      <w:start w:val="22"/>
    </w:lvl>
  </w:abstractNum>
  <w:abstractNum w:abstractNumId="56">
    <w:nsid w:val="26F324BA"/>
    <w:multiLevelType w:val="hybridMultilevel"/>
    <w:lvl w:ilvl="0">
      <w:lvlJc w:val="left"/>
      <w:lvlText w:val="%1."/>
      <w:numFmt w:val="decimal"/>
      <w:start w:val="23"/>
    </w:lvl>
  </w:abstractNum>
  <w:abstractNum w:abstractNumId="57">
    <w:nsid w:val="7F01579B"/>
    <w:multiLevelType w:val="hybridMultilevel"/>
    <w:lvl w:ilvl="0">
      <w:lvlJc w:val="left"/>
      <w:lvlText w:val="%1."/>
      <w:numFmt w:val="decimal"/>
      <w:start w:val="24"/>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1"/>
      <w:numFmt w:val="decimal"/>
      <w:start w:val="1"/>
    </w:lvl>
    <w:lvl w:ilvl="1">
      <w:lvlJc w:val="left"/>
      <w:lvlText w:val="(%2)"/>
      <w:numFmt w:val="lowerLetter"/>
      <w:start w:val="3"/>
    </w:lvl>
  </w:abstractNum>
  <w:abstractNum w:abstractNumId="60">
    <w:nsid w:val="5FB8370B"/>
    <w:multiLevelType w:val="hybridMultilevel"/>
    <w:lvl w:ilvl="0">
      <w:lvlJc w:val="left"/>
      <w:lvlText w:val="%1."/>
      <w:numFmt w:val="decimal"/>
      <w:start w:val="26"/>
    </w:lvl>
    <w:lvl w:ilvl="1">
      <w:lvlJc w:val="left"/>
      <w:lvlText w:val="%2"/>
      <w:numFmt w:val="lowerLetter"/>
      <w:start w:val="1"/>
    </w:lvl>
  </w:abstractNum>
  <w:abstractNum w:abstractNumId="61">
    <w:nsid w:val="50801EE1"/>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9"/>
    </w:lvl>
  </w:abstractNum>
  <w:abstractNum w:abstractNumId="62">
    <w:nsid w:val="488AC1A"/>
    <w:multiLevelType w:val="hybridMultilevel"/>
    <w:lvl w:ilvl="0">
      <w:lvlJc w:val="left"/>
      <w:lvlText w:val="%1"/>
      <w:numFmt w:val="decimal"/>
      <w:start w:val="1"/>
    </w:lvl>
    <w:lvl w:ilvl="1">
      <w:lvlJc w:val="left"/>
      <w:lvlText w:val="(%2)"/>
      <w:numFmt w:val="lowerRoman"/>
      <w:start w:val="2"/>
    </w:lvl>
  </w:abstractNum>
  <w:abstractNum w:abstractNumId="63">
    <w:nsid w:val="5FB8011C"/>
    <w:multiLevelType w:val="hybridMultilevel"/>
    <w:lvl w:ilvl="0">
      <w:lvlJc w:val="left"/>
      <w:lvlText w:val="%1."/>
      <w:numFmt w:val="decimal"/>
      <w:start w:val="7"/>
    </w:lvl>
    <w:lvl w:ilvl="1">
      <w:lvlJc w:val="left"/>
      <w:lvlText w:val="(%2)"/>
      <w:numFmt w:val="lowerRoman"/>
      <w:start w:val="1"/>
    </w:lvl>
  </w:abstractNum>
  <w:abstractNum w:abstractNumId="64">
    <w:nsid w:val="6AA78F7F"/>
    <w:multiLevelType w:val="hybridMultilevel"/>
    <w:lvl w:ilvl="0">
      <w:lvlJc w:val="left"/>
      <w:lvlText w:val="%1"/>
      <w:numFmt w:val="upperLetter"/>
      <w:start w:val="1"/>
    </w:lvl>
    <w:lvl w:ilvl="1">
      <w:lvlJc w:val="left"/>
      <w:lvlText w:val="%2."/>
      <w:numFmt w:val="decimal"/>
      <w:start w:val="11"/>
    </w:lvl>
  </w:abstractNum>
  <w:abstractNum w:abstractNumId="65">
    <w:nsid w:val="7672BD23"/>
    <w:multiLevelType w:val="hybridMultilevel"/>
    <w:lvl w:ilvl="0">
      <w:lvlJc w:val="left"/>
      <w:lvlText w:val="(%1)"/>
      <w:numFmt w:val="lowerRoman"/>
      <w:start w:val="2"/>
    </w:lvl>
    <w:lvl w:ilvl="1">
      <w:lvlJc w:val="left"/>
      <w:lvlText w:val="%2."/>
      <w:numFmt w:val="upperLetter"/>
      <w:start w:val="2"/>
    </w:lvl>
  </w:abstractNum>
  <w:abstractNum w:abstractNumId="66">
    <w:nsid w:val="6FC75AF8"/>
    <w:multiLevelType w:val="hybridMultilevel"/>
    <w:lvl w:ilvl="0">
      <w:lvlJc w:val="left"/>
      <w:lvlText w:val="(%1)"/>
      <w:numFmt w:val="lowerRoman"/>
      <w:start w:val="2"/>
    </w:lvl>
    <w:lvl w:ilvl="1">
      <w:lvlJc w:val="left"/>
      <w:lvlText w:val="%2."/>
      <w:numFmt w:val="upperLetter"/>
      <w:start w:val="13"/>
    </w:lvl>
  </w:abstractNum>
  <w:abstractNum w:abstractNumId="67">
    <w:nsid w:val="6A5F7029"/>
    <w:multiLevelType w:val="hybridMultilevel"/>
    <w:lvl w:ilvl="0">
      <w:lvlJc w:val="left"/>
      <w:lvlText w:val="(%1)"/>
      <w:numFmt w:val="decimal"/>
      <w:start w:val="10"/>
    </w:lvl>
    <w:lvl w:ilvl="1">
      <w:lvlJc w:val="left"/>
      <w:lvlText w:val="%2."/>
      <w:numFmt w:val="upperLetter"/>
      <w:start w:val="15"/>
    </w:lvl>
  </w:abstractNum>
  <w:abstractNum w:abstractNumId="68">
    <w:nsid w:val="7D5E18F8"/>
    <w:multiLevelType w:val="hybridMultilevel"/>
    <w:lvl w:ilvl="0">
      <w:lvlJc w:val="left"/>
      <w:lvlText w:val="(%1)"/>
      <w:numFmt w:val="lowerRoman"/>
      <w:start w:val="3"/>
    </w:lvl>
  </w:abstractNum>
  <w:abstractNum w:abstractNumId="69">
    <w:nsid w:val="5F3534A4"/>
    <w:multiLevelType w:val="hybridMultilevel"/>
    <w:lvl w:ilvl="0">
      <w:lvlJc w:val="left"/>
      <w:lvlText w:val="%1"/>
      <w:numFmt w:val="upperLetter"/>
      <w:start w:val="1"/>
    </w:lvl>
    <w:lvl w:ilvl="1">
      <w:lvlJc w:val="left"/>
      <w:lvlText w:val="%2."/>
      <w:numFmt w:val="decimal"/>
      <w:start w:val="1"/>
    </w:lvl>
  </w:abstractNum>
  <w:abstractNum w:abstractNumId="70">
    <w:nsid w:val="73A1821B"/>
    <w:multiLevelType w:val="hybridMultilevel"/>
    <w:lvl w:ilvl="0">
      <w:lvlJc w:val="left"/>
      <w:lvlText w:val="(%1)"/>
      <w:numFmt w:val="upperLetter"/>
      <w:start w:val="1"/>
    </w:lvl>
    <w:lvl w:ilvl="1">
      <w:lvlJc w:val="left"/>
      <w:lvlText w:val="%2"/>
      <w:numFmt w:val="decimal"/>
      <w:start w:val="1"/>
    </w:lvl>
  </w:abstractNum>
  <w:abstractNum w:abstractNumId="71">
    <w:nsid w:val="7DE67713"/>
    <w:multiLevelType w:val="hybridMultilevel"/>
    <w:lvl w:ilvl="0">
      <w:lvlJc w:val="left"/>
      <w:lvlText w:val="1"/>
      <w:numFmt w:val="bullet"/>
      <w:start w:val="1"/>
    </w:lvl>
  </w:abstractNum>
  <w:abstractNum w:abstractNumId="72">
    <w:nsid w:val="555C55B5"/>
    <w:multiLevelType w:val="hybridMultilevel"/>
    <w:lvl w:ilvl="0">
      <w:lvlJc w:val="left"/>
      <w:lvlText w:val="2"/>
      <w:numFmt w:val="bullet"/>
      <w:start w:val="1"/>
    </w:lvl>
  </w:abstractNum>
  <w:abstractNum w:abstractNumId="73">
    <w:nsid w:val="3FA62ACA"/>
    <w:multiLevelType w:val="hybridMultilevel"/>
    <w:lvl w:ilvl="0">
      <w:lvlJc w:val="left"/>
      <w:lvlText w:val="%1."/>
      <w:numFmt w:val="decimal"/>
      <w:start w:val="1"/>
    </w:lvl>
    <w:lvl w:ilvl="1">
      <w:lvlJc w:val="left"/>
      <w:lvlText w:val="(%2)"/>
      <w:numFmt w:val="lowerLetter"/>
      <w:start w:val="1"/>
    </w:lvl>
  </w:abstractNum>
  <w:abstractNum w:abstractNumId="74">
    <w:nsid w:val="14FCE74E"/>
    <w:multiLevelType w:val="hybridMultilevel"/>
    <w:lvl w:ilvl="0">
      <w:lvlJc w:val="left"/>
      <w:lvlText w:val="(%1)"/>
      <w:numFmt w:val="lowerLetter"/>
      <w:start w:val="4"/>
    </w:lvl>
  </w:abstractNum>
  <w:abstractNum w:abstractNumId="75">
    <w:nsid w:val="6A3DD3E8"/>
    <w:multiLevelType w:val="hybridMultilevel"/>
    <w:lvl w:ilvl="0">
      <w:lvlJc w:val="left"/>
      <w:lvlText w:val="(%1)"/>
      <w:numFmt w:val="lowerLetter"/>
      <w:start w:val="6"/>
    </w:lvl>
  </w:abstractNum>
  <w:abstractNum w:abstractNumId="76">
    <w:nsid w:val="71C91298"/>
    <w:multiLevelType w:val="hybridMultilevel"/>
    <w:lvl w:ilvl="0">
      <w:lvlJc w:val="left"/>
      <w:lvlText w:val="(%1)"/>
      <w:numFmt w:val="lowerRoman"/>
      <w:start w:val="1"/>
    </w:lvl>
  </w:abstractNum>
  <w:abstractNum w:abstractNumId="77">
    <w:nsid w:val="9DAF632"/>
    <w:multiLevelType w:val="hybridMultilevel"/>
    <w:lvl w:ilvl="0">
      <w:lvlJc w:val="left"/>
      <w:lvlText w:val="(%1)"/>
      <w:numFmt w:val="upperLetter"/>
      <w:start w:val="1"/>
    </w:lvl>
  </w:abstractNum>
  <w:abstractNum w:abstractNumId="78">
    <w:nsid w:val="53299938"/>
    <w:multiLevelType w:val="hybridMultilevel"/>
    <w:lvl w:ilvl="0">
      <w:lvlJc w:val="left"/>
      <w:lvlText w:val="%1."/>
      <w:numFmt w:val="decimal"/>
      <w:start w:val="2"/>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1"/>
    </w:lvl>
    <w:lvl w:ilvl="1">
      <w:lvlJc w:val="left"/>
      <w:lvlText w:val="(%2)"/>
      <w:numFmt w:val="lowerLetter"/>
      <w:start w:val="2"/>
    </w:lvl>
  </w:abstractNum>
  <w:abstractNum w:abstractNumId="81">
    <w:nsid w:val="1D545C4D"/>
    <w:multiLevelType w:val="hybridMultilevel"/>
    <w:lvl w:ilvl="0">
      <w:lvlJc w:val="left"/>
      <w:lvlText w:val="(%1)"/>
      <w:numFmt w:val="lowerLetter"/>
      <w:start w:val="2"/>
    </w:lvl>
    <w:lvl w:ilvl="1">
      <w:lvlJc w:val="left"/>
      <w:lvlText w:val="%2"/>
      <w:numFmt w:val="lowerLetter"/>
      <w:start w:val="1"/>
    </w:lvl>
  </w:abstractNum>
  <w:abstractNum w:abstractNumId="82">
    <w:nsid w:val="59ADEA3D"/>
    <w:multiLevelType w:val="hybridMultilevel"/>
    <w:lvl w:ilvl="0">
      <w:lvlJc w:val="left"/>
      <w:lvlText w:val="(%1)"/>
      <w:numFmt w:val="lowerLetter"/>
      <w:start w:val="1"/>
    </w:lvl>
  </w:abstractNum>
  <w:abstractNum w:abstractNumId="83">
    <w:nsid w:val="288F1A34"/>
    <w:multiLevelType w:val="hybridMultilevel"/>
    <w:lvl w:ilvl="0">
      <w:lvlJc w:val="left"/>
      <w:lvlText w:val="(%1)"/>
      <w:numFmt w:val="lowerLetter"/>
      <w:start w:val="5"/>
    </w:lvl>
  </w:abstractNum>
  <w:abstractNum w:abstractNumId="84">
    <w:nsid w:val="2A155DBC"/>
    <w:multiLevelType w:val="hybridMultilevel"/>
    <w:lvl w:ilvl="0">
      <w:lvlJc w:val="left"/>
      <w:lvlText w:val="(%1)"/>
      <w:numFmt w:val="lowerLetter"/>
      <w:start w:val="6"/>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lowerLetter"/>
      <w:start w:val="2"/>
    </w:lvl>
  </w:abstractNum>
  <w:abstractNum w:abstractNumId="88">
    <w:nsid w:val="1CA0C5FA"/>
    <w:multiLevelType w:val="hybridMultilevel"/>
    <w:lvl w:ilvl="0">
      <w:lvlJc w:val="left"/>
      <w:lvlText w:val="(%1)"/>
      <w:numFmt w:val="lowerRoman"/>
      <w:start w:val="2"/>
    </w:lvl>
    <w:lvl w:ilvl="1">
      <w:lvlJc w:val="left"/>
      <w:lvlText w:val="(%2)"/>
      <w:numFmt w:val="upperLetter"/>
      <w:start w:val="1"/>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2"/>
    </w:lvl>
  </w:abstractNum>
  <w:abstractNum w:abstractNumId="92">
    <w:nsid w:val="23D86AAC"/>
    <w:multiLevelType w:val="hybridMultilevel"/>
    <w:lvl w:ilvl="0">
      <w:lvlJc w:val="left"/>
      <w:lvlText w:val="(%1)"/>
      <w:numFmt w:val="lowerLetter"/>
      <w:start w:val="5"/>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lowerLetter"/>
      <w:start w:val="1"/>
    </w:lvl>
    <w:lvl w:ilvl="1">
      <w:lvlJc w:val="left"/>
      <w:lvlText w:val="(%2)"/>
      <w:numFmt w:val="lowerLetter"/>
      <w:start w:val="35"/>
    </w:lvl>
  </w:abstractNum>
  <w:abstractNum w:abstractNumId="95">
    <w:nsid w:val="E7FFA2B"/>
    <w:multiLevelType w:val="hybridMultilevel"/>
    <w:lvl w:ilvl="0">
      <w:lvlJc w:val="left"/>
      <w:lvlText w:val="(%1)"/>
      <w:numFmt w:val="lowerLetter"/>
      <w:start w:val="2"/>
    </w:lvl>
    <w:lvl w:ilvl="1">
      <w:lvlJc w:val="left"/>
      <w:lvlText w:val="(%2)"/>
      <w:numFmt w:val="lowerLetter"/>
      <w:start w:val="9"/>
    </w:lvl>
  </w:abstractNum>
  <w:abstractNum w:abstractNumId="96">
    <w:nsid w:val="3C5991AA"/>
    <w:multiLevelType w:val="hybridMultilevel"/>
    <w:lvl w:ilvl="0">
      <w:lvlJc w:val="left"/>
      <w:lvlText w:val="%1"/>
      <w:numFmt w:val="lowerLetter"/>
      <w:start w:val="1"/>
    </w:lvl>
    <w:lvl w:ilvl="1">
      <w:lvlJc w:val="left"/>
      <w:lvlText w:val="(%2)"/>
      <w:numFmt w:val="lowerLetter"/>
      <w:start w:val="35"/>
    </w:lvl>
  </w:abstractNum>
  <w:abstractNum w:abstractNumId="97">
    <w:nsid w:val="4BD8591A"/>
    <w:multiLevelType w:val="hybridMultilevel"/>
    <w:lvl w:ilvl="0">
      <w:lvlJc w:val="left"/>
      <w:lvlText w:val="(%1)"/>
      <w:numFmt w:val="lowerLetter"/>
      <w:start w:val="4"/>
    </w:lvl>
    <w:lvl w:ilvl="1">
      <w:lvlJc w:val="left"/>
      <w:lvlText w:val="(%2)"/>
      <w:numFmt w:val="lowerLetter"/>
      <w:start w:val="9"/>
    </w:lvl>
  </w:abstractNum>
  <w:abstractNum w:abstractNumId="98">
    <w:nsid w:val="78DF6A55"/>
    <w:multiLevelType w:val="hybridMultilevel"/>
    <w:lvl w:ilvl="0">
      <w:lvlJc w:val="left"/>
      <w:lvlText w:val="%1"/>
      <w:numFmt w:val="lowerLetter"/>
      <w:start w:val="1"/>
    </w:lvl>
    <w:lvl w:ilvl="1">
      <w:lvlJc w:val="left"/>
      <w:lvlText w:val="(%2)"/>
      <w:numFmt w:val="lowerLetter"/>
      <w:start w:val="35"/>
    </w:lvl>
  </w:abstractNum>
  <w:abstractNum w:abstractNumId="99">
    <w:nsid w:val="39B7AAA2"/>
    <w:multiLevelType w:val="hybridMultilevel"/>
    <w:lvl w:ilvl="0">
      <w:lvlJc w:val="left"/>
      <w:lvlText w:val="(%1)"/>
      <w:numFmt w:val="lowerLetter"/>
      <w:start w:val="7"/>
    </w:lvl>
    <w:lvl w:ilvl="1">
      <w:lvlJc w:val="left"/>
      <w:lvlText w:val="%2"/>
      <w:numFmt w:val="lowerLetter"/>
      <w:start w:val="1"/>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Roman"/>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2C27173B"/>
    <w:multiLevelType w:val="hybridMultilevel"/>
    <w:lvl w:ilvl="0">
      <w:lvlJc w:val="left"/>
      <w:lvlText w:val="(%1)"/>
      <w:numFmt w:val="lowerLetter"/>
      <w:start w:val="3"/>
    </w:lvl>
  </w:abstractNum>
  <w:abstractNum w:abstractNumId="105">
    <w:nsid w:val="4C9B0904"/>
    <w:multiLevelType w:val="hybridMultilevel"/>
    <w:lvl w:ilvl="0">
      <w:lvlJc w:val="left"/>
      <w:lvlText w:val="(%1)"/>
      <w:numFmt w:val="lowerLetter"/>
      <w:start w:val="4"/>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2"/>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3"/>
    </w:lvl>
  </w:abstractNum>
  <w:abstractNum w:abstractNumId="115">
    <w:nsid w:val="53B0A9E"/>
    <w:multiLevelType w:val="hybridMultilevel"/>
    <w:lvl w:ilvl="0">
      <w:lvlJc w:val="left"/>
      <w:lvlText w:val="(%1)"/>
      <w:numFmt w:val="lowerLetter"/>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2"/>
    </w:lvl>
    <w:lvl w:ilvl="1">
      <w:lvlJc w:val="left"/>
      <w:lvlText w:val="(%2)"/>
      <w:numFmt w:val="lowerLetter"/>
      <w:start w:val="9"/>
    </w:lvl>
  </w:abstractNum>
  <w:abstractNum w:abstractNumId="118">
    <w:nsid w:val="56438D15"/>
    <w:multiLevelType w:val="hybridMultilevel"/>
    <w:lvl w:ilvl="0">
      <w:lvlJc w:val="left"/>
      <w:lvlText w:val="(%1)"/>
      <w:numFmt w:val="lowerRoman"/>
      <w:start w:val="2"/>
    </w:lvl>
    <w:lvl w:ilvl="1">
      <w:lvlJc w:val="left"/>
      <w:lvlText w:val="(%2)"/>
      <w:numFmt w:val="upperLetter"/>
      <w:start w:val="1"/>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3"/>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3">
    <w:nsid w:val="5046B5A9"/>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4">
    <w:nsid w:val="5D888A08"/>
    <w:multiLevelType w:val="hybridMultilevel"/>
    <w:lvl w:ilvl="0">
      <w:lvlJc w:val="left"/>
      <w:lvlText w:val="(%1)"/>
      <w:numFmt w:val="lowerLetter"/>
      <w:start w:val="3"/>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lowerLetter"/>
      <w:start w:val="2"/>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lowerLetter"/>
      <w:start w:val="1"/>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lvl w:ilvl="1">
      <w:lvlJc w:val="left"/>
      <w:lvlText w:val="%2)"/>
      <w:numFmt w:val="lowerLetter"/>
      <w:start w:val="1"/>
    </w:lvl>
  </w:abstractNum>
  <w:abstractNum w:abstractNumId="131">
    <w:nsid w:val="20EE134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2019-12-20T05:09:07Z</dcterms:created>
  <dcterms:modified xsi:type="dcterms:W3CDTF">2019-12-20T05:09:07Z</dcterms:modified>
</cp:coreProperties>
</file>