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July 23, 2019</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BIOGEN INC.</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672" w:right="239" w:bottom="1440" w:gutter="0" w:footer="0" w:header="0"/>
        </w:sectPr>
      </w:pPr>
    </w:p>
    <w:p>
      <w:pPr>
        <w:spacing w:after="0" w:line="231"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0-19311</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33-0112644</w:t>
      </w:r>
    </w:p>
    <w:p>
      <w:pPr>
        <w:spacing w:after="0" w:line="74" w:lineRule="exact"/>
        <w:rPr>
          <w:sz w:val="24"/>
          <w:szCs w:val="24"/>
          <w:color w:val="auto"/>
        </w:rPr>
      </w:pPr>
    </w:p>
    <w:p>
      <w:pPr>
        <w:sectPr>
          <w:pgSz w:w="11900" w:h="16838" w:orient="portrait"/>
          <w:cols w:equalWidth="0" w:num="3">
            <w:col w:w="5040" w:space="720"/>
            <w:col w:w="2480" w:space="720"/>
            <w:col w:w="2460"/>
          </w:cols>
          <w:pgMar w:left="240" w:top="672" w:right="239" w:bottom="1440" w:gutter="0" w:footer="0" w:header="0"/>
          <w:type w:val="continuous"/>
        </w:sectPr>
      </w:pPr>
    </w:p>
    <w:p>
      <w:pPr>
        <w:ind w:left="1000"/>
        <w:spacing w:after="0"/>
        <w:rPr>
          <w:sz w:val="20"/>
          <w:szCs w:val="20"/>
          <w:color w:val="auto"/>
        </w:rPr>
      </w:pPr>
      <w:r>
        <w:rPr>
          <w:rFonts w:ascii="Arial" w:cs="Arial" w:eastAsia="Arial" w:hAnsi="Arial"/>
          <w:sz w:val="14"/>
          <w:szCs w:val="14"/>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Arial" w:cs="Arial" w:eastAsia="Arial" w:hAnsi="Arial"/>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200" w:lineRule="exact"/>
        <w:rPr>
          <w:sz w:val="24"/>
          <w:szCs w:val="24"/>
          <w:color w:val="auto"/>
        </w:rPr>
      </w:pPr>
    </w:p>
    <w:p>
      <w:pPr>
        <w:sectPr>
          <w:pgSz w:w="11900" w:h="16838" w:orient="portrait"/>
          <w:cols w:equalWidth="0" w:num="3">
            <w:col w:w="4520" w:space="720"/>
            <w:col w:w="2440" w:space="720"/>
            <w:col w:w="3020"/>
          </w:cols>
          <w:pgMar w:left="240" w:top="672" w:right="2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225 Binney Street, Cambridge, Massachusetts 02142</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679-2000</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6" w:lineRule="exact"/>
        <w:rPr>
          <w:sz w:val="24"/>
          <w:szCs w:val="24"/>
          <w:color w:val="auto"/>
        </w:rPr>
      </w:pPr>
    </w:p>
    <w:p>
      <w:pPr>
        <w:spacing w:after="0" w:line="29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17"/>
                <w:szCs w:val="17"/>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37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Name of each exchange on which registered</w:t>
            </w:r>
          </w:p>
        </w:tc>
      </w:tr>
      <w:tr>
        <w:trPr>
          <w:trHeight w:val="253"/>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Common Stock, $0.0005 par value</w:t>
            </w:r>
          </w:p>
        </w:tc>
        <w:tc>
          <w:tcPr>
            <w:tcW w:w="3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BIIB</w:t>
            </w:r>
          </w:p>
        </w:tc>
        <w:tc>
          <w:tcPr>
            <w:tcW w:w="3760" w:type="dxa"/>
            <w:vAlign w:val="bottom"/>
          </w:tcPr>
          <w:p>
            <w:pPr>
              <w:ind w:left="460"/>
              <w:spacing w:after="0"/>
              <w:rPr>
                <w:sz w:val="20"/>
                <w:szCs w:val="20"/>
                <w:color w:val="auto"/>
              </w:rPr>
            </w:pPr>
            <w:r>
              <w:rPr>
                <w:rFonts w:ascii="Arial" w:cs="Arial" w:eastAsia="Arial" w:hAnsi="Arial"/>
                <w:sz w:val="18"/>
                <w:szCs w:val="18"/>
                <w:b w:val="1"/>
                <w:bCs w:val="1"/>
                <w:color w:val="auto"/>
              </w:rPr>
              <w:t>The Nasdaq Global Select Market</w:t>
            </w:r>
          </w:p>
        </w:tc>
      </w:tr>
    </w:tbl>
    <w:p>
      <w:pPr>
        <w:spacing w:after="0" w:line="141" w:lineRule="exact"/>
        <w:rPr>
          <w:sz w:val="24"/>
          <w:szCs w:val="24"/>
          <w:color w:val="auto"/>
        </w:rPr>
      </w:pPr>
    </w:p>
    <w:p>
      <w:pPr>
        <w:ind w:right="180"/>
        <w:spacing w:after="0" w:line="29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2" w:right="239" w:bottom="1440" w:gutter="0" w:footer="0" w:header="0"/>
          <w:type w:val="continuous"/>
        </w:sectPr>
      </w:pPr>
    </w:p>
    <w:bookmarkStart w:id="1" w:name="page2"/>
    <w:bookmarkEnd w:id="1"/>
    <w:p>
      <w:pPr>
        <w:spacing w:after="0"/>
        <w:tabs>
          <w:tab w:leader="none" w:pos="1160" w:val="left"/>
        </w:tabs>
        <w:rPr>
          <w:sz w:val="20"/>
          <w:szCs w:val="20"/>
          <w:color w:val="auto"/>
        </w:rPr>
      </w:pPr>
      <w:r>
        <w:rPr>
          <w:rFonts w:ascii="Arial" w:cs="Arial" w:eastAsia="Arial" w:hAnsi="Arial"/>
          <w:sz w:val="22"/>
          <w:szCs w:val="22"/>
          <w:b w:val="1"/>
          <w:bCs w:val="1"/>
          <w:color w:val="1C5A7D"/>
        </w:rPr>
        <w:t>Item 2.02</w:t>
      </w:r>
      <w:r>
        <w:rPr>
          <w:sz w:val="20"/>
          <w:szCs w:val="20"/>
          <w:color w:val="auto"/>
        </w:rPr>
        <w:tab/>
      </w:r>
      <w:r>
        <w:rPr>
          <w:rFonts w:ascii="Arial" w:cs="Arial" w:eastAsia="Arial" w:hAnsi="Arial"/>
          <w:sz w:val="21"/>
          <w:szCs w:val="21"/>
          <w:b w:val="1"/>
          <w:bCs w:val="1"/>
          <w:color w:val="1C5A7D"/>
        </w:rPr>
        <w:t>Results of Operations and Financial Condition.</w:t>
      </w:r>
    </w:p>
    <w:p>
      <w:pPr>
        <w:spacing w:after="0" w:line="220"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On July 23, 2019, Biogen Inc. issued a press release announcing its results of operations and financial condition for the second quarter ended June 30, 2019. A copy of the press release is furnished as Exhibit 99.1 and is incorporated herein by reference.</w:t>
      </w:r>
    </w:p>
    <w:p>
      <w:pPr>
        <w:spacing w:after="0" w:line="145"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The press release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w:t>
      </w:r>
    </w:p>
    <w:p>
      <w:pPr>
        <w:spacing w:after="0" w:line="19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1C5A7D"/>
        </w:rPr>
        <w:t>Item 9.01</w:t>
      </w:r>
      <w:r>
        <w:rPr>
          <w:sz w:val="20"/>
          <w:szCs w:val="20"/>
          <w:color w:val="auto"/>
        </w:rPr>
        <w:tab/>
      </w:r>
      <w:r>
        <w:rPr>
          <w:rFonts w:ascii="Arial" w:cs="Arial" w:eastAsia="Arial" w:hAnsi="Arial"/>
          <w:sz w:val="21"/>
          <w:szCs w:val="21"/>
          <w:b w:val="1"/>
          <w:bCs w:val="1"/>
          <w:color w:val="1C5A7D"/>
        </w:rPr>
        <w:t>Financial Statements and Exhibits.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 listed below is furnished as part of this Current Report on Form 8-K.</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80" w:type="dxa"/>
            <w:vAlign w:val="bottom"/>
          </w:tcPr>
          <w:p>
            <w:pPr>
              <w:spacing w:after="0"/>
              <w:rPr>
                <w:sz w:val="20"/>
                <w:szCs w:val="20"/>
                <w:color w:val="auto"/>
              </w:rPr>
            </w:pPr>
            <w:r>
              <w:rPr>
                <w:rFonts w:ascii="Arial" w:cs="Arial" w:eastAsia="Arial" w:hAnsi="Arial"/>
                <w:sz w:val="14"/>
                <w:szCs w:val="14"/>
                <w:color w:val="auto"/>
              </w:rPr>
              <w:t>Exhibit Number</w:t>
            </w:r>
          </w:p>
        </w:tc>
        <w:tc>
          <w:tcPr>
            <w:tcW w:w="1240" w:type="dxa"/>
            <w:vAlign w:val="bottom"/>
          </w:tcPr>
          <w:p>
            <w:pPr>
              <w:spacing w:after="0"/>
              <w:rPr>
                <w:sz w:val="14"/>
                <w:szCs w:val="14"/>
                <w:color w:val="auto"/>
              </w:rPr>
            </w:pPr>
          </w:p>
        </w:tc>
        <w:tc>
          <w:tcPr>
            <w:tcW w:w="350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9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240" w:type="dxa"/>
            <w:vAlign w:val="bottom"/>
          </w:tcPr>
          <w:p>
            <w:pPr>
              <w:spacing w:after="0"/>
              <w:rPr>
                <w:sz w:val="19"/>
                <w:szCs w:val="19"/>
                <w:color w:val="auto"/>
              </w:rPr>
            </w:pPr>
          </w:p>
        </w:tc>
        <w:tc>
          <w:tcPr>
            <w:tcW w:w="350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Biogen's press release dated July 23, 2019.</w:t>
              </w:r>
            </w:hyperlink>
          </w:p>
        </w:tc>
      </w:tr>
    </w:tbl>
    <w:p>
      <w:pPr>
        <w:sectPr>
          <w:pgSz w:w="11900" w:h="16838" w:orient="portrait"/>
          <w:cols w:equalWidth="0" w:num="1">
            <w:col w:w="11400"/>
          </w:cols>
          <w:pgMar w:left="240" w:top="819"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22"/>
          <w:szCs w:val="22"/>
          <w:b w:val="1"/>
          <w:bCs w:val="1"/>
          <w:color w:val="1C5A7D"/>
        </w:rPr>
        <w:t>SIGNATURES</w:t>
      </w:r>
    </w:p>
    <w:p>
      <w:pPr>
        <w:spacing w:after="0" w:line="220"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BIOGEN INC.</w:t>
      </w:r>
    </w:p>
    <w:p>
      <w:pPr>
        <w:spacing w:after="0" w:line="200" w:lineRule="exact"/>
        <w:rPr>
          <w:sz w:val="20"/>
          <w:szCs w:val="20"/>
          <w:color w:val="auto"/>
        </w:rPr>
      </w:pPr>
    </w:p>
    <w:p>
      <w:pPr>
        <w:spacing w:after="0" w:line="24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/s/James Basta</w:t>
      </w:r>
    </w:p>
    <w:p>
      <w:pPr>
        <w:spacing w:after="0" w:line="3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James Basta</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Corporation Counsel and Assistant Secretary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2019</w:t>
      </w:r>
    </w:p>
    <w:p>
      <w:pPr>
        <w:sectPr>
          <w:pgSz w:w="11900" w:h="16838" w:orient="portrait"/>
          <w:cols w:equalWidth="0" w:num="1">
            <w:col w:w="11200"/>
          </w:cols>
          <w:pgMar w:left="240" w:top="576" w:right="459" w:bottom="1440" w:gutter="0" w:footer="0" w:header="0"/>
        </w:sectPr>
      </w:pPr>
    </w:p>
    <w:bookmarkStart w:id="3" w:name="page4"/>
    <w:bookmarkEnd w:id="3"/>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58623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86230" cy="523240"/>
                    </a:xfrm>
                    <a:prstGeom prst="rect">
                      <a:avLst/>
                    </a:prstGeom>
                    <a:noFill/>
                  </pic:spPr>
                </pic:pic>
              </a:graphicData>
            </a:graphic>
          </wp:anchor>
        </w:drawing>
      </w:r>
    </w:p>
    <w:p>
      <w:pPr>
        <w:ind w:left="2520"/>
        <w:spacing w:after="0"/>
        <w:rPr>
          <w:sz w:val="20"/>
          <w:szCs w:val="20"/>
          <w:color w:val="auto"/>
        </w:rPr>
      </w:pPr>
      <w:r>
        <w:rPr>
          <w:rFonts w:ascii="Times New Roman" w:cs="Times New Roman" w:eastAsia="Times New Roman" w:hAnsi="Times New Roman"/>
          <w:sz w:val="22"/>
          <w:szCs w:val="22"/>
          <w:b w:val="1"/>
          <w:bCs w:val="1"/>
          <w:color w:val="auto"/>
        </w:rPr>
        <w:t>BIOGEN Q2 2019 REVENUES INCREASED 8% TO $3.6 BILLION</w:t>
      </w:r>
    </w:p>
    <w:p>
      <w:pPr>
        <w:spacing w:after="0" w:line="22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i w:val="1"/>
          <w:iCs w:val="1"/>
          <w:color w:val="auto"/>
        </w:rPr>
        <w:t>GAAP diluted EPS increased 88%; Non-GAAP diluted EPS increased 58%</w:t>
      </w:r>
    </w:p>
    <w:p>
      <w:pPr>
        <w:spacing w:after="0" w:line="22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i w:val="1"/>
          <w:iCs w:val="1"/>
          <w:color w:val="auto"/>
        </w:rPr>
        <w:t>Company raises full year 2019 financial guidance</w:t>
      </w:r>
    </w:p>
    <w:p>
      <w:pPr>
        <w:spacing w:after="0" w:line="22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i w:val="1"/>
          <w:iCs w:val="1"/>
          <w:color w:val="auto"/>
        </w:rPr>
        <w:t>New results from NURTURE study demonstrated compelling efficacy of SPINRAZA</w:t>
      </w:r>
    </w:p>
    <w:p>
      <w:pPr>
        <w:spacing w:after="0" w:line="22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i w:val="1"/>
          <w:iCs w:val="1"/>
          <w:color w:val="auto"/>
        </w:rPr>
        <w:t>Company completed acquisition of Nightstar Therapeutics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Cambridge, Mass., July 23, 2019 -- </w:t>
      </w:r>
      <w:r>
        <w:rPr>
          <w:rFonts w:ascii="Times New Roman" w:cs="Times New Roman" w:eastAsia="Times New Roman" w:hAnsi="Times New Roman"/>
          <w:sz w:val="22"/>
          <w:szCs w:val="22"/>
          <w:color w:val="auto"/>
        </w:rPr>
        <w:t>Biogen Inc. (Nasdaq: BIIB) today reported second quarter 2019 financial results.</w:t>
      </w:r>
    </w:p>
    <w:p>
      <w:pPr>
        <w:spacing w:after="0" w:line="22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2"/>
          <w:szCs w:val="22"/>
          <w:color w:val="auto"/>
        </w:rPr>
        <w:t>“Biogen delivered solid performance globally in the second quarter, and we believe we are on track for a strong year,” said Michel Vounatsos, Biogen’s Chief Executive Officer. “We added four new programs to our pipeline this quarter, as we continued to diversify and build depth within neuroscience and pursue therapeutic adjacencies. Specifically, the acquisition of Nightstar Therapeutics has provided us with two potentially first-in-class mid- to late-stage gene therapy programs in specialty ophthalmology, and we initiated two new studies in our priority areas of multiple sclerosis and amyotrophic lateral sclerosis. We continued to allocate capital, and we remain focused on investing in the areas we believe have the highest potential return for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w:t>
      </w:r>
    </w:p>
    <w:p>
      <w:pPr>
        <w:spacing w:after="0" w:line="224"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Second quarter total revenues were $3.6 billion, an 8% increase versus the second quarter of 2018.</w:t>
      </w:r>
    </w:p>
    <w:p>
      <w:pPr>
        <w:spacing w:after="0" w:line="27" w:lineRule="exact"/>
        <w:rPr>
          <w:rFonts w:ascii="Times New Roman" w:cs="Times New Roman" w:eastAsia="Times New Roman" w:hAnsi="Times New Roman"/>
          <w:sz w:val="18"/>
          <w:szCs w:val="18"/>
          <w:color w:val="auto"/>
        </w:rPr>
      </w:pPr>
    </w:p>
    <w:p>
      <w:pPr>
        <w:ind w:left="980" w:right="20" w:hanging="324"/>
        <w:spacing w:after="0" w:line="214"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Multiple sclerosis (MS) revenues, including $183 million in royalties on the sales of OCREVUS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increased 3% versus the prior year to $2.4 billion.</w:t>
      </w:r>
    </w:p>
    <w:p>
      <w:pPr>
        <w:ind w:left="980" w:right="80" w:hanging="324"/>
        <w:spacing w:after="0" w:line="214"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Revenue growth was driven in part by the continued global launch of SPINRAZA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which contributed $488 million in revenues in the second quarter of 2019 compared to $423 million in the second quarter of 2018.</w:t>
      </w:r>
    </w:p>
    <w:p>
      <w:pPr>
        <w:ind w:left="980" w:hanging="324"/>
        <w:spacing w:after="0" w:line="26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Revenue growth was also driven by biosimilars revenues, which increased to $184 million compared to $127 million in the second quarter of 2018, primarily driven by IMRALDI</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w:t>
      </w:r>
    </w:p>
    <w:p>
      <w:pPr>
        <w:spacing w:after="0" w:line="118" w:lineRule="exact"/>
        <w:rPr>
          <w:rFonts w:ascii="Times New Roman" w:cs="Times New Roman" w:eastAsia="Times New Roman" w:hAnsi="Times New Roman"/>
          <w:sz w:val="18"/>
          <w:szCs w:val="18"/>
          <w:color w:val="auto"/>
        </w:rPr>
      </w:pPr>
    </w:p>
    <w:p>
      <w:pPr>
        <w:ind w:left="340" w:right="20" w:hanging="332"/>
        <w:spacing w:after="0" w:line="254"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Second quarter GAAP net income and diluted earnings per share (EPS) attributable to Biogen Inc. were $1.5 billion and $7.85, respectively, compared to $867 million and $4.18, respectively, in the second quarter of 2018.</w:t>
      </w:r>
    </w:p>
    <w:p>
      <w:pPr>
        <w:spacing w:after="0" w:line="1" w:lineRule="exact"/>
        <w:rPr>
          <w:rFonts w:ascii="Times New Roman" w:cs="Times New Roman" w:eastAsia="Times New Roman" w:hAnsi="Times New Roman"/>
          <w:sz w:val="18"/>
          <w:szCs w:val="18"/>
          <w:color w:val="auto"/>
        </w:rPr>
      </w:pPr>
    </w:p>
    <w:p>
      <w:pPr>
        <w:ind w:left="980" w:right="60" w:hanging="324"/>
        <w:spacing w:after="0" w:line="245"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second quarter of 2018 GAAP net income and diluted EPS were impacted by $589 million and $2.84, net of tax, respectively, related to the 10-year exclusive agreement with Ionis Pharmaceuticals, Inc. (Ionis), the acquisition of BIIB104 from Pfizer Inc. (Pfizer), the option payment to Neurimmune SubOne AG, and the option agreement with TMS Co., Ltd. (TMS).</w:t>
      </w:r>
    </w:p>
    <w:p>
      <w:pPr>
        <w:sectPr>
          <w:pgSz w:w="11900" w:h="16838" w:orient="portrait"/>
          <w:cols w:equalWidth="0" w:num="1">
            <w:col w:w="11320"/>
          </w:cols>
          <w:pgMar w:left="240" w:top="1440" w:right="339" w:bottom="1440" w:gutter="0" w:footer="0" w:header="0"/>
        </w:sectPr>
      </w:pPr>
    </w:p>
    <w:bookmarkStart w:id="4" w:name="page5"/>
    <w:bookmarkEnd w:id="4"/>
    <w:p>
      <w:pPr>
        <w:ind w:left="340" w:right="300" w:hanging="332"/>
        <w:spacing w:after="0" w:line="25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Second quarter Non-GAAP net income and diluted EPS attributable to Biogen Inc. were $1.7 billion and $9.15, respectively, compared to $1.2 billion and $5.80, respectively, in the second quarter of 2018.</w:t>
      </w:r>
    </w:p>
    <w:p>
      <w:pPr>
        <w:spacing w:after="0" w:line="1" w:lineRule="exact"/>
        <w:rPr>
          <w:rFonts w:ascii="Times New Roman" w:cs="Times New Roman" w:eastAsia="Times New Roman" w:hAnsi="Times New Roman"/>
          <w:sz w:val="18"/>
          <w:szCs w:val="18"/>
          <w:color w:val="auto"/>
        </w:rPr>
      </w:pPr>
    </w:p>
    <w:p>
      <w:pPr>
        <w:ind w:left="980" w:right="100" w:hanging="324"/>
        <w:spacing w:after="0" w:line="248"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second quarter of 2018 Non-GAAP net income and diluted EPS were impacted by $314 million and $1.52, net of tax, respectively, related to the 10-year exclusive agreement with Ionis and the option agreement with TMS.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60" w:type="dxa"/>
            <w:vAlign w:val="bottom"/>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Q2 '19 v. Q2</w:t>
            </w: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Q2 '19 v. Q1</w:t>
            </w:r>
          </w:p>
        </w:tc>
      </w:tr>
      <w:tr>
        <w:trPr>
          <w:trHeight w:val="260"/>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40" w:type="dxa"/>
            <w:vAlign w:val="bottom"/>
            <w:shd w:val="clear" w:color="auto" w:fill="DDDDDD"/>
          </w:tcPr>
          <w:p>
            <w:pPr>
              <w:spacing w:after="0"/>
              <w:rPr>
                <w:sz w:val="22"/>
                <w:szCs w:val="22"/>
                <w:color w:val="auto"/>
              </w:rPr>
            </w:pPr>
          </w:p>
        </w:tc>
        <w:tc>
          <w:tcPr>
            <w:tcW w:w="900" w:type="dxa"/>
            <w:vAlign w:val="bottom"/>
            <w:shd w:val="clear" w:color="auto" w:fill="DDDDDD"/>
          </w:tcPr>
          <w:p>
            <w:pPr>
              <w:jc w:val="right"/>
              <w:ind w:right="155"/>
              <w:spacing w:after="0"/>
              <w:rPr>
                <w:sz w:val="20"/>
                <w:szCs w:val="20"/>
                <w:color w:val="auto"/>
              </w:rPr>
            </w:pPr>
            <w:r>
              <w:rPr>
                <w:rFonts w:ascii="Times New Roman" w:cs="Times New Roman" w:eastAsia="Times New Roman" w:hAnsi="Times New Roman"/>
                <w:sz w:val="18"/>
                <w:szCs w:val="18"/>
                <w:b w:val="1"/>
                <w:bCs w:val="1"/>
                <w:color w:val="2573BA"/>
              </w:rPr>
              <w:t>Q2 '19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Q2 '18</w:t>
            </w:r>
          </w:p>
        </w:tc>
        <w:tc>
          <w:tcPr>
            <w:tcW w:w="26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Q1 '19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'19</w:t>
            </w:r>
          </w:p>
        </w:tc>
      </w:tr>
      <w:tr>
        <w:trPr>
          <w:trHeight w:val="281"/>
        </w:trPr>
        <w:tc>
          <w:tcPr>
            <w:tcW w:w="60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 revenues</w:t>
            </w:r>
          </w:p>
        </w:tc>
        <w:tc>
          <w:tcPr>
            <w:tcW w:w="1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w:t>
            </w:r>
          </w:p>
        </w:tc>
        <w:tc>
          <w:tcPr>
            <w:tcW w:w="9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3,617</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22"/>
                <w:szCs w:val="22"/>
                <w:color w:val="auto"/>
              </w:rPr>
              <w:t>3,357</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22"/>
                <w:szCs w:val="22"/>
                <w:color w:val="auto"/>
              </w:rPr>
              <w:t>3,490</w:t>
            </w:r>
          </w:p>
        </w:tc>
        <w:tc>
          <w:tcPr>
            <w:tcW w:w="10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8%</w:t>
            </w:r>
          </w:p>
        </w:tc>
        <w:tc>
          <w:tcPr>
            <w:tcW w:w="12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4%</w:t>
            </w:r>
          </w:p>
        </w:tc>
      </w:tr>
      <w:tr>
        <w:trPr>
          <w:trHeight w:val="594"/>
        </w:trPr>
        <w:tc>
          <w:tcPr>
            <w:tcW w:w="6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GAAP net income#</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1,494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867</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1,409</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72%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6%</w:t>
            </w:r>
          </w:p>
        </w:tc>
      </w:tr>
      <w:tr>
        <w:trPr>
          <w:trHeight w:val="297"/>
        </w:trPr>
        <w:tc>
          <w:tcPr>
            <w:tcW w:w="6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GAAP diluted EPS</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7.85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4.18</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7.15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88%</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10%</w:t>
            </w:r>
          </w:p>
        </w:tc>
      </w:tr>
      <w:tr>
        <w:trPr>
          <w:trHeight w:val="594"/>
        </w:trPr>
        <w:tc>
          <w:tcPr>
            <w:tcW w:w="6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Non-GAAP net income#</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1,742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1,202</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1,374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45%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27%</w:t>
            </w:r>
          </w:p>
        </w:tc>
      </w:tr>
      <w:tr>
        <w:trPr>
          <w:trHeight w:val="312"/>
        </w:trPr>
        <w:tc>
          <w:tcPr>
            <w:tcW w:w="6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Non-GAAP diluted EPS</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9.15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5.80</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6.98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58%</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31%</w:t>
            </w:r>
          </w:p>
        </w:tc>
      </w:tr>
    </w:tbl>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Net income attributable to Biogen Inc.</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Note: Percent changes represented as favorable/(unfavorable)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reconciliation of GAAP to Non-GAAP quarterly financial results can be found in Table 3 at the end of this news release.</w:t>
      </w:r>
    </w:p>
    <w:p>
      <w:pPr>
        <w:sectPr>
          <w:pgSz w:w="11900" w:h="16838" w:orient="portrait"/>
          <w:cols w:equalWidth="0" w:num="1">
            <w:col w:w="11420"/>
          </w:cols>
          <w:pgMar w:left="240" w:top="585"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Revenue Highlights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80" w:type="dxa"/>
            <w:vAlign w:val="bottom"/>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Q2 '19 v. Q2</w:t>
            </w: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Q2 '19 v. Q1</w:t>
            </w: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DDDDDD"/>
          </w:tcPr>
          <w:p>
            <w:pPr>
              <w:spacing w:after="0"/>
              <w:rPr>
                <w:sz w:val="22"/>
                <w:szCs w:val="22"/>
                <w:color w:val="auto"/>
              </w:rPr>
            </w:pPr>
          </w:p>
        </w:tc>
        <w:tc>
          <w:tcPr>
            <w:tcW w:w="740"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b w:val="1"/>
                <w:bCs w:val="1"/>
                <w:color w:val="2573BA"/>
              </w:rPr>
              <w:t>Q2 '19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Q2 '18</w:t>
            </w:r>
          </w:p>
        </w:tc>
        <w:tc>
          <w:tcPr>
            <w:tcW w:w="26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Q1 '19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'19</w:t>
            </w:r>
          </w:p>
        </w:tc>
      </w:tr>
      <w:tr>
        <w:trPr>
          <w:trHeight w:val="281"/>
        </w:trPr>
        <w:tc>
          <w:tcPr>
            <w:tcW w:w="6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Multiple Sclerosis:</w:t>
            </w:r>
          </w:p>
        </w:tc>
        <w:tc>
          <w:tcPr>
            <w:tcW w:w="180" w:type="dxa"/>
            <w:vAlign w:val="bottom"/>
            <w:tcBorders>
              <w:top w:val="single" w:sz="8" w:color="auto"/>
            </w:tcBorders>
            <w:shd w:val="clear" w:color="auto" w:fill="DDDDDD"/>
          </w:tcPr>
          <w:p>
            <w:pPr>
              <w:spacing w:after="0"/>
              <w:rPr>
                <w:sz w:val="24"/>
                <w:szCs w:val="24"/>
                <w:color w:val="auto"/>
              </w:rPr>
            </w:pPr>
          </w:p>
        </w:tc>
        <w:tc>
          <w:tcPr>
            <w:tcW w:w="740" w:type="dxa"/>
            <w:vAlign w:val="bottom"/>
            <w:tcBorders>
              <w:top w:val="single" w:sz="8" w:color="auto"/>
            </w:tcBorders>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312"/>
        </w:trPr>
        <w:tc>
          <w:tcPr>
            <w:tcW w:w="6180" w:type="dxa"/>
            <w:vAlign w:val="bottom"/>
          </w:tcPr>
          <w:p>
            <w:pPr>
              <w:ind w:left="280"/>
              <w:spacing w:after="0" w:line="312" w:lineRule="exact"/>
              <w:rPr>
                <w:sz w:val="20"/>
                <w:szCs w:val="20"/>
                <w:color w:val="auto"/>
              </w:rPr>
            </w:pPr>
            <w:r>
              <w:rPr>
                <w:rFonts w:ascii="Times New Roman" w:cs="Times New Roman" w:eastAsia="Times New Roman" w:hAnsi="Times New Roman"/>
                <w:sz w:val="22"/>
                <w:szCs w:val="22"/>
                <w:color w:val="auto"/>
              </w:rPr>
              <w:t>TECFIDERA</w:t>
            </w:r>
            <w:r>
              <w:rPr>
                <w:rFonts w:ascii="Times New Roman" w:cs="Times New Roman" w:eastAsia="Times New Roman" w:hAnsi="Times New Roman"/>
                <w:sz w:val="28"/>
                <w:szCs w:val="28"/>
                <w:color w:val="auto"/>
                <w:vertAlign w:val="superscript"/>
              </w:rPr>
              <w:t>®</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22"/>
                <w:szCs w:val="22"/>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1,150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1,087</w:t>
            </w:r>
          </w:p>
        </w:tc>
        <w:tc>
          <w:tcPr>
            <w:tcW w:w="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999</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15%</w:t>
            </w:r>
          </w:p>
        </w:tc>
      </w:tr>
      <w:tr>
        <w:trPr>
          <w:trHeight w:val="283"/>
        </w:trPr>
        <w:tc>
          <w:tcPr>
            <w:tcW w:w="61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Total Interferon</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22"/>
                <w:szCs w:val="22"/>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554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626</w:t>
            </w:r>
          </w:p>
        </w:tc>
        <w:tc>
          <w:tcPr>
            <w:tcW w:w="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501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(11%)</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11%</w:t>
            </w:r>
          </w:p>
        </w:tc>
      </w:tr>
      <w:tr>
        <w:trPr>
          <w:trHeight w:val="287"/>
        </w:trPr>
        <w:tc>
          <w:tcPr>
            <w:tcW w:w="6180" w:type="dxa"/>
            <w:vAlign w:val="bottom"/>
          </w:tcPr>
          <w:p>
            <w:pPr>
              <w:ind w:left="500"/>
              <w:spacing w:after="0" w:line="286" w:lineRule="exact"/>
              <w:rPr>
                <w:sz w:val="20"/>
                <w:szCs w:val="20"/>
                <w:color w:val="auto"/>
              </w:rPr>
            </w:pPr>
            <w:r>
              <w:rPr>
                <w:rFonts w:ascii="Times New Roman" w:cs="Times New Roman" w:eastAsia="Times New Roman" w:hAnsi="Times New Roman"/>
                <w:sz w:val="18"/>
                <w:szCs w:val="18"/>
                <w:i w:val="1"/>
                <w:iCs w:val="1"/>
                <w:color w:val="auto"/>
              </w:rPr>
              <w:t>AVONEX</w:t>
            </w:r>
            <w:r>
              <w:rPr>
                <w:rFonts w:ascii="Times New Roman" w:cs="Times New Roman" w:eastAsia="Times New Roman" w:hAnsi="Times New Roman"/>
                <w:sz w:val="28"/>
                <w:szCs w:val="28"/>
                <w:i w:val="1"/>
                <w:iCs w:val="1"/>
                <w:color w:val="auto"/>
                <w:vertAlign w:val="superscript"/>
              </w:rPr>
              <w:t>®</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i w:val="1"/>
                <w:iCs w:val="1"/>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i w:val="1"/>
                <w:iCs w:val="1"/>
                <w:color w:val="2573BA"/>
              </w:rPr>
              <w:t>438</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rPr>
              <w:t>502</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rPr>
              <w:t>397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(13%)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10%</w:t>
            </w:r>
          </w:p>
        </w:tc>
      </w:tr>
      <w:tr>
        <w:trPr>
          <w:trHeight w:val="267"/>
        </w:trPr>
        <w:tc>
          <w:tcPr>
            <w:tcW w:w="6180" w:type="dxa"/>
            <w:vAlign w:val="bottom"/>
          </w:tcPr>
          <w:p>
            <w:pPr>
              <w:ind w:left="500"/>
              <w:spacing w:after="0" w:line="267" w:lineRule="exact"/>
              <w:rPr>
                <w:sz w:val="20"/>
                <w:szCs w:val="20"/>
                <w:color w:val="auto"/>
              </w:rPr>
            </w:pPr>
            <w:r>
              <w:rPr>
                <w:rFonts w:ascii="Times New Roman" w:cs="Times New Roman" w:eastAsia="Times New Roman" w:hAnsi="Times New Roman"/>
                <w:sz w:val="18"/>
                <w:szCs w:val="18"/>
                <w:i w:val="1"/>
                <w:iCs w:val="1"/>
                <w:color w:val="auto"/>
              </w:rPr>
              <w:t>PLEGRIDY</w:t>
            </w:r>
            <w:r>
              <w:rPr>
                <w:rFonts w:ascii="Times New Roman" w:cs="Times New Roman" w:eastAsia="Times New Roman" w:hAnsi="Times New Roman"/>
                <w:sz w:val="28"/>
                <w:szCs w:val="28"/>
                <w:i w:val="1"/>
                <w:iCs w:val="1"/>
                <w:color w:val="auto"/>
                <w:vertAlign w:val="superscript"/>
              </w:rPr>
              <w:t>®</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i w:val="1"/>
                <w:iCs w:val="1"/>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i w:val="1"/>
                <w:iCs w:val="1"/>
                <w:color w:val="2573BA"/>
              </w:rPr>
              <w:t>117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rPr>
              <w:t>124</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rPr>
              <w:t>104</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(6%)</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12%</w:t>
            </w:r>
          </w:p>
        </w:tc>
      </w:tr>
      <w:tr>
        <w:trPr>
          <w:trHeight w:val="297"/>
        </w:trPr>
        <w:tc>
          <w:tcPr>
            <w:tcW w:w="6180" w:type="dxa"/>
            <w:vAlign w:val="bottom"/>
          </w:tcPr>
          <w:p>
            <w:pPr>
              <w:ind w:left="280"/>
              <w:spacing w:after="0" w:line="297" w:lineRule="exact"/>
              <w:rPr>
                <w:sz w:val="20"/>
                <w:szCs w:val="20"/>
                <w:color w:val="auto"/>
              </w:rPr>
            </w:pPr>
            <w:r>
              <w:rPr>
                <w:rFonts w:ascii="Times New Roman" w:cs="Times New Roman" w:eastAsia="Times New Roman" w:hAnsi="Times New Roman"/>
                <w:sz w:val="22"/>
                <w:szCs w:val="22"/>
                <w:color w:val="auto"/>
              </w:rPr>
              <w:t>TYSABRI</w:t>
            </w:r>
            <w:r>
              <w:rPr>
                <w:rFonts w:ascii="Times New Roman" w:cs="Times New Roman" w:eastAsia="Times New Roman" w:hAnsi="Times New Roman"/>
                <w:sz w:val="28"/>
                <w:szCs w:val="28"/>
                <w:color w:val="auto"/>
                <w:vertAlign w:val="superscript"/>
              </w:rPr>
              <w:t>®</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22"/>
                <w:szCs w:val="22"/>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475</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467</w:t>
            </w:r>
          </w:p>
        </w:tc>
        <w:tc>
          <w:tcPr>
            <w:tcW w:w="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460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3%</w:t>
            </w:r>
          </w:p>
        </w:tc>
      </w:tr>
      <w:tr>
        <w:trPr>
          <w:trHeight w:val="298"/>
        </w:trPr>
        <w:tc>
          <w:tcPr>
            <w:tcW w:w="6180" w:type="dxa"/>
            <w:vAlign w:val="bottom"/>
          </w:tcPr>
          <w:p>
            <w:pPr>
              <w:ind w:left="280"/>
              <w:spacing w:after="0" w:line="297" w:lineRule="exact"/>
              <w:rPr>
                <w:sz w:val="20"/>
                <w:szCs w:val="20"/>
                <w:color w:val="auto"/>
              </w:rPr>
            </w:pPr>
            <w:r>
              <w:rPr>
                <w:rFonts w:ascii="Times New Roman" w:cs="Times New Roman" w:eastAsia="Times New Roman" w:hAnsi="Times New Roman"/>
                <w:sz w:val="22"/>
                <w:szCs w:val="22"/>
                <w:color w:val="auto"/>
              </w:rPr>
              <w:t>FAMPYRA</w:t>
            </w:r>
            <w:r>
              <w:rPr>
                <w:rFonts w:ascii="Times New Roman" w:cs="Times New Roman" w:eastAsia="Times New Roman" w:hAnsi="Times New Roman"/>
                <w:sz w:val="28"/>
                <w:szCs w:val="28"/>
                <w:color w:val="auto"/>
                <w:vertAlign w:val="superscript"/>
              </w:rPr>
              <w:t>TM</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22"/>
                <w:szCs w:val="22"/>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24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23</w:t>
            </w:r>
          </w:p>
        </w:tc>
        <w:tc>
          <w:tcPr>
            <w:tcW w:w="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23</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5%</w:t>
            </w:r>
          </w:p>
        </w:tc>
      </w:tr>
      <w:tr>
        <w:trPr>
          <w:trHeight w:val="579"/>
        </w:trPr>
        <w:tc>
          <w:tcPr>
            <w:tcW w:w="6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Spinal Muscular Atrophy:</w:t>
            </w:r>
          </w:p>
        </w:tc>
        <w:tc>
          <w:tcPr>
            <w:tcW w:w="180" w:type="dxa"/>
            <w:vAlign w:val="bottom"/>
            <w:shd w:val="clear" w:color="auto" w:fill="DDDDDD"/>
          </w:tcPr>
          <w:p>
            <w:pPr>
              <w:spacing w:after="0"/>
              <w:rPr>
                <w:sz w:val="24"/>
                <w:szCs w:val="24"/>
                <w:color w:val="auto"/>
              </w:rPr>
            </w:pPr>
          </w:p>
        </w:tc>
        <w:tc>
          <w:tcPr>
            <w:tcW w:w="740" w:type="dxa"/>
            <w:vAlign w:val="bottom"/>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61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SPINRAZA</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22"/>
                <w:szCs w:val="22"/>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488</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423</w:t>
            </w:r>
          </w:p>
        </w:tc>
        <w:tc>
          <w:tcPr>
            <w:tcW w:w="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518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(6%)</w:t>
            </w:r>
          </w:p>
        </w:tc>
      </w:tr>
      <w:tr>
        <w:trPr>
          <w:trHeight w:val="621"/>
        </w:trPr>
        <w:tc>
          <w:tcPr>
            <w:tcW w:w="6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Biosimilars:</w:t>
            </w:r>
          </w:p>
        </w:tc>
        <w:tc>
          <w:tcPr>
            <w:tcW w:w="180" w:type="dxa"/>
            <w:vAlign w:val="bottom"/>
            <w:shd w:val="clear" w:color="auto" w:fill="DDDDDD"/>
          </w:tcPr>
          <w:p>
            <w:pPr>
              <w:spacing w:after="0"/>
              <w:rPr>
                <w:sz w:val="24"/>
                <w:szCs w:val="24"/>
                <w:color w:val="auto"/>
              </w:rPr>
            </w:pPr>
          </w:p>
        </w:tc>
        <w:tc>
          <w:tcPr>
            <w:tcW w:w="740" w:type="dxa"/>
            <w:vAlign w:val="bottom"/>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2"/>
        </w:trPr>
        <w:tc>
          <w:tcPr>
            <w:tcW w:w="6180" w:type="dxa"/>
            <w:vAlign w:val="bottom"/>
          </w:tcPr>
          <w:p>
            <w:pPr>
              <w:ind w:left="280"/>
              <w:spacing w:after="0" w:line="312" w:lineRule="exact"/>
              <w:rPr>
                <w:sz w:val="20"/>
                <w:szCs w:val="20"/>
                <w:color w:val="auto"/>
              </w:rPr>
            </w:pPr>
            <w:r>
              <w:rPr>
                <w:rFonts w:ascii="Times New Roman" w:cs="Times New Roman" w:eastAsia="Times New Roman" w:hAnsi="Times New Roman"/>
                <w:sz w:val="22"/>
                <w:szCs w:val="22"/>
                <w:color w:val="auto"/>
              </w:rPr>
              <w:t>BENEPALI</w:t>
            </w:r>
            <w:r>
              <w:rPr>
                <w:rFonts w:ascii="Times New Roman" w:cs="Times New Roman" w:eastAsia="Times New Roman" w:hAnsi="Times New Roman"/>
                <w:sz w:val="28"/>
                <w:szCs w:val="28"/>
                <w:color w:val="auto"/>
                <w:vertAlign w:val="superscript"/>
              </w:rPr>
              <w:t>TM</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22"/>
                <w:szCs w:val="22"/>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120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116</w:t>
            </w:r>
          </w:p>
        </w:tc>
        <w:tc>
          <w:tcPr>
            <w:tcW w:w="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124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(3%)</w:t>
            </w:r>
          </w:p>
        </w:tc>
      </w:tr>
      <w:tr>
        <w:trPr>
          <w:trHeight w:val="283"/>
        </w:trPr>
        <w:tc>
          <w:tcPr>
            <w:tcW w:w="61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IMRALDI</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22"/>
                <w:szCs w:val="22"/>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47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0</w:t>
            </w:r>
          </w:p>
        </w:tc>
        <w:tc>
          <w:tcPr>
            <w:tcW w:w="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36</w:t>
            </w: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6"/>
              </w:rPr>
              <w:t>NMF</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32%</w:t>
            </w:r>
          </w:p>
        </w:tc>
      </w:tr>
      <w:tr>
        <w:trPr>
          <w:trHeight w:val="312"/>
        </w:trPr>
        <w:tc>
          <w:tcPr>
            <w:tcW w:w="6180" w:type="dxa"/>
            <w:vAlign w:val="bottom"/>
          </w:tcPr>
          <w:p>
            <w:pPr>
              <w:ind w:left="280"/>
              <w:spacing w:after="0" w:line="312" w:lineRule="exact"/>
              <w:rPr>
                <w:sz w:val="20"/>
                <w:szCs w:val="20"/>
                <w:color w:val="auto"/>
              </w:rPr>
            </w:pPr>
            <w:r>
              <w:rPr>
                <w:rFonts w:ascii="Times New Roman" w:cs="Times New Roman" w:eastAsia="Times New Roman" w:hAnsi="Times New Roman"/>
                <w:sz w:val="22"/>
                <w:szCs w:val="22"/>
                <w:color w:val="auto"/>
              </w:rPr>
              <w:t>FLIXABI</w:t>
            </w:r>
            <w:r>
              <w:rPr>
                <w:rFonts w:ascii="Times New Roman" w:cs="Times New Roman" w:eastAsia="Times New Roman" w:hAnsi="Times New Roman"/>
                <w:sz w:val="28"/>
                <w:szCs w:val="28"/>
                <w:color w:val="auto"/>
                <w:vertAlign w:val="superscript"/>
              </w:rPr>
              <w:t>TM</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22"/>
                <w:szCs w:val="22"/>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17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11</w:t>
            </w:r>
          </w:p>
        </w:tc>
        <w:tc>
          <w:tcPr>
            <w:tcW w:w="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15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14%</w:t>
            </w:r>
          </w:p>
        </w:tc>
      </w:tr>
      <w:tr>
        <w:trPr>
          <w:trHeight w:val="620"/>
        </w:trPr>
        <w:tc>
          <w:tcPr>
            <w:tcW w:w="6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Other Product Revenues:</w:t>
            </w:r>
          </w:p>
        </w:tc>
        <w:tc>
          <w:tcPr>
            <w:tcW w:w="180" w:type="dxa"/>
            <w:vAlign w:val="bottom"/>
            <w:shd w:val="clear" w:color="auto" w:fill="DDDDDD"/>
          </w:tcPr>
          <w:p>
            <w:pPr>
              <w:spacing w:after="0"/>
              <w:rPr>
                <w:sz w:val="24"/>
                <w:szCs w:val="24"/>
                <w:color w:val="auto"/>
              </w:rPr>
            </w:pPr>
          </w:p>
        </w:tc>
        <w:tc>
          <w:tcPr>
            <w:tcW w:w="740" w:type="dxa"/>
            <w:vAlign w:val="bottom"/>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0"/>
        </w:trPr>
        <w:tc>
          <w:tcPr>
            <w:tcW w:w="61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FUMADERM</w:t>
            </w:r>
            <w:r>
              <w:rPr>
                <w:rFonts w:ascii="Times New Roman" w:cs="Times New Roman" w:eastAsia="Times New Roman" w:hAnsi="Times New Roman"/>
                <w:sz w:val="28"/>
                <w:szCs w:val="28"/>
                <w:color w:val="auto"/>
                <w:vertAlign w:val="superscript"/>
              </w:rPr>
              <w:t>TM</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22"/>
                <w:szCs w:val="22"/>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6</w:t>
            </w:r>
          </w:p>
        </w:tc>
        <w:tc>
          <w:tcPr>
            <w:tcW w:w="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(33%)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(10%)</w:t>
            </w:r>
          </w:p>
        </w:tc>
      </w:tr>
      <w:tr>
        <w:trPr>
          <w:trHeight w:val="209"/>
        </w:trPr>
        <w:tc>
          <w:tcPr>
            <w:tcW w:w="6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74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80"/>
        </w:trPr>
        <w:tc>
          <w:tcPr>
            <w:tcW w:w="618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Total Product Revenues:</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22"/>
                <w:szCs w:val="22"/>
                <w:b w:val="1"/>
                <w:bCs w:val="1"/>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b w:val="1"/>
                <w:bCs w:val="1"/>
                <w:color w:val="2573BA"/>
              </w:rPr>
              <w:t>2,880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b w:val="1"/>
                <w:bCs w:val="1"/>
                <w:color w:val="auto"/>
              </w:rPr>
              <w:t>2,758</w:t>
            </w:r>
          </w:p>
        </w:tc>
        <w:tc>
          <w:tcPr>
            <w:tcW w:w="2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b w:val="1"/>
                <w:bCs w:val="1"/>
                <w:color w:val="auto"/>
              </w:rPr>
              <w:t>2,680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7%</w:t>
            </w:r>
          </w:p>
        </w:tc>
      </w:tr>
      <w:tr>
        <w:trPr>
          <w:trHeight w:val="590"/>
        </w:trPr>
        <w:tc>
          <w:tcPr>
            <w:tcW w:w="6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OCREVUS Royalties</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22"/>
                <w:szCs w:val="22"/>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183</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113</w:t>
            </w:r>
          </w:p>
        </w:tc>
        <w:tc>
          <w:tcPr>
            <w:tcW w:w="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112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62%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64%</w:t>
            </w:r>
          </w:p>
        </w:tc>
      </w:tr>
      <w:tr>
        <w:trPr>
          <w:trHeight w:val="312"/>
        </w:trPr>
        <w:tc>
          <w:tcPr>
            <w:tcW w:w="6180" w:type="dxa"/>
            <w:vAlign w:val="bottom"/>
          </w:tcPr>
          <w:p>
            <w:pPr>
              <w:ind w:left="40"/>
              <w:spacing w:after="0" w:line="312" w:lineRule="exact"/>
              <w:rPr>
                <w:sz w:val="20"/>
                <w:szCs w:val="20"/>
                <w:color w:val="auto"/>
              </w:rPr>
            </w:pPr>
            <w:r>
              <w:rPr>
                <w:rFonts w:ascii="Times New Roman" w:cs="Times New Roman" w:eastAsia="Times New Roman" w:hAnsi="Times New Roman"/>
                <w:sz w:val="22"/>
                <w:szCs w:val="22"/>
                <w:color w:val="auto"/>
              </w:rPr>
              <w:t>RITUXAN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/GAZYVA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Revenues</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22"/>
                <w:szCs w:val="22"/>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394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377</w:t>
            </w:r>
          </w:p>
        </w:tc>
        <w:tc>
          <w:tcPr>
            <w:tcW w:w="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406</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(3%)</w:t>
            </w:r>
          </w:p>
        </w:tc>
      </w:tr>
      <w:tr>
        <w:trPr>
          <w:trHeight w:val="283"/>
        </w:trPr>
        <w:tc>
          <w:tcPr>
            <w:tcW w:w="6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Other Revenues</w:t>
            </w:r>
          </w:p>
        </w:tc>
        <w:tc>
          <w:tcPr>
            <w:tcW w:w="180" w:type="dxa"/>
            <w:vAlign w:val="bottom"/>
            <w:shd w:val="clear" w:color="auto" w:fill="DDDDDD"/>
          </w:tcPr>
          <w:p>
            <w:pPr>
              <w:ind w:left="20"/>
              <w:spacing w:after="0"/>
              <w:rPr>
                <w:sz w:val="20"/>
                <w:szCs w:val="20"/>
                <w:color w:val="auto"/>
              </w:rPr>
            </w:pPr>
            <w:r>
              <w:rPr>
                <w:rFonts w:ascii="Times New Roman" w:cs="Times New Roman" w:eastAsia="Times New Roman" w:hAnsi="Times New Roman"/>
                <w:sz w:val="22"/>
                <w:szCs w:val="22"/>
                <w:color w:val="2573BA"/>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rPr>
              <w:t>160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109</w:t>
            </w:r>
          </w:p>
        </w:tc>
        <w:tc>
          <w:tcPr>
            <w:tcW w:w="2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22"/>
                <w:szCs w:val="22"/>
                <w:color w:val="auto"/>
              </w:rPr>
              <w:t>292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47%</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(45%)</w:t>
            </w:r>
          </w:p>
        </w:tc>
      </w:tr>
      <w:tr>
        <w:trPr>
          <w:trHeight w:val="312"/>
        </w:trPr>
        <w:tc>
          <w:tcPr>
            <w:tcW w:w="6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740" w:type="dxa"/>
            <w:vAlign w:val="bottom"/>
            <w:tcBorders>
              <w:bottom w:val="single" w:sz="8" w:color="auto"/>
            </w:tcBorders>
            <w:shd w:val="clear" w:color="auto" w:fill="DDDDDD"/>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85"/>
        </w:trPr>
        <w:tc>
          <w:tcPr>
            <w:tcW w:w="6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Revenues</w:t>
            </w:r>
          </w:p>
        </w:tc>
        <w:tc>
          <w:tcPr>
            <w:tcW w:w="18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22"/>
                <w:szCs w:val="22"/>
                <w:b w:val="1"/>
                <w:bCs w:val="1"/>
                <w:color w:val="2573BA"/>
              </w:rPr>
              <w:t>$</w:t>
            </w: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2"/>
                <w:szCs w:val="22"/>
                <w:b w:val="1"/>
                <w:bCs w:val="1"/>
                <w:color w:val="2573BA"/>
              </w:rPr>
              <w:t>3,617</w:t>
            </w:r>
          </w:p>
        </w:tc>
        <w:tc>
          <w:tcPr>
            <w:tcW w:w="2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w:t>
            </w:r>
          </w:p>
        </w:tc>
        <w:tc>
          <w:tcPr>
            <w:tcW w:w="7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2"/>
                <w:szCs w:val="22"/>
                <w:b w:val="1"/>
                <w:bCs w:val="1"/>
                <w:color w:val="auto"/>
              </w:rPr>
              <w:t>3,357</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w:t>
            </w:r>
          </w:p>
        </w:tc>
        <w:tc>
          <w:tcPr>
            <w:tcW w:w="7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2"/>
                <w:szCs w:val="22"/>
                <w:b w:val="1"/>
                <w:bCs w:val="1"/>
                <w:color w:val="auto"/>
              </w:rPr>
              <w:t>3,490</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8%</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4%</w:t>
            </w: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3"/>
        </w:trPr>
        <w:tc>
          <w:tcPr>
            <w:tcW w:w="6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85"/>
        </w:trPr>
        <w:tc>
          <w:tcPr>
            <w:tcW w:w="6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MS Product Revenues + OCREVUS Royalties</w:t>
            </w:r>
          </w:p>
        </w:tc>
        <w:tc>
          <w:tcPr>
            <w:tcW w:w="18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22"/>
                <w:szCs w:val="22"/>
                <w:b w:val="1"/>
                <w:bCs w:val="1"/>
                <w:color w:val="2573BA"/>
              </w:rPr>
              <w:t>$</w:t>
            </w: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2"/>
                <w:szCs w:val="22"/>
                <w:b w:val="1"/>
                <w:bCs w:val="1"/>
                <w:color w:val="2573BA"/>
              </w:rPr>
              <w:t>2,387</w:t>
            </w:r>
          </w:p>
        </w:tc>
        <w:tc>
          <w:tcPr>
            <w:tcW w:w="2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w:t>
            </w:r>
          </w:p>
        </w:tc>
        <w:tc>
          <w:tcPr>
            <w:tcW w:w="7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2"/>
                <w:szCs w:val="22"/>
                <w:b w:val="1"/>
                <w:bCs w:val="1"/>
                <w:color w:val="auto"/>
              </w:rPr>
              <w:t>2,316</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w:t>
            </w:r>
          </w:p>
        </w:tc>
        <w:tc>
          <w:tcPr>
            <w:tcW w:w="7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2"/>
                <w:szCs w:val="22"/>
                <w:b w:val="1"/>
                <w:bCs w:val="1"/>
                <w:color w:val="auto"/>
              </w:rPr>
              <w:t>2,095</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3%</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14%</w:t>
            </w:r>
          </w:p>
        </w:tc>
      </w:tr>
    </w:tbl>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Note: Numbers may not foot due to rounding; percent changes represented as favorable/(unfavorable)</w:t>
      </w:r>
    </w:p>
    <w:p>
      <w:pPr>
        <w:spacing w:after="0" w:line="262" w:lineRule="exact"/>
        <w:rPr>
          <w:sz w:val="20"/>
          <w:szCs w:val="20"/>
          <w:color w:val="auto"/>
        </w:rPr>
      </w:pPr>
    </w:p>
    <w:p>
      <w:pPr>
        <w:ind w:left="340" w:right="260" w:hanging="332"/>
        <w:spacing w:after="0" w:line="275" w:lineRule="auto"/>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In the second quarter of 2019 channel inventory levels in the U.S. decreased by approximately $25 million for TECFIDERA, AVONEX, PLEGRIDY, and TYSABRI combined. This compares to a decrease in inventory levels of approximately $175 million in the first quarter of 2019 and a decrease of approximately $50 million in the second quarter of 2018.</w:t>
      </w:r>
    </w:p>
    <w:p>
      <w:pPr>
        <w:spacing w:after="0" w:line="155" w:lineRule="exact"/>
        <w:rPr>
          <w:rFonts w:ascii="Times New Roman" w:cs="Times New Roman" w:eastAsia="Times New Roman" w:hAnsi="Times New Roman"/>
          <w:sz w:val="17"/>
          <w:szCs w:val="17"/>
          <w:color w:val="auto"/>
        </w:rPr>
      </w:pPr>
    </w:p>
    <w:p>
      <w:pPr>
        <w:ind w:left="340" w:right="40" w:hanging="332"/>
        <w:spacing w:after="0" w:line="249"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second quarter of 2019 SPINRAZA revenues comprised $231 million in sales in the U.S. and $258 million in sales outside the U.S. The number of commercial patients receiving SPINRAZA grew approximately 4% in the U.S. and approximately 17% outside the U.S. versus the first quarter of 2019. Versus the first quarter of 2019, SPINRAZA revenues outside the U.S. decreased 13%, due primarily to a positive pricing adjustment in France in the first quarter of 2019, the timing of shipments across several international markets, and a continued transition from loading to maintenance doses in more mature markets.</w:t>
      </w:r>
    </w:p>
    <w:p>
      <w:pPr>
        <w:sectPr>
          <w:pgSz w:w="11900" w:h="16838" w:orient="portrait"/>
          <w:cols w:equalWidth="0" w:num="1">
            <w:col w:w="11420"/>
          </w:cols>
          <w:pgMar w:left="240" w:top="581"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auto"/>
        </w:rPr>
        <w:t>Expense Highlights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60" w:type="dxa"/>
            <w:vAlign w:val="bottom"/>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88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Q2 '19 v. Q2</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Q2 '19 v. Q1</w:t>
            </w:r>
          </w:p>
        </w:tc>
      </w:tr>
      <w:tr>
        <w:trPr>
          <w:trHeight w:val="260"/>
        </w:trPr>
        <w:tc>
          <w:tcPr>
            <w:tcW w:w="5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shd w:val="clear" w:color="auto" w:fill="DDDDDD"/>
          </w:tcPr>
          <w:p>
            <w:pPr>
              <w:spacing w:after="0"/>
              <w:rPr>
                <w:sz w:val="22"/>
                <w:szCs w:val="22"/>
                <w:color w:val="auto"/>
              </w:rPr>
            </w:pPr>
          </w:p>
        </w:tc>
        <w:tc>
          <w:tcPr>
            <w:tcW w:w="880" w:type="dxa"/>
            <w:vAlign w:val="bottom"/>
            <w:shd w:val="clear" w:color="auto" w:fill="DDDDDD"/>
          </w:tcPr>
          <w:p>
            <w:pPr>
              <w:jc w:val="right"/>
              <w:ind w:right="175"/>
              <w:spacing w:after="0"/>
              <w:rPr>
                <w:sz w:val="20"/>
                <w:szCs w:val="20"/>
                <w:color w:val="auto"/>
              </w:rPr>
            </w:pPr>
            <w:r>
              <w:rPr>
                <w:rFonts w:ascii="Times New Roman" w:cs="Times New Roman" w:eastAsia="Times New Roman" w:hAnsi="Times New Roman"/>
                <w:sz w:val="18"/>
                <w:szCs w:val="18"/>
                <w:b w:val="1"/>
                <w:bCs w:val="1"/>
                <w:color w:val="2573BA"/>
              </w:rPr>
              <w:t>Q2 '19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Q2 '18</w:t>
            </w:r>
          </w:p>
        </w:tc>
        <w:tc>
          <w:tcPr>
            <w:tcW w:w="26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Q1 '19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'19</w:t>
            </w:r>
          </w:p>
        </w:tc>
      </w:tr>
      <w:tr>
        <w:trPr>
          <w:trHeight w:val="281"/>
        </w:trPr>
        <w:tc>
          <w:tcPr>
            <w:tcW w:w="5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GAAP cost of sales</w:t>
            </w:r>
          </w:p>
        </w:tc>
        <w:tc>
          <w:tcPr>
            <w:tcW w:w="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w w:val="90"/>
              </w:rPr>
              <w:t>$</w:t>
            </w:r>
          </w:p>
        </w:tc>
        <w:tc>
          <w:tcPr>
            <w:tcW w:w="880" w:type="dxa"/>
            <w:vAlign w:val="bottom"/>
            <w:tcBorders>
              <w:top w:val="single" w:sz="8" w:color="auto"/>
            </w:tcBorders>
            <w:shd w:val="clear" w:color="auto" w:fill="DDDDDD"/>
          </w:tcPr>
          <w:p>
            <w:pPr>
              <w:jc w:val="right"/>
              <w:ind w:right="15"/>
              <w:spacing w:after="0"/>
              <w:rPr>
                <w:sz w:val="20"/>
                <w:szCs w:val="20"/>
                <w:color w:val="auto"/>
              </w:rPr>
            </w:pPr>
            <w:r>
              <w:rPr>
                <w:rFonts w:ascii="Times New Roman" w:cs="Times New Roman" w:eastAsia="Times New Roman" w:hAnsi="Times New Roman"/>
                <w:sz w:val="22"/>
                <w:szCs w:val="22"/>
                <w:color w:val="2573BA"/>
              </w:rPr>
              <w:t>476</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22"/>
                <w:szCs w:val="22"/>
                <w:color w:val="auto"/>
              </w:rPr>
              <w:t>421</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602</w:t>
            </w:r>
          </w:p>
        </w:tc>
        <w:tc>
          <w:tcPr>
            <w:tcW w:w="12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(13%)</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21%</w:t>
            </w:r>
          </w:p>
        </w:tc>
      </w:tr>
      <w:tr>
        <w:trPr>
          <w:trHeight w:val="297"/>
        </w:trPr>
        <w:tc>
          <w:tcPr>
            <w:tcW w:w="5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Non-GAAP cost of sales</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w w:val="90"/>
              </w:rPr>
              <w:t>$</w:t>
            </w:r>
          </w:p>
        </w:tc>
        <w:tc>
          <w:tcPr>
            <w:tcW w:w="880" w:type="dxa"/>
            <w:vAlign w:val="bottom"/>
            <w:shd w:val="clear" w:color="auto" w:fill="DDDDDD"/>
          </w:tcPr>
          <w:p>
            <w:pPr>
              <w:jc w:val="right"/>
              <w:ind w:right="15"/>
              <w:spacing w:after="0"/>
              <w:rPr>
                <w:sz w:val="20"/>
                <w:szCs w:val="20"/>
                <w:color w:val="auto"/>
              </w:rPr>
            </w:pPr>
            <w:r>
              <w:rPr>
                <w:rFonts w:ascii="Times New Roman" w:cs="Times New Roman" w:eastAsia="Times New Roman" w:hAnsi="Times New Roman"/>
                <w:sz w:val="22"/>
                <w:szCs w:val="22"/>
                <w:color w:val="2573BA"/>
              </w:rPr>
              <w:t>476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22"/>
                <w:szCs w:val="22"/>
                <w:color w:val="auto"/>
              </w:rPr>
              <w:t>421</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21%</w:t>
            </w:r>
          </w:p>
        </w:tc>
      </w:tr>
      <w:tr>
        <w:trPr>
          <w:trHeight w:val="594"/>
        </w:trPr>
        <w:tc>
          <w:tcPr>
            <w:tcW w:w="5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GAAP R&amp;D</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w w:val="90"/>
              </w:rPr>
              <w:t>$</w:t>
            </w:r>
          </w:p>
        </w:tc>
        <w:tc>
          <w:tcPr>
            <w:tcW w:w="880" w:type="dxa"/>
            <w:vAlign w:val="bottom"/>
            <w:shd w:val="clear" w:color="auto" w:fill="DDDDDD"/>
          </w:tcPr>
          <w:p>
            <w:pPr>
              <w:jc w:val="right"/>
              <w:ind w:right="15"/>
              <w:spacing w:after="0"/>
              <w:rPr>
                <w:sz w:val="20"/>
                <w:szCs w:val="20"/>
                <w:color w:val="auto"/>
              </w:rPr>
            </w:pPr>
            <w:r>
              <w:rPr>
                <w:rFonts w:ascii="Times New Roman" w:cs="Times New Roman" w:eastAsia="Times New Roman" w:hAnsi="Times New Roman"/>
                <w:sz w:val="22"/>
                <w:szCs w:val="22"/>
                <w:color w:val="2573BA"/>
              </w:rPr>
              <w:t>485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22"/>
                <w:szCs w:val="22"/>
                <w:color w:val="auto"/>
              </w:rPr>
              <w:t>981</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51%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14%</w:t>
            </w:r>
          </w:p>
        </w:tc>
      </w:tr>
      <w:tr>
        <w:trPr>
          <w:trHeight w:val="297"/>
        </w:trPr>
        <w:tc>
          <w:tcPr>
            <w:tcW w:w="5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Non-GAAP R&amp;D</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w w:val="90"/>
              </w:rPr>
              <w:t>$</w:t>
            </w:r>
          </w:p>
        </w:tc>
        <w:tc>
          <w:tcPr>
            <w:tcW w:w="880" w:type="dxa"/>
            <w:vAlign w:val="bottom"/>
            <w:shd w:val="clear" w:color="auto" w:fill="DDDDDD"/>
          </w:tcPr>
          <w:p>
            <w:pPr>
              <w:jc w:val="right"/>
              <w:ind w:right="15"/>
              <w:spacing w:after="0"/>
              <w:rPr>
                <w:sz w:val="20"/>
                <w:szCs w:val="20"/>
                <w:color w:val="auto"/>
              </w:rPr>
            </w:pPr>
            <w:r>
              <w:rPr>
                <w:rFonts w:ascii="Times New Roman" w:cs="Times New Roman" w:eastAsia="Times New Roman" w:hAnsi="Times New Roman"/>
                <w:sz w:val="22"/>
                <w:szCs w:val="22"/>
                <w:color w:val="2573BA"/>
              </w:rPr>
              <w:t>477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22"/>
                <w:szCs w:val="22"/>
                <w:color w:val="auto"/>
              </w:rPr>
              <w:t>819</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42%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15%</w:t>
            </w:r>
          </w:p>
        </w:tc>
      </w:tr>
      <w:tr>
        <w:trPr>
          <w:trHeight w:val="594"/>
        </w:trPr>
        <w:tc>
          <w:tcPr>
            <w:tcW w:w="5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GAAP SG&amp;A</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w w:val="90"/>
              </w:rPr>
              <w:t>$</w:t>
            </w:r>
          </w:p>
        </w:tc>
        <w:tc>
          <w:tcPr>
            <w:tcW w:w="880" w:type="dxa"/>
            <w:vAlign w:val="bottom"/>
            <w:shd w:val="clear" w:color="auto" w:fill="DDDDDD"/>
          </w:tcPr>
          <w:p>
            <w:pPr>
              <w:jc w:val="right"/>
              <w:ind w:right="15"/>
              <w:spacing w:after="0"/>
              <w:rPr>
                <w:sz w:val="20"/>
                <w:szCs w:val="20"/>
                <w:color w:val="auto"/>
              </w:rPr>
            </w:pPr>
            <w:r>
              <w:rPr>
                <w:rFonts w:ascii="Times New Roman" w:cs="Times New Roman" w:eastAsia="Times New Roman" w:hAnsi="Times New Roman"/>
                <w:sz w:val="22"/>
                <w:szCs w:val="22"/>
                <w:color w:val="2573BA"/>
              </w:rPr>
              <w:t>588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22"/>
                <w:szCs w:val="22"/>
                <w:color w:val="auto"/>
              </w:rPr>
              <w:t>516</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568</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(4%)</w:t>
            </w:r>
          </w:p>
        </w:tc>
      </w:tr>
      <w:tr>
        <w:trPr>
          <w:trHeight w:val="312"/>
        </w:trPr>
        <w:tc>
          <w:tcPr>
            <w:tcW w:w="5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Non-GAAP SG&amp;A</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2"/>
                <w:szCs w:val="22"/>
                <w:color w:val="2573BA"/>
                <w:w w:val="90"/>
              </w:rPr>
              <w:t>$</w:t>
            </w:r>
          </w:p>
        </w:tc>
        <w:tc>
          <w:tcPr>
            <w:tcW w:w="880" w:type="dxa"/>
            <w:vAlign w:val="bottom"/>
            <w:shd w:val="clear" w:color="auto" w:fill="DDDDDD"/>
          </w:tcPr>
          <w:p>
            <w:pPr>
              <w:jc w:val="right"/>
              <w:ind w:right="15"/>
              <w:spacing w:after="0"/>
              <w:rPr>
                <w:sz w:val="20"/>
                <w:szCs w:val="20"/>
                <w:color w:val="auto"/>
              </w:rPr>
            </w:pPr>
            <w:r>
              <w:rPr>
                <w:rFonts w:ascii="Times New Roman" w:cs="Times New Roman" w:eastAsia="Times New Roman" w:hAnsi="Times New Roman"/>
                <w:sz w:val="22"/>
                <w:szCs w:val="22"/>
                <w:color w:val="2573BA"/>
              </w:rPr>
              <w:t>553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22"/>
                <w:szCs w:val="22"/>
                <w:color w:val="auto"/>
              </w:rPr>
              <w:t>512</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2%</w:t>
            </w:r>
          </w:p>
        </w:tc>
      </w:tr>
    </w:tbl>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Note: Percent changes represented as favorable/(unfavorable)</w:t>
      </w:r>
    </w:p>
    <w:p>
      <w:pPr>
        <w:spacing w:after="0" w:line="30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R&amp;D expense in the first quarter of 2019 included $39 million related to Biogen’s agreement with Skyhawk Therapeutics, Inc.</w:t>
      </w:r>
    </w:p>
    <w:p>
      <w:pPr>
        <w:spacing w:after="0" w:line="271" w:lineRule="exact"/>
        <w:rPr>
          <w:rFonts w:ascii="Times New Roman" w:cs="Times New Roman" w:eastAsia="Times New Roman" w:hAnsi="Times New Roman"/>
          <w:sz w:val="17"/>
          <w:szCs w:val="17"/>
          <w:color w:val="auto"/>
        </w:rPr>
      </w:pPr>
    </w:p>
    <w:p>
      <w:pPr>
        <w:ind w:left="340" w:right="360" w:hanging="332"/>
        <w:spacing w:after="0" w:line="27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R&amp;D expense in the first quarter of 2019 included approximately $45 million in net closeout costs for the Phase 3 studies of aducanumab in Alzheimer’s disease.</w:t>
      </w:r>
    </w:p>
    <w:p>
      <w:pPr>
        <w:spacing w:after="0" w:line="198" w:lineRule="exact"/>
        <w:rPr>
          <w:rFonts w:ascii="Times New Roman" w:cs="Times New Roman" w:eastAsia="Times New Roman" w:hAnsi="Times New Roman"/>
          <w:sz w:val="18"/>
          <w:szCs w:val="18"/>
          <w:color w:val="auto"/>
        </w:rPr>
      </w:pPr>
    </w:p>
    <w:p>
      <w:pPr>
        <w:ind w:left="340" w:right="120" w:hanging="332"/>
        <w:spacing w:after="0" w:line="257"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R&amp;D expense in the second quarter of 2018 included $324 million related to the upfront payment to Ionis under the 10-year exclusive agreement. In addition, GAAP R&amp;D expense in the second quarter of 2018 included a $162 million charge related to the premium paid on Biogen’s equity investment in Ionis.</w:t>
      </w:r>
    </w:p>
    <w:p>
      <w:pPr>
        <w:spacing w:after="0" w:line="213" w:lineRule="exact"/>
        <w:rPr>
          <w:rFonts w:ascii="Times New Roman" w:cs="Times New Roman" w:eastAsia="Times New Roman" w:hAnsi="Times New Roman"/>
          <w:sz w:val="18"/>
          <w:szCs w:val="18"/>
          <w:color w:val="auto"/>
        </w:rPr>
      </w:pPr>
    </w:p>
    <w:p>
      <w:pPr>
        <w:ind w:left="340" w:right="60" w:hanging="332"/>
        <w:spacing w:after="0" w:line="25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increase in GAAP SG&amp;A expense in the second quarter of 2019, as compared to the second quarter of 2018, was primarily due to acquisition related charges incurred in connection with our recent acquisition of Nightstar Therapeutics plc (NST), totaling approximately $33 million, including $18 million of stock-based compensation expense associated with the accelerated vesting of stock options previously granted to NST employees.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Financial Highlights</w:t>
      </w:r>
    </w:p>
    <w:p>
      <w:pPr>
        <w:spacing w:after="0" w:line="224" w:lineRule="exact"/>
        <w:rPr>
          <w:sz w:val="20"/>
          <w:szCs w:val="20"/>
          <w:color w:val="auto"/>
        </w:rPr>
      </w:pPr>
    </w:p>
    <w:p>
      <w:pPr>
        <w:ind w:left="340" w:right="2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the second quarter of 2019 GAAP other expense was $197 million, which included $174 million in net losses on investments, principally driven by a decrease in the fair value of Biogen’s equity investment in Ionis as well as a realized loss on the sale of a portion of Biogen’s investment in Ionis common stock versus the prior quarter. Biogen realized a $40 million cash gain when compared to the original cost basis on the shares the Company sold during the second quarter of 2019. Non-GAAP other expense for the second quarter of 2019 was $19 million.</w:t>
      </w:r>
    </w:p>
    <w:p>
      <w:pPr>
        <w:spacing w:after="0" w:line="181" w:lineRule="exact"/>
        <w:rPr>
          <w:rFonts w:ascii="Times New Roman" w:cs="Times New Roman" w:eastAsia="Times New Roman" w:hAnsi="Times New Roman"/>
          <w:sz w:val="18"/>
          <w:szCs w:val="18"/>
          <w:color w:val="auto"/>
        </w:rPr>
      </w:pPr>
    </w:p>
    <w:p>
      <w:pPr>
        <w:ind w:left="340" w:right="40" w:hanging="332"/>
        <w:spacing w:after="0" w:line="25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the second quarter of 2019 the Company’s effective GAAP and non-GAAP tax rates were approximately 14%. During the second quarter of 2019 Biogen’s tax rates benefitted from a change to the Company’s tax profile. This benefit is not expected to recur post 2019.</w:t>
      </w:r>
    </w:p>
    <w:p>
      <w:pPr>
        <w:sectPr>
          <w:pgSz w:w="11900" w:h="16838" w:orient="portrait"/>
          <w:cols w:equalWidth="0" w:num="1">
            <w:col w:w="11420"/>
          </w:cols>
          <w:pgMar w:left="240" w:top="581" w:right="239" w:bottom="1440" w:gutter="0" w:footer="0" w:header="0"/>
        </w:sectPr>
      </w:pPr>
    </w:p>
    <w:bookmarkStart w:id="7" w:name="page8"/>
    <w:bookmarkEnd w:id="7"/>
    <w:p>
      <w:pPr>
        <w:ind w:left="340" w:right="360" w:hanging="332"/>
        <w:spacing w:after="0" w:line="254"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second quarter of 2019 Biogen repurchased approximately 10.4 million shares of the Company’s common stock for a total value of approximately $2.4 billion.</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Biogen completed the remaining authorization under the share repurchase program authorized in August 2018.</w:t>
      </w:r>
    </w:p>
    <w:p>
      <w:pPr>
        <w:spacing w:after="0" w:line="3" w:lineRule="exact"/>
        <w:rPr>
          <w:rFonts w:ascii="Times New Roman" w:cs="Times New Roman" w:eastAsia="Times New Roman" w:hAnsi="Times New Roman"/>
          <w:sz w:val="18"/>
          <w:szCs w:val="18"/>
          <w:color w:val="auto"/>
        </w:rPr>
      </w:pPr>
    </w:p>
    <w:p>
      <w:pPr>
        <w:ind w:left="980" w:right="120" w:hanging="324"/>
        <w:spacing w:after="0" w:line="248"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As of June 30, 2019, there was approximately $4.1 billion remaining under the share repurchase program authorized in March 2019.</w:t>
      </w:r>
    </w:p>
    <w:p>
      <w:pPr>
        <w:spacing w:after="0" w:line="182" w:lineRule="exact"/>
        <w:rPr>
          <w:rFonts w:ascii="Times New Roman" w:cs="Times New Roman" w:eastAsia="Times New Roman" w:hAnsi="Times New Roman"/>
          <w:sz w:val="18"/>
          <w:szCs w:val="18"/>
          <w:color w:val="auto"/>
        </w:rPr>
      </w:pPr>
    </w:p>
    <w:p>
      <w:pPr>
        <w:ind w:left="340" w:right="460" w:hanging="332"/>
        <w:spacing w:after="0" w:line="27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As of June 30, 2019, Biogen had cash, cash equivalents, and marketable securities totaling approximately $4.3 billion, and approximately $5.9 billion in notes payable.</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second quarter of 2019 the Company generated $2.0 billion in net cash flows from operations.</w:t>
      </w:r>
    </w:p>
    <w:p>
      <w:pPr>
        <w:spacing w:after="0" w:line="21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the second quarter of 2019 the Company’s weighted average diluted shares were 190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2019 Financial Guidance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Biogen is raising its full year 2019 financial guidance. This financial guidance consists of the following components:</w:t>
      </w:r>
    </w:p>
    <w:p>
      <w:pPr>
        <w:spacing w:after="0" w:line="260" w:lineRule="exact"/>
        <w:rPr>
          <w:sz w:val="20"/>
          <w:szCs w:val="20"/>
          <w:color w:val="auto"/>
        </w:rPr>
      </w:pPr>
    </w:p>
    <w:p>
      <w:pPr>
        <w:ind w:left="340" w:right="1000" w:hanging="332"/>
        <w:spacing w:after="0" w:line="27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Revenue is expected to be approximately $14.0 billion to $14.2 billion, an increase from the prior guidance range of approximately $13.6 billion to $13.8 billion.</w:t>
      </w:r>
    </w:p>
    <w:p>
      <w:pPr>
        <w:spacing w:after="0" w:line="198" w:lineRule="exact"/>
        <w:rPr>
          <w:rFonts w:ascii="Times New Roman" w:cs="Times New Roman" w:eastAsia="Times New Roman" w:hAnsi="Times New Roman"/>
          <w:sz w:val="18"/>
          <w:szCs w:val="18"/>
          <w:color w:val="auto"/>
        </w:rPr>
      </w:pPr>
    </w:p>
    <w:p>
      <w:pPr>
        <w:ind w:left="340" w:right="100" w:hanging="332"/>
        <w:spacing w:after="0" w:line="27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GAAP and Non-GAAP R&amp;D expense is expected to be approximately 15.5% to 16.5% of total revenue, compared to the prior guidance range of approximately 16% to 17%.</w:t>
      </w:r>
    </w:p>
    <w:p>
      <w:pPr>
        <w:spacing w:after="0" w:line="198" w:lineRule="exact"/>
        <w:rPr>
          <w:rFonts w:ascii="Times New Roman" w:cs="Times New Roman" w:eastAsia="Times New Roman" w:hAnsi="Times New Roman"/>
          <w:sz w:val="18"/>
          <w:szCs w:val="18"/>
          <w:color w:val="auto"/>
        </w:rPr>
      </w:pPr>
    </w:p>
    <w:p>
      <w:pPr>
        <w:ind w:left="340" w:right="440" w:hanging="332"/>
        <w:spacing w:after="0" w:line="27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GAAP SG&amp;A expense is expected to be approximately 16% to 17% of total revenue, unchanged versus the prior guidance range.</w:t>
      </w:r>
    </w:p>
    <w:p>
      <w:pPr>
        <w:spacing w:after="0" w:line="198" w:lineRule="exact"/>
        <w:rPr>
          <w:rFonts w:ascii="Times New Roman" w:cs="Times New Roman" w:eastAsia="Times New Roman" w:hAnsi="Times New Roman"/>
          <w:sz w:val="18"/>
          <w:szCs w:val="18"/>
          <w:color w:val="auto"/>
        </w:rPr>
      </w:pPr>
    </w:p>
    <w:p>
      <w:pPr>
        <w:ind w:left="340" w:right="140" w:hanging="332"/>
        <w:spacing w:after="0" w:line="27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Non-GAAP SG&amp;A expense is expected to be approximately 15.5% to 16.5% of total revenue, compared to the prior guidance range of approximately 16% to 17%.</w:t>
      </w:r>
    </w:p>
    <w:p>
      <w:pPr>
        <w:spacing w:after="0" w:line="198" w:lineRule="exact"/>
        <w:rPr>
          <w:rFonts w:ascii="Times New Roman" w:cs="Times New Roman" w:eastAsia="Times New Roman" w:hAnsi="Times New Roman"/>
          <w:sz w:val="18"/>
          <w:szCs w:val="18"/>
          <w:color w:val="auto"/>
        </w:rPr>
      </w:pPr>
    </w:p>
    <w:p>
      <w:pPr>
        <w:ind w:left="340" w:right="120" w:hanging="332"/>
        <w:spacing w:after="0" w:line="27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GAAP tax rate is expected to be approximately 17% to 18%, compared to the prior guidance range of approximately 18.5% to 19.5%.</w:t>
      </w:r>
    </w:p>
    <w:p>
      <w:pPr>
        <w:spacing w:after="0" w:line="198" w:lineRule="exact"/>
        <w:rPr>
          <w:rFonts w:ascii="Times New Roman" w:cs="Times New Roman" w:eastAsia="Times New Roman" w:hAnsi="Times New Roman"/>
          <w:sz w:val="18"/>
          <w:szCs w:val="18"/>
          <w:color w:val="auto"/>
        </w:rPr>
      </w:pPr>
    </w:p>
    <w:p>
      <w:pPr>
        <w:ind w:left="340" w:right="200" w:hanging="332"/>
        <w:spacing w:after="0" w:line="27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Non-GAAP tax rate is expected to be approximately 15.5% to 16.5%, compared to the prior guidance range of approximately 18% to 19%.</w:t>
      </w:r>
    </w:p>
    <w:p>
      <w:pPr>
        <w:spacing w:after="0" w:line="198" w:lineRule="exact"/>
        <w:rPr>
          <w:rFonts w:ascii="Times New Roman" w:cs="Times New Roman" w:eastAsia="Times New Roman" w:hAnsi="Times New Roman"/>
          <w:sz w:val="18"/>
          <w:szCs w:val="18"/>
          <w:color w:val="auto"/>
        </w:rPr>
      </w:pPr>
    </w:p>
    <w:p>
      <w:pPr>
        <w:ind w:left="340" w:right="480" w:hanging="332"/>
        <w:spacing w:after="0" w:line="27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GAAP diluted EPS is expected to be between $29.60 and $30.40, an increase from the prior guidance range of $26.65 and $27.65.</w:t>
      </w:r>
    </w:p>
    <w:p>
      <w:pPr>
        <w:spacing w:after="0" w:line="198" w:lineRule="exact"/>
        <w:rPr>
          <w:rFonts w:ascii="Times New Roman" w:cs="Times New Roman" w:eastAsia="Times New Roman" w:hAnsi="Times New Roman"/>
          <w:sz w:val="18"/>
          <w:szCs w:val="18"/>
          <w:color w:val="auto"/>
        </w:rPr>
      </w:pPr>
    </w:p>
    <w:p>
      <w:pPr>
        <w:ind w:left="340" w:right="180" w:hanging="332"/>
        <w:spacing w:after="0" w:line="27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Non-GAAP diluted EPS is expected to be between $31.50 and $32.30, an increase from the prior guidance range of $28.00 to $29.00.</w:t>
      </w:r>
    </w:p>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financial guidance does not include any impact from potential acquisitions or large business development transactions, as both are hard to predict.</w:t>
      </w:r>
    </w:p>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Biogen may incur charges, realize gains, or experience other events or circumstances in 2019 that could cause actual results to vary from this financial guidance.</w:t>
      </w:r>
    </w:p>
    <w:p>
      <w:pPr>
        <w:sectPr>
          <w:pgSz w:w="11900" w:h="16838" w:orient="portrait"/>
          <w:cols w:equalWidth="0" w:num="1">
            <w:col w:w="11380"/>
          </w:cols>
          <w:pgMar w:left="240" w:top="585" w:right="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Recent Events</w:t>
      </w:r>
    </w:p>
    <w:p>
      <w:pPr>
        <w:spacing w:after="0" w:line="224" w:lineRule="exact"/>
        <w:rPr>
          <w:sz w:val="20"/>
          <w:szCs w:val="20"/>
          <w:color w:val="auto"/>
        </w:rPr>
      </w:pPr>
    </w:p>
    <w:p>
      <w:pPr>
        <w:ind w:left="340" w:hanging="332"/>
        <w:spacing w:after="0" w:line="237"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June and July 2019 Biogen presented new results from the NURTURE study, adding data to the longest study of spinal muscular atrophy (SMA) in pre-symptomatic infants (n=25). The data reported, after up to 45.1 months of analysis, continued to demonstrate efficacy and safety in patients treated pre-symptomatically with SPINRAZA in comparison to the natural history of SMA. These new data also showed that patients treated with SPINRAZA had continuous improvement, with the overwhelming majority of patients achieving motor milestones in a normal timeframe. These data were presented at the Cure SMA Annual SMA Conference in Anaheim, Calif. (June 28-July 1, 2019) and the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Congress of the European Academy of Neurology in Oslo, Norway (June 29-July 2, 2019).</w:t>
      </w:r>
    </w:p>
    <w:p>
      <w:pPr>
        <w:spacing w:after="0" w:line="195" w:lineRule="exact"/>
        <w:rPr>
          <w:rFonts w:ascii="Times New Roman" w:cs="Times New Roman" w:eastAsia="Times New Roman" w:hAnsi="Times New Roman"/>
          <w:sz w:val="18"/>
          <w:szCs w:val="18"/>
          <w:color w:val="auto"/>
        </w:rPr>
      </w:pPr>
    </w:p>
    <w:p>
      <w:pPr>
        <w:ind w:left="340" w:hanging="332"/>
        <w:spacing w:after="0" w:line="248"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June 2019 Roche announced positive topline results for NOBILITY, a Phase 2 study investigating the safety and efficacy of GAZYVA for adults with proliferative lupus nephritis. The study met its primary endpoint, showing GAZYVA, in combination with standard of care (mycophenolate mofetil or mycophenolic acid and corticosteroids), demonstrated enhanced efficacy compared to placebo plus standard of care alone in achieving complete renal response at one year. In addition, GAZYVA met key secondary endpoints showing improved overall renal responses (complete and partial renal response) and serologic markers of disease activity as compared to placebo. In the U.S., GAZYVA is part of a collaboration between Biogen and Genentech, Inc., a wholly-owned member of the Roche Group.</w:t>
      </w:r>
    </w:p>
    <w:p>
      <w:pPr>
        <w:spacing w:after="0" w:line="182" w:lineRule="exact"/>
        <w:rPr>
          <w:rFonts w:ascii="Times New Roman" w:cs="Times New Roman" w:eastAsia="Times New Roman" w:hAnsi="Times New Roman"/>
          <w:sz w:val="18"/>
          <w:szCs w:val="18"/>
          <w:color w:val="auto"/>
        </w:rPr>
      </w:pPr>
    </w:p>
    <w:p>
      <w:pPr>
        <w:ind w:left="340" w:right="300" w:hanging="332"/>
        <w:spacing w:after="0" w:line="25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June 2019 Biogen presented new data at the European Congress of Rheumatology (EULAR) 2019 in Madrid, Spain (June 12-15, 2019). The data included real-world evidence from the Company’s biosimilar anti-TNF portfolio, which includes BENEPALI (etanercept), FLIXABI (infliximab), and IMRALDI (adalimumab), confirming the safety and efficacy of these biosimilars and the high adherence of patients to treatment.</w:t>
      </w:r>
    </w:p>
    <w:p>
      <w:pPr>
        <w:spacing w:after="0" w:line="179" w:lineRule="exact"/>
        <w:rPr>
          <w:rFonts w:ascii="Times New Roman" w:cs="Times New Roman" w:eastAsia="Times New Roman" w:hAnsi="Times New Roman"/>
          <w:sz w:val="18"/>
          <w:szCs w:val="18"/>
          <w:color w:val="auto"/>
        </w:rPr>
      </w:pPr>
    </w:p>
    <w:p>
      <w:pPr>
        <w:ind w:left="340" w:right="40" w:hanging="332"/>
        <w:spacing w:after="0" w:line="248"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June 2019, at the EULAR conference, Biogen’s collaboration partner UCB presented interim results from the Phase 2b study of dapirolizumab pegol (DZP) in patients with active systemic lupus erythematosus (SLE) despite standard-of-care treatment. The primary endpoint of the study was to demonstrate a dose response at 24 weeks on the British Isles Lupus Assessment Group (BILAG)-based Composite Lupus Assessment (BICLA) (p=0.06). The study demonstrated consistent and potentially meaningful improvements for the majority of clinical endpoints in patients treated with DZP compared with placebo. In addition, biomarker data demonstrated evidence of proof of biology. DZP was well tolerated and demonstrated an acceptable safety profile.</w:t>
      </w:r>
    </w:p>
    <w:p>
      <w:pPr>
        <w:spacing w:after="0" w:line="182" w:lineRule="exact"/>
        <w:rPr>
          <w:rFonts w:ascii="Times New Roman" w:cs="Times New Roman" w:eastAsia="Times New Roman" w:hAnsi="Times New Roman"/>
          <w:sz w:val="18"/>
          <w:szCs w:val="18"/>
          <w:color w:val="auto"/>
        </w:rPr>
      </w:pPr>
    </w:p>
    <w:p>
      <w:pPr>
        <w:ind w:left="340" w:right="380" w:hanging="332"/>
        <w:spacing w:after="0" w:line="25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June 2019 Biogen completed its acquisition of NST, a clinical-stage gene therapy company focused on adeno-associated virus treatments for inherited retinal disorders. As a result of the acquisition, Biogen added two mid- to late-stage clinical assets, as well as preclinical programs, in ophthalmology. The total transaction value was approximately $800 million, after taking into account transaction expenses and cash acquired at closing.</w:t>
      </w:r>
    </w:p>
    <w:p>
      <w:pPr>
        <w:spacing w:after="0" w:line="179" w:lineRule="exact"/>
        <w:rPr>
          <w:rFonts w:ascii="Times New Roman" w:cs="Times New Roman" w:eastAsia="Times New Roman" w:hAnsi="Times New Roman"/>
          <w:sz w:val="18"/>
          <w:szCs w:val="18"/>
          <w:color w:val="auto"/>
        </w:rPr>
      </w:pPr>
    </w:p>
    <w:p>
      <w:pPr>
        <w:ind w:left="340" w:right="140" w:hanging="332"/>
        <w:spacing w:after="0" w:line="263"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In May 2019 Biogen presented new interim data from the ongoing open-label, pivotal EVOLVE-MS-1 study of BIIB098 (diroximel fumarate) in relapsing MS (RMS) at the annual meeting of the Consortium of Multiple Sclerosis Centers in Seattle, Wash. (May 28-June 1, 2019). These data indicated that diroximel fumarate was generally well tolerated and significantly reduced disease activity in newly diagnosed RMS patients and those previously treated with interferons or glatiramer acetate. Treatment discontinuations due to gastrointestinal events occurred at a low rate over one year. Diroximel fumarate is a novel oral fumarate candidate in development with Alkermes Pharma Ireland Limited, a subsidiary of Alkermes plc.</w:t>
      </w:r>
    </w:p>
    <w:p>
      <w:pPr>
        <w:sectPr>
          <w:pgSz w:w="11900" w:h="16838" w:orient="portrait"/>
          <w:cols w:equalWidth="0" w:num="1">
            <w:col w:w="11400"/>
          </w:cols>
          <w:pgMar w:left="240" w:top="581" w:right="259" w:bottom="1440" w:gutter="0" w:footer="0" w:header="0"/>
        </w:sectPr>
      </w:pPr>
    </w:p>
    <w:bookmarkStart w:id="9" w:name="page10"/>
    <w:bookmarkEnd w:id="9"/>
    <w:p>
      <w:pPr>
        <w:ind w:left="340" w:right="240" w:hanging="332"/>
        <w:spacing w:after="0" w:line="27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May 2019 Biogen’s collaboration partner Eisai, Co., Ltd. dosed the first patient in the global Phase 3 study (Clarity AD) of BAN2401 in early Alzheimer´s disease.</w:t>
      </w:r>
    </w:p>
    <w:p>
      <w:pPr>
        <w:spacing w:after="0" w:line="157" w:lineRule="exact"/>
        <w:rPr>
          <w:rFonts w:ascii="Times New Roman" w:cs="Times New Roman" w:eastAsia="Times New Roman" w:hAnsi="Times New Roman"/>
          <w:sz w:val="18"/>
          <w:szCs w:val="18"/>
          <w:color w:val="auto"/>
        </w:rPr>
      </w:pPr>
    </w:p>
    <w:p>
      <w:pPr>
        <w:jc w:val="both"/>
        <w:ind w:left="340" w:right="180" w:hanging="332"/>
        <w:spacing w:after="0" w:line="257"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May 2019 The National Institute for Health and Care Excellence (NICE) in the United Kingdom recommended funding for SPINRAZA on the National Health Service. The positive recommendation is for the treatment of infants, children, and adults with 5q SMA, including pre-symptomatic and symptomatic SMA Types 1, 2, and 3.</w:t>
      </w:r>
    </w:p>
    <w:p>
      <w:pPr>
        <w:spacing w:after="0" w:line="164" w:lineRule="exact"/>
        <w:rPr>
          <w:rFonts w:ascii="Times New Roman" w:cs="Times New Roman" w:eastAsia="Times New Roman" w:hAnsi="Times New Roman"/>
          <w:sz w:val="18"/>
          <w:szCs w:val="18"/>
          <w:color w:val="auto"/>
        </w:rPr>
      </w:pPr>
    </w:p>
    <w:p>
      <w:pPr>
        <w:ind w:left="340" w:right="20" w:hanging="332"/>
        <w:spacing w:after="0" w:line="237"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May 2019 Biogen presented new data for its MS portfolio at the 71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annual meeting of the American Academy of Neurology (AAN) in Philadelphia, Pa. (May 4-11, 2019). The presentations included data on the safety and efficacy of diroximel fumarate from the EVOLVE-MS-1 study, updated safety analyses evaluating extended interval dosing of approximately every six weeks for natalizumab compared to the approved every four-week dosing, and data demonstrating that treatment with TECFIDERA significantly slowed the rate of whole brain volume loss compared to placebo.</w:t>
      </w:r>
    </w:p>
    <w:p>
      <w:pPr>
        <w:spacing w:after="0" w:line="181" w:lineRule="exact"/>
        <w:rPr>
          <w:rFonts w:ascii="Times New Roman" w:cs="Times New Roman" w:eastAsia="Times New Roman" w:hAnsi="Times New Roman"/>
          <w:sz w:val="18"/>
          <w:szCs w:val="18"/>
          <w:color w:val="auto"/>
        </w:rPr>
      </w:pPr>
    </w:p>
    <w:p>
      <w:pPr>
        <w:ind w:left="340" w:right="260" w:hanging="332"/>
        <w:spacing w:after="0" w:line="233"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May 2019 Biogen presented new data at the 71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annual meeting of the AAN affirming the safety and durability of SPINRAZA, including data from the SHINE extension study, with patients followed for up to four years, and the NURTURE study of pre-symptomatic infants.</w:t>
      </w:r>
    </w:p>
    <w:p>
      <w:pPr>
        <w:spacing w:after="0" w:line="182" w:lineRule="exact"/>
        <w:rPr>
          <w:rFonts w:ascii="Times New Roman" w:cs="Times New Roman" w:eastAsia="Times New Roman" w:hAnsi="Times New Roman"/>
          <w:sz w:val="18"/>
          <w:szCs w:val="18"/>
          <w:color w:val="auto"/>
        </w:rPr>
      </w:pPr>
    </w:p>
    <w:p>
      <w:pPr>
        <w:ind w:left="340" w:hanging="332"/>
        <w:spacing w:after="0" w:line="237"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May 2019, at the 71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annual meeting of the AAN and The European Network for the Cure of ALS meeting in Tours, France (May 15-17, 2019), Biogen presented interim results of the Phase 1/2 study of BIIB067 (tofersen), an antisense oligonucleotide being studied for the potential treatment of amyotrophic lateral sclerosis (ALS) in adults with a confirmed superoxide dismutase 1 (SOD1) mutation. The data demonstrated a statistically significant reduction in SOD1 protein levels and a numerical trend towards slowing of clinical decline in SOD1-ALS patients treated with tofersen compared to placebo.</w:t>
      </w:r>
    </w:p>
    <w:p>
      <w:pPr>
        <w:spacing w:after="0" w:line="190" w:lineRule="exact"/>
        <w:rPr>
          <w:rFonts w:ascii="Times New Roman" w:cs="Times New Roman" w:eastAsia="Times New Roman" w:hAnsi="Times New Roman"/>
          <w:sz w:val="18"/>
          <w:szCs w:val="18"/>
          <w:color w:val="auto"/>
        </w:rPr>
      </w:pPr>
    </w:p>
    <w:p>
      <w:pPr>
        <w:ind w:left="340" w:right="100" w:hanging="332"/>
        <w:spacing w:after="0" w:line="25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In April 2019 Biogen published data from CS2/CS12, an open-label study of the safety and tolerability of SPINRAZA in individuals with later-onset SMA, in the peer-reviewed journal </w:t>
      </w:r>
      <w:r>
        <w:rPr>
          <w:rFonts w:ascii="Times New Roman" w:cs="Times New Roman" w:eastAsia="Times New Roman" w:hAnsi="Times New Roman"/>
          <w:sz w:val="22"/>
          <w:szCs w:val="22"/>
          <w:i w:val="1"/>
          <w:iCs w:val="1"/>
          <w:color w:val="auto"/>
        </w:rPr>
        <w:t>Neurology</w:t>
      </w:r>
      <w:r>
        <w:rPr>
          <w:rFonts w:ascii="Times New Roman" w:cs="Times New Roman" w:eastAsia="Times New Roman" w:hAnsi="Times New Roman"/>
          <w:sz w:val="22"/>
          <w:szCs w:val="22"/>
          <w:color w:val="auto"/>
        </w:rPr>
        <w:t>, the medical journal of the AAN. The data showed that individuals with later-onset SMA, treated with SPINRAZA, regained motor function that had been previously lost and that treatment stabilized their disease activity leading to improvements in activities of daily living.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and Webcast</w:t>
      </w:r>
    </w:p>
    <w:p>
      <w:pPr>
        <w:spacing w:after="0" w:line="3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2"/>
          <w:szCs w:val="22"/>
          <w:color w:val="auto"/>
        </w:rPr>
        <w:t xml:space="preserve">The Company’s earnings conference call for the second quarter will be broadcast via the internet at 8:00 a.m. ET on July 23, 2019, and will be accessible through the Investors section of Biogen’s website, </w:t>
      </w:r>
      <w:r>
        <w:rPr>
          <w:rFonts w:ascii="Times New Roman" w:cs="Times New Roman" w:eastAsia="Times New Roman" w:hAnsi="Times New Roman"/>
          <w:sz w:val="22"/>
          <w:szCs w:val="22"/>
          <w:u w:val="single" w:color="auto"/>
          <w:color w:val="0000FF"/>
        </w:rPr>
        <w:t>www.biogen.com</w:t>
      </w:r>
      <w:r>
        <w:rPr>
          <w:rFonts w:ascii="Times New Roman" w:cs="Times New Roman" w:eastAsia="Times New Roman" w:hAnsi="Times New Roman"/>
          <w:sz w:val="22"/>
          <w:szCs w:val="22"/>
          <w:color w:val="auto"/>
        </w:rPr>
        <w:t>. Supplemental information in the form of a slide presentation is also accessible at the same location on the internet and will be subsequently available on the website for at least one month.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Biogen</w:t>
      </w:r>
    </w:p>
    <w:p>
      <w:pPr>
        <w:spacing w:after="0" w:line="3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At Biogen, our mission is clear: we are pioneers in neuroscience. Biogen discovers, develops, and delivers worldwide innovative therapies for people living with serious neurological and neurodegenerative diseases as well as related therapeutic adjacencies. One of the world’s first global biotechnology companies, Biogen was founded in 1978 by Charles Weissmann, Heinz Schaller, Kenneth Murray, and Nobel Prize winners Walter Gilbert and Phillip Sharp, and today has the leading portfolio of medicines to treat multiple sclerosis, has introduced the first approved treatment for spinal muscular atrophy, commercializes biosimilars of advanced biologics, and is focused on advancing research programs in multiple sclerosis and neuroimmunology, neuromuscular disorders, movement disorders, Alzheimer’s disease and dementia, ophthalmology, immunology, neurocognitive disorders, acute neurology, and pain.</w:t>
      </w:r>
    </w:p>
    <w:p>
      <w:pPr>
        <w:sectPr>
          <w:pgSz w:w="11900" w:h="16838" w:orient="portrait"/>
          <w:cols w:equalWidth="0" w:num="1">
            <w:col w:w="11420"/>
          </w:cols>
          <w:pgMar w:left="240" w:top="80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We routinely post information that may be important to investors on our website at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www.biogen.com</w:t>
      </w:r>
      <w:r>
        <w:rPr>
          <w:rFonts w:ascii="Times New Roman" w:cs="Times New Roman" w:eastAsia="Times New Roman" w:hAnsi="Times New Roman"/>
          <w:sz w:val="22"/>
          <w:szCs w:val="22"/>
          <w:color w:val="000000"/>
        </w:rPr>
        <w:t>. Follow us on social media -</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Twitter</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LinkedIn</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Facebook</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YouTube</w:t>
      </w:r>
      <w:r>
        <w:rPr>
          <w:rFonts w:ascii="Times New Roman" w:cs="Times New Roman" w:eastAsia="Times New Roman" w:hAnsi="Times New Roman"/>
          <w:sz w:val="22"/>
          <w:szCs w:val="22"/>
          <w:color w:val="000000"/>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w:t>
      </w:r>
    </w:p>
    <w:p>
      <w:pPr>
        <w:spacing w:after="0" w:line="3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2"/>
          <w:szCs w:val="22"/>
          <w:color w:val="auto"/>
        </w:rPr>
        <w:t>This news release contains forward-looking statements, including statements made pursuant to the safe harbor provisions of the Private Securities Litigation Reform Act of 1995, relating to: our strategy and plans; potential of our commercial business and pipeline programs; capital allocation and investment strategy; clinical development programs, clinical trials, and data readouts and presentations; regulatory filings and the timing thereof; the potential benefits, safety, and efficacy of our products and investigational therapies; the anticipated benefits and potential of investments, collaborations, and business development activities; our future financial and operating results; 2019 financial guidance; and the anticipated timing of the proposed transaction with FUJIFILM Corporation. These forward-looking statements may be accompanied by such words as “aim,” “anticipate,” “believe,” “could,” “estimate,” “expect,” “forecast,” “intend,” “may,” “plan,” “potential,” “possible,” “will,” “would,” and other words and terms of similar meaning. Drug development and commercialization involve a high degree of risk, and only a small number of research and development programs result in commercialization of a product. Results in early stage clinical trials may not be indicative of full results or results from later stage or larger scale clinical trials and do not ensure regulatory approval. You should not place undue reliance on these statements or the scientific data presented.</w:t>
      </w:r>
    </w:p>
    <w:p>
      <w:pPr>
        <w:spacing w:after="0" w:line="19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These statements involve risks and uncertainties that could cause actual results to differ materially from those reflected in such statements, including: our dependence on sales from our products; difficulties in obtaining and maintaining adequate coverage, pricing, and reimbursement for our products; failure to protect and enforce our data, intellectual property, and other proprietary rights and the risks and uncertainties relating to intellectual property claims and challenges; uncertainty of long-term success in developing, licensing, or acquiring other product candidates or additional indications for existing products; failure to compete effectively due to significant product competition in the markets for our products; failure to successfully execute or realize the anticipated benefits of our strategic and growth initiatives; risks relating to technology failures or breaches;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the occurrence of adverse safety events, restrictions on use with our products, or product liability claims; our dependence on collaborators, joint venture partners, and other third parties for the development, regulatory approval, and commercialization of products and other aspects of our business, which are outside of our full control; risks associated with current and potential future healthcare reforms; failure to comply with legal and regulatory requirements; the risks of doing business internationally, including currency exchange rate fluctuations; risks relating to management and key personnel changes, including attracting and retaining key personnel; risks relating to investment in our manufacturing capacity; problems with our manufacturing processes; risks related to commercialization of biosimilars; fluctuations in our operating results; fluctuations in our effective tax rate; risks related to investment in properties; the market, interest, and credit risks associated with our portfolio of marketable securities; risks relating to share repurchase programs; risks relating to access to capital and credit markets; risks related to indebtedness; environmental risks; risks relating to the distribution and sale by third parties of counterfeit or unfit versions of our products; risks relating to the use of social media for our business; change in control provisions in certain of our collaboration</w:t>
      </w:r>
    </w:p>
    <w:p>
      <w:pPr>
        <w:sectPr>
          <w:pgSz w:w="11900" w:h="16838" w:orient="portrait"/>
          <w:cols w:equalWidth="0" w:num="1">
            <w:col w:w="11360"/>
          </w:cols>
          <w:pgMar w:left="240" w:top="801" w:right="299" w:bottom="1440" w:gutter="0" w:footer="0" w:header="0"/>
        </w:sectPr>
      </w:pPr>
    </w:p>
    <w:bookmarkStart w:id="11" w:name="page12"/>
    <w:bookmarkEnd w:id="11"/>
    <w:p>
      <w:pPr>
        <w:jc w:val="both"/>
        <w:spacing w:after="0" w:line="250" w:lineRule="auto"/>
        <w:rPr>
          <w:sz w:val="20"/>
          <w:szCs w:val="20"/>
          <w:color w:val="auto"/>
        </w:rPr>
      </w:pPr>
      <w:r>
        <w:rPr>
          <w:rFonts w:ascii="Times New Roman" w:cs="Times New Roman" w:eastAsia="Times New Roman" w:hAnsi="Times New Roman"/>
          <w:sz w:val="22"/>
          <w:szCs w:val="22"/>
          <w:color w:val="auto"/>
        </w:rPr>
        <w:t>agreements; risks that our proposed transaction with FUJIFILM Corporation will not be completed in a timely manner or at all; the possibility that certain closing conditions to our proposed transaction with FUJIFILM Corporation will not be satisfied; uncertainty as to whether the anticipated benefits of our proposed transaction with FUJIFILM Corporation can be achieved; and the other risks and uncertainties that are described in the Risk Factors section of our most recent annual or quarterly report and in other reports we have filed with the U.S. Securities and Exchange Commission.</w:t>
      </w:r>
    </w:p>
    <w:p>
      <w:pPr>
        <w:spacing w:after="0" w:line="181"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These statements are based on our current beliefs and expectations and speak only as of the date of this news release. We do not undertake any obligation to publicly update any forward-looking statements.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9"/>
              </w:rPr>
              <w:t>Biogen Media Contact:</w:t>
            </w:r>
          </w:p>
        </w:tc>
        <w:tc>
          <w:tcPr>
            <w:tcW w:w="3000" w:type="dxa"/>
            <w:vAlign w:val="bottom"/>
          </w:tcPr>
          <w:p>
            <w:pPr>
              <w:ind w:left="680"/>
              <w:spacing w:after="0"/>
              <w:rPr>
                <w:sz w:val="20"/>
                <w:szCs w:val="20"/>
                <w:color w:val="auto"/>
              </w:rPr>
            </w:pPr>
            <w:r>
              <w:rPr>
                <w:rFonts w:ascii="Times New Roman" w:cs="Times New Roman" w:eastAsia="Times New Roman" w:hAnsi="Times New Roman"/>
                <w:sz w:val="22"/>
                <w:szCs w:val="22"/>
                <w:b w:val="1"/>
                <w:bCs w:val="1"/>
                <w:color w:val="auto"/>
                <w:w w:val="97"/>
              </w:rPr>
              <w:t>Biogen Investor Contact: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David Caouette</w:t>
            </w:r>
          </w:p>
        </w:tc>
        <w:tc>
          <w:tcPr>
            <w:tcW w:w="30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Joe Mara</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Biogen Inc.</w:t>
            </w:r>
          </w:p>
        </w:tc>
        <w:tc>
          <w:tcPr>
            <w:tcW w:w="3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Biogen Inc.</w:t>
            </w:r>
          </w:p>
        </w:tc>
      </w:t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Tel: (781) 464-3260</w:t>
            </w:r>
          </w:p>
        </w:tc>
        <w:tc>
          <w:tcPr>
            <w:tcW w:w="30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Tel: (781) 464-2442</w:t>
            </w:r>
          </w:p>
        </w:tc>
      </w:tr>
    </w:tbl>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360"/>
          </w:cols>
          <w:pgMar w:left="240" w:top="585" w:right="29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2"/>
          <w:szCs w:val="22"/>
          <w:b w:val="1"/>
          <w:bCs w:val="1"/>
          <w:color w:val="1C5A7D"/>
        </w:rPr>
        <w:t>TABLE 1</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1C5A7D"/>
        </w:rPr>
        <w:t>BIOGEN INC. AND SUBSIDIARIES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1C5A7D"/>
        </w:rPr>
        <w:t>CONDENSED CONSOLIDATED STATEMENT OF INCOME</w:t>
      </w:r>
    </w:p>
    <w:p>
      <w:pPr>
        <w:jc w:val="center"/>
        <w:ind w:right="40"/>
        <w:spacing w:after="0"/>
        <w:rPr>
          <w:sz w:val="20"/>
          <w:szCs w:val="20"/>
          <w:color w:val="auto"/>
        </w:rPr>
      </w:pPr>
      <w:r>
        <w:rPr>
          <w:rFonts w:ascii="Arial" w:cs="Arial" w:eastAsia="Arial" w:hAnsi="Arial"/>
          <w:sz w:val="18"/>
          <w:szCs w:val="18"/>
          <w:b w:val="1"/>
          <w:bCs w:val="1"/>
          <w:i w:val="1"/>
          <w:iCs w:val="1"/>
          <w:color w:val="1C5A7D"/>
        </w:rPr>
        <w:t>(unaudited, in millions, except per share amounts)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4"/>
                <w:szCs w:val="14"/>
                <w:color w:val="auto"/>
              </w:rPr>
            </w:pPr>
          </w:p>
        </w:tc>
        <w:tc>
          <w:tcPr>
            <w:tcW w:w="236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Ended June 30,</w:t>
            </w:r>
          </w:p>
        </w:tc>
        <w:tc>
          <w:tcPr>
            <w:tcW w:w="120" w:type="dxa"/>
            <w:vAlign w:val="bottom"/>
          </w:tcPr>
          <w:p>
            <w:pPr>
              <w:spacing w:after="0"/>
              <w:rPr>
                <w:sz w:val="17"/>
                <w:szCs w:val="17"/>
                <w:color w:val="auto"/>
              </w:rPr>
            </w:pPr>
          </w:p>
        </w:tc>
        <w:tc>
          <w:tcPr>
            <w:tcW w:w="236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2"/>
                <w:szCs w:val="22"/>
                <w:color w:val="auto"/>
              </w:rPr>
            </w:pPr>
          </w:p>
        </w:tc>
        <w:tc>
          <w:tcPr>
            <w:tcW w:w="140" w:type="dxa"/>
            <w:vAlign w:val="bottom"/>
            <w:tcBorders>
              <w:top w:val="single" w:sz="8" w:color="auto"/>
              <w:bottom w:val="single" w:sz="8" w:color="auto"/>
            </w:tcBorders>
            <w:shd w:val="clear" w:color="auto" w:fill="DDDDDD"/>
          </w:tcPr>
          <w:p>
            <w:pPr>
              <w:spacing w:after="0"/>
              <w:rPr>
                <w:sz w:val="22"/>
                <w:szCs w:val="22"/>
                <w:color w:val="auto"/>
              </w:rPr>
            </w:pPr>
          </w:p>
        </w:tc>
        <w:tc>
          <w:tcPr>
            <w:tcW w:w="1040" w:type="dxa"/>
            <w:vAlign w:val="bottom"/>
            <w:tcBorders>
              <w:top w:val="single" w:sz="8" w:color="auto"/>
              <w:bottom w:val="single" w:sz="8" w:color="auto"/>
            </w:tcBorders>
            <w:shd w:val="clear" w:color="auto" w:fill="DDDDDD"/>
          </w:tcPr>
          <w:p>
            <w:pPr>
              <w:jc w:val="right"/>
              <w:ind w:right="332"/>
              <w:spacing w:after="0"/>
              <w:rPr>
                <w:sz w:val="20"/>
                <w:szCs w:val="20"/>
                <w:color w:val="auto"/>
              </w:rPr>
            </w:pPr>
            <w:r>
              <w:rPr>
                <w:rFonts w:ascii="Arial" w:cs="Arial" w:eastAsia="Arial" w:hAnsi="Arial"/>
                <w:sz w:val="14"/>
                <w:szCs w:val="14"/>
                <w:b w:val="1"/>
                <w:bCs w:val="1"/>
                <w:color w:val="257ACB"/>
              </w:rPr>
              <w:t>2019</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shd w:val="clear" w:color="auto" w:fill="DDDDDD"/>
          </w:tcPr>
          <w:p>
            <w:pPr>
              <w:spacing w:after="0"/>
              <w:rPr>
                <w:sz w:val="22"/>
                <w:szCs w:val="22"/>
                <w:color w:val="auto"/>
              </w:rPr>
            </w:pPr>
          </w:p>
        </w:tc>
        <w:tc>
          <w:tcPr>
            <w:tcW w:w="1060" w:type="dxa"/>
            <w:vAlign w:val="bottom"/>
            <w:tcBorders>
              <w:top w:val="single" w:sz="8" w:color="auto"/>
              <w:bottom w:val="single" w:sz="8" w:color="auto"/>
            </w:tcBorders>
            <w:shd w:val="clear" w:color="auto" w:fill="DDDDDD"/>
          </w:tcPr>
          <w:p>
            <w:pPr>
              <w:jc w:val="right"/>
              <w:ind w:right="352"/>
              <w:spacing w:after="0"/>
              <w:rPr>
                <w:sz w:val="20"/>
                <w:szCs w:val="20"/>
                <w:color w:val="auto"/>
              </w:rPr>
            </w:pPr>
            <w:r>
              <w:rPr>
                <w:rFonts w:ascii="Arial" w:cs="Arial" w:eastAsia="Arial" w:hAnsi="Arial"/>
                <w:sz w:val="14"/>
                <w:szCs w:val="14"/>
                <w:b w:val="1"/>
                <w:bCs w:val="1"/>
                <w:color w:val="257ACB"/>
              </w:rPr>
              <w:t>2019</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60" w:type="dxa"/>
            <w:vAlign w:val="bottom"/>
            <w:shd w:val="clear" w:color="auto" w:fill="DDDDDD"/>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060" w:type="dxa"/>
            <w:vAlign w:val="bottom"/>
          </w:tcPr>
          <w:p>
            <w:pPr>
              <w:ind w:left="140"/>
              <w:spacing w:after="0"/>
              <w:rPr>
                <w:sz w:val="20"/>
                <w:szCs w:val="20"/>
                <w:color w:val="auto"/>
              </w:rPr>
            </w:pPr>
            <w:r>
              <w:rPr>
                <w:rFonts w:ascii="Arial" w:cs="Arial" w:eastAsia="Arial" w:hAnsi="Arial"/>
                <w:sz w:val="18"/>
                <w:szCs w:val="18"/>
                <w:color w:val="auto"/>
              </w:rPr>
              <w:t>Product, net</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257ACB"/>
                <w:w w:val="99"/>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257ACB"/>
              </w:rPr>
              <w:t>2,880.3</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2,757.5</w:t>
            </w:r>
          </w:p>
        </w:tc>
        <w:tc>
          <w:tcPr>
            <w:tcW w:w="120" w:type="dxa"/>
            <w:vAlign w:val="bottom"/>
          </w:tcPr>
          <w:p>
            <w:pPr>
              <w:spacing w:after="0"/>
              <w:rPr>
                <w:sz w:val="24"/>
                <w:szCs w:val="24"/>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8"/>
                <w:szCs w:val="18"/>
                <w:color w:val="257ACB"/>
                <w:w w:val="99"/>
              </w:rPr>
              <w:t>$</w:t>
            </w:r>
          </w:p>
        </w:tc>
        <w:tc>
          <w:tcPr>
            <w:tcW w:w="1060" w:type="dxa"/>
            <w:vAlign w:val="bottom"/>
            <w:shd w:val="clear" w:color="auto" w:fill="DDDDDD"/>
          </w:tcPr>
          <w:p>
            <w:pPr>
              <w:jc w:val="right"/>
              <w:ind w:right="12"/>
              <w:spacing w:after="0"/>
              <w:rPr>
                <w:sz w:val="20"/>
                <w:szCs w:val="20"/>
                <w:color w:val="auto"/>
              </w:rPr>
            </w:pPr>
            <w:r>
              <w:rPr>
                <w:rFonts w:ascii="Arial" w:cs="Arial" w:eastAsia="Arial" w:hAnsi="Arial"/>
                <w:sz w:val="18"/>
                <w:szCs w:val="18"/>
                <w:color w:val="257ACB"/>
              </w:rPr>
              <w:t>5,560.3</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5,281.0</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Revenues from anti-CD20 therapeutic programs</w:t>
            </w:r>
          </w:p>
        </w:tc>
        <w:tc>
          <w:tcPr>
            <w:tcW w:w="140" w:type="dxa"/>
            <w:vAlign w:val="bottom"/>
            <w:shd w:val="clear" w:color="auto" w:fill="DDDDDD"/>
          </w:tcPr>
          <w:p>
            <w:pPr>
              <w:spacing w:after="0"/>
              <w:rPr>
                <w:sz w:val="23"/>
                <w:szCs w:val="23"/>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257ACB"/>
              </w:rPr>
              <w:t>576.4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490.4</w:t>
            </w:r>
          </w:p>
        </w:tc>
        <w:tc>
          <w:tcPr>
            <w:tcW w:w="120" w:type="dxa"/>
            <w:vAlign w:val="bottom"/>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060" w:type="dxa"/>
            <w:vAlign w:val="bottom"/>
            <w:shd w:val="clear" w:color="auto" w:fill="DDDDDD"/>
          </w:tcPr>
          <w:p>
            <w:pPr>
              <w:jc w:val="right"/>
              <w:ind w:right="12"/>
              <w:spacing w:after="0"/>
              <w:rPr>
                <w:sz w:val="20"/>
                <w:szCs w:val="20"/>
                <w:color w:val="auto"/>
              </w:rPr>
            </w:pPr>
            <w:r>
              <w:rPr>
                <w:rFonts w:ascii="Arial" w:cs="Arial" w:eastAsia="Arial" w:hAnsi="Arial"/>
                <w:sz w:val="18"/>
                <w:szCs w:val="18"/>
                <w:color w:val="257ACB"/>
              </w:rPr>
              <w:t>1,093.8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73"/>
        </w:trPr>
        <w:tc>
          <w:tcPr>
            <w:tcW w:w="406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DDDDD"/>
          </w:tcPr>
          <w:p>
            <w:pPr>
              <w:spacing w:after="0"/>
              <w:rPr>
                <w:sz w:val="23"/>
                <w:szCs w:val="23"/>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257ACB"/>
              </w:rPr>
              <w:t>160.0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3"/>
                <w:szCs w:val="23"/>
                <w:color w:val="auto"/>
              </w:rPr>
            </w:pPr>
          </w:p>
        </w:tc>
        <w:tc>
          <w:tcPr>
            <w:tcW w:w="120" w:type="dxa"/>
            <w:vAlign w:val="bottom"/>
            <w:tcBorders>
              <w:bottom w:val="single" w:sz="8" w:color="auto"/>
            </w:tcBorders>
            <w:shd w:val="clear" w:color="auto" w:fill="DDDDDD"/>
          </w:tcPr>
          <w:p>
            <w:pPr>
              <w:spacing w:after="0"/>
              <w:rPr>
                <w:sz w:val="23"/>
                <w:szCs w:val="23"/>
                <w:color w:val="auto"/>
              </w:rPr>
            </w:pPr>
          </w:p>
        </w:tc>
        <w:tc>
          <w:tcPr>
            <w:tcW w:w="1060" w:type="dxa"/>
            <w:vAlign w:val="bottom"/>
            <w:tcBorders>
              <w:bottom w:val="single" w:sz="8" w:color="auto"/>
            </w:tcBorders>
            <w:shd w:val="clear" w:color="auto" w:fill="DDDDDD"/>
          </w:tcPr>
          <w:p>
            <w:pPr>
              <w:jc w:val="right"/>
              <w:ind w:right="12"/>
              <w:spacing w:after="0"/>
              <w:rPr>
                <w:sz w:val="20"/>
                <w:szCs w:val="20"/>
                <w:color w:val="auto"/>
              </w:rPr>
            </w:pPr>
            <w:r>
              <w:rPr>
                <w:rFonts w:ascii="Arial" w:cs="Arial" w:eastAsia="Arial" w:hAnsi="Arial"/>
                <w:sz w:val="18"/>
                <w:szCs w:val="18"/>
                <w:color w:val="257ACB"/>
              </w:rPr>
              <w:t>452.4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50"/>
        </w:trPr>
        <w:tc>
          <w:tcPr>
            <w:tcW w:w="406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DDDDDD"/>
          </w:tcPr>
          <w:p>
            <w:pPr>
              <w:spacing w:after="0"/>
              <w:rPr>
                <w:sz w:val="21"/>
                <w:szCs w:val="21"/>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2573BA"/>
              </w:rPr>
              <w:t>3,616.7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3,356.5</w:t>
            </w:r>
          </w:p>
        </w:tc>
        <w:tc>
          <w:tcPr>
            <w:tcW w:w="120" w:type="dxa"/>
            <w:vAlign w:val="bottom"/>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1060" w:type="dxa"/>
            <w:vAlign w:val="bottom"/>
            <w:tcBorders>
              <w:bottom w:val="single" w:sz="8" w:color="auto"/>
            </w:tcBorders>
            <w:shd w:val="clear" w:color="auto" w:fill="DDDDDD"/>
          </w:tcPr>
          <w:p>
            <w:pPr>
              <w:jc w:val="right"/>
              <w:ind w:right="12"/>
              <w:spacing w:after="0"/>
              <w:rPr>
                <w:sz w:val="20"/>
                <w:szCs w:val="20"/>
                <w:color w:val="auto"/>
              </w:rPr>
            </w:pPr>
            <w:r>
              <w:rPr>
                <w:rFonts w:ascii="Arial" w:cs="Arial" w:eastAsia="Arial" w:hAnsi="Arial"/>
                <w:sz w:val="18"/>
                <w:szCs w:val="18"/>
                <w:color w:val="2573BA"/>
              </w:rPr>
              <w:t>7,106.5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6,487.6</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Cost and expenses:</w:t>
            </w:r>
          </w:p>
        </w:tc>
        <w:tc>
          <w:tcPr>
            <w:tcW w:w="140" w:type="dxa"/>
            <w:vAlign w:val="bottom"/>
            <w:shd w:val="clear" w:color="auto" w:fill="DDDDDD"/>
          </w:tcPr>
          <w:p>
            <w:pPr>
              <w:spacing w:after="0"/>
              <w:rPr>
                <w:sz w:val="20"/>
                <w:szCs w:val="20"/>
                <w:color w:val="auto"/>
              </w:rPr>
            </w:pPr>
          </w:p>
        </w:tc>
        <w:tc>
          <w:tcPr>
            <w:tcW w:w="1040" w:type="dxa"/>
            <w:vAlign w:val="bottom"/>
            <w:shd w:val="clear" w:color="auto" w:fill="DDDDDD"/>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060" w:type="dxa"/>
            <w:vAlign w:val="bottom"/>
            <w:shd w:val="clear" w:color="auto" w:fill="DDDDDD"/>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40"/>
              <w:spacing w:after="0"/>
              <w:rPr>
                <w:sz w:val="20"/>
                <w:szCs w:val="20"/>
                <w:color w:val="auto"/>
              </w:rPr>
            </w:pPr>
            <w:r>
              <w:rPr>
                <w:rFonts w:ascii="Arial" w:cs="Arial" w:eastAsia="Arial" w:hAnsi="Arial"/>
                <w:sz w:val="18"/>
                <w:szCs w:val="18"/>
                <w:color w:val="auto"/>
              </w:rPr>
              <w:t>Cost of sales, excluding amortization and</w:t>
            </w:r>
          </w:p>
        </w:tc>
        <w:tc>
          <w:tcPr>
            <w:tcW w:w="140" w:type="dxa"/>
            <w:vAlign w:val="bottom"/>
            <w:shd w:val="clear" w:color="auto" w:fill="DDDDDD"/>
          </w:tcPr>
          <w:p>
            <w:pPr>
              <w:spacing w:after="0"/>
              <w:rPr>
                <w:sz w:val="21"/>
                <w:szCs w:val="21"/>
                <w:color w:val="auto"/>
              </w:rPr>
            </w:pPr>
          </w:p>
        </w:tc>
        <w:tc>
          <w:tcPr>
            <w:tcW w:w="104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06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060" w:type="dxa"/>
            <w:vAlign w:val="bottom"/>
          </w:tcPr>
          <w:p>
            <w:pPr>
              <w:ind w:left="140"/>
              <w:spacing w:after="0"/>
              <w:rPr>
                <w:sz w:val="20"/>
                <w:szCs w:val="20"/>
                <w:color w:val="auto"/>
              </w:rPr>
            </w:pPr>
            <w:r>
              <w:rPr>
                <w:rFonts w:ascii="Arial" w:cs="Arial" w:eastAsia="Arial" w:hAnsi="Arial"/>
                <w:sz w:val="18"/>
                <w:szCs w:val="18"/>
                <w:color w:val="auto"/>
              </w:rPr>
              <w:t>impairment of acquired intangible assets</w:t>
            </w:r>
          </w:p>
        </w:tc>
        <w:tc>
          <w:tcPr>
            <w:tcW w:w="140" w:type="dxa"/>
            <w:vAlign w:val="bottom"/>
            <w:shd w:val="clear" w:color="auto" w:fill="DDDDDD"/>
          </w:tcPr>
          <w:p>
            <w:pPr>
              <w:spacing w:after="0"/>
              <w:rPr>
                <w:sz w:val="21"/>
                <w:szCs w:val="21"/>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257ACB"/>
              </w:rPr>
              <w:t>476.3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421.0</w:t>
            </w:r>
          </w:p>
        </w:tc>
        <w:tc>
          <w:tcPr>
            <w:tcW w:w="120" w:type="dxa"/>
            <w:vAlign w:val="bottom"/>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060" w:type="dxa"/>
            <w:vAlign w:val="bottom"/>
            <w:shd w:val="clear" w:color="auto" w:fill="DDDDDD"/>
          </w:tcPr>
          <w:p>
            <w:pPr>
              <w:jc w:val="right"/>
              <w:ind w:right="12"/>
              <w:spacing w:after="0"/>
              <w:rPr>
                <w:sz w:val="20"/>
                <w:szCs w:val="20"/>
                <w:color w:val="auto"/>
              </w:rPr>
            </w:pPr>
            <w:r>
              <w:rPr>
                <w:rFonts w:ascii="Arial" w:cs="Arial" w:eastAsia="Arial" w:hAnsi="Arial"/>
                <w:sz w:val="18"/>
                <w:szCs w:val="18"/>
                <w:color w:val="257ACB"/>
              </w:rPr>
              <w:t>1,078.3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867.0</w:t>
            </w:r>
          </w:p>
        </w:tc>
        <w:tc>
          <w:tcPr>
            <w:tcW w:w="0" w:type="dxa"/>
            <w:vAlign w:val="bottom"/>
          </w:tcPr>
          <w:p>
            <w:pPr>
              <w:spacing w:after="0"/>
              <w:rPr>
                <w:sz w:val="1"/>
                <w:szCs w:val="1"/>
                <w:color w:val="auto"/>
              </w:rPr>
            </w:pPr>
          </w:p>
        </w:tc>
      </w:tr>
      <w:tr>
        <w:trPr>
          <w:trHeight w:val="261"/>
        </w:trPr>
        <w:tc>
          <w:tcPr>
            <w:tcW w:w="40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57ACB"/>
              </w:rPr>
              <w:t>484.8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257ACB"/>
              </w:rPr>
              <w:t>1,048.5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1,477.7</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57ACB"/>
              </w:rPr>
              <w:t>587.6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257ACB"/>
              </w:rPr>
              <w:t>1,155.3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1,017.5</w:t>
            </w: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rPr>
                <w:sz w:val="20"/>
                <w:szCs w:val="20"/>
                <w:color w:val="auto"/>
              </w:rPr>
            </w:pPr>
            <w:r>
              <w:rPr>
                <w:rFonts w:ascii="Arial" w:cs="Arial" w:eastAsia="Arial" w:hAnsi="Arial"/>
                <w:sz w:val="18"/>
                <w:szCs w:val="18"/>
                <w:color w:val="auto"/>
              </w:rPr>
              <w:t>Amortization and impairment of acquired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57ACB"/>
              </w:rPr>
              <w:t>70.1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257ACB"/>
              </w:rPr>
              <w:t>138.3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Collaboration profit (loss) sharing</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57ACB"/>
              </w:rPr>
              <w:t>63.5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257ACB"/>
              </w:rPr>
              <w:t>121.6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Loss on assets and liabilities held for sale</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57ACB"/>
              </w:rPr>
              <w:t>(2.3)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257ACB"/>
              </w:rPr>
              <w:t>113.2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rPr>
                <w:sz w:val="20"/>
                <w:szCs w:val="20"/>
                <w:color w:val="auto"/>
              </w:rPr>
            </w:pPr>
            <w:r>
              <w:rPr>
                <w:rFonts w:ascii="Arial" w:cs="Arial" w:eastAsia="Arial" w:hAnsi="Arial"/>
                <w:sz w:val="18"/>
                <w:szCs w:val="18"/>
                <w:color w:val="auto"/>
              </w:rPr>
              <w:t>(Gain) loss on fair value remeasurement of</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57ACB"/>
              </w:rPr>
              <w:t>(20.0)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57ACB"/>
              </w:rPr>
              <w:t>(8.5)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57ACB"/>
              </w:rPr>
              <w:t>0.8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257ACB"/>
              </w:rPr>
              <w:t>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3"/>
        </w:trPr>
        <w:tc>
          <w:tcPr>
            <w:tcW w:w="406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57ACB"/>
              </w:rPr>
              <w:t>—</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257ACB"/>
              </w:rPr>
              <w:t>—</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50"/>
        </w:trPr>
        <w:tc>
          <w:tcPr>
            <w:tcW w:w="4060" w:type="dxa"/>
            <w:vAlign w:val="bottom"/>
          </w:tcPr>
          <w:p>
            <w:pPr>
              <w:ind w:left="340"/>
              <w:spacing w:after="0"/>
              <w:rPr>
                <w:sz w:val="20"/>
                <w:szCs w:val="20"/>
                <w:color w:val="auto"/>
              </w:rPr>
            </w:pPr>
            <w:r>
              <w:rPr>
                <w:rFonts w:ascii="Arial" w:cs="Arial" w:eastAsia="Arial" w:hAnsi="Arial"/>
                <w:sz w:val="18"/>
                <w:szCs w:val="18"/>
                <w:color w:val="auto"/>
              </w:rPr>
              <w:t>Total cost and expenses</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573BA"/>
              </w:rPr>
              <w:t>1,660.8</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2573BA"/>
              </w:rPr>
              <w:t>3,647.9</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3,739.7</w:t>
            </w:r>
          </w:p>
        </w:tc>
        <w:tc>
          <w:tcPr>
            <w:tcW w:w="0" w:type="dxa"/>
            <w:vAlign w:val="bottom"/>
          </w:tcPr>
          <w:p>
            <w:pPr>
              <w:spacing w:after="0"/>
              <w:rPr>
                <w:sz w:val="1"/>
                <w:szCs w:val="1"/>
                <w:color w:val="auto"/>
              </w:rPr>
            </w:pPr>
          </w:p>
        </w:tc>
      </w:tr>
      <w:tr>
        <w:trPr>
          <w:trHeight w:val="247"/>
        </w:trPr>
        <w:tc>
          <w:tcPr>
            <w:tcW w:w="40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573BA"/>
              </w:rPr>
              <w:t>1,955.9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2573BA"/>
              </w:rPr>
              <w:t>3,458.6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2,747.9</w:t>
            </w:r>
          </w:p>
        </w:tc>
        <w:tc>
          <w:tcPr>
            <w:tcW w:w="0" w:type="dxa"/>
            <w:vAlign w:val="bottom"/>
          </w:tcPr>
          <w:p>
            <w:pPr>
              <w:spacing w:after="0"/>
              <w:rPr>
                <w:sz w:val="1"/>
                <w:szCs w:val="1"/>
                <w:color w:val="auto"/>
              </w:rPr>
            </w:pPr>
          </w:p>
        </w:tc>
      </w:tr>
      <w:tr>
        <w:trPr>
          <w:trHeight w:val="273"/>
        </w:trPr>
        <w:tc>
          <w:tcPr>
            <w:tcW w:w="4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573BA"/>
              </w:rPr>
              <w:t>(197.4)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257ACB"/>
              </w:rPr>
              <w:t>159.9</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193"/>
        </w:trPr>
        <w:tc>
          <w:tcPr>
            <w:tcW w:w="4060" w:type="dxa"/>
            <w:vAlign w:val="bottom"/>
          </w:tcPr>
          <w:p>
            <w:pPr>
              <w:spacing w:after="0" w:line="194" w:lineRule="exact"/>
              <w:rPr>
                <w:sz w:val="20"/>
                <w:szCs w:val="20"/>
                <w:color w:val="auto"/>
              </w:rPr>
            </w:pPr>
            <w:r>
              <w:rPr>
                <w:rFonts w:ascii="Arial" w:cs="Arial" w:eastAsia="Arial" w:hAnsi="Arial"/>
                <w:sz w:val="18"/>
                <w:szCs w:val="18"/>
                <w:color w:val="auto"/>
              </w:rPr>
              <w:t>Income before income tax expense and equity in</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loss of investee, net of tax</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573BA"/>
              </w:rPr>
              <w:t>1,758.5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2573BA"/>
              </w:rPr>
              <w:t>3,618.5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2,672.4</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57ACB"/>
              </w:rPr>
              <w:t>248.1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257ACB"/>
              </w:rPr>
              <w:t>670.6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73"/>
        </w:trPr>
        <w:tc>
          <w:tcPr>
            <w:tcW w:w="4060" w:type="dxa"/>
            <w:vAlign w:val="bottom"/>
          </w:tcPr>
          <w:p>
            <w:pPr>
              <w:spacing w:after="0"/>
              <w:rPr>
                <w:sz w:val="20"/>
                <w:szCs w:val="20"/>
                <w:color w:val="auto"/>
              </w:rPr>
            </w:pPr>
            <w:r>
              <w:rPr>
                <w:rFonts w:ascii="Arial" w:cs="Arial" w:eastAsia="Arial" w:hAnsi="Arial"/>
                <w:sz w:val="18"/>
                <w:szCs w:val="18"/>
                <w:color w:val="auto"/>
              </w:rPr>
              <w:t>Equity in loss of investee, net of tax</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57ACB"/>
              </w:rPr>
              <w:t>16.3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257ACB"/>
              </w:rPr>
              <w:t>45.0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0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573BA"/>
              </w:rPr>
              <w:t>1,494.1</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2573BA"/>
              </w:rPr>
              <w:t>2,902.9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2,086.2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income (loss) attributable to noncontrolling</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060" w:type="dxa"/>
            <w:vAlign w:val="bottom"/>
          </w:tcPr>
          <w:p>
            <w:pPr>
              <w:spacing w:after="0"/>
              <w:rPr>
                <w:sz w:val="20"/>
                <w:szCs w:val="20"/>
                <w:color w:val="auto"/>
              </w:rPr>
            </w:pPr>
            <w:r>
              <w:rPr>
                <w:rFonts w:ascii="Arial" w:cs="Arial" w:eastAsia="Arial" w:hAnsi="Arial"/>
                <w:sz w:val="18"/>
                <w:szCs w:val="18"/>
                <w:color w:val="auto"/>
              </w:rPr>
              <w:t>interests, net of tax</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573BA"/>
              </w:rPr>
              <w:t>—</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2573BA"/>
              </w:rPr>
              <w:t>—</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90"/>
        </w:trPr>
        <w:tc>
          <w:tcPr>
            <w:tcW w:w="4060" w:type="dxa"/>
            <w:vAlign w:val="bottom"/>
          </w:tcPr>
          <w:p>
            <w:pPr>
              <w:spacing w:after="0"/>
              <w:rPr>
                <w:sz w:val="20"/>
                <w:szCs w:val="20"/>
                <w:color w:val="auto"/>
              </w:rPr>
            </w:pPr>
            <w:r>
              <w:rPr>
                <w:rFonts w:ascii="Arial" w:cs="Arial" w:eastAsia="Arial" w:hAnsi="Arial"/>
                <w:sz w:val="18"/>
                <w:szCs w:val="18"/>
                <w:color w:val="auto"/>
              </w:rPr>
              <w:t>Net income attributable to Biogen Inc.</w:t>
            </w:r>
          </w:p>
        </w:tc>
        <w:tc>
          <w:tcPr>
            <w:tcW w:w="140" w:type="dxa"/>
            <w:vAlign w:val="bottom"/>
          </w:tcPr>
          <w:p>
            <w:pPr>
              <w:jc w:val="right"/>
              <w:spacing w:after="0"/>
              <w:rPr>
                <w:sz w:val="20"/>
                <w:szCs w:val="20"/>
                <w:color w:val="auto"/>
              </w:rPr>
            </w:pPr>
            <w:r>
              <w:rPr>
                <w:rFonts w:ascii="Arial" w:cs="Arial" w:eastAsia="Arial" w:hAnsi="Arial"/>
                <w:sz w:val="18"/>
                <w:szCs w:val="18"/>
                <w:color w:val="2573BA"/>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2573BA"/>
              </w:rPr>
              <w:t>1,494.1</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866.6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2573BA"/>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2573BA"/>
              </w:rPr>
              <w:t>2,902.9</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2,039.5</w:t>
            </w:r>
          </w:p>
        </w:tc>
        <w:tc>
          <w:tcPr>
            <w:tcW w:w="0" w:type="dxa"/>
            <w:vAlign w:val="bottom"/>
          </w:tcPr>
          <w:p>
            <w:pPr>
              <w:spacing w:after="0"/>
              <w:rPr>
                <w:sz w:val="1"/>
                <w:szCs w:val="1"/>
                <w:color w:val="auto"/>
              </w:rPr>
            </w:pPr>
          </w:p>
        </w:tc>
      </w:tr>
      <w:tr>
        <w:trPr>
          <w:trHeight w:val="558"/>
        </w:trPr>
        <w:tc>
          <w:tcPr>
            <w:tcW w:w="4060" w:type="dxa"/>
            <w:vAlign w:val="bottom"/>
          </w:tcPr>
          <w:p>
            <w:pPr>
              <w:spacing w:after="0"/>
              <w:rPr>
                <w:sz w:val="20"/>
                <w:szCs w:val="20"/>
                <w:color w:val="auto"/>
              </w:rPr>
            </w:pPr>
            <w:r>
              <w:rPr>
                <w:rFonts w:ascii="Arial" w:cs="Arial" w:eastAsia="Arial" w:hAnsi="Arial"/>
                <w:sz w:val="18"/>
                <w:szCs w:val="18"/>
                <w:color w:val="auto"/>
              </w:rPr>
              <w:t>Net income per share:</w:t>
            </w:r>
          </w:p>
        </w:tc>
        <w:tc>
          <w:tcPr>
            <w:tcW w:w="140" w:type="dxa"/>
            <w:vAlign w:val="bottom"/>
            <w:tcBorders>
              <w:top w:val="single" w:sz="8" w:color="auto"/>
            </w:tcBorders>
            <w:shd w:val="clear" w:color="auto" w:fill="DDDDDD"/>
          </w:tcPr>
          <w:p>
            <w:pPr>
              <w:spacing w:after="0"/>
              <w:rPr>
                <w:sz w:val="24"/>
                <w:szCs w:val="24"/>
                <w:color w:val="auto"/>
              </w:rPr>
            </w:pPr>
          </w:p>
        </w:tc>
        <w:tc>
          <w:tcPr>
            <w:tcW w:w="1040" w:type="dxa"/>
            <w:vAlign w:val="bottom"/>
            <w:tcBorders>
              <w:top w:val="single" w:sz="8" w:color="auto"/>
            </w:tcBorders>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shd w:val="clear" w:color="auto" w:fill="DDDDDD"/>
          </w:tcPr>
          <w:p>
            <w:pPr>
              <w:spacing w:after="0"/>
              <w:rPr>
                <w:sz w:val="24"/>
                <w:szCs w:val="24"/>
                <w:color w:val="auto"/>
              </w:rPr>
            </w:pPr>
          </w:p>
        </w:tc>
        <w:tc>
          <w:tcPr>
            <w:tcW w:w="1060" w:type="dxa"/>
            <w:vAlign w:val="bottom"/>
            <w:tcBorders>
              <w:top w:val="single" w:sz="8" w:color="auto"/>
            </w:tcBorders>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Basic earnings per share attributable to Biogen</w:t>
            </w:r>
          </w:p>
        </w:tc>
        <w:tc>
          <w:tcPr>
            <w:tcW w:w="140" w:type="dxa"/>
            <w:vAlign w:val="bottom"/>
            <w:vMerge w:val="restart"/>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040" w:type="dxa"/>
            <w:vAlign w:val="bottom"/>
            <w:vMerge w:val="restart"/>
            <w:shd w:val="clear" w:color="auto" w:fill="DDDDDD"/>
          </w:tcPr>
          <w:p>
            <w:pPr>
              <w:jc w:val="right"/>
              <w:spacing w:after="0"/>
              <w:rPr>
                <w:sz w:val="20"/>
                <w:szCs w:val="20"/>
                <w:color w:val="auto"/>
              </w:rPr>
            </w:pPr>
            <w:r>
              <w:rPr>
                <w:rFonts w:ascii="Arial" w:cs="Arial" w:eastAsia="Arial" w:hAnsi="Arial"/>
                <w:sz w:val="18"/>
                <w:szCs w:val="18"/>
                <w:color w:val="2573BA"/>
              </w:rPr>
              <w:t>7.85</w:t>
            </w:r>
          </w:p>
        </w:tc>
        <w:tc>
          <w:tcPr>
            <w:tcW w:w="120" w:type="dxa"/>
            <w:vAlign w:val="bottom"/>
            <w:vMerge w:val="restart"/>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9"/>
                <w:szCs w:val="19"/>
                <w:color w:val="auto"/>
              </w:rPr>
            </w:pPr>
          </w:p>
        </w:tc>
        <w:tc>
          <w:tcPr>
            <w:tcW w:w="120" w:type="dxa"/>
            <w:vAlign w:val="bottom"/>
            <w:vMerge w:val="restart"/>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060" w:type="dxa"/>
            <w:vAlign w:val="bottom"/>
            <w:vMerge w:val="restart"/>
            <w:shd w:val="clear" w:color="auto" w:fill="DDDDDD"/>
          </w:tcPr>
          <w:p>
            <w:pPr>
              <w:jc w:val="right"/>
              <w:ind w:right="12"/>
              <w:spacing w:after="0"/>
              <w:rPr>
                <w:sz w:val="20"/>
                <w:szCs w:val="20"/>
                <w:color w:val="auto"/>
              </w:rPr>
            </w:pPr>
            <w:r>
              <w:rPr>
                <w:rFonts w:ascii="Arial" w:cs="Arial" w:eastAsia="Arial" w:hAnsi="Arial"/>
                <w:sz w:val="18"/>
                <w:szCs w:val="18"/>
                <w:color w:val="2573BA"/>
              </w:rPr>
              <w:t>15.01</w:t>
            </w:r>
          </w:p>
        </w:tc>
        <w:tc>
          <w:tcPr>
            <w:tcW w:w="120" w:type="dxa"/>
            <w:vAlign w:val="bottom"/>
            <w:vMerge w:val="restart"/>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1"/>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84"/>
        </w:trPr>
        <w:tc>
          <w:tcPr>
            <w:tcW w:w="4060" w:type="dxa"/>
            <w:vAlign w:val="bottom"/>
          </w:tcPr>
          <w:p>
            <w:pPr>
              <w:ind w:left="140"/>
              <w:spacing w:after="0"/>
              <w:rPr>
                <w:sz w:val="20"/>
                <w:szCs w:val="20"/>
                <w:color w:val="auto"/>
              </w:rPr>
            </w:pPr>
            <w:r>
              <w:rPr>
                <w:rFonts w:ascii="Arial" w:cs="Arial" w:eastAsia="Arial" w:hAnsi="Arial"/>
                <w:sz w:val="18"/>
                <w:szCs w:val="18"/>
                <w:color w:val="auto"/>
              </w:rPr>
              <w:t>Inc.</w:t>
            </w:r>
          </w:p>
        </w:tc>
        <w:tc>
          <w:tcPr>
            <w:tcW w:w="140" w:type="dxa"/>
            <w:vAlign w:val="bottom"/>
            <w:tcBorders>
              <w:bottom w:val="single" w:sz="8" w:color="auto"/>
            </w:tcBorders>
            <w:vMerge w:val="continue"/>
            <w:shd w:val="clear" w:color="auto" w:fill="DDDDDD"/>
          </w:tcPr>
          <w:p>
            <w:pPr>
              <w:spacing w:after="0"/>
              <w:rPr>
                <w:sz w:val="24"/>
                <w:szCs w:val="24"/>
                <w:color w:val="auto"/>
              </w:rPr>
            </w:pPr>
          </w:p>
        </w:tc>
        <w:tc>
          <w:tcPr>
            <w:tcW w:w="1040" w:type="dxa"/>
            <w:vAlign w:val="bottom"/>
            <w:tcBorders>
              <w:bottom w:val="single" w:sz="8" w:color="auto"/>
            </w:tcBorders>
            <w:vMerge w:val="continue"/>
            <w:shd w:val="clear" w:color="auto" w:fill="DDDDDD"/>
          </w:tcPr>
          <w:p>
            <w:pPr>
              <w:spacing w:after="0"/>
              <w:rPr>
                <w:sz w:val="24"/>
                <w:szCs w:val="24"/>
                <w:color w:val="auto"/>
              </w:rPr>
            </w:pPr>
          </w:p>
        </w:tc>
        <w:tc>
          <w:tcPr>
            <w:tcW w:w="120" w:type="dxa"/>
            <w:vAlign w:val="bottom"/>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vMerge w:val="continue"/>
            <w:shd w:val="clear" w:color="auto" w:fill="DDDDDD"/>
          </w:tcPr>
          <w:p>
            <w:pPr>
              <w:spacing w:after="0"/>
              <w:rPr>
                <w:sz w:val="24"/>
                <w:szCs w:val="24"/>
                <w:color w:val="auto"/>
              </w:rPr>
            </w:pPr>
          </w:p>
        </w:tc>
        <w:tc>
          <w:tcPr>
            <w:tcW w:w="1060" w:type="dxa"/>
            <w:vAlign w:val="bottom"/>
            <w:tcBorders>
              <w:bottom w:val="single" w:sz="8" w:color="auto"/>
            </w:tcBorders>
            <w:vMerge w:val="continue"/>
            <w:shd w:val="clear" w:color="auto" w:fill="DDDDDD"/>
          </w:tcPr>
          <w:p>
            <w:pPr>
              <w:spacing w:after="0"/>
              <w:rPr>
                <w:sz w:val="24"/>
                <w:szCs w:val="24"/>
                <w:color w:val="auto"/>
              </w:rPr>
            </w:pPr>
          </w:p>
        </w:tc>
        <w:tc>
          <w:tcPr>
            <w:tcW w:w="120" w:type="dxa"/>
            <w:vAlign w:val="bottom"/>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60" w:type="dxa"/>
            <w:vAlign w:val="bottom"/>
          </w:tcPr>
          <w:p>
            <w:pPr>
              <w:ind w:left="140"/>
              <w:spacing w:after="0" w:line="160" w:lineRule="exact"/>
              <w:rPr>
                <w:sz w:val="20"/>
                <w:szCs w:val="20"/>
                <w:color w:val="auto"/>
              </w:rPr>
            </w:pPr>
            <w:r>
              <w:rPr>
                <w:rFonts w:ascii="Arial" w:cs="Arial" w:eastAsia="Arial" w:hAnsi="Arial"/>
                <w:sz w:val="18"/>
                <w:szCs w:val="18"/>
                <w:color w:val="auto"/>
              </w:rPr>
              <w:t>Diluted earnings per share attributable to Biogen</w:t>
            </w:r>
          </w:p>
        </w:tc>
        <w:tc>
          <w:tcPr>
            <w:tcW w:w="140" w:type="dxa"/>
            <w:vAlign w:val="bottom"/>
            <w:vMerge w:val="restart"/>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040" w:type="dxa"/>
            <w:vAlign w:val="bottom"/>
            <w:vMerge w:val="restart"/>
            <w:shd w:val="clear" w:color="auto" w:fill="DDDDDD"/>
          </w:tcPr>
          <w:p>
            <w:pPr>
              <w:jc w:val="right"/>
              <w:spacing w:after="0"/>
              <w:rPr>
                <w:sz w:val="20"/>
                <w:szCs w:val="20"/>
                <w:color w:val="auto"/>
              </w:rPr>
            </w:pPr>
            <w:r>
              <w:rPr>
                <w:rFonts w:ascii="Arial" w:cs="Arial" w:eastAsia="Arial" w:hAnsi="Arial"/>
                <w:sz w:val="18"/>
                <w:szCs w:val="18"/>
                <w:color w:val="2573BA"/>
              </w:rPr>
              <w:t>7.85</w:t>
            </w:r>
          </w:p>
        </w:tc>
        <w:tc>
          <w:tcPr>
            <w:tcW w:w="40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3"/>
                <w:szCs w:val="13"/>
                <w:color w:val="auto"/>
              </w:rPr>
            </w:pPr>
          </w:p>
        </w:tc>
        <w:tc>
          <w:tcPr>
            <w:tcW w:w="120" w:type="dxa"/>
            <w:vAlign w:val="bottom"/>
            <w:vMerge w:val="restart"/>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060" w:type="dxa"/>
            <w:vAlign w:val="bottom"/>
            <w:vMerge w:val="restart"/>
            <w:shd w:val="clear" w:color="auto" w:fill="DDDDDD"/>
          </w:tcPr>
          <w:p>
            <w:pPr>
              <w:jc w:val="right"/>
              <w:ind w:right="12"/>
              <w:spacing w:after="0"/>
              <w:rPr>
                <w:sz w:val="20"/>
                <w:szCs w:val="20"/>
                <w:color w:val="auto"/>
              </w:rPr>
            </w:pPr>
            <w:r>
              <w:rPr>
                <w:rFonts w:ascii="Arial" w:cs="Arial" w:eastAsia="Arial" w:hAnsi="Arial"/>
                <w:sz w:val="18"/>
                <w:szCs w:val="18"/>
                <w:color w:val="2573BA"/>
              </w:rPr>
              <w:t>14.99</w:t>
            </w:r>
          </w:p>
        </w:tc>
        <w:tc>
          <w:tcPr>
            <w:tcW w:w="40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1"/>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39"/>
        </w:trPr>
        <w:tc>
          <w:tcPr>
            <w:tcW w:w="4060" w:type="dxa"/>
            <w:vAlign w:val="bottom"/>
          </w:tcPr>
          <w:p>
            <w:pPr>
              <w:ind w:left="140"/>
              <w:spacing w:after="0"/>
              <w:rPr>
                <w:sz w:val="20"/>
                <w:szCs w:val="20"/>
                <w:color w:val="auto"/>
              </w:rPr>
            </w:pPr>
            <w:r>
              <w:rPr>
                <w:rFonts w:ascii="Arial" w:cs="Arial" w:eastAsia="Arial" w:hAnsi="Arial"/>
                <w:sz w:val="18"/>
                <w:szCs w:val="18"/>
                <w:color w:val="auto"/>
              </w:rPr>
              <w:t>Inc.</w:t>
            </w:r>
          </w:p>
        </w:tc>
        <w:tc>
          <w:tcPr>
            <w:tcW w:w="140" w:type="dxa"/>
            <w:vAlign w:val="bottom"/>
            <w:vMerge w:val="continue"/>
            <w:shd w:val="clear" w:color="auto" w:fill="DDDDDD"/>
          </w:tcPr>
          <w:p>
            <w:pPr>
              <w:spacing w:after="0"/>
              <w:rPr>
                <w:sz w:val="20"/>
                <w:szCs w:val="20"/>
                <w:color w:val="auto"/>
              </w:rPr>
            </w:pPr>
          </w:p>
        </w:tc>
        <w:tc>
          <w:tcPr>
            <w:tcW w:w="1040" w:type="dxa"/>
            <w:vAlign w:val="bottom"/>
            <w:vMerge w:val="continue"/>
            <w:shd w:val="clear" w:color="auto" w:fill="DDDDDD"/>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vMerge w:val="continue"/>
            <w:shd w:val="clear" w:color="auto" w:fill="DDDDDD"/>
          </w:tcPr>
          <w:p>
            <w:pPr>
              <w:spacing w:after="0"/>
              <w:rPr>
                <w:sz w:val="20"/>
                <w:szCs w:val="20"/>
                <w:color w:val="auto"/>
              </w:rPr>
            </w:pPr>
          </w:p>
        </w:tc>
        <w:tc>
          <w:tcPr>
            <w:tcW w:w="1060" w:type="dxa"/>
            <w:vAlign w:val="bottom"/>
            <w:vMerge w:val="continue"/>
            <w:shd w:val="clear" w:color="auto" w:fill="DDDDDD"/>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2578735</wp:posOffset>
            </wp:positionH>
            <wp:positionV relativeFrom="paragraph">
              <wp:posOffset>-4690110</wp:posOffset>
            </wp:positionV>
            <wp:extent cx="2400935" cy="3696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00935" cy="3696335"/>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-16510</wp:posOffset>
            </wp:positionV>
            <wp:extent cx="754380" cy="977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 cy="97790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-16510</wp:posOffset>
            </wp:positionV>
            <wp:extent cx="75438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 cy="977900"/>
                    </a:xfrm>
                    <a:prstGeom prst="rect">
                      <a:avLst/>
                    </a:prstGeom>
                    <a:noFill/>
                  </pic:spPr>
                </pic:pic>
              </a:graphicData>
            </a:graphic>
          </wp:anchor>
        </w:drawing>
      </w:r>
    </w:p>
    <w:p>
      <w:pPr>
        <w:sectPr>
          <w:pgSz w:w="11900" w:h="16838" w:orient="portrait"/>
          <w:cols w:equalWidth="0" w:num="1">
            <w:col w:w="9140"/>
          </w:cols>
          <w:pgMar w:left="1400" w:top="576" w:right="1359" w:bottom="1440"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shares used in calculating:</w:t>
      </w:r>
    </w:p>
    <w:p>
      <w:pPr>
        <w:spacing w:after="0" w:line="63" w:lineRule="exact"/>
        <w:rPr>
          <w:sz w:val="20"/>
          <w:szCs w:val="20"/>
          <w:color w:val="auto"/>
        </w:rPr>
      </w:pPr>
    </w:p>
    <w:p>
      <w:pPr>
        <w:ind w:left="140" w:right="120"/>
        <w:spacing w:after="0" w:line="266" w:lineRule="auto"/>
        <w:rPr>
          <w:sz w:val="20"/>
          <w:szCs w:val="20"/>
          <w:color w:val="auto"/>
        </w:rPr>
      </w:pPr>
      <w:r>
        <w:rPr>
          <w:rFonts w:ascii="Arial" w:cs="Arial" w:eastAsia="Arial" w:hAnsi="Arial"/>
          <w:sz w:val="18"/>
          <w:szCs w:val="18"/>
          <w:color w:val="auto"/>
        </w:rPr>
        <w:t>Basic earnings per share attributable to Biogen Inc.</w:t>
      </w:r>
    </w:p>
    <w:p>
      <w:pPr>
        <w:ind w:left="140"/>
        <w:spacing w:after="0" w:line="276" w:lineRule="auto"/>
        <w:rPr>
          <w:sz w:val="20"/>
          <w:szCs w:val="20"/>
          <w:color w:val="auto"/>
        </w:rPr>
      </w:pPr>
      <w:r>
        <w:rPr>
          <w:rFonts w:ascii="Arial" w:cs="Arial" w:eastAsia="Arial" w:hAnsi="Arial"/>
          <w:sz w:val="18"/>
          <w:szCs w:val="18"/>
          <w:color w:val="auto"/>
        </w:rPr>
        <w:t>Diluted earnings per share attributable to Biogen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280" w:val="left"/>
          <w:tab w:leader="none" w:pos="2580" w:val="left"/>
          <w:tab w:leader="none" w:pos="3880" w:val="left"/>
        </w:tabs>
        <w:rPr>
          <w:sz w:val="20"/>
          <w:szCs w:val="20"/>
          <w:color w:val="auto"/>
        </w:rPr>
      </w:pPr>
      <w:r>
        <w:rPr>
          <w:rFonts w:ascii="Arial" w:cs="Arial" w:eastAsia="Arial" w:hAnsi="Arial"/>
          <w:sz w:val="18"/>
          <w:szCs w:val="18"/>
          <w:color w:val="257ACB"/>
        </w:rPr>
        <w:t>190.3</w:t>
      </w:r>
      <w:r>
        <w:rPr>
          <w:sz w:val="20"/>
          <w:szCs w:val="20"/>
          <w:color w:val="auto"/>
        </w:rPr>
        <w:tab/>
      </w:r>
      <w:r>
        <w:rPr>
          <w:rFonts w:ascii="Arial" w:cs="Arial" w:eastAsia="Arial" w:hAnsi="Arial"/>
          <w:sz w:val="18"/>
          <w:szCs w:val="18"/>
          <w:color w:val="auto"/>
        </w:rPr>
        <w:t>207.1</w:t>
      </w:r>
      <w:r>
        <w:rPr>
          <w:sz w:val="20"/>
          <w:szCs w:val="20"/>
          <w:color w:val="auto"/>
        </w:rPr>
        <w:tab/>
      </w:r>
      <w:r>
        <w:rPr>
          <w:rFonts w:ascii="Arial" w:cs="Arial" w:eastAsia="Arial" w:hAnsi="Arial"/>
          <w:sz w:val="18"/>
          <w:szCs w:val="18"/>
          <w:color w:val="257ACB"/>
        </w:rPr>
        <w:t>193.4</w:t>
      </w:r>
      <w:r>
        <w:rPr>
          <w:sz w:val="20"/>
          <w:szCs w:val="20"/>
          <w:color w:val="auto"/>
        </w:rPr>
        <w:tab/>
      </w:r>
      <w:r>
        <w:rPr>
          <w:rFonts w:ascii="Arial" w:cs="Arial" w:eastAsia="Arial" w:hAnsi="Arial"/>
          <w:sz w:val="17"/>
          <w:szCs w:val="17"/>
          <w:color w:val="auto"/>
        </w:rPr>
        <w:t>209.2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28575</wp:posOffset>
            </wp:positionV>
            <wp:extent cx="754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417830</wp:posOffset>
            </wp:positionH>
            <wp:positionV relativeFrom="paragraph">
              <wp:posOffset>28575</wp:posOffset>
            </wp:positionV>
            <wp:extent cx="754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1"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257ACB"/>
        </w:rPr>
        <w:t>190.4</w:t>
      </w:r>
      <w:r>
        <w:rPr>
          <w:sz w:val="1"/>
          <w:szCs w:val="1"/>
          <w:color w:val="auto"/>
        </w:rPr>
        <w:drawing>
          <wp:inline distT="0" distB="0" distL="0" distR="0">
            <wp:extent cx="60325" cy="2914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25" cy="291465"/>
                    </a:xfrm>
                    <a:prstGeom prst="rect">
                      <a:avLst/>
                    </a:prstGeom>
                    <a:noFill/>
                    <a:ln>
                      <a:noFill/>
                    </a:ln>
                  </pic:spPr>
                </pic:pic>
              </a:graphicData>
            </a:graphic>
          </wp:inline>
        </w:drawing>
      </w:r>
      <w:r>
        <w:rPr>
          <w:rFonts w:ascii="Arial" w:cs="Arial" w:eastAsia="Arial" w:hAnsi="Arial"/>
          <w:sz w:val="18"/>
          <w:szCs w:val="18"/>
          <w:color w:val="auto"/>
        </w:rPr>
        <w:t xml:space="preserve">        207.3</w:t>
      </w:r>
      <w:r>
        <w:rPr>
          <w:sz w:val="20"/>
          <w:szCs w:val="20"/>
          <w:color w:val="auto"/>
        </w:rPr>
        <w:tab/>
      </w:r>
      <w:r>
        <w:rPr>
          <w:rFonts w:ascii="Arial" w:cs="Arial" w:eastAsia="Arial" w:hAnsi="Arial"/>
          <w:sz w:val="18"/>
          <w:szCs w:val="18"/>
          <w:color w:val="257ACB"/>
        </w:rPr>
        <w:t>193.7</w:t>
      </w:r>
      <w:r>
        <w:rPr>
          <w:sz w:val="1"/>
          <w:szCs w:val="1"/>
          <w:color w:val="auto"/>
        </w:rPr>
        <w:drawing>
          <wp:inline distT="0" distB="0" distL="0" distR="0">
            <wp:extent cx="60325" cy="2914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25" cy="291465"/>
                    </a:xfrm>
                    <a:prstGeom prst="rect">
                      <a:avLst/>
                    </a:prstGeom>
                    <a:noFill/>
                    <a:ln>
                      <a:noFill/>
                    </a:ln>
                  </pic:spPr>
                </pic:pic>
              </a:graphicData>
            </a:graphic>
          </wp:inline>
        </w:drawing>
      </w:r>
      <w:r>
        <w:rPr>
          <w:rFonts w:ascii="Arial" w:cs="Arial" w:eastAsia="Arial" w:hAnsi="Arial"/>
          <w:sz w:val="18"/>
          <w:szCs w:val="18"/>
          <w:color w:val="auto"/>
        </w:rPr>
        <w:t xml:space="preserve">        209.5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-8255</wp:posOffset>
            </wp:positionV>
            <wp:extent cx="754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-8255</wp:posOffset>
            </wp:positionV>
            <wp:extent cx="32245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24530" cy="2603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-282575</wp:posOffset>
            </wp:positionV>
            <wp:extent cx="7543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417830</wp:posOffset>
            </wp:positionH>
            <wp:positionV relativeFrom="paragraph">
              <wp:posOffset>-282575</wp:posOffset>
            </wp:positionV>
            <wp:extent cx="754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ectPr>
          <w:pgSz w:w="11900" w:h="16838" w:orient="portrait"/>
          <w:cols w:equalWidth="0" w:num="2">
            <w:col w:w="4000" w:space="700"/>
            <w:col w:w="4440"/>
          </w:cols>
          <w:pgMar w:left="1400" w:top="576" w:right="135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1C5A7D"/>
        </w:rPr>
        <w:t>TABLE 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CONDENSED CONSOLIDATED BALANCE SHEETS</w:t>
      </w:r>
    </w:p>
    <w:p>
      <w:pPr>
        <w:jc w:val="center"/>
        <w:spacing w:after="0"/>
        <w:rPr>
          <w:sz w:val="20"/>
          <w:szCs w:val="20"/>
          <w:color w:val="auto"/>
        </w:rPr>
      </w:pPr>
      <w:r>
        <w:rPr>
          <w:rFonts w:ascii="Arial" w:cs="Arial" w:eastAsia="Arial" w:hAnsi="Arial"/>
          <w:sz w:val="18"/>
          <w:szCs w:val="18"/>
          <w:b w:val="1"/>
          <w:bCs w:val="1"/>
          <w:i w:val="1"/>
          <w:iCs w:val="1"/>
          <w:color w:val="1C5A7D"/>
        </w:rPr>
        <w:t>(unaudited, in millions)</w:t>
      </w:r>
    </w:p>
    <w:p>
      <w:pPr>
        <w:spacing w:after="0" w:line="200" w:lineRule="exact"/>
        <w:rPr>
          <w:sz w:val="20"/>
          <w:szCs w:val="20"/>
          <w:color w:val="auto"/>
        </w:rPr>
      </w:pPr>
    </w:p>
    <w:p>
      <w:pPr>
        <w:spacing w:after="0" w:line="202" w:lineRule="exact"/>
        <w:rPr>
          <w:sz w:val="20"/>
          <w:szCs w:val="20"/>
          <w:color w:val="auto"/>
        </w:rPr>
      </w:pPr>
    </w:p>
    <w:tbl>
      <w:tblPr>
        <w:tblLayout w:type="fixed"/>
        <w:tblInd w:w="400" w:type="dxa"/>
        <w:tblCellMar>
          <w:top w:w="0" w:type="dxa"/>
          <w:left w:w="0" w:type="dxa"/>
          <w:bottom w:w="0" w:type="dxa"/>
          <w:right w:w="0" w:type="dxa"/>
        </w:tblCellMar>
      </w:tblPr>
      <w:tr>
        <w:trPr>
          <w:trHeight w:val="174"/>
        </w:trPr>
        <w:tc>
          <w:tcPr>
            <w:tcW w:w="5140" w:type="dxa"/>
            <w:vAlign w:val="bottom"/>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1300" w:type="dxa"/>
            <w:vAlign w:val="bottom"/>
            <w:shd w:val="clear" w:color="auto" w:fill="DDDDDD"/>
          </w:tcPr>
          <w:p>
            <w:pPr>
              <w:jc w:val="right"/>
              <w:ind w:right="192"/>
              <w:spacing w:after="0"/>
              <w:rPr>
                <w:sz w:val="20"/>
                <w:szCs w:val="20"/>
                <w:color w:val="auto"/>
              </w:rPr>
            </w:pPr>
            <w:r>
              <w:rPr>
                <w:rFonts w:ascii="Arial" w:cs="Arial" w:eastAsia="Arial" w:hAnsi="Arial"/>
                <w:sz w:val="14"/>
                <w:szCs w:val="14"/>
                <w:b w:val="1"/>
                <w:bCs w:val="1"/>
                <w:color w:val="2573BA"/>
              </w:rPr>
              <w:t>As of June 30,</w:t>
            </w:r>
          </w:p>
        </w:tc>
        <w:tc>
          <w:tcPr>
            <w:tcW w:w="120" w:type="dxa"/>
            <w:vAlign w:val="bottom"/>
          </w:tcPr>
          <w:p>
            <w:pPr>
              <w:spacing w:after="0"/>
              <w:rPr>
                <w:sz w:val="15"/>
                <w:szCs w:val="15"/>
                <w:color w:val="auto"/>
              </w:rPr>
            </w:pPr>
          </w:p>
        </w:tc>
        <w:tc>
          <w:tcPr>
            <w:tcW w:w="15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03"/>
        </w:trPr>
        <w:tc>
          <w:tcPr>
            <w:tcW w:w="5140" w:type="dxa"/>
            <w:vAlign w:val="bottom"/>
            <w:vMerge w:val="restart"/>
          </w:tcPr>
          <w:p>
            <w:pPr>
              <w:spacing w:after="0"/>
              <w:rPr>
                <w:sz w:val="20"/>
                <w:szCs w:val="20"/>
                <w:color w:val="auto"/>
              </w:rPr>
            </w:pPr>
            <w:r>
              <w:rPr>
                <w:rFonts w:ascii="Arial" w:cs="Arial" w:eastAsia="Arial" w:hAnsi="Arial"/>
                <w:sz w:val="22"/>
                <w:szCs w:val="22"/>
                <w:b w:val="1"/>
                <w:bCs w:val="1"/>
                <w:color w:val="2573BA"/>
              </w:rPr>
              <w:t>ASSETS</w:t>
            </w:r>
          </w:p>
        </w:tc>
        <w:tc>
          <w:tcPr>
            <w:tcW w:w="20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ind w:right="492"/>
              <w:spacing w:after="0"/>
              <w:rPr>
                <w:sz w:val="20"/>
                <w:szCs w:val="20"/>
                <w:color w:val="auto"/>
              </w:rPr>
            </w:pPr>
            <w:r>
              <w:rPr>
                <w:rFonts w:ascii="Arial" w:cs="Arial" w:eastAsia="Arial" w:hAnsi="Arial"/>
                <w:sz w:val="14"/>
                <w:szCs w:val="14"/>
                <w:b w:val="1"/>
                <w:bCs w:val="1"/>
                <w:color w:val="2573BA"/>
              </w:rPr>
              <w:t>2019</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7"/>
        </w:trPr>
        <w:tc>
          <w:tcPr>
            <w:tcW w:w="5140" w:type="dxa"/>
            <w:vAlign w:val="bottom"/>
            <w:vMerge w:val="continue"/>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300" w:type="dxa"/>
            <w:vAlign w:val="bottom"/>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14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2,952.2</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3,538.0</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ACB"/>
              </w:rPr>
              <w:t>1,959.6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1,958.5</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ACB"/>
              </w:rPr>
              <w:t>776.7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929.9</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Assets held for sale</w:t>
            </w:r>
          </w:p>
        </w:tc>
        <w:tc>
          <w:tcPr>
            <w:tcW w:w="20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ACB"/>
              </w:rPr>
              <w:t>683.4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5140" w:type="dxa"/>
            <w:vAlign w:val="bottom"/>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DDDDDD"/>
          </w:tcPr>
          <w:p>
            <w:pPr>
              <w:spacing w:after="0"/>
              <w:rPr>
                <w:sz w:val="23"/>
                <w:szCs w:val="23"/>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2573BA"/>
              </w:rPr>
              <w:t>1,537.9</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1,214.5</w:t>
            </w:r>
          </w:p>
        </w:tc>
        <w:tc>
          <w:tcPr>
            <w:tcW w:w="0" w:type="dxa"/>
            <w:vAlign w:val="bottom"/>
          </w:tcPr>
          <w:p>
            <w:pPr>
              <w:spacing w:after="0"/>
              <w:rPr>
                <w:sz w:val="1"/>
                <w:szCs w:val="1"/>
                <w:color w:val="auto"/>
              </w:rPr>
            </w:pPr>
          </w:p>
        </w:tc>
      </w:tr>
      <w:tr>
        <w:trPr>
          <w:trHeight w:val="247"/>
        </w:trPr>
        <w:tc>
          <w:tcPr>
            <w:tcW w:w="514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7,909.8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7,640.9</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ACB"/>
              </w:rPr>
              <w:t>1,309.3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ACB"/>
              </w:rPr>
              <w:t>3,077.5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3,601.2</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Operating lease assets</w:t>
            </w:r>
          </w:p>
        </w:tc>
        <w:tc>
          <w:tcPr>
            <w:tcW w:w="20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ACB"/>
              </w:rPr>
              <w:t>434.4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ACB"/>
              </w:rPr>
              <w:t>3,681.3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3,120.0</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ACB"/>
              </w:rPr>
              <w:t>5,749.2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5,706.4</w:t>
            </w:r>
          </w:p>
        </w:tc>
        <w:tc>
          <w:tcPr>
            <w:tcW w:w="0" w:type="dxa"/>
            <w:vAlign w:val="bottom"/>
          </w:tcPr>
          <w:p>
            <w:pPr>
              <w:spacing w:after="0"/>
              <w:rPr>
                <w:sz w:val="1"/>
                <w:szCs w:val="1"/>
                <w:color w:val="auto"/>
              </w:rPr>
            </w:pPr>
          </w:p>
        </w:tc>
      </w:tr>
      <w:tr>
        <w:trPr>
          <w:trHeight w:val="275"/>
        </w:trPr>
        <w:tc>
          <w:tcPr>
            <w:tcW w:w="5140" w:type="dxa"/>
            <w:vAlign w:val="bottom"/>
          </w:tcPr>
          <w:p>
            <w:pPr>
              <w:spacing w:after="0"/>
              <w:rPr>
                <w:sz w:val="20"/>
                <w:szCs w:val="20"/>
                <w:color w:val="auto"/>
              </w:rPr>
            </w:pPr>
            <w:r>
              <w:rPr>
                <w:rFonts w:ascii="Arial" w:cs="Arial" w:eastAsia="Arial" w:hAnsi="Arial"/>
                <w:sz w:val="18"/>
                <w:szCs w:val="18"/>
                <w:color w:val="auto"/>
              </w:rPr>
              <w:t>Investments and other assets</w:t>
            </w:r>
          </w:p>
        </w:tc>
        <w:tc>
          <w:tcPr>
            <w:tcW w:w="200" w:type="dxa"/>
            <w:vAlign w:val="bottom"/>
            <w:tcBorders>
              <w:bottom w:val="single" w:sz="8" w:color="auto"/>
            </w:tcBorders>
            <w:shd w:val="clear" w:color="auto" w:fill="DDDDDD"/>
          </w:tcPr>
          <w:p>
            <w:pPr>
              <w:spacing w:after="0"/>
              <w:rPr>
                <w:sz w:val="23"/>
                <w:szCs w:val="23"/>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2573BA"/>
              </w:rPr>
              <w:t>4,126.1</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3,844.5</w:t>
            </w:r>
          </w:p>
        </w:tc>
        <w:tc>
          <w:tcPr>
            <w:tcW w:w="0" w:type="dxa"/>
            <w:vAlign w:val="bottom"/>
          </w:tcPr>
          <w:p>
            <w:pPr>
              <w:spacing w:after="0"/>
              <w:rPr>
                <w:sz w:val="1"/>
                <w:szCs w:val="1"/>
                <w:color w:val="auto"/>
              </w:rPr>
            </w:pPr>
          </w:p>
        </w:tc>
      </w:tr>
      <w:tr>
        <w:trPr>
          <w:trHeight w:val="295"/>
        </w:trPr>
        <w:tc>
          <w:tcPr>
            <w:tcW w:w="514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26,287.6</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25,288.9</w:t>
            </w:r>
          </w:p>
        </w:tc>
        <w:tc>
          <w:tcPr>
            <w:tcW w:w="0" w:type="dxa"/>
            <w:vAlign w:val="bottom"/>
          </w:tcPr>
          <w:p>
            <w:pPr>
              <w:spacing w:after="0"/>
              <w:rPr>
                <w:sz w:val="1"/>
                <w:szCs w:val="1"/>
                <w:color w:val="auto"/>
              </w:rPr>
            </w:pPr>
          </w:p>
        </w:tc>
      </w:tr>
      <w:tr>
        <w:trPr>
          <w:trHeight w:val="601"/>
        </w:trPr>
        <w:tc>
          <w:tcPr>
            <w:tcW w:w="5140" w:type="dxa"/>
            <w:vAlign w:val="bottom"/>
          </w:tcPr>
          <w:p>
            <w:pPr>
              <w:spacing w:after="0"/>
              <w:rPr>
                <w:sz w:val="20"/>
                <w:szCs w:val="20"/>
                <w:color w:val="auto"/>
              </w:rPr>
            </w:pPr>
            <w:r>
              <w:rPr>
                <w:rFonts w:ascii="Arial" w:cs="Arial" w:eastAsia="Arial" w:hAnsi="Arial"/>
                <w:sz w:val="22"/>
                <w:szCs w:val="22"/>
                <w:b w:val="1"/>
                <w:bCs w:val="1"/>
                <w:color w:val="2573BA"/>
              </w:rPr>
              <w:t>LIABILITIES AND EQUITY</w:t>
            </w:r>
          </w:p>
        </w:tc>
        <w:tc>
          <w:tcPr>
            <w:tcW w:w="200" w:type="dxa"/>
            <w:vAlign w:val="bottom"/>
            <w:tcBorders>
              <w:top w:val="single" w:sz="8" w:color="auto"/>
            </w:tcBorders>
            <w:shd w:val="clear" w:color="auto" w:fill="DDDDDD"/>
          </w:tcPr>
          <w:p>
            <w:pPr>
              <w:spacing w:after="0"/>
              <w:rPr>
                <w:sz w:val="24"/>
                <w:szCs w:val="24"/>
                <w:color w:val="auto"/>
              </w:rPr>
            </w:pPr>
          </w:p>
        </w:tc>
        <w:tc>
          <w:tcPr>
            <w:tcW w:w="1300" w:type="dxa"/>
            <w:vAlign w:val="bottom"/>
            <w:tcBorders>
              <w:top w:val="single" w:sz="8" w:color="auto"/>
            </w:tcBorders>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140" w:type="dxa"/>
            <w:vAlign w:val="bottom"/>
          </w:tcPr>
          <w:p>
            <w:pPr>
              <w:spacing w:after="0"/>
              <w:rPr>
                <w:sz w:val="20"/>
                <w:szCs w:val="20"/>
                <w:color w:val="auto"/>
              </w:rPr>
            </w:pPr>
            <w:r>
              <w:rPr>
                <w:rFonts w:ascii="Arial" w:cs="Arial" w:eastAsia="Arial" w:hAnsi="Arial"/>
                <w:sz w:val="18"/>
                <w:szCs w:val="18"/>
                <w:color w:val="auto"/>
              </w:rPr>
              <w:t>Liabilities held for sale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88.6</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51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DDDDDD"/>
          </w:tcPr>
          <w:p>
            <w:pPr>
              <w:spacing w:after="0"/>
              <w:rPr>
                <w:sz w:val="23"/>
                <w:szCs w:val="23"/>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2573BA"/>
              </w:rPr>
              <w:t>3,122.3</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3,295.2</w:t>
            </w:r>
          </w:p>
        </w:tc>
        <w:tc>
          <w:tcPr>
            <w:tcW w:w="0" w:type="dxa"/>
            <w:vAlign w:val="bottom"/>
          </w:tcPr>
          <w:p>
            <w:pPr>
              <w:spacing w:after="0"/>
              <w:rPr>
                <w:sz w:val="1"/>
                <w:szCs w:val="1"/>
                <w:color w:val="auto"/>
              </w:rPr>
            </w:pPr>
          </w:p>
        </w:tc>
      </w:tr>
      <w:tr>
        <w:trPr>
          <w:trHeight w:val="247"/>
        </w:trPr>
        <w:tc>
          <w:tcPr>
            <w:tcW w:w="514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DDDDDD"/>
          </w:tcPr>
          <w:p>
            <w:pPr>
              <w:spacing w:after="0"/>
              <w:rPr>
                <w:sz w:val="21"/>
                <w:szCs w:val="21"/>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3,210.9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3,295.2</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Notes payable</w:t>
            </w:r>
          </w:p>
        </w:tc>
        <w:tc>
          <w:tcPr>
            <w:tcW w:w="20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ACB"/>
              </w:rPr>
              <w:t>5,948.5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ACB"/>
              </w:rPr>
              <w:t>423.0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3,756.4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3,025.6</w:t>
            </w:r>
          </w:p>
        </w:tc>
        <w:tc>
          <w:tcPr>
            <w:tcW w:w="0" w:type="dxa"/>
            <w:vAlign w:val="bottom"/>
          </w:tcPr>
          <w:p>
            <w:pPr>
              <w:spacing w:after="0"/>
              <w:rPr>
                <w:sz w:val="1"/>
                <w:szCs w:val="1"/>
                <w:color w:val="auto"/>
              </w:rPr>
            </w:pPr>
          </w:p>
        </w:tc>
      </w:tr>
      <w:tr>
        <w:trPr>
          <w:trHeight w:val="275"/>
        </w:trPr>
        <w:tc>
          <w:tcPr>
            <w:tcW w:w="5140" w:type="dxa"/>
            <w:vAlign w:val="bottom"/>
          </w:tcPr>
          <w:p>
            <w:pPr>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auto"/>
            </w:tcBorders>
            <w:shd w:val="clear" w:color="auto" w:fill="DDDDDD"/>
          </w:tcPr>
          <w:p>
            <w:pPr>
              <w:spacing w:after="0"/>
              <w:rPr>
                <w:sz w:val="23"/>
                <w:szCs w:val="23"/>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2573BA"/>
              </w:rPr>
              <w:t>12,948.8</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13,031.6</w:t>
            </w:r>
          </w:p>
        </w:tc>
        <w:tc>
          <w:tcPr>
            <w:tcW w:w="0" w:type="dxa"/>
            <w:vAlign w:val="bottom"/>
          </w:tcPr>
          <w:p>
            <w:pPr>
              <w:spacing w:after="0"/>
              <w:rPr>
                <w:sz w:val="1"/>
                <w:szCs w:val="1"/>
                <w:color w:val="auto"/>
              </w:rPr>
            </w:pPr>
          </w:p>
        </w:tc>
      </w:tr>
      <w:tr>
        <w:trPr>
          <w:trHeight w:val="255"/>
        </w:trPr>
        <w:tc>
          <w:tcPr>
            <w:tcW w:w="514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26,287.6</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25,288.9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576" w:right="1440" w:bottom="1440" w:gutter="0" w:footer="0" w:header="0"/>
        </w:sectPr>
      </w:pPr>
    </w:p>
    <w:bookmarkStart w:id="14" w:name="page15"/>
    <w:bookmarkEnd w:id="14"/>
    <w:p>
      <w:pPr>
        <w:jc w:val="center"/>
        <w:ind w:right="-1099"/>
        <w:spacing w:after="0"/>
        <w:rPr>
          <w:sz w:val="20"/>
          <w:szCs w:val="20"/>
          <w:color w:val="auto"/>
        </w:rPr>
      </w:pPr>
      <w:r>
        <w:rPr>
          <w:rFonts w:ascii="Arial" w:cs="Arial" w:eastAsia="Arial" w:hAnsi="Arial"/>
          <w:sz w:val="22"/>
          <w:szCs w:val="22"/>
          <w:b w:val="1"/>
          <w:bCs w:val="1"/>
          <w:color w:val="1C5A7D"/>
        </w:rPr>
        <w:t>TABLE 3</w:t>
      </w:r>
    </w:p>
    <w:p>
      <w:pPr>
        <w:spacing w:after="0" w:line="260" w:lineRule="exact"/>
        <w:rPr>
          <w:sz w:val="20"/>
          <w:szCs w:val="20"/>
          <w:color w:val="auto"/>
        </w:rPr>
      </w:pPr>
    </w:p>
    <w:p>
      <w:pPr>
        <w:jc w:val="center"/>
        <w:ind w:right="-1099"/>
        <w:spacing w:after="0"/>
        <w:rPr>
          <w:sz w:val="20"/>
          <w:szCs w:val="20"/>
          <w:color w:val="auto"/>
        </w:rPr>
      </w:pPr>
      <w:r>
        <w:rPr>
          <w:rFonts w:ascii="Arial" w:cs="Arial" w:eastAsia="Arial" w:hAnsi="Arial"/>
          <w:sz w:val="22"/>
          <w:szCs w:val="22"/>
          <w:b w:val="1"/>
          <w:bCs w:val="1"/>
          <w:color w:val="1C5A7D"/>
        </w:rPr>
        <w:t>BIOGEN INC. AND SUBSIDIARIES</w:t>
      </w:r>
    </w:p>
    <w:p>
      <w:pPr>
        <w:spacing w:after="0" w:line="34" w:lineRule="exact"/>
        <w:rPr>
          <w:sz w:val="20"/>
          <w:szCs w:val="20"/>
          <w:color w:val="auto"/>
        </w:rPr>
      </w:pPr>
    </w:p>
    <w:p>
      <w:pPr>
        <w:jc w:val="center"/>
        <w:ind w:right="-1099"/>
        <w:spacing w:after="0"/>
        <w:rPr>
          <w:sz w:val="20"/>
          <w:szCs w:val="20"/>
          <w:color w:val="auto"/>
        </w:rPr>
      </w:pPr>
      <w:r>
        <w:rPr>
          <w:rFonts w:ascii="Arial" w:cs="Arial" w:eastAsia="Arial" w:hAnsi="Arial"/>
          <w:sz w:val="22"/>
          <w:szCs w:val="22"/>
          <w:b w:val="1"/>
          <w:bCs w:val="1"/>
          <w:color w:val="1C5A7D"/>
        </w:rPr>
        <w:t>GAAP TO NON-GAAP RECONCILIATION:</w:t>
      </w:r>
    </w:p>
    <w:p>
      <w:pPr>
        <w:jc w:val="center"/>
        <w:ind w:right="-1099"/>
        <w:spacing w:after="0"/>
        <w:rPr>
          <w:sz w:val="20"/>
          <w:szCs w:val="20"/>
          <w:color w:val="auto"/>
        </w:rPr>
      </w:pPr>
      <w:r>
        <w:rPr>
          <w:rFonts w:ascii="Arial" w:cs="Arial" w:eastAsia="Arial" w:hAnsi="Arial"/>
          <w:sz w:val="22"/>
          <w:szCs w:val="22"/>
          <w:b w:val="1"/>
          <w:bCs w:val="1"/>
          <w:color w:val="1C5A7D"/>
        </w:rPr>
        <w:t>NET INCOME ATTRIBUTABLE TO BIOGEN INC. AND DILUTED EARNINGS PER SHARE</w:t>
      </w:r>
    </w:p>
    <w:p>
      <w:pPr>
        <w:ind w:left="3560"/>
        <w:spacing w:after="0"/>
        <w:rPr>
          <w:sz w:val="20"/>
          <w:szCs w:val="20"/>
          <w:color w:val="auto"/>
        </w:rPr>
      </w:pPr>
      <w:r>
        <w:rPr>
          <w:rFonts w:ascii="Arial" w:cs="Arial" w:eastAsia="Arial" w:hAnsi="Arial"/>
          <w:sz w:val="18"/>
          <w:szCs w:val="18"/>
          <w:b w:val="1"/>
          <w:bCs w:val="1"/>
          <w:i w:val="1"/>
          <w:iCs w:val="1"/>
          <w:color w:val="1C5A7D"/>
        </w:rPr>
        <w:t>(unaudited, in millions, except per share amounts)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2573BA"/>
        </w:rPr>
        <w:t>An itemized reconciliation between diluted earnings per share on a GAAP and Non-GAAP basis is as follows: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For the Three Months Ended</w:t>
            </w:r>
          </w:p>
        </w:tc>
        <w:tc>
          <w:tcPr>
            <w:tcW w:w="1300" w:type="dxa"/>
            <w:vAlign w:val="bottom"/>
            <w:tcBorders>
              <w:bottom w:val="single" w:sz="8" w:color="auto"/>
            </w:tcBorders>
          </w:tcPr>
          <w:p>
            <w:pPr>
              <w:spacing w:after="0"/>
              <w:rPr>
                <w:sz w:val="17"/>
                <w:szCs w:val="17"/>
                <w:color w:val="auto"/>
              </w:rPr>
            </w:pPr>
          </w:p>
        </w:tc>
      </w:tr>
      <w:tr>
        <w:trPr>
          <w:trHeight w:val="263"/>
        </w:trPr>
        <w:tc>
          <w:tcPr>
            <w:tcW w:w="4580" w:type="dxa"/>
            <w:vAlign w:val="bottom"/>
          </w:tcPr>
          <w:p>
            <w:pPr>
              <w:spacing w:after="0"/>
              <w:rPr>
                <w:sz w:val="22"/>
                <w:szCs w:val="22"/>
                <w:color w:val="auto"/>
              </w:rPr>
            </w:pPr>
          </w:p>
        </w:tc>
        <w:tc>
          <w:tcPr>
            <w:tcW w:w="180" w:type="dxa"/>
            <w:vAlign w:val="bottom"/>
            <w:tcBorders>
              <w:bottom w:val="single" w:sz="8" w:color="auto"/>
            </w:tcBorders>
            <w:shd w:val="clear" w:color="auto" w:fill="DDDDDD"/>
          </w:tcPr>
          <w:p>
            <w:pPr>
              <w:spacing w:after="0"/>
              <w:rPr>
                <w:sz w:val="22"/>
                <w:szCs w:val="22"/>
                <w:color w:val="auto"/>
              </w:rPr>
            </w:pPr>
          </w:p>
        </w:tc>
        <w:tc>
          <w:tcPr>
            <w:tcW w:w="1260" w:type="dxa"/>
            <w:vAlign w:val="bottom"/>
            <w:tcBorders>
              <w:bottom w:val="single" w:sz="8" w:color="auto"/>
            </w:tcBorders>
            <w:shd w:val="clear" w:color="auto" w:fill="DDDDDD"/>
          </w:tcPr>
          <w:p>
            <w:pPr>
              <w:jc w:val="right"/>
              <w:ind w:right="177"/>
              <w:spacing w:after="0"/>
              <w:rPr>
                <w:sz w:val="20"/>
                <w:szCs w:val="20"/>
                <w:color w:val="auto"/>
              </w:rPr>
            </w:pPr>
            <w:r>
              <w:rPr>
                <w:rFonts w:ascii="Arial" w:cs="Arial" w:eastAsia="Arial" w:hAnsi="Arial"/>
                <w:sz w:val="14"/>
                <w:szCs w:val="14"/>
                <w:b w:val="1"/>
                <w:bCs w:val="1"/>
                <w:color w:val="2573BA"/>
              </w:rPr>
              <w:t>June 30, 2019</w:t>
            </w:r>
          </w:p>
        </w:tc>
        <w:tc>
          <w:tcPr>
            <w:tcW w:w="1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June 30, 2018</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March 31, 2019</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GAAP earnings per share - Diluted</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7.85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7.15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Adjustments to GAAP net income attributable to Biogen</w:t>
            </w:r>
          </w:p>
        </w:tc>
        <w:tc>
          <w:tcPr>
            <w:tcW w:w="180" w:type="dxa"/>
            <w:vAlign w:val="bottom"/>
            <w:shd w:val="clear" w:color="auto" w:fill="DDDDDD"/>
          </w:tcPr>
          <w:p>
            <w:pPr>
              <w:spacing w:after="0"/>
              <w:rPr>
                <w:sz w:val="18"/>
                <w:szCs w:val="18"/>
                <w:color w:val="auto"/>
              </w:rPr>
            </w:pPr>
          </w:p>
        </w:tc>
        <w:tc>
          <w:tcPr>
            <w:tcW w:w="126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8"/>
        </w:trPr>
        <w:tc>
          <w:tcPr>
            <w:tcW w:w="4580" w:type="dxa"/>
            <w:vAlign w:val="bottom"/>
          </w:tcPr>
          <w:p>
            <w:pPr>
              <w:spacing w:after="0"/>
              <w:rPr>
                <w:sz w:val="20"/>
                <w:szCs w:val="20"/>
                <w:color w:val="auto"/>
              </w:rPr>
            </w:pPr>
            <w:r>
              <w:rPr>
                <w:rFonts w:ascii="Arial" w:cs="Arial" w:eastAsia="Arial" w:hAnsi="Arial"/>
                <w:sz w:val="18"/>
                <w:szCs w:val="18"/>
                <w:color w:val="auto"/>
              </w:rPr>
              <w:t>Inc. (as detailed below)</w:t>
            </w:r>
          </w:p>
        </w:tc>
        <w:tc>
          <w:tcPr>
            <w:tcW w:w="180" w:type="dxa"/>
            <w:vAlign w:val="bottom"/>
            <w:tcBorders>
              <w:bottom w:val="single" w:sz="8" w:color="auto"/>
            </w:tcBorders>
            <w:shd w:val="clear" w:color="auto" w:fill="DDDDDD"/>
          </w:tcPr>
          <w:p>
            <w:pPr>
              <w:spacing w:after="0"/>
              <w:rPr>
                <w:sz w:val="21"/>
                <w:szCs w:val="21"/>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2573BA"/>
              </w:rPr>
              <w:t>1.30</w:t>
            </w: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r>
      <w:tr>
        <w:trPr>
          <w:trHeight w:val="255"/>
        </w:trPr>
        <w:tc>
          <w:tcPr>
            <w:tcW w:w="4580" w:type="dxa"/>
            <w:vAlign w:val="bottom"/>
          </w:tcPr>
          <w:p>
            <w:pPr>
              <w:spacing w:after="0"/>
              <w:rPr>
                <w:sz w:val="20"/>
                <w:szCs w:val="20"/>
                <w:color w:val="auto"/>
              </w:rPr>
            </w:pPr>
            <w:r>
              <w:rPr>
                <w:rFonts w:ascii="Arial" w:cs="Arial" w:eastAsia="Arial" w:hAnsi="Arial"/>
                <w:sz w:val="18"/>
                <w:szCs w:val="18"/>
                <w:color w:val="auto"/>
              </w:rPr>
              <w:t>Non-GAAP earnings per share - Diluted</w:t>
            </w: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2573BA"/>
              </w:rPr>
              <w:t>9.15</w:t>
            </w:r>
          </w:p>
        </w:tc>
        <w:tc>
          <w:tcPr>
            <w:tcW w:w="120" w:type="dxa"/>
            <w:vAlign w:val="bottom"/>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5.80</w:t>
            </w:r>
          </w:p>
        </w:tc>
        <w:tc>
          <w:tcPr>
            <w:tcW w:w="60" w:type="dxa"/>
            <w:vAlign w:val="bottom"/>
          </w:tcPr>
          <w:p>
            <w:pPr>
              <w:spacing w:after="0"/>
              <w:rPr>
                <w:sz w:val="22"/>
                <w:szCs w:val="22"/>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6.98</w:t>
            </w:r>
          </w:p>
        </w:tc>
      </w:tr>
      <w:tr>
        <w:trPr>
          <w:trHeight w:val="20"/>
        </w:trPr>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385"/>
        </w:trPr>
        <w:tc>
          <w:tcPr>
            <w:tcW w:w="4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For the Six Months Ended</w:t>
            </w:r>
          </w:p>
        </w:tc>
      </w:tr>
      <w:tr>
        <w:trPr>
          <w:trHeight w:val="263"/>
        </w:trPr>
        <w:tc>
          <w:tcPr>
            <w:tcW w:w="4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shd w:val="clear" w:color="auto" w:fill="DDDDDD"/>
          </w:tcPr>
          <w:p>
            <w:pPr>
              <w:spacing w:after="0"/>
              <w:rPr>
                <w:sz w:val="22"/>
                <w:szCs w:val="22"/>
                <w:color w:val="auto"/>
              </w:rPr>
            </w:pPr>
          </w:p>
        </w:tc>
        <w:tc>
          <w:tcPr>
            <w:tcW w:w="1280" w:type="dxa"/>
            <w:vAlign w:val="bottom"/>
            <w:tcBorders>
              <w:bottom w:val="single" w:sz="8" w:color="auto"/>
              <w:right w:val="single" w:sz="8" w:color="DDDDDD"/>
            </w:tcBorders>
            <w:shd w:val="clear" w:color="auto" w:fill="DDDDDD"/>
          </w:tcPr>
          <w:p>
            <w:pPr>
              <w:jc w:val="right"/>
              <w:ind w:right="176"/>
              <w:spacing w:after="0"/>
              <w:rPr>
                <w:sz w:val="20"/>
                <w:szCs w:val="20"/>
                <w:color w:val="auto"/>
              </w:rPr>
            </w:pPr>
            <w:r>
              <w:rPr>
                <w:rFonts w:ascii="Arial" w:cs="Arial" w:eastAsia="Arial" w:hAnsi="Arial"/>
                <w:sz w:val="14"/>
                <w:szCs w:val="14"/>
                <w:b w:val="1"/>
                <w:bCs w:val="1"/>
                <w:color w:val="2573BA"/>
              </w:rPr>
              <w:t>June 30, 2019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June 30, 2018</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GAAP earnings per share - Diluted</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28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8"/>
                <w:szCs w:val="18"/>
                <w:color w:val="2573BA"/>
              </w:rPr>
              <w:t>14.99</w:t>
            </w:r>
          </w:p>
        </w:tc>
        <w:tc>
          <w:tcPr>
            <w:tcW w:w="6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16"/>
        </w:trPr>
        <w:tc>
          <w:tcPr>
            <w:tcW w:w="6020" w:type="dxa"/>
            <w:vAlign w:val="bottom"/>
            <w:gridSpan w:val="3"/>
          </w:tcPr>
          <w:p>
            <w:pPr>
              <w:spacing w:after="0"/>
              <w:rPr>
                <w:sz w:val="20"/>
                <w:szCs w:val="20"/>
                <w:color w:val="auto"/>
              </w:rPr>
            </w:pPr>
            <w:r>
              <w:rPr>
                <w:rFonts w:ascii="Arial" w:cs="Arial" w:eastAsia="Arial" w:hAnsi="Arial"/>
                <w:sz w:val="18"/>
                <w:szCs w:val="18"/>
                <w:color w:val="auto"/>
              </w:rPr>
              <w:t>Adjustments to GAAP net income attributable to Biogen Inc. (as detailed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280" w:type="dxa"/>
            <w:vAlign w:val="bottom"/>
            <w:tcBorders>
              <w:right w:val="single" w:sz="8" w:color="DDDDDD"/>
            </w:tcBorders>
            <w:shd w:val="clear" w:color="auto" w:fill="DDDDDD"/>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8"/>
        </w:trPr>
        <w:tc>
          <w:tcPr>
            <w:tcW w:w="4580" w:type="dxa"/>
            <w:vAlign w:val="bottom"/>
          </w:tcPr>
          <w:p>
            <w:pPr>
              <w:spacing w:after="0"/>
              <w:rPr>
                <w:sz w:val="20"/>
                <w:szCs w:val="20"/>
                <w:color w:val="auto"/>
              </w:rPr>
            </w:pPr>
            <w:r>
              <w:rPr>
                <w:rFonts w:ascii="Arial" w:cs="Arial" w:eastAsia="Arial" w:hAnsi="Arial"/>
                <w:sz w:val="18"/>
                <w:szCs w:val="18"/>
                <w:color w:val="auto"/>
              </w:rPr>
              <w:t>below)</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shd w:val="clear" w:color="auto" w:fill="DDDDDD"/>
          </w:tcPr>
          <w:p>
            <w:pPr>
              <w:spacing w:after="0"/>
              <w:rPr>
                <w:sz w:val="21"/>
                <w:szCs w:val="21"/>
                <w:color w:val="auto"/>
              </w:rPr>
            </w:pPr>
          </w:p>
        </w:tc>
        <w:tc>
          <w:tcPr>
            <w:tcW w:w="128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8"/>
                <w:szCs w:val="18"/>
                <w:color w:val="2573BA"/>
              </w:rPr>
              <w:t>1.10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55"/>
        </w:trPr>
        <w:tc>
          <w:tcPr>
            <w:tcW w:w="4580" w:type="dxa"/>
            <w:vAlign w:val="bottom"/>
          </w:tcPr>
          <w:p>
            <w:pPr>
              <w:spacing w:after="0"/>
              <w:rPr>
                <w:sz w:val="20"/>
                <w:szCs w:val="20"/>
                <w:color w:val="auto"/>
              </w:rPr>
            </w:pPr>
            <w:r>
              <w:rPr>
                <w:rFonts w:ascii="Arial" w:cs="Arial" w:eastAsia="Arial" w:hAnsi="Arial"/>
                <w:sz w:val="18"/>
                <w:szCs w:val="18"/>
                <w:color w:val="auto"/>
              </w:rPr>
              <w:t>Non-GAAP earnings per share - Diluted</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2573BA"/>
                <w:w w:val="99"/>
              </w:rPr>
              <w:t>$</w:t>
            </w:r>
          </w:p>
        </w:tc>
        <w:tc>
          <w:tcPr>
            <w:tcW w:w="128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8"/>
                <w:szCs w:val="18"/>
                <w:color w:val="2573BA"/>
              </w:rPr>
              <w:t>16.09</w:t>
            </w:r>
          </w:p>
        </w:tc>
        <w:tc>
          <w:tcPr>
            <w:tcW w:w="6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11.85</w:t>
            </w:r>
          </w:p>
        </w:tc>
      </w:tr>
      <w:tr>
        <w:trPr>
          <w:trHeight w:val="20"/>
        </w:trPr>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573BA"/>
        </w:rPr>
        <w:t>An itemized reconciliation between net income attributable to Biogen Inc. on a GAAP and Non-GAAP basis is as follows:</w:t>
      </w:r>
    </w:p>
    <w:p>
      <w:pPr>
        <w:sectPr>
          <w:pgSz w:w="11900" w:h="16838" w:orient="portrait"/>
          <w:cols w:equalWidth="0" w:num="1">
            <w:col w:w="10320"/>
          </w:cols>
          <w:pgMar w:left="240" w:top="576"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GAAP net income attributable to Biogen Inc.</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Adjustments:</w:t>
      </w:r>
    </w:p>
    <w:p>
      <w:pPr>
        <w:spacing w:after="0" w:line="6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Acquisition and divestiture related costs:</w:t>
      </w:r>
    </w:p>
    <w:p>
      <w:pPr>
        <w:spacing w:after="0" w:line="50" w:lineRule="exact"/>
        <w:rPr>
          <w:sz w:val="20"/>
          <w:szCs w:val="20"/>
          <w:color w:val="auto"/>
        </w:rPr>
      </w:pPr>
    </w:p>
    <w:p>
      <w:pPr>
        <w:ind w:left="1600" w:right="680"/>
        <w:spacing w:after="0" w:line="274" w:lineRule="auto"/>
        <w:rPr>
          <w:sz w:val="20"/>
          <w:szCs w:val="20"/>
          <w:color w:val="auto"/>
        </w:rPr>
      </w:pPr>
      <w:r>
        <w:rPr>
          <w:rFonts w:ascii="Arial" w:cs="Arial" w:eastAsia="Arial" w:hAnsi="Arial"/>
          <w:sz w:val="18"/>
          <w:szCs w:val="18"/>
          <w:color w:val="auto"/>
        </w:rPr>
        <w:t xml:space="preserve">Amortization and impairment of acquired intangible assets </w:t>
      </w:r>
      <w:r>
        <w:rPr>
          <w:rFonts w:ascii="Arial" w:cs="Arial" w:eastAsia="Arial" w:hAnsi="Arial"/>
          <w:sz w:val="15"/>
          <w:szCs w:val="15"/>
          <w:color w:val="auto"/>
        </w:rPr>
        <w:t>A</w:t>
      </w:r>
    </w:p>
    <w:p>
      <w:pPr>
        <w:ind w:left="1600"/>
        <w:spacing w:after="0"/>
        <w:rPr>
          <w:sz w:val="20"/>
          <w:szCs w:val="20"/>
          <w:color w:val="auto"/>
        </w:rPr>
      </w:pPr>
      <w:r>
        <w:rPr>
          <w:rFonts w:ascii="Arial" w:cs="Arial" w:eastAsia="Arial" w:hAnsi="Arial"/>
          <w:sz w:val="18"/>
          <w:szCs w:val="18"/>
          <w:color w:val="auto"/>
        </w:rPr>
        <w:t>Acquired in-process research and development</w:t>
      </w:r>
    </w:p>
    <w:p>
      <w:pPr>
        <w:spacing w:after="0" w:line="50" w:lineRule="exact"/>
        <w:rPr>
          <w:sz w:val="20"/>
          <w:szCs w:val="20"/>
          <w:color w:val="auto"/>
        </w:rPr>
      </w:pPr>
    </w:p>
    <w:p>
      <w:pPr>
        <w:ind w:left="1600" w:right="500"/>
        <w:spacing w:after="0" w:line="274" w:lineRule="auto"/>
        <w:rPr>
          <w:sz w:val="20"/>
          <w:szCs w:val="20"/>
          <w:color w:val="auto"/>
        </w:rPr>
      </w:pPr>
      <w:r>
        <w:rPr>
          <w:rFonts w:ascii="Arial" w:cs="Arial" w:eastAsia="Arial" w:hAnsi="Arial"/>
          <w:sz w:val="18"/>
          <w:szCs w:val="18"/>
          <w:color w:val="auto"/>
        </w:rPr>
        <w:t>(Gain) loss on fair value remeasurement of contingent consideration</w:t>
      </w:r>
    </w:p>
    <w:p>
      <w:pPr>
        <w:jc w:val="both"/>
        <w:ind w:left="1600" w:right="440"/>
        <w:spacing w:after="0" w:line="307" w:lineRule="auto"/>
        <w:rPr>
          <w:sz w:val="20"/>
          <w:szCs w:val="20"/>
          <w:color w:val="auto"/>
        </w:rPr>
      </w:pPr>
      <w:r>
        <w:rPr>
          <w:rFonts w:ascii="Arial" w:cs="Arial" w:eastAsia="Arial" w:hAnsi="Arial"/>
          <w:sz w:val="18"/>
          <w:szCs w:val="18"/>
          <w:color w:val="auto"/>
        </w:rPr>
        <w:t xml:space="preserve">Loss on assets and liabilities held for sale </w:t>
      </w:r>
      <w:r>
        <w:rPr>
          <w:rFonts w:ascii="Arial" w:cs="Arial" w:eastAsia="Arial" w:hAnsi="Arial"/>
          <w:sz w:val="15"/>
          <w:szCs w:val="15"/>
          <w:color w:val="auto"/>
        </w:rPr>
        <w:t>B</w:t>
      </w:r>
      <w:r>
        <w:rPr>
          <w:rFonts w:ascii="Arial" w:cs="Arial" w:eastAsia="Arial" w:hAnsi="Arial"/>
          <w:sz w:val="18"/>
          <w:szCs w:val="18"/>
          <w:color w:val="auto"/>
        </w:rPr>
        <w:t xml:space="preserve"> Net distribution to noncontrolling interests </w:t>
      </w:r>
      <w:r>
        <w:rPr>
          <w:rFonts w:ascii="Arial" w:cs="Arial" w:eastAsia="Arial" w:hAnsi="Arial"/>
          <w:sz w:val="15"/>
          <w:szCs w:val="15"/>
          <w:color w:val="auto"/>
        </w:rPr>
        <w:t>C</w:t>
      </w:r>
      <w:r>
        <w:rPr>
          <w:rFonts w:ascii="Arial" w:cs="Arial" w:eastAsia="Arial" w:hAnsi="Arial"/>
          <w:sz w:val="18"/>
          <w:szCs w:val="18"/>
          <w:color w:val="auto"/>
        </w:rPr>
        <w:t xml:space="preserve"> Stock option expense </w:t>
      </w:r>
      <w:r>
        <w:rPr>
          <w:rFonts w:ascii="Arial" w:cs="Arial" w:eastAsia="Arial" w:hAnsi="Arial"/>
          <w:sz w:val="15"/>
          <w:szCs w:val="15"/>
          <w:color w:val="auto"/>
        </w:rPr>
        <w:t>D</w:t>
      </w:r>
    </w:p>
    <w:p>
      <w:pPr>
        <w:spacing w:after="0" w:line="3" w:lineRule="exact"/>
        <w:rPr>
          <w:sz w:val="20"/>
          <w:szCs w:val="20"/>
          <w:color w:val="auto"/>
        </w:rPr>
      </w:pPr>
    </w:p>
    <w:p>
      <w:pPr>
        <w:ind w:left="1600" w:right="260"/>
        <w:spacing w:after="0" w:line="266" w:lineRule="auto"/>
        <w:rPr>
          <w:sz w:val="20"/>
          <w:szCs w:val="20"/>
          <w:color w:val="auto"/>
        </w:rPr>
      </w:pPr>
      <w:r>
        <w:rPr>
          <w:rFonts w:ascii="Arial" w:cs="Arial" w:eastAsia="Arial" w:hAnsi="Arial"/>
          <w:sz w:val="18"/>
          <w:szCs w:val="18"/>
          <w:color w:val="auto"/>
        </w:rPr>
        <w:t>Acquisition-related transaction and integration costs</w:t>
      </w:r>
    </w:p>
    <w:p>
      <w:pPr>
        <w:ind w:left="1820" w:right="240"/>
        <w:spacing w:after="0" w:line="266" w:lineRule="auto"/>
        <w:rPr>
          <w:sz w:val="20"/>
          <w:szCs w:val="20"/>
          <w:color w:val="auto"/>
        </w:rPr>
      </w:pPr>
      <w:r>
        <w:rPr>
          <w:rFonts w:ascii="Arial" w:cs="Arial" w:eastAsia="Arial" w:hAnsi="Arial"/>
          <w:sz w:val="18"/>
          <w:szCs w:val="18"/>
          <w:color w:val="auto"/>
        </w:rPr>
        <w:t>Subtotal: Acquisition and divestiture related costs</w:t>
      </w:r>
    </w:p>
    <w:p>
      <w:pPr>
        <w:ind w:left="1400" w:right="240"/>
        <w:spacing w:after="0" w:line="274" w:lineRule="auto"/>
        <w:rPr>
          <w:sz w:val="20"/>
          <w:szCs w:val="20"/>
          <w:color w:val="auto"/>
        </w:rPr>
      </w:pPr>
      <w:r>
        <w:rPr>
          <w:rFonts w:ascii="Arial" w:cs="Arial" w:eastAsia="Arial" w:hAnsi="Arial"/>
          <w:sz w:val="18"/>
          <w:szCs w:val="18"/>
          <w:color w:val="auto"/>
        </w:rPr>
        <w:t>Restructuring, business transformation and other cost saving initiatives:</w:t>
      </w:r>
    </w:p>
    <w:p>
      <w:pPr>
        <w:ind w:left="1600" w:right="580"/>
        <w:spacing w:after="0" w:line="305" w:lineRule="auto"/>
        <w:rPr>
          <w:sz w:val="20"/>
          <w:szCs w:val="20"/>
          <w:color w:val="auto"/>
        </w:rPr>
      </w:pPr>
      <w:r>
        <w:rPr>
          <w:rFonts w:ascii="Arial" w:cs="Arial" w:eastAsia="Arial" w:hAnsi="Arial"/>
          <w:sz w:val="18"/>
          <w:szCs w:val="18"/>
          <w:color w:val="auto"/>
        </w:rPr>
        <w:t xml:space="preserve">2017 corporate strategy implementation </w:t>
      </w:r>
      <w:r>
        <w:rPr>
          <w:rFonts w:ascii="Arial" w:cs="Arial" w:eastAsia="Arial" w:hAnsi="Arial"/>
          <w:sz w:val="15"/>
          <w:szCs w:val="15"/>
          <w:color w:val="auto"/>
        </w:rPr>
        <w:t>E</w:t>
      </w:r>
      <w:r>
        <w:rPr>
          <w:rFonts w:ascii="Arial" w:cs="Arial" w:eastAsia="Arial" w:hAnsi="Arial"/>
          <w:sz w:val="18"/>
          <w:szCs w:val="18"/>
          <w:color w:val="auto"/>
        </w:rPr>
        <w:t xml:space="preserve"> Restructuring charges </w:t>
      </w:r>
      <w:r>
        <w:rPr>
          <w:rFonts w:ascii="Arial" w:cs="Arial" w:eastAsia="Arial" w:hAnsi="Arial"/>
          <w:sz w:val="15"/>
          <w:szCs w:val="15"/>
          <w:color w:val="auto"/>
        </w:rPr>
        <w:t>E</w:t>
      </w:r>
    </w:p>
    <w:p>
      <w:pPr>
        <w:spacing w:after="0" w:line="1" w:lineRule="exact"/>
        <w:rPr>
          <w:sz w:val="20"/>
          <w:szCs w:val="20"/>
          <w:color w:val="auto"/>
        </w:rPr>
      </w:pPr>
    </w:p>
    <w:p>
      <w:pPr>
        <w:ind w:left="1820"/>
        <w:spacing w:after="0" w:line="290" w:lineRule="auto"/>
        <w:rPr>
          <w:sz w:val="20"/>
          <w:szCs w:val="20"/>
          <w:color w:val="auto"/>
        </w:rPr>
      </w:pPr>
      <w:r>
        <w:rPr>
          <w:rFonts w:ascii="Arial" w:cs="Arial" w:eastAsia="Arial" w:hAnsi="Arial"/>
          <w:sz w:val="17"/>
          <w:szCs w:val="17"/>
          <w:color w:val="auto"/>
        </w:rPr>
        <w:t>Subtotal: Restructuring, business transformation and other cost saving initiatives</w:t>
      </w:r>
    </w:p>
    <w:p>
      <w:pPr>
        <w:ind w:left="1400"/>
        <w:spacing w:after="0" w:line="307" w:lineRule="auto"/>
        <w:rPr>
          <w:sz w:val="20"/>
          <w:szCs w:val="20"/>
          <w:color w:val="auto"/>
        </w:rPr>
      </w:pPr>
      <w:r>
        <w:rPr>
          <w:rFonts w:ascii="Arial" w:cs="Arial" w:eastAsia="Arial" w:hAnsi="Arial"/>
          <w:sz w:val="18"/>
          <w:szCs w:val="18"/>
          <w:color w:val="auto"/>
        </w:rPr>
        <w:t xml:space="preserve">Premium paid on purchase of Ionis common stock </w:t>
      </w:r>
      <w:r>
        <w:rPr>
          <w:rFonts w:ascii="Arial" w:cs="Arial" w:eastAsia="Arial" w:hAnsi="Arial"/>
          <w:sz w:val="15"/>
          <w:szCs w:val="15"/>
          <w:color w:val="auto"/>
        </w:rPr>
        <w:t>F</w:t>
      </w:r>
      <w:r>
        <w:rPr>
          <w:rFonts w:ascii="Arial" w:cs="Arial" w:eastAsia="Arial" w:hAnsi="Arial"/>
          <w:sz w:val="18"/>
          <w:szCs w:val="18"/>
          <w:color w:val="auto"/>
        </w:rPr>
        <w:t xml:space="preserve"> (Gain) loss on equity security investments Income tax effect related to reconciling items</w:t>
      </w:r>
    </w:p>
    <w:p>
      <w:pPr>
        <w:spacing w:after="0" w:line="3" w:lineRule="exact"/>
        <w:rPr>
          <w:sz w:val="20"/>
          <w:szCs w:val="20"/>
          <w:color w:val="auto"/>
        </w:rPr>
      </w:pPr>
    </w:p>
    <w:p>
      <w:pPr>
        <w:ind w:left="1400" w:right="140"/>
        <w:spacing w:after="0" w:line="276" w:lineRule="auto"/>
        <w:rPr>
          <w:sz w:val="20"/>
          <w:szCs w:val="20"/>
          <w:color w:val="auto"/>
        </w:rPr>
      </w:pPr>
      <w:r>
        <w:rPr>
          <w:rFonts w:ascii="Arial" w:cs="Arial" w:eastAsia="Arial" w:hAnsi="Arial"/>
          <w:sz w:val="18"/>
          <w:szCs w:val="18"/>
          <w:color w:val="auto"/>
        </w:rPr>
        <w:t xml:space="preserve">Amortization included in Equity in loss of investee, net of tax </w:t>
      </w:r>
      <w:r>
        <w:rPr>
          <w:rFonts w:ascii="Arial" w:cs="Arial" w:eastAsia="Arial" w:hAnsi="Arial"/>
          <w:sz w:val="15"/>
          <w:szCs w:val="15"/>
          <w:color w:val="auto"/>
        </w:rPr>
        <w:t>G</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Non-GAAP net income attributable to Biogen Inc.</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2967355" cy="254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254698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2573BA"/>
              </w:rPr>
              <w:t>June 30, 2019</w:t>
            </w: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4"/>
                <w:szCs w:val="14"/>
                <w:b w:val="1"/>
                <w:bCs w:val="1"/>
                <w:color w:val="auto"/>
              </w:rPr>
              <w:t>March 31, 2019</w:t>
            </w:r>
          </w:p>
        </w:tc>
      </w:tr>
      <w:tr>
        <w:trPr>
          <w:trHeight w:val="242"/>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573BA"/>
                <w:w w:val="9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2573BA"/>
              </w:rPr>
              <w:t>1,494.1</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866.6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1,408.8</w:t>
            </w:r>
          </w:p>
        </w:tc>
      </w:tr>
    </w:tbl>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450"/>
        </w:trPr>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2573BA"/>
              </w:rPr>
              <w:t>70.1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68.2</w:t>
            </w:r>
          </w:p>
        </w:tc>
      </w:tr>
      <w:tr>
        <w:trPr>
          <w:trHeight w:val="270"/>
        </w:trPr>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2573BA"/>
              </w:rPr>
              <w:t>—</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59"/>
        </w:trPr>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2573BA"/>
              </w:rPr>
              <w:t>(20.0)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2573BA"/>
              </w:rPr>
              <w:t>(2.3)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115.5</w:t>
            </w:r>
          </w:p>
        </w:tc>
      </w:tr>
      <w:tr>
        <w:trPr>
          <w:trHeight w:val="270"/>
        </w:trPr>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2573BA"/>
              </w:rPr>
              <w:t>—</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2573BA"/>
              </w:rPr>
              <w:t>26.2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64"/>
        </w:trPr>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2573BA"/>
              </w:rPr>
              <w:t>19.4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439"/>
        </w:trPr>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2573BA"/>
              </w:rPr>
              <w:t>93.4</w:t>
            </w: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199.5</w:t>
            </w:r>
          </w:p>
        </w:tc>
      </w:tr>
      <w:tr>
        <w:trPr>
          <w:trHeight w:val="734"/>
        </w:trPr>
        <w:tc>
          <w:tcPr>
            <w:tcW w:w="460" w:type="dxa"/>
            <w:vAlign w:val="bottom"/>
            <w:shd w:val="clear" w:color="auto" w:fill="DDDDDD"/>
          </w:tcPr>
          <w:p>
            <w:pPr>
              <w:spacing w:after="0"/>
              <w:rPr>
                <w:sz w:val="24"/>
                <w:szCs w:val="24"/>
                <w:color w:val="auto"/>
              </w:rPr>
            </w:pPr>
          </w:p>
        </w:tc>
        <w:tc>
          <w:tcPr>
            <w:tcW w:w="10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2573BA"/>
              </w:rPr>
              <w:t>0.7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65"/>
        </w:trPr>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573BA"/>
              </w:rPr>
              <w:t>0.8</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434"/>
        </w:trPr>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2573BA"/>
              </w:rPr>
              <w:t>1.5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2573BA"/>
              </w:rPr>
              <w:t>—</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2573BA"/>
              </w:rPr>
              <w:t>174.2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(376.1)</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2573BA"/>
              </w:rPr>
              <w:t>(43.1)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126.1</w:t>
            </w:r>
          </w:p>
        </w:tc>
      </w:tr>
      <w:tr>
        <w:trPr>
          <w:trHeight w:val="464"/>
        </w:trPr>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573BA"/>
              </w:rPr>
              <w:t>21.7</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r>
      <w:tr>
        <w:trPr>
          <w:trHeight w:val="250"/>
        </w:trPr>
        <w:tc>
          <w:tcPr>
            <w:tcW w:w="460" w:type="dxa"/>
            <w:vAlign w:val="bottom"/>
          </w:tcPr>
          <w:p>
            <w:pPr>
              <w:jc w:val="right"/>
              <w:ind w:right="250"/>
              <w:spacing w:after="0"/>
              <w:rPr>
                <w:sz w:val="20"/>
                <w:szCs w:val="20"/>
                <w:color w:val="auto"/>
              </w:rPr>
            </w:pPr>
            <w:r>
              <w:rPr>
                <w:rFonts w:ascii="Arial" w:cs="Arial" w:eastAsia="Arial" w:hAnsi="Arial"/>
                <w:sz w:val="18"/>
                <w:szCs w:val="18"/>
                <w:color w:val="2573BA"/>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2573BA"/>
              </w:rPr>
              <w:t>1,741.8</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1,201.5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1,374.4</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-1637030</wp:posOffset>
            </wp:positionV>
            <wp:extent cx="943610" cy="1620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3610" cy="1620520"/>
                    </a:xfrm>
                    <a:prstGeom prst="rect">
                      <a:avLst/>
                    </a:prstGeom>
                    <a:noFill/>
                  </pic:spPr>
                </pic:pic>
              </a:graphicData>
            </a:graphic>
          </wp:anchor>
        </w:drawing>
      </w:r>
    </w:p>
    <w:p>
      <w:pPr>
        <w:sectPr>
          <w:pgSz w:w="11900" w:h="16838" w:orient="portrait"/>
          <w:cols w:equalWidth="0" w:num="2">
            <w:col w:w="5520" w:space="120"/>
            <w:col w:w="4680"/>
          </w:cols>
          <w:pgMar w:left="240" w:top="576" w:right="1339" w:bottom="1440" w:gutter="0" w:footer="0" w:header="0"/>
          <w:type w:val="continuous"/>
        </w:sectPr>
      </w:pPr>
    </w:p>
    <w:bookmarkStart w:id="15" w:name="page16"/>
    <w:bookmarkEnd w:id="15"/>
    <w:p>
      <w:pPr>
        <w:ind w:left="7900"/>
        <w:spacing w:after="0"/>
        <w:rPr>
          <w:sz w:val="20"/>
          <w:szCs w:val="20"/>
          <w:color w:val="auto"/>
        </w:rPr>
      </w:pPr>
      <w:r>
        <w:rPr>
          <w:rFonts w:ascii="Arial" w:cs="Arial" w:eastAsia="Arial" w:hAnsi="Arial"/>
          <w:sz w:val="14"/>
          <w:szCs w:val="14"/>
          <w:b w:val="1"/>
          <w:bCs w:val="1"/>
          <w:color w:val="auto"/>
        </w:rPr>
        <w:t>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27305</wp:posOffset>
            </wp:positionV>
            <wp:extent cx="1955165" cy="2066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2066925"/>
                    </a:xfrm>
                    <a:prstGeom prst="rect">
                      <a:avLst/>
                    </a:prstGeom>
                    <a:noFill/>
                  </pic:spPr>
                </pic:pic>
              </a:graphicData>
            </a:graphic>
          </wp:anchor>
        </w:drawing>
      </w:r>
    </w:p>
    <w:p>
      <w:pPr>
        <w:sectPr>
          <w:pgSz w:w="11900" w:h="16838" w:orient="portrait"/>
          <w:cols w:equalWidth="0" w:num="1">
            <w:col w:w="11320"/>
          </w:cols>
          <w:pgMar w:left="240" w:top="800" w:right="339" w:bottom="1440" w:gutter="0" w:footer="0" w:header="0"/>
        </w:sectPr>
      </w:pPr>
    </w:p>
    <w:p>
      <w:pPr>
        <w:spacing w:after="0" w:line="34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GAAP net income attributable to Biogen Inc.</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Adjustments:</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Acquisition and divestiture related costs:</w:t>
      </w:r>
    </w:p>
    <w:p>
      <w:pPr>
        <w:spacing w:after="0" w:line="63" w:lineRule="exact"/>
        <w:rPr>
          <w:sz w:val="20"/>
          <w:szCs w:val="20"/>
          <w:color w:val="auto"/>
        </w:rPr>
      </w:pPr>
    </w:p>
    <w:p>
      <w:pPr>
        <w:ind w:left="1600" w:right="680"/>
        <w:spacing w:after="0" w:line="313" w:lineRule="auto"/>
        <w:rPr>
          <w:sz w:val="20"/>
          <w:szCs w:val="20"/>
          <w:color w:val="auto"/>
        </w:rPr>
      </w:pPr>
      <w:r>
        <w:rPr>
          <w:rFonts w:ascii="Arial" w:cs="Arial" w:eastAsia="Arial" w:hAnsi="Arial"/>
          <w:sz w:val="18"/>
          <w:szCs w:val="18"/>
          <w:color w:val="auto"/>
        </w:rPr>
        <w:t xml:space="preserve">Amortization and impairment of acquired intangible assets </w:t>
      </w:r>
      <w:r>
        <w:rPr>
          <w:rFonts w:ascii="Arial" w:cs="Arial" w:eastAsia="Arial" w:hAnsi="Arial"/>
          <w:sz w:val="15"/>
          <w:szCs w:val="15"/>
          <w:color w:val="auto"/>
        </w:rPr>
        <w:t>A</w:t>
      </w:r>
      <w:r>
        <w:rPr>
          <w:rFonts w:ascii="Arial" w:cs="Arial" w:eastAsia="Arial" w:hAnsi="Arial"/>
          <w:sz w:val="18"/>
          <w:szCs w:val="18"/>
          <w:color w:val="auto"/>
        </w:rPr>
        <w:t xml:space="preserve"> Acquired in-process research and development</w:t>
      </w:r>
    </w:p>
    <w:p>
      <w:pPr>
        <w:ind w:left="1600" w:right="40"/>
        <w:spacing w:after="0" w:line="313" w:lineRule="auto"/>
        <w:rPr>
          <w:sz w:val="20"/>
          <w:szCs w:val="20"/>
          <w:color w:val="auto"/>
        </w:rPr>
      </w:pPr>
      <w:r>
        <w:rPr>
          <w:rFonts w:ascii="Arial" w:cs="Arial" w:eastAsia="Arial" w:hAnsi="Arial"/>
          <w:sz w:val="18"/>
          <w:szCs w:val="18"/>
          <w:color w:val="auto"/>
        </w:rPr>
        <w:t xml:space="preserve">(Gain) loss on fair value remeasurement of contingent consideration Loss on assets and liabilities held for sale </w:t>
      </w:r>
      <w:r>
        <w:rPr>
          <w:rFonts w:ascii="Arial" w:cs="Arial" w:eastAsia="Arial" w:hAnsi="Arial"/>
          <w:sz w:val="15"/>
          <w:szCs w:val="15"/>
          <w:color w:val="auto"/>
        </w:rPr>
        <w:t>B</w:t>
      </w:r>
      <w:r>
        <w:rPr>
          <w:rFonts w:ascii="Arial" w:cs="Arial" w:eastAsia="Arial" w:hAnsi="Arial"/>
          <w:sz w:val="18"/>
          <w:szCs w:val="18"/>
          <w:color w:val="auto"/>
        </w:rPr>
        <w:t xml:space="preserve"> Net distribution to noncontrolling interests </w:t>
      </w:r>
      <w:r>
        <w:rPr>
          <w:rFonts w:ascii="Arial" w:cs="Arial" w:eastAsia="Arial" w:hAnsi="Arial"/>
          <w:sz w:val="15"/>
          <w:szCs w:val="15"/>
          <w:color w:val="auto"/>
        </w:rPr>
        <w:t>C</w:t>
      </w:r>
    </w:p>
    <w:p>
      <w:pPr>
        <w:ind w:left="1600"/>
        <w:spacing w:after="0"/>
        <w:rPr>
          <w:sz w:val="20"/>
          <w:szCs w:val="20"/>
          <w:color w:val="auto"/>
        </w:rPr>
      </w:pPr>
      <w:r>
        <w:rPr>
          <w:rFonts w:ascii="Arial" w:cs="Arial" w:eastAsia="Arial" w:hAnsi="Arial"/>
          <w:sz w:val="18"/>
          <w:szCs w:val="18"/>
          <w:color w:val="auto"/>
        </w:rPr>
        <w:t xml:space="preserve">Stock option expense </w:t>
      </w:r>
      <w:r>
        <w:rPr>
          <w:rFonts w:ascii="Arial" w:cs="Arial" w:eastAsia="Arial" w:hAnsi="Arial"/>
          <w:sz w:val="15"/>
          <w:szCs w:val="15"/>
          <w:color w:val="auto"/>
        </w:rPr>
        <w:t>D</w:t>
      </w:r>
    </w:p>
    <w:p>
      <w:pPr>
        <w:spacing w:after="0" w:line="63" w:lineRule="exact"/>
        <w:rPr>
          <w:sz w:val="20"/>
          <w:szCs w:val="20"/>
          <w:color w:val="auto"/>
        </w:rPr>
      </w:pPr>
    </w:p>
    <w:p>
      <w:pPr>
        <w:jc w:val="right"/>
        <w:ind w:left="1600" w:right="1320"/>
        <w:spacing w:after="0" w:line="313" w:lineRule="auto"/>
        <w:rPr>
          <w:sz w:val="20"/>
          <w:szCs w:val="20"/>
          <w:color w:val="auto"/>
        </w:rPr>
      </w:pPr>
      <w:r>
        <w:rPr>
          <w:rFonts w:ascii="Arial" w:cs="Arial" w:eastAsia="Arial" w:hAnsi="Arial"/>
          <w:sz w:val="18"/>
          <w:szCs w:val="18"/>
          <w:color w:val="auto"/>
        </w:rPr>
        <w:t>Acquisition-related transaction and integration costs Subtotal: Acquisition and divestiture related costs</w:t>
      </w:r>
    </w:p>
    <w:p>
      <w:pPr>
        <w:ind w:left="1380"/>
        <w:spacing w:after="0"/>
        <w:rPr>
          <w:sz w:val="20"/>
          <w:szCs w:val="20"/>
          <w:color w:val="auto"/>
        </w:rPr>
      </w:pPr>
      <w:r>
        <w:rPr>
          <w:rFonts w:ascii="Arial" w:cs="Arial" w:eastAsia="Arial" w:hAnsi="Arial"/>
          <w:sz w:val="17"/>
          <w:szCs w:val="17"/>
          <w:color w:val="auto"/>
        </w:rPr>
        <w:t>Restructuring, business transformation and other cost saving initiatives:</w:t>
      </w:r>
    </w:p>
    <w:p>
      <w:pPr>
        <w:spacing w:after="0" w:line="7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xml:space="preserve">2017 corporate strategy implementation </w:t>
      </w:r>
      <w:r>
        <w:rPr>
          <w:rFonts w:ascii="Arial" w:cs="Arial" w:eastAsia="Arial" w:hAnsi="Arial"/>
          <w:sz w:val="15"/>
          <w:szCs w:val="15"/>
          <w:color w:val="auto"/>
        </w:rPr>
        <w:t>E</w:t>
      </w:r>
    </w:p>
    <w:p>
      <w:pPr>
        <w:spacing w:after="0" w:line="6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15"/>
          <w:szCs w:val="15"/>
          <w:color w:val="auto"/>
        </w:rPr>
        <w:t>E</w:t>
      </w:r>
    </w:p>
    <w:p>
      <w:pPr>
        <w:spacing w:after="0" w:line="50" w:lineRule="exact"/>
        <w:rPr>
          <w:sz w:val="20"/>
          <w:szCs w:val="20"/>
          <w:color w:val="auto"/>
        </w:rPr>
      </w:pPr>
    </w:p>
    <w:p>
      <w:pPr>
        <w:ind w:left="1820" w:right="200"/>
        <w:spacing w:after="0" w:line="274" w:lineRule="auto"/>
        <w:rPr>
          <w:sz w:val="20"/>
          <w:szCs w:val="20"/>
          <w:color w:val="auto"/>
        </w:rPr>
      </w:pPr>
      <w:r>
        <w:rPr>
          <w:rFonts w:ascii="Arial" w:cs="Arial" w:eastAsia="Arial" w:hAnsi="Arial"/>
          <w:sz w:val="18"/>
          <w:szCs w:val="18"/>
          <w:color w:val="auto"/>
        </w:rPr>
        <w:t>Subtotal: Restructuring, business transformation and other cost saving initiatives</w:t>
      </w:r>
    </w:p>
    <w:p>
      <w:pPr>
        <w:ind w:left="1380" w:right="1540"/>
        <w:spacing w:after="0" w:line="313" w:lineRule="auto"/>
        <w:rPr>
          <w:sz w:val="20"/>
          <w:szCs w:val="20"/>
          <w:color w:val="auto"/>
        </w:rPr>
      </w:pPr>
      <w:r>
        <w:rPr>
          <w:rFonts w:ascii="Arial" w:cs="Arial" w:eastAsia="Arial" w:hAnsi="Arial"/>
          <w:sz w:val="18"/>
          <w:szCs w:val="18"/>
          <w:color w:val="auto"/>
        </w:rPr>
        <w:t xml:space="preserve">Premium paid on purchase of Ionis common stock </w:t>
      </w:r>
      <w:r>
        <w:rPr>
          <w:rFonts w:ascii="Arial" w:cs="Arial" w:eastAsia="Arial" w:hAnsi="Arial"/>
          <w:sz w:val="15"/>
          <w:szCs w:val="15"/>
          <w:color w:val="auto"/>
        </w:rPr>
        <w:t>F</w:t>
      </w:r>
      <w:r>
        <w:rPr>
          <w:rFonts w:ascii="Arial" w:cs="Arial" w:eastAsia="Arial" w:hAnsi="Arial"/>
          <w:sz w:val="18"/>
          <w:szCs w:val="18"/>
          <w:color w:val="auto"/>
        </w:rPr>
        <w:t xml:space="preserve"> (Gain) loss on equity security investments Income tax effect related to reconciling items</w:t>
      </w:r>
    </w:p>
    <w:p>
      <w:pPr>
        <w:ind w:left="1140" w:right="720" w:firstLine="243"/>
        <w:spacing w:after="0" w:line="370" w:lineRule="auto"/>
        <w:rPr>
          <w:sz w:val="20"/>
          <w:szCs w:val="20"/>
          <w:color w:val="auto"/>
        </w:rPr>
      </w:pPr>
      <w:r>
        <w:rPr>
          <w:rFonts w:ascii="Arial" w:cs="Arial" w:eastAsia="Arial" w:hAnsi="Arial"/>
          <w:sz w:val="18"/>
          <w:szCs w:val="18"/>
          <w:color w:val="auto"/>
        </w:rPr>
        <w:t xml:space="preserve">Amortization included in Equity in loss of investee, net of tax </w:t>
      </w:r>
      <w:r>
        <w:rPr>
          <w:rFonts w:ascii="Arial" w:cs="Arial" w:eastAsia="Arial" w:hAnsi="Arial"/>
          <w:sz w:val="15"/>
          <w:szCs w:val="15"/>
          <w:color w:val="auto"/>
        </w:rPr>
        <w:t>G</w:t>
      </w:r>
      <w:r>
        <w:rPr>
          <w:rFonts w:ascii="Arial" w:cs="Arial" w:eastAsia="Arial" w:hAnsi="Arial"/>
          <w:sz w:val="18"/>
          <w:szCs w:val="18"/>
          <w:color w:val="auto"/>
        </w:rPr>
        <w:t xml:space="preserve"> Non-GAAP net income attributable to Biogen Inc.</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573BA"/>
        </w:rPr>
        <w:t>June 30, 2019</w:t>
      </w:r>
    </w:p>
    <w:p>
      <w:pPr>
        <w:spacing w:after="0" w:line="61" w:lineRule="exact"/>
        <w:rPr>
          <w:sz w:val="20"/>
          <w:szCs w:val="20"/>
          <w:color w:val="auto"/>
        </w:rPr>
      </w:pPr>
    </w:p>
    <w:p>
      <w:pPr>
        <w:ind w:left="760" w:hanging="760"/>
        <w:spacing w:after="0"/>
        <w:tabs>
          <w:tab w:leader="none" w:pos="760" w:val="left"/>
        </w:tabs>
        <w:numPr>
          <w:ilvl w:val="0"/>
          <w:numId w:val="12"/>
        </w:numPr>
        <w:rPr>
          <w:rFonts w:ascii="Arial" w:cs="Arial" w:eastAsia="Arial" w:hAnsi="Arial"/>
          <w:sz w:val="18"/>
          <w:szCs w:val="18"/>
          <w:color w:val="2573BA"/>
        </w:rPr>
      </w:pPr>
      <w:r>
        <w:rPr>
          <w:rFonts w:ascii="Arial" w:cs="Arial" w:eastAsia="Arial" w:hAnsi="Arial"/>
          <w:sz w:val="18"/>
          <w:szCs w:val="18"/>
          <w:color w:val="2573BA"/>
        </w:rPr>
        <w:t>2,902.9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2573BA"/>
        </w:rPr>
        <w:t>138.3</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2573BA"/>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2573BA"/>
        </w:rPr>
        <w:t>(8.5)</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2573BA"/>
        </w:rPr>
        <w:t>113.2</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2573BA"/>
        </w:rPr>
        <w:t>—</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2573BA"/>
        </w:rPr>
        <w:t>26.2</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2573BA"/>
        </w:rPr>
        <w:t>23.7</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2573BA"/>
        </w:rPr>
        <w:t>292.9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943610" cy="1672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3610" cy="1672590"/>
                    </a:xfrm>
                    <a:prstGeom prst="rect">
                      <a:avLst/>
                    </a:prstGeom>
                    <a:noFill/>
                  </pic:spPr>
                </pic:pic>
              </a:graphicData>
            </a:graphic>
          </wp:anchor>
        </w:drawing>
      </w:r>
    </w:p>
    <w:p>
      <w:pPr>
        <w:spacing w:after="0" w:line="313" w:lineRule="exact"/>
        <w:rPr>
          <w:sz w:val="20"/>
          <w:szCs w:val="20"/>
          <w:color w:val="auto"/>
        </w:rPr>
      </w:pPr>
    </w:p>
    <w:p>
      <w:pPr>
        <w:ind w:left="1120"/>
        <w:spacing w:after="0"/>
        <w:rPr>
          <w:sz w:val="20"/>
          <w:szCs w:val="20"/>
          <w:color w:val="auto"/>
        </w:rPr>
      </w:pPr>
      <w:r>
        <w:rPr>
          <w:rFonts w:ascii="Arial" w:cs="Arial" w:eastAsia="Arial" w:hAnsi="Arial"/>
          <w:sz w:val="18"/>
          <w:szCs w:val="18"/>
          <w:color w:val="2573BA"/>
        </w:rPr>
        <w:t>1.7</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2573BA"/>
        </w:rPr>
        <w:t>1.2</w:t>
      </w:r>
    </w:p>
    <w:p>
      <w:pPr>
        <w:spacing w:after="0" w:line="25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2573BA"/>
        </w:rPr>
        <w:t>2.9</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2573BA"/>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2573BA"/>
        </w:rPr>
        <w:t>(201.9)</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2573BA"/>
        </w:rPr>
        <w:t>83.0</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2573BA"/>
        </w:rPr>
        <w:t>36.4</w:t>
      </w:r>
    </w:p>
    <w:p>
      <w:pPr>
        <w:spacing w:after="0" w:line="63" w:lineRule="exact"/>
        <w:rPr>
          <w:sz w:val="20"/>
          <w:szCs w:val="20"/>
          <w:color w:val="auto"/>
        </w:rPr>
      </w:pPr>
    </w:p>
    <w:p>
      <w:pPr>
        <w:ind w:left="780" w:hanging="780"/>
        <w:spacing w:after="0"/>
        <w:tabs>
          <w:tab w:leader="none" w:pos="780" w:val="left"/>
        </w:tabs>
        <w:numPr>
          <w:ilvl w:val="0"/>
          <w:numId w:val="13"/>
        </w:numPr>
        <w:rPr>
          <w:rFonts w:ascii="Arial" w:cs="Arial" w:eastAsia="Arial" w:hAnsi="Arial"/>
          <w:sz w:val="18"/>
          <w:szCs w:val="18"/>
          <w:color w:val="2573BA"/>
        </w:rPr>
      </w:pPr>
      <w:r>
        <w:rPr>
          <w:rFonts w:ascii="Arial" w:cs="Arial" w:eastAsia="Arial" w:hAnsi="Arial"/>
          <w:sz w:val="18"/>
          <w:szCs w:val="18"/>
          <w:color w:val="2573BA"/>
        </w:rPr>
        <w:t>3,116.2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45720</wp:posOffset>
            </wp:positionV>
            <wp:extent cx="943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246"/>
        <w:spacing w:after="0"/>
        <w:rPr>
          <w:sz w:val="20"/>
          <w:szCs w:val="20"/>
          <w:color w:val="auto"/>
        </w:rPr>
      </w:pPr>
      <w:r>
        <w:rPr>
          <w:rFonts w:ascii="Arial" w:cs="Arial" w:eastAsia="Arial" w:hAnsi="Arial"/>
          <w:sz w:val="14"/>
          <w:szCs w:val="14"/>
          <w:b w:val="1"/>
          <w:bCs w:val="1"/>
          <w:color w:val="auto"/>
        </w:rPr>
        <w:t>June 30, 2018</w:t>
      </w:r>
    </w:p>
    <w:p>
      <w:pPr>
        <w:spacing w:after="0" w:line="61" w:lineRule="exact"/>
        <w:rPr>
          <w:sz w:val="20"/>
          <w:szCs w:val="20"/>
          <w:color w:val="auto"/>
        </w:rPr>
      </w:pPr>
    </w:p>
    <w:p>
      <w:pPr>
        <w:ind w:left="766" w:hanging="766"/>
        <w:spacing w:after="0"/>
        <w:tabs>
          <w:tab w:leader="none" w:pos="7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2,039.5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211.3</w:t>
      </w:r>
    </w:p>
    <w:p>
      <w:pPr>
        <w:spacing w:after="0" w:line="63"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85.0</w:t>
      </w:r>
    </w:p>
    <w:p>
      <w:pPr>
        <w:spacing w:after="0" w:line="63" w:lineRule="exact"/>
        <w:rPr>
          <w:sz w:val="20"/>
          <w:szCs w:val="20"/>
          <w:color w:val="auto"/>
        </w:rPr>
      </w:pPr>
    </w:p>
    <w:p>
      <w:pPr>
        <w:jc w:val="right"/>
        <w:ind w:right="1040"/>
        <w:spacing w:after="0"/>
        <w:rPr>
          <w:sz w:val="20"/>
          <w:szCs w:val="20"/>
          <w:color w:val="auto"/>
        </w:rPr>
      </w:pPr>
      <w:r>
        <w:rPr>
          <w:rFonts w:ascii="Arial" w:cs="Arial" w:eastAsia="Arial" w:hAnsi="Arial"/>
          <w:sz w:val="18"/>
          <w:szCs w:val="18"/>
          <w:color w:val="auto"/>
        </w:rPr>
        <w:t>(3.7)</w:t>
      </w:r>
    </w:p>
    <w:p>
      <w:pPr>
        <w:spacing w:after="0" w:line="63"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46.8</w:t>
      </w:r>
    </w:p>
    <w:p>
      <w:pPr>
        <w:spacing w:after="0" w:line="63"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339.4</w:t>
      </w:r>
    </w:p>
    <w:p>
      <w:pPr>
        <w:spacing w:after="0" w:line="333" w:lineRule="exact"/>
        <w:rPr>
          <w:sz w:val="20"/>
          <w:szCs w:val="20"/>
          <w:color w:val="auto"/>
        </w:rPr>
      </w:pPr>
    </w:p>
    <w:p>
      <w:pPr>
        <w:ind w:left="1106"/>
        <w:spacing w:after="0"/>
        <w:rPr>
          <w:sz w:val="20"/>
          <w:szCs w:val="20"/>
          <w:color w:val="auto"/>
        </w:rPr>
      </w:pPr>
      <w:r>
        <w:rPr>
          <w:rFonts w:ascii="Arial" w:cs="Arial" w:eastAsia="Arial" w:hAnsi="Arial"/>
          <w:sz w:val="18"/>
          <w:szCs w:val="18"/>
          <w:color w:val="auto"/>
        </w:rPr>
        <w:t>7.8</w:t>
      </w:r>
    </w:p>
    <w:p>
      <w:pPr>
        <w:spacing w:after="0" w:line="63" w:lineRule="exact"/>
        <w:rPr>
          <w:sz w:val="20"/>
          <w:szCs w:val="20"/>
          <w:color w:val="auto"/>
        </w:rPr>
      </w:pPr>
    </w:p>
    <w:p>
      <w:pPr>
        <w:ind w:left="1106"/>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943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32"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11.0</w:t>
      </w:r>
    </w:p>
    <w:p>
      <w:pPr>
        <w:spacing w:after="0" w:line="63"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162.1</w:t>
      </w:r>
    </w:p>
    <w:p>
      <w:pPr>
        <w:spacing w:after="0" w:line="63"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1.0</w:t>
      </w:r>
    </w:p>
    <w:p>
      <w:pPr>
        <w:spacing w:after="0" w:line="63" w:lineRule="exact"/>
        <w:rPr>
          <w:sz w:val="20"/>
          <w:szCs w:val="20"/>
          <w:color w:val="auto"/>
        </w:rPr>
      </w:pPr>
    </w:p>
    <w:p>
      <w:pPr>
        <w:jc w:val="right"/>
        <w:ind w:right="1040"/>
        <w:spacing w:after="0"/>
        <w:rPr>
          <w:sz w:val="20"/>
          <w:szCs w:val="20"/>
          <w:color w:val="auto"/>
        </w:rPr>
      </w:pPr>
      <w:r>
        <w:rPr>
          <w:rFonts w:ascii="Arial" w:cs="Arial" w:eastAsia="Arial" w:hAnsi="Arial"/>
          <w:sz w:val="18"/>
          <w:szCs w:val="18"/>
          <w:color w:val="auto"/>
        </w:rPr>
        <w:t>(69.8)</w:t>
      </w:r>
    </w:p>
    <w:p>
      <w:pPr>
        <w:spacing w:after="0" w:line="63"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9436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43" w:lineRule="exact"/>
        <w:rPr>
          <w:sz w:val="20"/>
          <w:szCs w:val="20"/>
          <w:color w:val="auto"/>
        </w:rPr>
      </w:pPr>
    </w:p>
    <w:p>
      <w:pPr>
        <w:ind w:left="766" w:hanging="766"/>
        <w:spacing w:after="0"/>
        <w:tabs>
          <w:tab w:leader="none" w:pos="7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2,483.2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943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45720</wp:posOffset>
            </wp:positionV>
            <wp:extent cx="943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3">
            <w:col w:w="7060" w:space="200"/>
            <w:col w:w="1420" w:space="174"/>
            <w:col w:w="2466"/>
          </w:cols>
          <w:pgMar w:left="240" w:top="800" w:right="339" w:bottom="1440" w:gutter="0" w:footer="0" w:header="0"/>
          <w:type w:val="continuous"/>
        </w:sectPr>
      </w:pPr>
    </w:p>
    <w:p>
      <w:pPr>
        <w:spacing w:after="0"/>
        <w:rPr>
          <w:sz w:val="20"/>
          <w:szCs w:val="20"/>
          <w:color w:val="auto"/>
        </w:rPr>
      </w:pPr>
      <w:r>
        <w:rPr>
          <w:rFonts w:ascii="Arial" w:cs="Arial" w:eastAsia="Arial" w:hAnsi="Arial"/>
          <w:sz w:val="22"/>
          <w:szCs w:val="22"/>
          <w:b w:val="1"/>
          <w:bCs w:val="1"/>
          <w:color w:val="2573BA"/>
        </w:rPr>
        <w:t>2019 Full Year Guidance: GAAP to Non-GAAP Reconciliation</w:t>
      </w:r>
    </w:p>
    <w:p>
      <w:pPr>
        <w:spacing w:after="0" w:line="220" w:lineRule="exact"/>
        <w:rPr>
          <w:sz w:val="20"/>
          <w:szCs w:val="20"/>
          <w:color w:val="auto"/>
        </w:rPr>
      </w:pPr>
    </w:p>
    <w:p>
      <w:pPr>
        <w:spacing w:after="0" w:line="292" w:lineRule="auto"/>
        <w:rPr>
          <w:sz w:val="20"/>
          <w:szCs w:val="20"/>
          <w:color w:val="auto"/>
        </w:rPr>
      </w:pPr>
      <w:r>
        <w:rPr>
          <w:rFonts w:ascii="Arial" w:cs="Arial" w:eastAsia="Arial" w:hAnsi="Arial"/>
          <w:sz w:val="18"/>
          <w:szCs w:val="18"/>
          <w:color w:val="2573BA"/>
        </w:rPr>
        <w:t>An itemized reconciliation between projected net income attributable to Biogen Inc. and diluted earnings per share on a GAAP and Non-GAAP basis is as follows:</w:t>
      </w:r>
    </w:p>
    <w:p>
      <w:pPr>
        <w:spacing w:after="0" w:line="66" w:lineRule="exact"/>
        <w:rPr>
          <w:sz w:val="20"/>
          <w:szCs w:val="20"/>
          <w:color w:val="auto"/>
        </w:rPr>
      </w:pPr>
    </w:p>
    <w:tbl>
      <w:tblPr>
        <w:tblLayout w:type="fixed"/>
        <w:tblInd w:w="1140" w:type="dxa"/>
        <w:tblCellMar>
          <w:top w:w="0" w:type="dxa"/>
          <w:left w:w="0" w:type="dxa"/>
          <w:bottom w:w="0" w:type="dxa"/>
          <w:right w:w="0" w:type="dxa"/>
        </w:tblCellMar>
      </w:tblPr>
      <w:tr>
        <w:trPr>
          <w:trHeight w:val="268"/>
        </w:trPr>
        <w:tc>
          <w:tcPr>
            <w:tcW w:w="4600" w:type="dxa"/>
            <w:vAlign w:val="bottom"/>
          </w:tcPr>
          <w:p>
            <w:pPr>
              <w:spacing w:after="0"/>
              <w:rPr>
                <w:sz w:val="23"/>
                <w:szCs w:val="23"/>
                <w:color w:val="auto"/>
              </w:rPr>
            </w:pPr>
          </w:p>
        </w:tc>
        <w:tc>
          <w:tcPr>
            <w:tcW w:w="8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3BA"/>
              </w:rPr>
              <w:t>$</w:t>
            </w:r>
          </w:p>
        </w:tc>
        <w:tc>
          <w:tcPr>
            <w:tcW w:w="620" w:type="dxa"/>
            <w:vAlign w:val="bottom"/>
            <w:tcBorders>
              <w:top w:val="single" w:sz="8" w:color="auto"/>
              <w:bottom w:val="single" w:sz="8" w:color="auto"/>
            </w:tcBorders>
            <w:shd w:val="clear" w:color="auto" w:fill="DDDDDD"/>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b w:val="1"/>
                <w:bCs w:val="1"/>
                <w:color w:val="auto"/>
              </w:rPr>
              <w:t>Shares</w:t>
            </w:r>
          </w:p>
        </w:tc>
        <w:tc>
          <w:tcPr>
            <w:tcW w:w="420" w:type="dxa"/>
            <w:vAlign w:val="bottom"/>
            <w:tcBorders>
              <w:top w:val="single" w:sz="8" w:color="auto"/>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Diluted EPS</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GAAP net income attributable to Biogen Inc.</w:t>
            </w:r>
          </w:p>
        </w:tc>
        <w:tc>
          <w:tcPr>
            <w:tcW w:w="860" w:type="dxa"/>
            <w:vAlign w:val="bottom"/>
            <w:shd w:val="clear" w:color="auto" w:fill="DDDDDD"/>
          </w:tcPr>
          <w:p>
            <w:pPr>
              <w:jc w:val="right"/>
              <w:ind w:right="656"/>
              <w:spacing w:after="0"/>
              <w:rPr>
                <w:sz w:val="20"/>
                <w:szCs w:val="20"/>
                <w:color w:val="auto"/>
              </w:rPr>
            </w:pPr>
            <w:r>
              <w:rPr>
                <w:rFonts w:ascii="Arial" w:cs="Arial" w:eastAsia="Arial" w:hAnsi="Arial"/>
                <w:sz w:val="18"/>
                <w:szCs w:val="18"/>
                <w:color w:val="2573BA"/>
                <w:w w:val="99"/>
              </w:rPr>
              <w:t>$</w:t>
            </w:r>
          </w:p>
        </w:tc>
        <w:tc>
          <w:tcPr>
            <w:tcW w:w="6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2573BA"/>
              </w:rPr>
              <w:t>5,670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Adjustments:</w:t>
            </w:r>
          </w:p>
        </w:tc>
        <w:tc>
          <w:tcPr>
            <w:tcW w:w="860" w:type="dxa"/>
            <w:vAlign w:val="bottom"/>
            <w:shd w:val="clear" w:color="auto" w:fill="DDDDDD"/>
          </w:tcPr>
          <w:p>
            <w:pPr>
              <w:spacing w:after="0"/>
              <w:rPr>
                <w:sz w:val="23"/>
                <w:szCs w:val="23"/>
                <w:color w:val="auto"/>
              </w:rPr>
            </w:pPr>
          </w:p>
        </w:tc>
        <w:tc>
          <w:tcPr>
            <w:tcW w:w="620" w:type="dxa"/>
            <w:vAlign w:val="bottom"/>
            <w:shd w:val="clear" w:color="auto" w:fill="DDDDDD"/>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600" w:type="dxa"/>
            <w:vAlign w:val="bottom"/>
          </w:tcPr>
          <w:p>
            <w:pPr>
              <w:ind w:left="240"/>
              <w:spacing w:after="0"/>
              <w:rPr>
                <w:sz w:val="20"/>
                <w:szCs w:val="20"/>
                <w:color w:val="auto"/>
              </w:rPr>
            </w:pPr>
            <w:r>
              <w:rPr>
                <w:rFonts w:ascii="Arial" w:cs="Arial" w:eastAsia="Arial" w:hAnsi="Arial"/>
                <w:sz w:val="18"/>
                <w:szCs w:val="18"/>
                <w:color w:val="auto"/>
              </w:rPr>
              <w:t>Acquisition and divestiture related costs:</w:t>
            </w:r>
          </w:p>
        </w:tc>
        <w:tc>
          <w:tcPr>
            <w:tcW w:w="860" w:type="dxa"/>
            <w:vAlign w:val="bottom"/>
            <w:shd w:val="clear" w:color="auto" w:fill="DDDDDD"/>
          </w:tcPr>
          <w:p>
            <w:pPr>
              <w:spacing w:after="0"/>
              <w:rPr>
                <w:sz w:val="23"/>
                <w:szCs w:val="23"/>
                <w:color w:val="auto"/>
              </w:rPr>
            </w:pPr>
          </w:p>
        </w:tc>
        <w:tc>
          <w:tcPr>
            <w:tcW w:w="620" w:type="dxa"/>
            <w:vAlign w:val="bottom"/>
            <w:shd w:val="clear" w:color="auto" w:fill="DDDDDD"/>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4600" w:type="dxa"/>
            <w:vAlign w:val="bottom"/>
          </w:tcPr>
          <w:p>
            <w:pPr>
              <w:ind w:left="460"/>
              <w:spacing w:after="0"/>
              <w:rPr>
                <w:sz w:val="20"/>
                <w:szCs w:val="20"/>
                <w:color w:val="auto"/>
              </w:rPr>
            </w:pPr>
            <w:r>
              <w:rPr>
                <w:rFonts w:ascii="Arial" w:cs="Arial" w:eastAsia="Arial" w:hAnsi="Arial"/>
                <w:sz w:val="18"/>
                <w:szCs w:val="18"/>
                <w:color w:val="auto"/>
              </w:rPr>
              <w:t>Amortization and impairment of acquired intangible</w:t>
            </w:r>
          </w:p>
        </w:tc>
        <w:tc>
          <w:tcPr>
            <w:tcW w:w="860" w:type="dxa"/>
            <w:vAlign w:val="bottom"/>
            <w:shd w:val="clear" w:color="auto" w:fill="DDDDDD"/>
          </w:tcPr>
          <w:p>
            <w:pPr>
              <w:spacing w:after="0"/>
              <w:rPr>
                <w:sz w:val="18"/>
                <w:szCs w:val="18"/>
                <w:color w:val="auto"/>
              </w:rPr>
            </w:pPr>
          </w:p>
        </w:tc>
        <w:tc>
          <w:tcPr>
            <w:tcW w:w="62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2"/>
        </w:trPr>
        <w:tc>
          <w:tcPr>
            <w:tcW w:w="4600" w:type="dxa"/>
            <w:vAlign w:val="bottom"/>
          </w:tcPr>
          <w:p>
            <w:pPr>
              <w:ind w:left="460"/>
              <w:spacing w:after="0"/>
              <w:rPr>
                <w:sz w:val="20"/>
                <w:szCs w:val="20"/>
                <w:color w:val="auto"/>
              </w:rPr>
            </w:pPr>
            <w:r>
              <w:rPr>
                <w:rFonts w:ascii="Arial" w:cs="Arial" w:eastAsia="Arial" w:hAnsi="Arial"/>
                <w:sz w:val="18"/>
                <w:szCs w:val="18"/>
                <w:color w:val="auto"/>
              </w:rPr>
              <w:t xml:space="preserve">assets </w:t>
            </w:r>
            <w:r>
              <w:rPr>
                <w:rFonts w:ascii="Arial" w:cs="Arial" w:eastAsia="Arial" w:hAnsi="Arial"/>
                <w:sz w:val="15"/>
                <w:szCs w:val="15"/>
                <w:color w:val="auto"/>
              </w:rPr>
              <w:t>A</w:t>
            </w:r>
          </w:p>
        </w:tc>
        <w:tc>
          <w:tcPr>
            <w:tcW w:w="860" w:type="dxa"/>
            <w:vAlign w:val="bottom"/>
            <w:shd w:val="clear" w:color="auto" w:fill="DDDDDD"/>
          </w:tcPr>
          <w:p>
            <w:pPr>
              <w:spacing w:after="0"/>
              <w:rPr>
                <w:sz w:val="21"/>
                <w:szCs w:val="21"/>
                <w:color w:val="auto"/>
              </w:rPr>
            </w:pPr>
          </w:p>
        </w:tc>
        <w:tc>
          <w:tcPr>
            <w:tcW w:w="6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2573BA"/>
              </w:rPr>
              <w:t>260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07"/>
        </w:trPr>
        <w:tc>
          <w:tcPr>
            <w:tcW w:w="4600" w:type="dxa"/>
            <w:vAlign w:val="bottom"/>
          </w:tcPr>
          <w:p>
            <w:pPr>
              <w:ind w:left="460"/>
              <w:spacing w:after="0"/>
              <w:rPr>
                <w:sz w:val="20"/>
                <w:szCs w:val="20"/>
                <w:color w:val="auto"/>
              </w:rPr>
            </w:pPr>
            <w:r>
              <w:rPr>
                <w:rFonts w:ascii="Arial" w:cs="Arial" w:eastAsia="Arial" w:hAnsi="Arial"/>
                <w:sz w:val="18"/>
                <w:szCs w:val="18"/>
                <w:color w:val="auto"/>
              </w:rPr>
              <w:t>(Gain) loss on fair value remeasurement of</w:t>
            </w: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3"/>
        </w:trPr>
        <w:tc>
          <w:tcPr>
            <w:tcW w:w="4600" w:type="dxa"/>
            <w:vAlign w:val="bottom"/>
          </w:tcPr>
          <w:p>
            <w:pPr>
              <w:ind w:left="460"/>
              <w:spacing w:after="0"/>
              <w:rPr>
                <w:sz w:val="20"/>
                <w:szCs w:val="20"/>
                <w:color w:val="auto"/>
              </w:rPr>
            </w:pPr>
            <w:r>
              <w:rPr>
                <w:rFonts w:ascii="Arial" w:cs="Arial" w:eastAsia="Arial" w:hAnsi="Arial"/>
                <w:sz w:val="18"/>
                <w:szCs w:val="18"/>
                <w:color w:val="auto"/>
              </w:rPr>
              <w:t>contingent consideration</w:t>
            </w:r>
          </w:p>
        </w:tc>
        <w:tc>
          <w:tcPr>
            <w:tcW w:w="8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573BA"/>
              </w:rPr>
              <w:t>(5)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4600" w:type="dxa"/>
            <w:vAlign w:val="bottom"/>
          </w:tcPr>
          <w:p>
            <w:pPr>
              <w:ind w:left="460"/>
              <w:spacing w:after="0"/>
              <w:rPr>
                <w:sz w:val="20"/>
                <w:szCs w:val="20"/>
                <w:color w:val="auto"/>
              </w:rPr>
            </w:pPr>
            <w:r>
              <w:rPr>
                <w:rFonts w:ascii="Arial" w:cs="Arial" w:eastAsia="Arial" w:hAnsi="Arial"/>
                <w:sz w:val="18"/>
                <w:szCs w:val="18"/>
                <w:color w:val="auto"/>
              </w:rPr>
              <w:t xml:space="preserve">Loss on assets and liabilities held for sale </w:t>
            </w:r>
            <w:r>
              <w:rPr>
                <w:rFonts w:ascii="Arial" w:cs="Arial" w:eastAsia="Arial" w:hAnsi="Arial"/>
                <w:sz w:val="15"/>
                <w:szCs w:val="15"/>
                <w:color w:val="auto"/>
              </w:rPr>
              <w:t>B</w:t>
            </w:r>
          </w:p>
        </w:tc>
        <w:tc>
          <w:tcPr>
            <w:tcW w:w="86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2573BA"/>
              </w:rPr>
              <w:t>113</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600" w:type="dxa"/>
            <w:vAlign w:val="bottom"/>
          </w:tcPr>
          <w:p>
            <w:pPr>
              <w:ind w:left="460"/>
              <w:spacing w:after="0"/>
              <w:rPr>
                <w:sz w:val="20"/>
                <w:szCs w:val="20"/>
                <w:color w:val="auto"/>
              </w:rPr>
            </w:pPr>
            <w:r>
              <w:rPr>
                <w:rFonts w:ascii="Arial" w:cs="Arial" w:eastAsia="Arial" w:hAnsi="Arial"/>
                <w:sz w:val="18"/>
                <w:szCs w:val="18"/>
                <w:color w:val="auto"/>
              </w:rPr>
              <w:t xml:space="preserve">Stock option expense </w:t>
            </w:r>
            <w:r>
              <w:rPr>
                <w:rFonts w:ascii="Arial" w:cs="Arial" w:eastAsia="Arial" w:hAnsi="Arial"/>
                <w:sz w:val="15"/>
                <w:szCs w:val="15"/>
                <w:color w:val="auto"/>
              </w:rPr>
              <w:t>D</w:t>
            </w:r>
          </w:p>
        </w:tc>
        <w:tc>
          <w:tcPr>
            <w:tcW w:w="86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2573BA"/>
              </w:rPr>
              <w:t>26</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4600" w:type="dxa"/>
            <w:vAlign w:val="bottom"/>
          </w:tcPr>
          <w:p>
            <w:pPr>
              <w:ind w:left="460"/>
              <w:spacing w:after="0"/>
              <w:rPr>
                <w:sz w:val="20"/>
                <w:szCs w:val="20"/>
                <w:color w:val="auto"/>
              </w:rPr>
            </w:pPr>
            <w:r>
              <w:rPr>
                <w:rFonts w:ascii="Arial" w:cs="Arial" w:eastAsia="Arial" w:hAnsi="Arial"/>
                <w:sz w:val="18"/>
                <w:szCs w:val="18"/>
                <w:color w:val="auto"/>
              </w:rPr>
              <w:t>Acquisition-related transaction and integration</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6"/>
        </w:trPr>
        <w:tc>
          <w:tcPr>
            <w:tcW w:w="4600" w:type="dxa"/>
            <w:vAlign w:val="bottom"/>
          </w:tcPr>
          <w:p>
            <w:pPr>
              <w:ind w:left="460"/>
              <w:spacing w:after="0"/>
              <w:rPr>
                <w:sz w:val="20"/>
                <w:szCs w:val="20"/>
                <w:color w:val="auto"/>
              </w:rPr>
            </w:pPr>
            <w:r>
              <w:rPr>
                <w:rFonts w:ascii="Arial" w:cs="Arial" w:eastAsia="Arial" w:hAnsi="Arial"/>
                <w:sz w:val="18"/>
                <w:szCs w:val="18"/>
                <w:color w:val="auto"/>
              </w:rPr>
              <w:t>costs</w:t>
            </w:r>
          </w:p>
        </w:tc>
        <w:tc>
          <w:tcPr>
            <w:tcW w:w="8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573BA"/>
              </w:rPr>
              <w:t>20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193"/>
        </w:trPr>
        <w:tc>
          <w:tcPr>
            <w:tcW w:w="4600" w:type="dxa"/>
            <w:vAlign w:val="bottom"/>
          </w:tcPr>
          <w:p>
            <w:pPr>
              <w:ind w:left="680"/>
              <w:spacing w:after="0" w:line="194" w:lineRule="exact"/>
              <w:rPr>
                <w:sz w:val="20"/>
                <w:szCs w:val="20"/>
                <w:color w:val="auto"/>
              </w:rPr>
            </w:pPr>
            <w:r>
              <w:rPr>
                <w:rFonts w:ascii="Arial" w:cs="Arial" w:eastAsia="Arial" w:hAnsi="Arial"/>
                <w:sz w:val="18"/>
                <w:szCs w:val="18"/>
                <w:color w:val="auto"/>
              </w:rPr>
              <w:t>Subtotal: Acquisition and divestiture related</w:t>
            </w: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3"/>
        </w:trPr>
        <w:tc>
          <w:tcPr>
            <w:tcW w:w="4600" w:type="dxa"/>
            <w:vAlign w:val="bottom"/>
          </w:tcPr>
          <w:p>
            <w:pPr>
              <w:ind w:left="680"/>
              <w:spacing w:after="0"/>
              <w:rPr>
                <w:sz w:val="20"/>
                <w:szCs w:val="20"/>
                <w:color w:val="auto"/>
              </w:rPr>
            </w:pPr>
            <w:r>
              <w:rPr>
                <w:rFonts w:ascii="Arial" w:cs="Arial" w:eastAsia="Arial" w:hAnsi="Arial"/>
                <w:sz w:val="18"/>
                <w:szCs w:val="18"/>
                <w:color w:val="auto"/>
              </w:rPr>
              <w:t>costs</w:t>
            </w:r>
          </w:p>
        </w:tc>
        <w:tc>
          <w:tcPr>
            <w:tcW w:w="8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2573BA"/>
              </w:rPr>
              <w:t>414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4600" w:type="dxa"/>
            <w:vAlign w:val="bottom"/>
          </w:tcPr>
          <w:p>
            <w:pPr>
              <w:ind w:left="240"/>
              <w:spacing w:after="0"/>
              <w:rPr>
                <w:sz w:val="20"/>
                <w:szCs w:val="20"/>
                <w:color w:val="auto"/>
              </w:rPr>
            </w:pPr>
            <w:r>
              <w:rPr>
                <w:rFonts w:ascii="Arial" w:cs="Arial" w:eastAsia="Arial" w:hAnsi="Arial"/>
                <w:sz w:val="18"/>
                <w:szCs w:val="18"/>
                <w:color w:val="auto"/>
              </w:rPr>
              <w:t>Restructuring, business transformation and other cost</w:t>
            </w:r>
          </w:p>
        </w:tc>
        <w:tc>
          <w:tcPr>
            <w:tcW w:w="860" w:type="dxa"/>
            <w:vAlign w:val="bottom"/>
            <w:shd w:val="clear" w:color="auto" w:fill="DDDDDD"/>
          </w:tcPr>
          <w:p>
            <w:pPr>
              <w:spacing w:after="0"/>
              <w:rPr>
                <w:sz w:val="18"/>
                <w:szCs w:val="18"/>
                <w:color w:val="auto"/>
              </w:rPr>
            </w:pPr>
          </w:p>
        </w:tc>
        <w:tc>
          <w:tcPr>
            <w:tcW w:w="62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saving initiatives:</w:t>
            </w:r>
          </w:p>
        </w:tc>
        <w:tc>
          <w:tcPr>
            <w:tcW w:w="860" w:type="dxa"/>
            <w:vAlign w:val="bottom"/>
            <w:shd w:val="clear" w:color="auto" w:fill="DDDDDD"/>
          </w:tcPr>
          <w:p>
            <w:pPr>
              <w:spacing w:after="0"/>
              <w:rPr>
                <w:sz w:val="21"/>
                <w:szCs w:val="21"/>
                <w:color w:val="auto"/>
              </w:rPr>
            </w:pPr>
          </w:p>
        </w:tc>
        <w:tc>
          <w:tcPr>
            <w:tcW w:w="62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4600" w:type="dxa"/>
            <w:vAlign w:val="bottom"/>
          </w:tcPr>
          <w:p>
            <w:pPr>
              <w:ind w:left="460"/>
              <w:spacing w:after="0"/>
              <w:rPr>
                <w:sz w:val="20"/>
                <w:szCs w:val="20"/>
                <w:color w:val="auto"/>
              </w:rPr>
            </w:pPr>
            <w:r>
              <w:rPr>
                <w:rFonts w:ascii="Arial" w:cs="Arial" w:eastAsia="Arial" w:hAnsi="Arial"/>
                <w:sz w:val="18"/>
                <w:szCs w:val="18"/>
                <w:color w:val="auto"/>
              </w:rPr>
              <w:t xml:space="preserve">2017 corporate strategy implementation </w:t>
            </w:r>
            <w:r>
              <w:rPr>
                <w:rFonts w:ascii="Arial" w:cs="Arial" w:eastAsia="Arial" w:hAnsi="Arial"/>
                <w:sz w:val="15"/>
                <w:szCs w:val="15"/>
                <w:color w:val="auto"/>
              </w:rPr>
              <w:t>E</w:t>
            </w:r>
          </w:p>
        </w:tc>
        <w:tc>
          <w:tcPr>
            <w:tcW w:w="860" w:type="dxa"/>
            <w:vAlign w:val="bottom"/>
            <w:shd w:val="clear" w:color="auto" w:fill="DDDDDD"/>
          </w:tcPr>
          <w:p>
            <w:pPr>
              <w:spacing w:after="0"/>
              <w:rPr>
                <w:sz w:val="23"/>
                <w:szCs w:val="23"/>
                <w:color w:val="auto"/>
              </w:rPr>
            </w:pPr>
          </w:p>
        </w:tc>
        <w:tc>
          <w:tcPr>
            <w:tcW w:w="6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2573BA"/>
              </w:rPr>
              <w:t>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3"/>
        </w:trPr>
        <w:tc>
          <w:tcPr>
            <w:tcW w:w="4600" w:type="dxa"/>
            <w:vAlign w:val="bottom"/>
          </w:tcPr>
          <w:p>
            <w:pPr>
              <w:ind w:left="46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15"/>
                <w:szCs w:val="15"/>
                <w:color w:val="auto"/>
              </w:rPr>
              <w:t>E</w:t>
            </w:r>
          </w:p>
        </w:tc>
        <w:tc>
          <w:tcPr>
            <w:tcW w:w="860" w:type="dxa"/>
            <w:vAlign w:val="bottom"/>
            <w:tcBorders>
              <w:bottom w:val="single" w:sz="8" w:color="auto"/>
            </w:tcBorders>
            <w:shd w:val="clear" w:color="auto" w:fill="DDDDDD"/>
          </w:tcPr>
          <w:p>
            <w:pPr>
              <w:spacing w:after="0"/>
              <w:rPr>
                <w:sz w:val="23"/>
                <w:szCs w:val="23"/>
                <w:color w:val="auto"/>
              </w:rPr>
            </w:pPr>
          </w:p>
        </w:tc>
        <w:tc>
          <w:tcPr>
            <w:tcW w:w="620" w:type="dxa"/>
            <w:vAlign w:val="bottom"/>
            <w:tcBorders>
              <w:bottom w:val="single" w:sz="8" w:color="auto"/>
            </w:tcBorders>
            <w:shd w:val="clear" w:color="auto" w:fill="DDDDDD"/>
          </w:tcPr>
          <w:p>
            <w:pPr>
              <w:jc w:val="right"/>
              <w:ind w:right="10"/>
              <w:spacing w:after="0"/>
              <w:rPr>
                <w:sz w:val="20"/>
                <w:szCs w:val="20"/>
                <w:color w:val="auto"/>
              </w:rPr>
            </w:pPr>
            <w:r>
              <w:rPr>
                <w:rFonts w:ascii="Arial" w:cs="Arial" w:eastAsia="Arial" w:hAnsi="Arial"/>
                <w:sz w:val="18"/>
                <w:szCs w:val="18"/>
                <w:color w:val="2573BA"/>
              </w:rPr>
              <w:t>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93"/>
        </w:trPr>
        <w:tc>
          <w:tcPr>
            <w:tcW w:w="4600" w:type="dxa"/>
            <w:vAlign w:val="bottom"/>
          </w:tcPr>
          <w:p>
            <w:pPr>
              <w:ind w:left="680"/>
              <w:spacing w:after="0" w:line="194" w:lineRule="exact"/>
              <w:rPr>
                <w:sz w:val="20"/>
                <w:szCs w:val="20"/>
                <w:color w:val="auto"/>
              </w:rPr>
            </w:pPr>
            <w:r>
              <w:rPr>
                <w:rFonts w:ascii="Arial" w:cs="Arial" w:eastAsia="Arial" w:hAnsi="Arial"/>
                <w:sz w:val="18"/>
                <w:szCs w:val="18"/>
                <w:color w:val="auto"/>
              </w:rPr>
              <w:t>Subtotal: Restructuring, business transformation</w:t>
            </w:r>
          </w:p>
        </w:tc>
        <w:tc>
          <w:tcPr>
            <w:tcW w:w="86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3"/>
        </w:trPr>
        <w:tc>
          <w:tcPr>
            <w:tcW w:w="4600" w:type="dxa"/>
            <w:vAlign w:val="bottom"/>
          </w:tcPr>
          <w:p>
            <w:pPr>
              <w:ind w:left="680"/>
              <w:spacing w:after="0"/>
              <w:rPr>
                <w:sz w:val="20"/>
                <w:szCs w:val="20"/>
                <w:color w:val="auto"/>
              </w:rPr>
            </w:pPr>
            <w:r>
              <w:rPr>
                <w:rFonts w:ascii="Arial" w:cs="Arial" w:eastAsia="Arial" w:hAnsi="Arial"/>
                <w:sz w:val="18"/>
                <w:szCs w:val="18"/>
                <w:color w:val="auto"/>
              </w:rPr>
              <w:t>and other cost saving initiatives</w:t>
            </w:r>
          </w:p>
        </w:tc>
        <w:tc>
          <w:tcPr>
            <w:tcW w:w="860" w:type="dxa"/>
            <w:vAlign w:val="bottom"/>
            <w:shd w:val="clear" w:color="auto" w:fill="DDDDDD"/>
          </w:tcPr>
          <w:p>
            <w:pPr>
              <w:spacing w:after="0"/>
              <w:rPr>
                <w:sz w:val="21"/>
                <w:szCs w:val="21"/>
                <w:color w:val="auto"/>
              </w:rPr>
            </w:pPr>
          </w:p>
        </w:tc>
        <w:tc>
          <w:tcPr>
            <w:tcW w:w="6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2573BA"/>
              </w:rPr>
              <w:t>10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4600" w:type="dxa"/>
            <w:vAlign w:val="bottom"/>
          </w:tcPr>
          <w:p>
            <w:pPr>
              <w:ind w:left="240"/>
              <w:spacing w:after="0"/>
              <w:rPr>
                <w:sz w:val="20"/>
                <w:szCs w:val="20"/>
                <w:color w:val="auto"/>
              </w:rPr>
            </w:pPr>
            <w:r>
              <w:rPr>
                <w:rFonts w:ascii="Arial" w:cs="Arial" w:eastAsia="Arial" w:hAnsi="Arial"/>
                <w:sz w:val="18"/>
                <w:szCs w:val="18"/>
                <w:color w:val="auto"/>
              </w:rPr>
              <w:t>(Gain) loss on equity security investments</w:t>
            </w:r>
          </w:p>
        </w:tc>
        <w:tc>
          <w:tcPr>
            <w:tcW w:w="860" w:type="dxa"/>
            <w:vAlign w:val="bottom"/>
            <w:shd w:val="clear" w:color="auto" w:fill="DDDDDD"/>
          </w:tcPr>
          <w:p>
            <w:pPr>
              <w:spacing w:after="0"/>
              <w:rPr>
                <w:sz w:val="23"/>
                <w:szCs w:val="23"/>
                <w:color w:val="auto"/>
              </w:rPr>
            </w:pPr>
          </w:p>
        </w:tc>
        <w:tc>
          <w:tcPr>
            <w:tcW w:w="6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2573BA"/>
              </w:rPr>
              <w:t>(220)</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600" w:type="dxa"/>
            <w:vAlign w:val="bottom"/>
          </w:tcPr>
          <w:p>
            <w:pPr>
              <w:ind w:left="240"/>
              <w:spacing w:after="0"/>
              <w:rPr>
                <w:sz w:val="20"/>
                <w:szCs w:val="20"/>
                <w:color w:val="auto"/>
              </w:rPr>
            </w:pPr>
            <w:r>
              <w:rPr>
                <w:rFonts w:ascii="Arial" w:cs="Arial" w:eastAsia="Arial" w:hAnsi="Arial"/>
                <w:sz w:val="18"/>
                <w:szCs w:val="18"/>
                <w:color w:val="auto"/>
              </w:rPr>
              <w:t>Income tax effect related to reconciling items</w:t>
            </w:r>
          </w:p>
        </w:tc>
        <w:tc>
          <w:tcPr>
            <w:tcW w:w="860" w:type="dxa"/>
            <w:vAlign w:val="bottom"/>
            <w:shd w:val="clear" w:color="auto" w:fill="DDDDDD"/>
          </w:tcPr>
          <w:p>
            <w:pPr>
              <w:spacing w:after="0"/>
              <w:rPr>
                <w:sz w:val="23"/>
                <w:szCs w:val="23"/>
                <w:color w:val="auto"/>
              </w:rPr>
            </w:pPr>
          </w:p>
        </w:tc>
        <w:tc>
          <w:tcPr>
            <w:tcW w:w="6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2573BA"/>
              </w:rPr>
              <w:t>75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4600" w:type="dxa"/>
            <w:vAlign w:val="bottom"/>
          </w:tcPr>
          <w:p>
            <w:pPr>
              <w:ind w:left="240"/>
              <w:spacing w:after="0"/>
              <w:rPr>
                <w:sz w:val="20"/>
                <w:szCs w:val="20"/>
                <w:color w:val="auto"/>
              </w:rPr>
            </w:pPr>
            <w:r>
              <w:rPr>
                <w:rFonts w:ascii="Arial" w:cs="Arial" w:eastAsia="Arial" w:hAnsi="Arial"/>
                <w:sz w:val="18"/>
                <w:szCs w:val="18"/>
                <w:color w:val="auto"/>
              </w:rPr>
              <w:t>Amortization included in Equity in loss of investee, net</w:t>
            </w:r>
          </w:p>
        </w:tc>
        <w:tc>
          <w:tcPr>
            <w:tcW w:w="860" w:type="dxa"/>
            <w:vAlign w:val="bottom"/>
            <w:shd w:val="clear" w:color="auto" w:fill="DDDDDD"/>
          </w:tcPr>
          <w:p>
            <w:pPr>
              <w:spacing w:after="0"/>
              <w:rPr>
                <w:sz w:val="18"/>
                <w:szCs w:val="18"/>
                <w:color w:val="auto"/>
              </w:rPr>
            </w:pPr>
          </w:p>
        </w:tc>
        <w:tc>
          <w:tcPr>
            <w:tcW w:w="62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8"/>
        </w:trPr>
        <w:tc>
          <w:tcPr>
            <w:tcW w:w="4600" w:type="dxa"/>
            <w:vAlign w:val="bottom"/>
          </w:tcPr>
          <w:p>
            <w:pPr>
              <w:ind w:left="240"/>
              <w:spacing w:after="0"/>
              <w:rPr>
                <w:sz w:val="20"/>
                <w:szCs w:val="20"/>
                <w:color w:val="auto"/>
              </w:rPr>
            </w:pPr>
            <w:r>
              <w:rPr>
                <w:rFonts w:ascii="Arial" w:cs="Arial" w:eastAsia="Arial" w:hAnsi="Arial"/>
                <w:sz w:val="18"/>
                <w:szCs w:val="18"/>
                <w:color w:val="auto"/>
              </w:rPr>
              <w:t xml:space="preserve">of tax </w:t>
            </w:r>
            <w:r>
              <w:rPr>
                <w:rFonts w:ascii="Arial" w:cs="Arial" w:eastAsia="Arial" w:hAnsi="Arial"/>
                <w:sz w:val="15"/>
                <w:szCs w:val="15"/>
                <w:color w:val="auto"/>
              </w:rPr>
              <w:t>G</w:t>
            </w:r>
          </w:p>
        </w:tc>
        <w:tc>
          <w:tcPr>
            <w:tcW w:w="860" w:type="dxa"/>
            <w:vAlign w:val="bottom"/>
            <w:tcBorders>
              <w:bottom w:val="single" w:sz="8" w:color="auto"/>
            </w:tcBorders>
            <w:shd w:val="clear" w:color="auto" w:fill="DDDDDD"/>
          </w:tcPr>
          <w:p>
            <w:pPr>
              <w:spacing w:after="0"/>
              <w:rPr>
                <w:sz w:val="21"/>
                <w:szCs w:val="21"/>
                <w:color w:val="auto"/>
              </w:rPr>
            </w:pPr>
          </w:p>
        </w:tc>
        <w:tc>
          <w:tcPr>
            <w:tcW w:w="620" w:type="dxa"/>
            <w:vAlign w:val="bottom"/>
            <w:tcBorders>
              <w:bottom w:val="single" w:sz="8" w:color="auto"/>
            </w:tcBorders>
            <w:shd w:val="clear" w:color="auto" w:fill="DDDDDD"/>
          </w:tcPr>
          <w:p>
            <w:pPr>
              <w:jc w:val="right"/>
              <w:ind w:right="10"/>
              <w:spacing w:after="0"/>
              <w:rPr>
                <w:sz w:val="20"/>
                <w:szCs w:val="20"/>
                <w:color w:val="auto"/>
              </w:rPr>
            </w:pPr>
            <w:r>
              <w:rPr>
                <w:rFonts w:ascii="Arial" w:cs="Arial" w:eastAsia="Arial" w:hAnsi="Arial"/>
                <w:sz w:val="18"/>
                <w:szCs w:val="18"/>
                <w:color w:val="2573BA"/>
              </w:rPr>
              <w:t>80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4600" w:type="dxa"/>
            <w:vAlign w:val="bottom"/>
          </w:tcPr>
          <w:p>
            <w:pPr>
              <w:spacing w:after="0"/>
              <w:rPr>
                <w:sz w:val="20"/>
                <w:szCs w:val="20"/>
                <w:color w:val="auto"/>
              </w:rPr>
            </w:pPr>
            <w:r>
              <w:rPr>
                <w:rFonts w:ascii="Arial" w:cs="Arial" w:eastAsia="Arial" w:hAnsi="Arial"/>
                <w:sz w:val="18"/>
                <w:szCs w:val="18"/>
                <w:color w:val="auto"/>
              </w:rPr>
              <w:t>Non-GAAP net income attributable to Biogen Inc.</w:t>
            </w:r>
          </w:p>
        </w:tc>
        <w:tc>
          <w:tcPr>
            <w:tcW w:w="860" w:type="dxa"/>
            <w:vAlign w:val="bottom"/>
            <w:tcBorders>
              <w:bottom w:val="single" w:sz="8" w:color="auto"/>
            </w:tcBorders>
            <w:shd w:val="clear" w:color="auto" w:fill="DDDDDD"/>
          </w:tcPr>
          <w:p>
            <w:pPr>
              <w:jc w:val="right"/>
              <w:ind w:right="656"/>
              <w:spacing w:after="0"/>
              <w:rPr>
                <w:sz w:val="20"/>
                <w:szCs w:val="20"/>
                <w:color w:val="auto"/>
              </w:rPr>
            </w:pPr>
            <w:r>
              <w:rPr>
                <w:rFonts w:ascii="Arial" w:cs="Arial" w:eastAsia="Arial" w:hAnsi="Arial"/>
                <w:sz w:val="18"/>
                <w:szCs w:val="18"/>
                <w:color w:val="2573BA"/>
                <w:w w:val="99"/>
              </w:rPr>
              <w:t>$</w:t>
            </w:r>
          </w:p>
        </w:tc>
        <w:tc>
          <w:tcPr>
            <w:tcW w:w="620" w:type="dxa"/>
            <w:vAlign w:val="bottom"/>
            <w:tcBorders>
              <w:bottom w:val="single" w:sz="8" w:color="auto"/>
            </w:tcBorders>
            <w:shd w:val="clear" w:color="auto" w:fill="DDDDDD"/>
          </w:tcPr>
          <w:p>
            <w:pPr>
              <w:jc w:val="right"/>
              <w:ind w:right="10"/>
              <w:spacing w:after="0"/>
              <w:rPr>
                <w:sz w:val="20"/>
                <w:szCs w:val="20"/>
                <w:color w:val="auto"/>
              </w:rPr>
            </w:pPr>
            <w:r>
              <w:rPr>
                <w:rFonts w:ascii="Arial" w:cs="Arial" w:eastAsia="Arial" w:hAnsi="Arial"/>
                <w:sz w:val="18"/>
                <w:szCs w:val="18"/>
                <w:color w:val="2573BA"/>
              </w:rPr>
              <w:t>6,029</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31.90</w:t>
            </w:r>
          </w:p>
        </w:tc>
      </w:tr>
      <w:tr>
        <w:trPr>
          <w:trHeight w:val="20"/>
        </w:trPr>
        <w:tc>
          <w:tcPr>
            <w:tcW w:w="4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-3266440</wp:posOffset>
            </wp:positionV>
            <wp:extent cx="943610" cy="1509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3610" cy="1509395"/>
                    </a:xfrm>
                    <a:prstGeom prst="rect">
                      <a:avLst/>
                    </a:prstGeom>
                    <a:noFill/>
                  </pic:spPr>
                </pic:pic>
              </a:graphicData>
            </a:graphic>
          </wp:anchor>
        </w:drawing>
      </w:r>
    </w:p>
    <w:p>
      <w:pPr>
        <w:sectPr>
          <w:pgSz w:w="11900" w:h="16838" w:orient="portrait"/>
          <w:cols w:equalWidth="0" w:num="1">
            <w:col w:w="11320"/>
          </w:cols>
          <w:pgMar w:left="240" w:top="80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2"/>
          <w:szCs w:val="22"/>
          <w:b w:val="1"/>
          <w:bCs w:val="1"/>
          <w:color w:val="2573BA"/>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t>Notes to GAAP to Non-GAAP Reconciliation</w:t>
      </w:r>
    </w:p>
    <w:p>
      <w:pPr>
        <w:spacing w:after="0" w:line="171" w:lineRule="exact"/>
        <w:rPr>
          <w:sz w:val="20"/>
          <w:szCs w:val="20"/>
          <w:color w:val="auto"/>
        </w:rPr>
      </w:pPr>
    </w:p>
    <w:p>
      <w:pPr>
        <w:ind w:right="40" w:firstLine="8"/>
        <w:spacing w:after="0" w:line="221" w:lineRule="auto"/>
        <w:tabs>
          <w:tab w:leader="none" w:pos="127"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For the three and six months ended June 30, 2019, compared to same periods in 2018, the decrease in amortization and impairment of acquired intangible assets was primarily due to a net overall decrease in our expected rate of amortization for acquired intangible assets. This decrease was primarily due to lower amortization subsequent to the impairment in the fourth quarter of 2018 of the U.S. license to Forward Pharma A/S' (Forward Pharma) intellectual property, including Forward Pharma's intellectual property related to TECFIDERA, and higher expected lifetime revenues of TYSABRI.</w:t>
      </w:r>
    </w:p>
    <w:p>
      <w:pPr>
        <w:spacing w:after="0" w:line="135" w:lineRule="exact"/>
        <w:rPr>
          <w:sz w:val="20"/>
          <w:szCs w:val="20"/>
          <w:color w:val="auto"/>
        </w:rPr>
      </w:pPr>
    </w:p>
    <w:p>
      <w:pPr>
        <w:ind w:right="40" w:firstLine="8"/>
        <w:spacing w:after="0" w:line="211" w:lineRule="auto"/>
        <w:tabs>
          <w:tab w:leader="none" w:pos="135" w:val="left"/>
        </w:tabs>
        <w:numPr>
          <w:ilvl w:val="0"/>
          <w:numId w:val="17"/>
        </w:numPr>
        <w:rPr>
          <w:rFonts w:ascii="Arial" w:cs="Arial" w:eastAsia="Arial" w:hAnsi="Arial"/>
          <w:sz w:val="27"/>
          <w:szCs w:val="27"/>
          <w:color w:val="auto"/>
          <w:vertAlign w:val="superscript"/>
        </w:rPr>
      </w:pPr>
      <w:r>
        <w:rPr>
          <w:rFonts w:ascii="Arial" w:cs="Arial" w:eastAsia="Arial" w:hAnsi="Arial"/>
          <w:sz w:val="16"/>
          <w:szCs w:val="16"/>
          <w:color w:val="auto"/>
        </w:rPr>
        <w:t>In March 2019 we entered into a share purchase agreement with FUJIFILM Corporation (FUJIFILM) under which FUJIFILM will acquire all of the outstanding shares of our subsidiary that owns our biologics manufacturing operations in Hillerød, Denmark. Upon closing of the proposed transaction, we expect to receive up to $890.0 million in cash, subject to certain working capital adjustments and other contractual terms.</w:t>
      </w:r>
    </w:p>
    <w:p>
      <w:pPr>
        <w:spacing w:after="0" w:line="2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As part of the proposed transaction, we have provided FUJIFILM with certain minimum batch production commitment guarantees. There is a risk that the minimum contractual batch production commitments will not be met. Based upon current estimates we expect to incur an adverse commitment obligation of approximately $120.0 million associated with such guarantees. We may adjust this estimate based upon changes in business conditions, which may result in the recognition of additional losses. We are also obligated to indemnify FUJIFILM for liabilities that may exist relating to certain business activities incurred prior to the closing of the proposed transaction.</w:t>
      </w:r>
    </w:p>
    <w:p>
      <w:pPr>
        <w:spacing w:after="0" w:line="14"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In February 2019 the assets and liabilities related to our Hillerød, Denmark manufacturing operations met the criteria to be classified as held for sale and were reclassified as assets held for sale and liabilities held for sale, respectively, in our condensed consolidated balance sheets.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For the six months ended June 30, 2019, we recorded a loss of approximately $174.5 million in our condensed consolidated statements of income. This estimated loss includes a pre-tax loss of $113.2 million, which reflects a $2.3 million decrease to our original estimate as of March 31, 2019, reflecting our current estimated fair value of the assets and liabilities held for sale, adjusting for our expected costs to sell our Hillerød, Denmark manufacturing operations of approximately $10.0 million and our estimate of the fair value of an adverse commitment of approximately $120.0 million associated with the guarantee of future minimum batch production at the Hillerød facility. The value of this adverse commitment was determined using a probability-weighted estimate of future manufacturing activity. In addition, we recorded a tax expense of $61.3 million related to the proposed transaction. Our total estimated loss is based on current exchange rates and business conditions, and any changes to these factors through the closing date of the transaction will result in adjustments to the carrying values of the related assets and liabilities as well as a corresponding adjustment to the loss amount recognized on the sale.</w:t>
      </w:r>
    </w:p>
    <w:p>
      <w:pPr>
        <w:spacing w:after="0" w:line="1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Following the closing of the proposed transaction, the final purchase price will be adjusted by an amount equal to the difference between our current estimates of working capital and inventory balances that will be transferred to FUJIFILM and the amounts that are ultimately transferred.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proposed transaction remains subject to customary closing conditions. We expect to complete the proposed transaction in the third quarter of 2019.</w:t>
      </w:r>
    </w:p>
    <w:p>
      <w:pPr>
        <w:spacing w:after="0" w:line="167" w:lineRule="exact"/>
        <w:rPr>
          <w:sz w:val="20"/>
          <w:szCs w:val="20"/>
          <w:color w:val="auto"/>
        </w:rPr>
      </w:pPr>
    </w:p>
    <w:p>
      <w:pPr>
        <w:jc w:val="both"/>
        <w:ind w:right="100" w:firstLine="8"/>
        <w:spacing w:after="0" w:line="214" w:lineRule="auto"/>
        <w:tabs>
          <w:tab w:leader="none" w:pos="135"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color w:val="auto"/>
        </w:rPr>
        <w:t>Net distribution to noncontrolling interests reflects the $50.0 million payment to Neurimmune SubOne AG (Neurimmune), net of Neurimmune's tax, to further reduce the previously negotiated royalty rates payable on products developed under our amended collaboration and license agreement with Neurimmune, by an additional 5%.</w:t>
      </w:r>
    </w:p>
    <w:p>
      <w:pPr>
        <w:spacing w:after="0" w:line="135" w:lineRule="exact"/>
        <w:rPr>
          <w:sz w:val="20"/>
          <w:szCs w:val="20"/>
          <w:color w:val="auto"/>
        </w:rPr>
      </w:pPr>
    </w:p>
    <w:p>
      <w:pPr>
        <w:ind w:right="220" w:firstLine="8"/>
        <w:spacing w:after="0" w:line="197" w:lineRule="auto"/>
        <w:tabs>
          <w:tab w:leader="none" w:pos="143" w:val="left"/>
        </w:tabs>
        <w:numPr>
          <w:ilvl w:val="0"/>
          <w:numId w:val="19"/>
        </w:numPr>
        <w:rPr>
          <w:rFonts w:ascii="Arial" w:cs="Arial" w:eastAsia="Arial" w:hAnsi="Arial"/>
          <w:sz w:val="27"/>
          <w:szCs w:val="27"/>
          <w:color w:val="auto"/>
          <w:vertAlign w:val="superscript"/>
        </w:rPr>
      </w:pPr>
      <w:r>
        <w:rPr>
          <w:rFonts w:ascii="Arial" w:cs="Arial" w:eastAsia="Arial" w:hAnsi="Arial"/>
          <w:sz w:val="16"/>
          <w:szCs w:val="16"/>
          <w:color w:val="auto"/>
        </w:rPr>
        <w:t>Stock option expense reflects the accelerated vesting of stock options previously granted to Nightstar Therapeutics plc (NST) employees as a result of our acquisition of NST in the second quarter of 2019.</w:t>
      </w:r>
    </w:p>
    <w:p>
      <w:pPr>
        <w:spacing w:after="0" w:line="43"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2017 corporate strategy implementation and restructuring charges are related to our efforts to create a leaner and simpler operating model.</w:t>
      </w:r>
    </w:p>
    <w:p>
      <w:pPr>
        <w:spacing w:after="0" w:line="146" w:lineRule="exact"/>
        <w:rPr>
          <w:sz w:val="20"/>
          <w:szCs w:val="20"/>
          <w:color w:val="auto"/>
        </w:rPr>
      </w:pPr>
    </w:p>
    <w:p>
      <w:pPr>
        <w:ind w:right="300" w:firstLine="8"/>
        <w:spacing w:after="0" w:line="206" w:lineRule="auto"/>
        <w:tabs>
          <w:tab w:leader="none" w:pos="127" w:val="left"/>
        </w:tabs>
        <w:numPr>
          <w:ilvl w:val="0"/>
          <w:numId w:val="21"/>
        </w:numPr>
        <w:rPr>
          <w:rFonts w:ascii="Arial" w:cs="Arial" w:eastAsia="Arial" w:hAnsi="Arial"/>
          <w:sz w:val="27"/>
          <w:szCs w:val="27"/>
          <w:color w:val="auto"/>
          <w:vertAlign w:val="superscript"/>
        </w:rPr>
      </w:pPr>
      <w:r>
        <w:rPr>
          <w:rFonts w:ascii="Arial" w:cs="Arial" w:eastAsia="Arial" w:hAnsi="Arial"/>
          <w:sz w:val="16"/>
          <w:szCs w:val="16"/>
          <w:color w:val="auto"/>
        </w:rPr>
        <w:t>In June 2018 we closed the 2018 Ionis Agreement, which is a 10-year exclusive agreement with Ionis Pharmaceuticals, Inc. (Ionis) to develop novel antisense oligonucleotide drug candidates for a broad range of neurological diseases for a total payment of $1.0 billion, consisting of an upfront payment of $375.0 million and the purchase of approximately 11.5 million shares of Ionis common stock at a cost of $625.0 million.</w:t>
      </w:r>
    </w:p>
    <w:p>
      <w:pPr>
        <w:spacing w:after="0" w:line="2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11.5 million shares of Ionis common stock were purchased at a premium to their fair value at the transaction closing date. The premium consisted of acquiring the shares at a price above the fair value based on the trailing 10-day weighted-average close price prior to entering into the 2018 Ionis Agreement in April 2018 and the effect of certain holding period restrictions. We recorded an asset of $462.9 million in investments and other assets in our condensed consolidated balance sheets reflecting the fair value of the common stock as of the purchase date and a charge of $162.1 million to research and development expense in our condensed consolidated statements of income in the second quarter of 2018 reflecting the premium paid for the common stock.</w:t>
      </w:r>
    </w:p>
    <w:p>
      <w:pPr>
        <w:spacing w:after="0" w:line="122" w:lineRule="exact"/>
        <w:rPr>
          <w:sz w:val="20"/>
          <w:szCs w:val="20"/>
          <w:color w:val="auto"/>
        </w:rPr>
      </w:pPr>
    </w:p>
    <w:p>
      <w:pPr>
        <w:ind w:right="120" w:firstLine="8"/>
        <w:spacing w:after="0"/>
        <w:tabs>
          <w:tab w:leader="none" w:pos="142" w:val="left"/>
        </w:tabs>
        <w:numPr>
          <w:ilvl w:val="0"/>
          <w:numId w:val="22"/>
        </w:numPr>
        <w:rPr>
          <w:rFonts w:ascii="Arial" w:cs="Arial" w:eastAsia="Arial" w:hAnsi="Arial"/>
          <w:sz w:val="25"/>
          <w:szCs w:val="25"/>
          <w:color w:val="auto"/>
          <w:vertAlign w:val="superscript"/>
        </w:rPr>
      </w:pPr>
      <w:r>
        <w:rPr>
          <w:rFonts w:ascii="Arial" w:cs="Arial" w:eastAsia="Arial" w:hAnsi="Arial"/>
          <w:sz w:val="15"/>
          <w:szCs w:val="15"/>
          <w:color w:val="auto"/>
        </w:rPr>
        <w:t>Amortization included in Equity in loss of investee, net of tax represents the amortization of the differences between the fair value of our investment in Samsung Bioepis Co., Ltd. and the carrying value of our interest in the underlying net assets of the investee. These basis differences are amortized over their economic life.</w:t>
      </w:r>
    </w:p>
    <w:p>
      <w:pPr>
        <w:sectPr>
          <w:pgSz w:w="11900" w:h="16838" w:orient="portrait"/>
          <w:cols w:equalWidth="0" w:num="1">
            <w:col w:w="11400"/>
          </w:cols>
          <w:pgMar w:left="240" w:top="1008" w:right="25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2573BA"/>
        </w:rPr>
        <w:t>Use of Non-GAAP Financial Measures</w:t>
      </w:r>
    </w:p>
    <w:p>
      <w:pPr>
        <w:spacing w:after="0" w:line="8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additional insight into the ongoing economics of our business and reflects how we manage our business internally, set operational goals and form the basis of our management incentive programs. These Non-GAAP financial measures are not in accordance with generally accepted accounting principles in the United States and should not be viewed in isolation or as a substitute for reported, or GAAP, net income attributable to Biogen Inc. and diluted earnings per share.</w:t>
      </w:r>
    </w:p>
    <w:p>
      <w:pPr>
        <w:spacing w:after="0" w:line="124"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Our “Non-GAAP net income attributable to Biogen Inc.” and “Non-GAAP earnings per share - Diluted” financial measures exclude the following items from “GAAP net income attributable to Biogen Inc.” and “GAAP earnings per share - Diluted”: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 Acquisition and divestiture related costs</w:t>
      </w:r>
    </w:p>
    <w:p>
      <w:pPr>
        <w:spacing w:after="0" w:line="3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exclude transaction, integration and certain other costs related to the acquisition and divestiture of businesses. We exclude certain purchase accounting related items associated with the acquisition of assets and amounts in relation to the consolidation or deconsolidation of variable interest entities. These adjustments include, but are not limited to, charges for in-process research and development and certain milestones, the amortization and impairment of intangible assets, charges or credits from the fair value remeasurement of our contingent consideration obligations and losses on assets and liabilities held for sale.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Restructuring, business transformation and other cost saving initiatives</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exclude costs associated with our execution of certain strategies and initiatives to streamline operations, achieve targeted cost reductions, rationalize manufacturing facilities or refocus R&amp;D activities. These costs may include employee separation costs, retention bonuses, facility closing and exit costs, asset impairment charges or additional depreciation when the expected useful life of certain assets have been shortened due to changes in anticipated usage and other costs or credits that management believes do not have a direct correlation to our ongoing or future business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(Gain) loss on equity security investments</w:t>
      </w:r>
    </w:p>
    <w:p>
      <w:pPr>
        <w:spacing w:after="0" w:line="3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We exclude unrealized and realized gains and losses and discounts or premiums on our equity security investments as we do not believe that these components of income or expense have a direct correlation to our ongoing or future business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Other items</w:t>
      </w:r>
    </w:p>
    <w:p>
      <w:pPr>
        <w:spacing w:after="0" w:line="3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We evaluate other items of income and expense on an individual basis and consider both the quantitative and qualitative aspects of the item, including (i) its size and nature, (ii) whether or not it relates to our ongoing business operations and (iii) whether or not we expect it to occur as part of our normal business on a regular basis. We also include an adjustment to reflect the related tax effect of all reconciling items within our reconciliation of our GAAP to Non-GAAP net income attributable to Biogen Inc. and earnings per share - diluted.</w:t>
      </w:r>
    </w:p>
    <w:p>
      <w:pPr>
        <w:sectPr>
          <w:pgSz w:w="11900" w:h="16838" w:orient="portrait"/>
          <w:cols w:equalWidth="0" w:num="1">
            <w:col w:w="11420"/>
          </w:cols>
          <w:pgMar w:left="240" w:top="576" w:right="239" w:bottom="1440" w:gutter="0" w:footer="0" w:header="0"/>
        </w:sectPr>
      </w:pPr>
    </w:p>
    <w:bookmarkStart w:id="18" w:name="page19"/>
    <w:bookmarkEnd w:id="18"/>
    <w:p>
      <w:pPr>
        <w:jc w:val="center"/>
        <w:ind w:right="-1099"/>
        <w:spacing w:after="0"/>
        <w:rPr>
          <w:sz w:val="20"/>
          <w:szCs w:val="20"/>
          <w:color w:val="auto"/>
        </w:rPr>
      </w:pPr>
      <w:r>
        <w:rPr>
          <w:rFonts w:ascii="Arial" w:cs="Arial" w:eastAsia="Arial" w:hAnsi="Arial"/>
          <w:sz w:val="22"/>
          <w:szCs w:val="22"/>
          <w:b w:val="1"/>
          <w:bCs w:val="1"/>
          <w:color w:val="1C5A7D"/>
        </w:rPr>
        <w:t>TABLE 4</w:t>
      </w:r>
    </w:p>
    <w:p>
      <w:pPr>
        <w:spacing w:after="0" w:line="260" w:lineRule="exact"/>
        <w:rPr>
          <w:sz w:val="20"/>
          <w:szCs w:val="20"/>
          <w:color w:val="auto"/>
        </w:rPr>
      </w:pPr>
    </w:p>
    <w:p>
      <w:pPr>
        <w:jc w:val="center"/>
        <w:ind w:right="-1099"/>
        <w:spacing w:after="0"/>
        <w:rPr>
          <w:sz w:val="20"/>
          <w:szCs w:val="20"/>
          <w:color w:val="auto"/>
        </w:rPr>
      </w:pPr>
      <w:r>
        <w:rPr>
          <w:rFonts w:ascii="Arial" w:cs="Arial" w:eastAsia="Arial" w:hAnsi="Arial"/>
          <w:sz w:val="22"/>
          <w:szCs w:val="22"/>
          <w:b w:val="1"/>
          <w:bCs w:val="1"/>
          <w:color w:val="1C5A7D"/>
        </w:rPr>
        <w:t>BIOGEN INC. AND SUBSIDIARIES</w:t>
      </w:r>
    </w:p>
    <w:p>
      <w:pPr>
        <w:spacing w:after="0" w:line="29" w:lineRule="exact"/>
        <w:rPr>
          <w:sz w:val="20"/>
          <w:szCs w:val="20"/>
          <w:color w:val="auto"/>
        </w:rPr>
      </w:pPr>
    </w:p>
    <w:p>
      <w:pPr>
        <w:jc w:val="center"/>
        <w:ind w:right="-1099"/>
        <w:spacing w:after="0"/>
        <w:rPr>
          <w:sz w:val="20"/>
          <w:szCs w:val="20"/>
          <w:color w:val="auto"/>
        </w:rPr>
      </w:pPr>
      <w:r>
        <w:rPr>
          <w:rFonts w:ascii="Arial" w:cs="Arial" w:eastAsia="Arial" w:hAnsi="Arial"/>
          <w:sz w:val="22"/>
          <w:szCs w:val="22"/>
          <w:b w:val="1"/>
          <w:bCs w:val="1"/>
          <w:color w:val="1C5A7D"/>
        </w:rPr>
        <w:t>PRODUCT REVENUES</w:t>
      </w:r>
    </w:p>
    <w:p>
      <w:pPr>
        <w:ind w:left="4720"/>
        <w:spacing w:after="0"/>
        <w:rPr>
          <w:sz w:val="20"/>
          <w:szCs w:val="20"/>
          <w:color w:val="auto"/>
        </w:rPr>
      </w:pPr>
      <w:r>
        <w:rPr>
          <w:rFonts w:ascii="Arial" w:cs="Arial" w:eastAsia="Arial" w:hAnsi="Arial"/>
          <w:sz w:val="18"/>
          <w:szCs w:val="18"/>
          <w:b w:val="1"/>
          <w:bCs w:val="1"/>
          <w:i w:val="1"/>
          <w:iCs w:val="1"/>
          <w:color w:val="1C5A7D"/>
        </w:rPr>
        <w:t>(unaudited, in millions)</w:t>
      </w:r>
    </w:p>
    <w:p>
      <w:pPr>
        <w:spacing w:after="0" w:line="200" w:lineRule="exact"/>
        <w:rPr>
          <w:sz w:val="20"/>
          <w:szCs w:val="20"/>
          <w:color w:val="auto"/>
        </w:rPr>
      </w:pPr>
    </w:p>
    <w:p>
      <w:pPr>
        <w:spacing w:after="0" w:line="213"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For the Three Months Ended</w:t>
      </w:r>
    </w:p>
    <w:p>
      <w:pPr>
        <w:spacing w:after="0" w:line="41" w:lineRule="exact"/>
        <w:rPr>
          <w:sz w:val="20"/>
          <w:szCs w:val="20"/>
          <w:color w:val="auto"/>
        </w:rPr>
      </w:pPr>
    </w:p>
    <w:tbl>
      <w:tblPr>
        <w:tblLayout w:type="fixed"/>
        <w:tblInd w:w="1120" w:type="dxa"/>
        <w:tblCellMar>
          <w:top w:w="0" w:type="dxa"/>
          <w:left w:w="0" w:type="dxa"/>
          <w:bottom w:w="0" w:type="dxa"/>
          <w:right w:w="0" w:type="dxa"/>
        </w:tblCellMar>
      </w:tblPr>
      <w:tr>
        <w:trPr>
          <w:trHeight w:val="265"/>
        </w:trPr>
        <w:tc>
          <w:tcPr>
            <w:tcW w:w="1660" w:type="dxa"/>
            <w:vAlign w:val="bottom"/>
            <w:tcBorders>
              <w:right w:val="single" w:sz="8" w:color="DDDDDD"/>
            </w:tcBorders>
          </w:tcPr>
          <w:p>
            <w:pPr>
              <w:spacing w:after="0"/>
              <w:rPr>
                <w:sz w:val="23"/>
                <w:szCs w:val="23"/>
                <w:color w:val="auto"/>
              </w:rPr>
            </w:pPr>
          </w:p>
        </w:tc>
        <w:tc>
          <w:tcPr>
            <w:tcW w:w="100" w:type="dxa"/>
            <w:vAlign w:val="bottom"/>
            <w:tcBorders>
              <w:top w:val="single" w:sz="8" w:color="auto"/>
              <w:bottom w:val="single" w:sz="8" w:color="auto"/>
            </w:tcBorders>
            <w:shd w:val="clear" w:color="auto" w:fill="DDDDDD"/>
          </w:tcPr>
          <w:p>
            <w:pPr>
              <w:spacing w:after="0"/>
              <w:rPr>
                <w:sz w:val="23"/>
                <w:szCs w:val="23"/>
                <w:color w:val="auto"/>
              </w:rPr>
            </w:pPr>
          </w:p>
        </w:tc>
        <w:tc>
          <w:tcPr>
            <w:tcW w:w="580" w:type="dxa"/>
            <w:vAlign w:val="bottom"/>
            <w:tcBorders>
              <w:top w:val="single" w:sz="8" w:color="auto"/>
              <w:bottom w:val="single" w:sz="8" w:color="auto"/>
            </w:tcBorders>
            <w:shd w:val="clear" w:color="auto" w:fill="DDDDDD"/>
          </w:tcPr>
          <w:p>
            <w:pPr>
              <w:spacing w:after="0"/>
              <w:rPr>
                <w:sz w:val="23"/>
                <w:szCs w:val="23"/>
                <w:color w:val="auto"/>
              </w:rPr>
            </w:pPr>
          </w:p>
        </w:tc>
        <w:tc>
          <w:tcPr>
            <w:tcW w:w="40" w:type="dxa"/>
            <w:vAlign w:val="bottom"/>
            <w:tcBorders>
              <w:top w:val="single" w:sz="8" w:color="auto"/>
              <w:bottom w:val="single" w:sz="8" w:color="auto"/>
            </w:tcBorders>
            <w:shd w:val="clear" w:color="auto" w:fill="DDDDDD"/>
          </w:tcPr>
          <w:p>
            <w:pPr>
              <w:spacing w:after="0"/>
              <w:rPr>
                <w:sz w:val="23"/>
                <w:szCs w:val="23"/>
                <w:color w:val="auto"/>
              </w:rPr>
            </w:pPr>
          </w:p>
        </w:tc>
        <w:tc>
          <w:tcPr>
            <w:tcW w:w="960" w:type="dxa"/>
            <w:vAlign w:val="bottom"/>
            <w:tcBorders>
              <w:top w:val="single" w:sz="8" w:color="auto"/>
              <w:bottom w:val="single" w:sz="8" w:color="auto"/>
            </w:tcBorders>
            <w:gridSpan w:val="5"/>
            <w:shd w:val="clear" w:color="auto" w:fill="DDDDDD"/>
          </w:tcPr>
          <w:p>
            <w:pPr>
              <w:jc w:val="center"/>
              <w:spacing w:after="0"/>
              <w:rPr>
                <w:sz w:val="20"/>
                <w:szCs w:val="20"/>
                <w:color w:val="auto"/>
              </w:rPr>
            </w:pPr>
            <w:r>
              <w:rPr>
                <w:rFonts w:ascii="Arial" w:cs="Arial" w:eastAsia="Arial" w:hAnsi="Arial"/>
                <w:sz w:val="14"/>
                <w:szCs w:val="14"/>
                <w:b w:val="1"/>
                <w:bCs w:val="1"/>
                <w:color w:val="2573BA"/>
              </w:rPr>
              <w:t>June 30, 2019</w:t>
            </w:r>
          </w:p>
        </w:tc>
        <w:tc>
          <w:tcPr>
            <w:tcW w:w="160" w:type="dxa"/>
            <w:vAlign w:val="bottom"/>
            <w:tcBorders>
              <w:top w:val="single" w:sz="8" w:color="auto"/>
              <w:bottom w:val="single" w:sz="8" w:color="auto"/>
            </w:tcBorders>
            <w:shd w:val="clear" w:color="auto" w:fill="DDDDDD"/>
          </w:tcPr>
          <w:p>
            <w:pPr>
              <w:spacing w:after="0"/>
              <w:rPr>
                <w:sz w:val="23"/>
                <w:szCs w:val="23"/>
                <w:color w:val="auto"/>
              </w:rPr>
            </w:pPr>
          </w:p>
        </w:tc>
        <w:tc>
          <w:tcPr>
            <w:tcW w:w="580" w:type="dxa"/>
            <w:vAlign w:val="bottom"/>
            <w:tcBorders>
              <w:top w:val="single" w:sz="8" w:color="auto"/>
              <w:bottom w:val="single" w:sz="8" w:color="auto"/>
              <w:right w:val="single" w:sz="8" w:color="DDDDDD"/>
            </w:tcBorders>
            <w:shd w:val="clear" w:color="auto" w:fill="DDDDDD"/>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top w:val="single" w:sz="8" w:color="auto"/>
              <w:bottom w:val="single" w:sz="8" w:color="auto"/>
            </w:tcBorders>
          </w:tcPr>
          <w:p>
            <w:pPr>
              <w:spacing w:after="0"/>
              <w:rPr>
                <w:sz w:val="23"/>
                <w:szCs w:val="23"/>
                <w:color w:val="auto"/>
              </w:rPr>
            </w:pPr>
          </w:p>
        </w:tc>
        <w:tc>
          <w:tcPr>
            <w:tcW w:w="56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gridSpan w:val="9"/>
          </w:tcPr>
          <w:p>
            <w:pPr>
              <w:jc w:val="center"/>
              <w:ind w:right="48"/>
              <w:spacing w:after="0"/>
              <w:rPr>
                <w:sz w:val="20"/>
                <w:szCs w:val="20"/>
                <w:color w:val="auto"/>
              </w:rPr>
            </w:pPr>
            <w:r>
              <w:rPr>
                <w:rFonts w:ascii="Arial" w:cs="Arial" w:eastAsia="Arial" w:hAnsi="Arial"/>
                <w:sz w:val="14"/>
                <w:szCs w:val="14"/>
                <w:b w:val="1"/>
                <w:bCs w:val="1"/>
                <w:color w:val="auto"/>
              </w:rPr>
              <w:t>March 31, 2019</w:t>
            </w:r>
          </w:p>
        </w:tc>
        <w:tc>
          <w:tcPr>
            <w:tcW w:w="60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Rest of</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4"/>
                <w:szCs w:val="14"/>
                <w:b w:val="1"/>
                <w:bCs w:val="1"/>
                <w:color w:val="auto"/>
              </w:rPr>
              <w:t>United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Rest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States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World</w:t>
            </w:r>
          </w:p>
        </w:tc>
        <w:tc>
          <w:tcPr>
            <w:tcW w:w="160" w:type="dxa"/>
            <w:vAlign w:val="bottom"/>
          </w:tcPr>
          <w:p>
            <w:pPr>
              <w:spacing w:after="0"/>
              <w:rPr>
                <w:sz w:val="17"/>
                <w:szCs w:val="17"/>
                <w:color w:val="auto"/>
              </w:rPr>
            </w:pPr>
          </w:p>
        </w:tc>
        <w:tc>
          <w:tcPr>
            <w:tcW w:w="66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States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World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660" w:type="dxa"/>
            <w:vAlign w:val="bottom"/>
            <w:tcBorders>
              <w:top w:val="single" w:sz="8" w:color="auto"/>
              <w:right w:val="single" w:sz="8" w:color="DDDDDD"/>
            </w:tcBorders>
          </w:tcPr>
          <w:p>
            <w:pPr>
              <w:ind w:left="20"/>
              <w:spacing w:after="0"/>
              <w:rPr>
                <w:sz w:val="20"/>
                <w:szCs w:val="20"/>
                <w:color w:val="auto"/>
              </w:rPr>
            </w:pPr>
            <w:r>
              <w:rPr>
                <w:rFonts w:ascii="Arial" w:cs="Arial" w:eastAsia="Arial" w:hAnsi="Arial"/>
                <w:sz w:val="14"/>
                <w:szCs w:val="14"/>
                <w:color w:val="auto"/>
              </w:rPr>
              <w:t>Multiple Sclerosis (MS):</w:t>
            </w:r>
          </w:p>
        </w:tc>
        <w:tc>
          <w:tcPr>
            <w:tcW w:w="100" w:type="dxa"/>
            <w:vAlign w:val="bottom"/>
            <w:tcBorders>
              <w:top w:val="single" w:sz="8" w:color="auto"/>
            </w:tcBorders>
            <w:shd w:val="clear" w:color="auto" w:fill="DDDDDD"/>
          </w:tcPr>
          <w:p>
            <w:pPr>
              <w:spacing w:after="0"/>
              <w:rPr>
                <w:sz w:val="17"/>
                <w:szCs w:val="17"/>
                <w:color w:val="auto"/>
              </w:rPr>
            </w:pPr>
          </w:p>
        </w:tc>
        <w:tc>
          <w:tcPr>
            <w:tcW w:w="580" w:type="dxa"/>
            <w:vAlign w:val="bottom"/>
            <w:tcBorders>
              <w:top w:val="single" w:sz="8" w:color="auto"/>
            </w:tcBorders>
            <w:shd w:val="clear" w:color="auto" w:fill="DDDDDD"/>
          </w:tcPr>
          <w:p>
            <w:pPr>
              <w:spacing w:after="0"/>
              <w:rPr>
                <w:sz w:val="17"/>
                <w:szCs w:val="17"/>
                <w:color w:val="auto"/>
              </w:rPr>
            </w:pPr>
          </w:p>
        </w:tc>
        <w:tc>
          <w:tcPr>
            <w:tcW w:w="40" w:type="dxa"/>
            <w:vAlign w:val="bottom"/>
            <w:tcBorders>
              <w:top w:val="single" w:sz="8" w:color="auto"/>
            </w:tcBorders>
            <w:shd w:val="clear" w:color="auto" w:fill="DDDDDD"/>
          </w:tcPr>
          <w:p>
            <w:pPr>
              <w:spacing w:after="0"/>
              <w:rPr>
                <w:sz w:val="17"/>
                <w:szCs w:val="17"/>
                <w:color w:val="auto"/>
              </w:rPr>
            </w:pPr>
          </w:p>
        </w:tc>
        <w:tc>
          <w:tcPr>
            <w:tcW w:w="120" w:type="dxa"/>
            <w:vAlign w:val="bottom"/>
            <w:tcBorders>
              <w:top w:val="single" w:sz="8" w:color="DDDDDD"/>
            </w:tcBorders>
            <w:shd w:val="clear" w:color="auto" w:fill="DDDDDD"/>
          </w:tcPr>
          <w:p>
            <w:pPr>
              <w:spacing w:after="0"/>
              <w:rPr>
                <w:sz w:val="17"/>
                <w:szCs w:val="17"/>
                <w:color w:val="auto"/>
              </w:rPr>
            </w:pPr>
          </w:p>
        </w:tc>
        <w:tc>
          <w:tcPr>
            <w:tcW w:w="100" w:type="dxa"/>
            <w:vAlign w:val="bottom"/>
            <w:tcBorders>
              <w:top w:val="single" w:sz="8" w:color="auto"/>
            </w:tcBorders>
            <w:shd w:val="clear" w:color="auto" w:fill="DDDDDD"/>
          </w:tcPr>
          <w:p>
            <w:pPr>
              <w:spacing w:after="0"/>
              <w:rPr>
                <w:sz w:val="17"/>
                <w:szCs w:val="17"/>
                <w:color w:val="auto"/>
              </w:rPr>
            </w:pPr>
          </w:p>
        </w:tc>
        <w:tc>
          <w:tcPr>
            <w:tcW w:w="600" w:type="dxa"/>
            <w:vAlign w:val="bottom"/>
            <w:tcBorders>
              <w:top w:val="single" w:sz="8" w:color="auto"/>
            </w:tcBorders>
            <w:shd w:val="clear" w:color="auto" w:fill="DDDDDD"/>
          </w:tcPr>
          <w:p>
            <w:pPr>
              <w:spacing w:after="0"/>
              <w:rPr>
                <w:sz w:val="17"/>
                <w:szCs w:val="17"/>
                <w:color w:val="auto"/>
              </w:rPr>
            </w:pPr>
          </w:p>
        </w:tc>
        <w:tc>
          <w:tcPr>
            <w:tcW w:w="4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160" w:type="dxa"/>
            <w:vAlign w:val="bottom"/>
            <w:tcBorders>
              <w:top w:val="single" w:sz="8" w:color="auto"/>
            </w:tcBorders>
            <w:shd w:val="clear" w:color="auto" w:fill="DDDDDD"/>
          </w:tcPr>
          <w:p>
            <w:pPr>
              <w:spacing w:after="0"/>
              <w:rPr>
                <w:sz w:val="17"/>
                <w:szCs w:val="17"/>
                <w:color w:val="auto"/>
              </w:rPr>
            </w:pPr>
          </w:p>
        </w:tc>
        <w:tc>
          <w:tcPr>
            <w:tcW w:w="580" w:type="dxa"/>
            <w:vAlign w:val="bottom"/>
            <w:tcBorders>
              <w:top w:val="single" w:sz="8" w:color="auto"/>
              <w:right w:val="single" w:sz="8" w:color="DDDDDD"/>
            </w:tcBorders>
            <w:shd w:val="clear" w:color="auto" w:fill="DDDDDD"/>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660" w:type="dxa"/>
            <w:vAlign w:val="bottom"/>
            <w:tcBorders>
              <w:right w:val="single" w:sz="8" w:color="DDDDDD"/>
            </w:tcBorders>
          </w:tcPr>
          <w:p>
            <w:pPr>
              <w:ind w:left="160"/>
              <w:spacing w:after="0"/>
              <w:rPr>
                <w:sz w:val="20"/>
                <w:szCs w:val="20"/>
                <w:color w:val="auto"/>
              </w:rPr>
            </w:pPr>
            <w:r>
              <w:rPr>
                <w:rFonts w:ascii="Arial" w:cs="Arial" w:eastAsia="Arial" w:hAnsi="Arial"/>
                <w:sz w:val="14"/>
                <w:szCs w:val="14"/>
                <w:color w:val="auto"/>
              </w:rPr>
              <w:t>TECFIDERA</w:t>
            </w:r>
          </w:p>
        </w:tc>
        <w:tc>
          <w:tcPr>
            <w:tcW w:w="1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w w:val="76"/>
              </w:rPr>
              <w:t>$</w:t>
            </w: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869.8</w:t>
            </w:r>
          </w:p>
        </w:tc>
        <w:tc>
          <w:tcPr>
            <w:tcW w:w="260" w:type="dxa"/>
            <w:vAlign w:val="bottom"/>
            <w:gridSpan w:val="3"/>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280.4</w:t>
            </w:r>
          </w:p>
        </w:tc>
        <w:tc>
          <w:tcPr>
            <w:tcW w:w="4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1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58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1,150.2</w:t>
            </w:r>
          </w:p>
        </w:tc>
        <w:tc>
          <w:tcPr>
            <w:tcW w:w="80" w:type="dxa"/>
            <w:vAlign w:val="bottom"/>
          </w:tcPr>
          <w:p>
            <w:pPr>
              <w:spacing w:after="0"/>
              <w:rPr>
                <w:sz w:val="23"/>
                <w:szCs w:val="23"/>
                <w:color w:val="auto"/>
              </w:rPr>
            </w:pPr>
          </w:p>
        </w:tc>
        <w:tc>
          <w:tcPr>
            <w:tcW w:w="1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color w:val="auto"/>
              </w:rPr>
              <w:t>825.8</w:t>
            </w:r>
          </w:p>
        </w:tc>
        <w:tc>
          <w:tcPr>
            <w:tcW w:w="20" w:type="dxa"/>
            <w:vAlign w:val="bottom"/>
          </w:tcPr>
          <w:p>
            <w:pPr>
              <w:spacing w:after="0"/>
              <w:rPr>
                <w:sz w:val="23"/>
                <w:szCs w:val="23"/>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color w:val="auto"/>
              </w:rPr>
              <w:t>261.0</w:t>
            </w:r>
          </w:p>
        </w:tc>
        <w:tc>
          <w:tcPr>
            <w:tcW w:w="120" w:type="dxa"/>
            <w:vAlign w:val="bottom"/>
          </w:tcPr>
          <w:p>
            <w:pPr>
              <w:spacing w:after="0"/>
              <w:rPr>
                <w:sz w:val="23"/>
                <w:szCs w:val="2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1,086.8</w:t>
            </w: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717.7</w:t>
            </w:r>
          </w:p>
        </w:tc>
        <w:tc>
          <w:tcPr>
            <w:tcW w:w="26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281.1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998.8</w:t>
            </w:r>
          </w:p>
        </w:tc>
        <w:tc>
          <w:tcPr>
            <w:tcW w:w="0" w:type="dxa"/>
            <w:vAlign w:val="bottom"/>
          </w:tcPr>
          <w:p>
            <w:pPr>
              <w:spacing w:after="0"/>
              <w:rPr>
                <w:sz w:val="1"/>
                <w:szCs w:val="1"/>
                <w:color w:val="auto"/>
              </w:rPr>
            </w:pPr>
          </w:p>
        </w:tc>
      </w:tr>
      <w:tr>
        <w:trPr>
          <w:trHeight w:val="54"/>
        </w:trPr>
        <w:tc>
          <w:tcPr>
            <w:tcW w:w="1660" w:type="dxa"/>
            <w:vAlign w:val="bottom"/>
            <w:tcBorders>
              <w:right w:val="single" w:sz="8" w:color="DDDDDD"/>
            </w:tcBorders>
          </w:tcPr>
          <w:p>
            <w:pPr>
              <w:spacing w:after="0"/>
              <w:rPr>
                <w:sz w:val="4"/>
                <w:szCs w:val="4"/>
                <w:color w:val="auto"/>
              </w:rPr>
            </w:pPr>
          </w:p>
        </w:tc>
        <w:tc>
          <w:tcPr>
            <w:tcW w:w="100" w:type="dxa"/>
            <w:vAlign w:val="bottom"/>
            <w:vMerge w:val="continue"/>
            <w:shd w:val="clear" w:color="auto" w:fill="DDDDDD"/>
          </w:tcPr>
          <w:p>
            <w:pPr>
              <w:spacing w:after="0"/>
              <w:rPr>
                <w:sz w:val="4"/>
                <w:szCs w:val="4"/>
                <w:color w:val="auto"/>
              </w:rPr>
            </w:pPr>
          </w:p>
        </w:tc>
        <w:tc>
          <w:tcPr>
            <w:tcW w:w="580" w:type="dxa"/>
            <w:vAlign w:val="bottom"/>
            <w:vMerge w:val="continue"/>
            <w:shd w:val="clear" w:color="auto" w:fill="DDDDDD"/>
          </w:tcPr>
          <w:p>
            <w:pPr>
              <w:spacing w:after="0"/>
              <w:rPr>
                <w:sz w:val="4"/>
                <w:szCs w:val="4"/>
                <w:color w:val="auto"/>
              </w:rPr>
            </w:pPr>
          </w:p>
        </w:tc>
        <w:tc>
          <w:tcPr>
            <w:tcW w:w="260" w:type="dxa"/>
            <w:vAlign w:val="bottom"/>
            <w:gridSpan w:val="3"/>
            <w:vMerge w:val="continue"/>
            <w:shd w:val="clear" w:color="auto" w:fill="DDDDDD"/>
          </w:tcPr>
          <w:p>
            <w:pPr>
              <w:spacing w:after="0"/>
              <w:rPr>
                <w:sz w:val="4"/>
                <w:szCs w:val="4"/>
                <w:color w:val="auto"/>
              </w:rPr>
            </w:pPr>
          </w:p>
        </w:tc>
        <w:tc>
          <w:tcPr>
            <w:tcW w:w="60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60" w:type="dxa"/>
            <w:vAlign w:val="bottom"/>
            <w:vMerge w:val="continue"/>
            <w:shd w:val="clear" w:color="auto" w:fill="DDDDDD"/>
          </w:tcPr>
          <w:p>
            <w:pPr>
              <w:spacing w:after="0"/>
              <w:rPr>
                <w:sz w:val="4"/>
                <w:szCs w:val="4"/>
                <w:color w:val="auto"/>
              </w:rPr>
            </w:pPr>
          </w:p>
        </w:tc>
        <w:tc>
          <w:tcPr>
            <w:tcW w:w="58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20" w:type="dxa"/>
            <w:vAlign w:val="bottom"/>
            <w:gridSpan w:val="3"/>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260" w:type="dxa"/>
            <w:vAlign w:val="bottom"/>
            <w:gridSpan w:val="4"/>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DDDDDD"/>
            </w:tcBorders>
          </w:tcPr>
          <w:p>
            <w:pPr>
              <w:ind w:left="160"/>
              <w:spacing w:after="0"/>
              <w:rPr>
                <w:sz w:val="20"/>
                <w:szCs w:val="20"/>
                <w:color w:val="auto"/>
              </w:rPr>
            </w:pPr>
            <w:r>
              <w:rPr>
                <w:rFonts w:ascii="Arial" w:cs="Arial" w:eastAsia="Arial" w:hAnsi="Arial"/>
                <w:sz w:val="14"/>
                <w:szCs w:val="14"/>
                <w:color w:val="auto"/>
              </w:rPr>
              <w:t>Interferon*</w:t>
            </w:r>
          </w:p>
        </w:tc>
        <w:tc>
          <w:tcPr>
            <w:tcW w:w="100" w:type="dxa"/>
            <w:vAlign w:val="bottom"/>
            <w:shd w:val="clear" w:color="auto" w:fill="DDDDDD"/>
          </w:tcPr>
          <w:p>
            <w:pPr>
              <w:spacing w:after="0"/>
              <w:rPr>
                <w:sz w:val="18"/>
                <w:szCs w:val="18"/>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379.7</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174.7</w:t>
            </w:r>
          </w:p>
        </w:tc>
        <w:tc>
          <w:tcPr>
            <w:tcW w:w="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58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554.4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color w:val="auto"/>
              </w:rPr>
              <w:t>444.7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color w:val="auto"/>
              </w:rPr>
              <w:t>180.8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625.5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327.3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173.6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500.9</w:t>
            </w:r>
          </w:p>
        </w:tc>
        <w:tc>
          <w:tcPr>
            <w:tcW w:w="0" w:type="dxa"/>
            <w:vAlign w:val="bottom"/>
          </w:tcPr>
          <w:p>
            <w:pPr>
              <w:spacing w:after="0"/>
              <w:rPr>
                <w:sz w:val="1"/>
                <w:szCs w:val="1"/>
                <w:color w:val="auto"/>
              </w:rPr>
            </w:pPr>
          </w:p>
        </w:tc>
      </w:tr>
      <w:tr>
        <w:trPr>
          <w:trHeight w:val="54"/>
        </w:trPr>
        <w:tc>
          <w:tcPr>
            <w:tcW w:w="1660" w:type="dxa"/>
            <w:vAlign w:val="bottom"/>
            <w:tcBorders>
              <w:right w:val="single" w:sz="8" w:color="DDDDDD"/>
            </w:tcBorders>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8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60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60" w:type="dxa"/>
            <w:vAlign w:val="bottom"/>
            <w:shd w:val="clear" w:color="auto" w:fill="DDDDDD"/>
          </w:tcPr>
          <w:p>
            <w:pPr>
              <w:spacing w:after="0"/>
              <w:rPr>
                <w:sz w:val="4"/>
                <w:szCs w:val="4"/>
                <w:color w:val="auto"/>
              </w:rPr>
            </w:pPr>
          </w:p>
        </w:tc>
        <w:tc>
          <w:tcPr>
            <w:tcW w:w="58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DDDDDD"/>
            </w:tcBorders>
          </w:tcPr>
          <w:p>
            <w:pPr>
              <w:ind w:left="160"/>
              <w:spacing w:after="0"/>
              <w:rPr>
                <w:sz w:val="20"/>
                <w:szCs w:val="20"/>
                <w:color w:val="auto"/>
              </w:rPr>
            </w:pPr>
            <w:r>
              <w:rPr>
                <w:rFonts w:ascii="Arial" w:cs="Arial" w:eastAsia="Arial" w:hAnsi="Arial"/>
                <w:sz w:val="14"/>
                <w:szCs w:val="14"/>
                <w:color w:val="auto"/>
              </w:rPr>
              <w:t>TYSABRI</w:t>
            </w:r>
          </w:p>
        </w:tc>
        <w:tc>
          <w:tcPr>
            <w:tcW w:w="100" w:type="dxa"/>
            <w:vAlign w:val="bottom"/>
            <w:shd w:val="clear" w:color="auto" w:fill="DDDDDD"/>
          </w:tcPr>
          <w:p>
            <w:pPr>
              <w:spacing w:after="0"/>
              <w:rPr>
                <w:sz w:val="18"/>
                <w:szCs w:val="18"/>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264.3</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211.0</w:t>
            </w:r>
          </w:p>
        </w:tc>
        <w:tc>
          <w:tcPr>
            <w:tcW w:w="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58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475.3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color w:val="auto"/>
              </w:rPr>
              <w:t>265.5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467.2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245.0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215.4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460.4</w:t>
            </w:r>
          </w:p>
        </w:tc>
        <w:tc>
          <w:tcPr>
            <w:tcW w:w="0" w:type="dxa"/>
            <w:vAlign w:val="bottom"/>
          </w:tcPr>
          <w:p>
            <w:pPr>
              <w:spacing w:after="0"/>
              <w:rPr>
                <w:sz w:val="1"/>
                <w:szCs w:val="1"/>
                <w:color w:val="auto"/>
              </w:rPr>
            </w:pPr>
          </w:p>
        </w:tc>
      </w:tr>
      <w:tr>
        <w:trPr>
          <w:trHeight w:val="54"/>
        </w:trPr>
        <w:tc>
          <w:tcPr>
            <w:tcW w:w="1660" w:type="dxa"/>
            <w:vAlign w:val="bottom"/>
            <w:tcBorders>
              <w:right w:val="single" w:sz="8" w:color="DDDDDD"/>
            </w:tcBorders>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8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60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60" w:type="dxa"/>
            <w:vAlign w:val="bottom"/>
            <w:shd w:val="clear" w:color="auto" w:fill="DDDDDD"/>
          </w:tcPr>
          <w:p>
            <w:pPr>
              <w:spacing w:after="0"/>
              <w:rPr>
                <w:sz w:val="4"/>
                <w:szCs w:val="4"/>
                <w:color w:val="auto"/>
              </w:rPr>
            </w:pPr>
          </w:p>
        </w:tc>
        <w:tc>
          <w:tcPr>
            <w:tcW w:w="58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DDDDDD"/>
            </w:tcBorders>
          </w:tcPr>
          <w:p>
            <w:pPr>
              <w:ind w:left="160"/>
              <w:spacing w:after="0"/>
              <w:rPr>
                <w:sz w:val="20"/>
                <w:szCs w:val="20"/>
                <w:color w:val="auto"/>
              </w:rPr>
            </w:pPr>
            <w:r>
              <w:rPr>
                <w:rFonts w:ascii="Arial" w:cs="Arial" w:eastAsia="Arial" w:hAnsi="Arial"/>
                <w:sz w:val="14"/>
                <w:szCs w:val="14"/>
                <w:color w:val="auto"/>
              </w:rPr>
              <w:t>FAMPYRA</w:t>
            </w:r>
          </w:p>
        </w:tc>
        <w:tc>
          <w:tcPr>
            <w:tcW w:w="100" w:type="dxa"/>
            <w:vAlign w:val="bottom"/>
            <w:shd w:val="clear" w:color="auto" w:fill="DDDDDD"/>
          </w:tcPr>
          <w:p>
            <w:pPr>
              <w:spacing w:after="0"/>
              <w:rPr>
                <w:sz w:val="18"/>
                <w:szCs w:val="18"/>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24.1</w:t>
            </w:r>
          </w:p>
        </w:tc>
        <w:tc>
          <w:tcPr>
            <w:tcW w:w="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58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24.1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54"/>
        </w:trPr>
        <w:tc>
          <w:tcPr>
            <w:tcW w:w="1660" w:type="dxa"/>
            <w:vAlign w:val="bottom"/>
            <w:tcBorders>
              <w:right w:val="single" w:sz="8" w:color="DDDDDD"/>
            </w:tcBorders>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8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60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60" w:type="dxa"/>
            <w:vAlign w:val="bottom"/>
            <w:shd w:val="clear" w:color="auto" w:fill="DDDDDD"/>
          </w:tcPr>
          <w:p>
            <w:pPr>
              <w:spacing w:after="0"/>
              <w:rPr>
                <w:sz w:val="4"/>
                <w:szCs w:val="4"/>
                <w:color w:val="auto"/>
              </w:rPr>
            </w:pPr>
          </w:p>
        </w:tc>
        <w:tc>
          <w:tcPr>
            <w:tcW w:w="58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660" w:type="dxa"/>
            <w:vAlign w:val="bottom"/>
            <w:tcBorders>
              <w:right w:val="single" w:sz="8" w:color="DDDDDD"/>
            </w:tcBorders>
          </w:tcPr>
          <w:p>
            <w:pPr>
              <w:ind w:left="20"/>
              <w:spacing w:after="0"/>
              <w:rPr>
                <w:sz w:val="20"/>
                <w:szCs w:val="20"/>
                <w:color w:val="auto"/>
              </w:rPr>
            </w:pPr>
            <w:r>
              <w:rPr>
                <w:rFonts w:ascii="Arial" w:cs="Arial" w:eastAsia="Arial" w:hAnsi="Arial"/>
                <w:sz w:val="14"/>
                <w:szCs w:val="14"/>
                <w:color w:val="auto"/>
              </w:rPr>
              <w:t>Spinal Muscular</w:t>
            </w:r>
          </w:p>
        </w:tc>
        <w:tc>
          <w:tcPr>
            <w:tcW w:w="100" w:type="dxa"/>
            <w:vAlign w:val="bottom"/>
            <w:shd w:val="clear" w:color="auto" w:fill="DDDDDD"/>
          </w:tcPr>
          <w:p>
            <w:pPr>
              <w:spacing w:after="0"/>
              <w:rPr>
                <w:sz w:val="15"/>
                <w:szCs w:val="15"/>
                <w:color w:val="auto"/>
              </w:rPr>
            </w:pPr>
          </w:p>
        </w:tc>
        <w:tc>
          <w:tcPr>
            <w:tcW w:w="58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60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580" w:type="dxa"/>
            <w:vAlign w:val="bottom"/>
            <w:tcBorders>
              <w:right w:val="single" w:sz="8" w:color="DDDDDD"/>
            </w:tcBorders>
            <w:shd w:val="clear" w:color="auto" w:fill="DDDDDD"/>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60" w:type="dxa"/>
            <w:vAlign w:val="bottom"/>
            <w:tcBorders>
              <w:right w:val="single" w:sz="8" w:color="DDDDDD"/>
            </w:tcBorders>
          </w:tcPr>
          <w:p>
            <w:pPr>
              <w:ind w:left="20"/>
              <w:spacing w:after="0"/>
              <w:rPr>
                <w:sz w:val="20"/>
                <w:szCs w:val="20"/>
                <w:color w:val="auto"/>
              </w:rPr>
            </w:pPr>
            <w:r>
              <w:rPr>
                <w:rFonts w:ascii="Arial" w:cs="Arial" w:eastAsia="Arial" w:hAnsi="Arial"/>
                <w:sz w:val="14"/>
                <w:szCs w:val="14"/>
                <w:color w:val="auto"/>
              </w:rPr>
              <w:t>Atrophy:</w:t>
            </w:r>
          </w:p>
        </w:tc>
        <w:tc>
          <w:tcPr>
            <w:tcW w:w="100" w:type="dxa"/>
            <w:vAlign w:val="bottom"/>
            <w:shd w:val="clear" w:color="auto" w:fill="DDDDDD"/>
          </w:tcPr>
          <w:p>
            <w:pPr>
              <w:spacing w:after="0"/>
              <w:rPr>
                <w:sz w:val="16"/>
                <w:szCs w:val="16"/>
                <w:color w:val="auto"/>
              </w:rPr>
            </w:pPr>
          </w:p>
        </w:tc>
        <w:tc>
          <w:tcPr>
            <w:tcW w:w="58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580" w:type="dxa"/>
            <w:vAlign w:val="bottom"/>
            <w:tcBorders>
              <w:right w:val="single" w:sz="8" w:color="DDDDDD"/>
            </w:tcBorders>
            <w:shd w:val="clear" w:color="auto" w:fill="DDDDDD"/>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DDDDDD"/>
            </w:tcBorders>
          </w:tcPr>
          <w:p>
            <w:pPr>
              <w:ind w:left="160"/>
              <w:spacing w:after="0"/>
              <w:rPr>
                <w:sz w:val="20"/>
                <w:szCs w:val="20"/>
                <w:color w:val="auto"/>
              </w:rPr>
            </w:pPr>
            <w:r>
              <w:rPr>
                <w:rFonts w:ascii="Arial" w:cs="Arial" w:eastAsia="Arial" w:hAnsi="Arial"/>
                <w:sz w:val="14"/>
                <w:szCs w:val="14"/>
                <w:color w:val="auto"/>
              </w:rPr>
              <w:t>SPINRAZA</w:t>
            </w:r>
          </w:p>
        </w:tc>
        <w:tc>
          <w:tcPr>
            <w:tcW w:w="100" w:type="dxa"/>
            <w:vAlign w:val="bottom"/>
            <w:shd w:val="clear" w:color="auto" w:fill="DDDDDD"/>
          </w:tcPr>
          <w:p>
            <w:pPr>
              <w:spacing w:after="0"/>
              <w:rPr>
                <w:sz w:val="18"/>
                <w:szCs w:val="18"/>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230.6</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257.6</w:t>
            </w:r>
          </w:p>
        </w:tc>
        <w:tc>
          <w:tcPr>
            <w:tcW w:w="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58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488.2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color w:val="auto"/>
              </w:rPr>
              <w:t>205.9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422.7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223.3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295.2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518.5</w:t>
            </w:r>
          </w:p>
        </w:tc>
        <w:tc>
          <w:tcPr>
            <w:tcW w:w="0" w:type="dxa"/>
            <w:vAlign w:val="bottom"/>
          </w:tcPr>
          <w:p>
            <w:pPr>
              <w:spacing w:after="0"/>
              <w:rPr>
                <w:sz w:val="1"/>
                <w:szCs w:val="1"/>
                <w:color w:val="auto"/>
              </w:rPr>
            </w:pPr>
          </w:p>
        </w:tc>
      </w:tr>
      <w:tr>
        <w:trPr>
          <w:trHeight w:val="54"/>
        </w:trPr>
        <w:tc>
          <w:tcPr>
            <w:tcW w:w="1660" w:type="dxa"/>
            <w:vAlign w:val="bottom"/>
            <w:tcBorders>
              <w:right w:val="single" w:sz="8" w:color="DDDDDD"/>
            </w:tcBorders>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8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60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60" w:type="dxa"/>
            <w:vAlign w:val="bottom"/>
            <w:shd w:val="clear" w:color="auto" w:fill="DDDDDD"/>
          </w:tcPr>
          <w:p>
            <w:pPr>
              <w:spacing w:after="0"/>
              <w:rPr>
                <w:sz w:val="4"/>
                <w:szCs w:val="4"/>
                <w:color w:val="auto"/>
              </w:rPr>
            </w:pPr>
          </w:p>
        </w:tc>
        <w:tc>
          <w:tcPr>
            <w:tcW w:w="58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DDDDDD"/>
            </w:tcBorders>
          </w:tcPr>
          <w:p>
            <w:pPr>
              <w:ind w:left="20"/>
              <w:spacing w:after="0"/>
              <w:rPr>
                <w:sz w:val="20"/>
                <w:szCs w:val="20"/>
                <w:color w:val="auto"/>
              </w:rPr>
            </w:pPr>
            <w:r>
              <w:rPr>
                <w:rFonts w:ascii="Arial" w:cs="Arial" w:eastAsia="Arial" w:hAnsi="Arial"/>
                <w:sz w:val="14"/>
                <w:szCs w:val="14"/>
                <w:color w:val="auto"/>
              </w:rPr>
              <w:t>Biosimilars:</w:t>
            </w:r>
          </w:p>
        </w:tc>
        <w:tc>
          <w:tcPr>
            <w:tcW w:w="100" w:type="dxa"/>
            <w:vAlign w:val="bottom"/>
            <w:shd w:val="clear" w:color="auto" w:fill="DDDDDD"/>
          </w:tcPr>
          <w:p>
            <w:pPr>
              <w:spacing w:after="0"/>
              <w:rPr>
                <w:sz w:val="18"/>
                <w:szCs w:val="18"/>
                <w:color w:val="auto"/>
              </w:rPr>
            </w:pPr>
          </w:p>
        </w:tc>
        <w:tc>
          <w:tcPr>
            <w:tcW w:w="5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0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580" w:type="dxa"/>
            <w:vAlign w:val="bottom"/>
            <w:tcBorders>
              <w:right w:val="single" w:sz="8" w:color="DDDDDD"/>
            </w:tcBorders>
            <w:shd w:val="clear" w:color="auto" w:fill="DDDDDD"/>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660" w:type="dxa"/>
            <w:vAlign w:val="bottom"/>
            <w:tcBorders>
              <w:right w:val="single" w:sz="8" w:color="DDDDDD"/>
            </w:tcBorders>
          </w:tcPr>
          <w:p>
            <w:pPr>
              <w:ind w:left="160"/>
              <w:spacing w:after="0"/>
              <w:rPr>
                <w:sz w:val="20"/>
                <w:szCs w:val="20"/>
                <w:color w:val="auto"/>
              </w:rPr>
            </w:pPr>
            <w:r>
              <w:rPr>
                <w:rFonts w:ascii="Arial" w:cs="Arial" w:eastAsia="Arial" w:hAnsi="Arial"/>
                <w:sz w:val="14"/>
                <w:szCs w:val="14"/>
                <w:color w:val="auto"/>
              </w:rPr>
              <w:t>BENEPALI</w:t>
            </w:r>
          </w:p>
        </w:tc>
        <w:tc>
          <w:tcPr>
            <w:tcW w:w="100" w:type="dxa"/>
            <w:vAlign w:val="bottom"/>
            <w:shd w:val="clear" w:color="auto" w:fill="DDDDDD"/>
          </w:tcPr>
          <w:p>
            <w:pPr>
              <w:spacing w:after="0"/>
              <w:rPr>
                <w:sz w:val="23"/>
                <w:szCs w:val="23"/>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120.3</w:t>
            </w:r>
          </w:p>
        </w:tc>
        <w:tc>
          <w:tcPr>
            <w:tcW w:w="4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58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120.3</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color w:val="auto"/>
              </w:rPr>
              <w:t>115.6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115.6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124.0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54"/>
        </w:trPr>
        <w:tc>
          <w:tcPr>
            <w:tcW w:w="1660" w:type="dxa"/>
            <w:vAlign w:val="bottom"/>
            <w:tcBorders>
              <w:right w:val="single" w:sz="8" w:color="DDDDDD"/>
            </w:tcBorders>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8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60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60" w:type="dxa"/>
            <w:vAlign w:val="bottom"/>
            <w:shd w:val="clear" w:color="auto" w:fill="DDDDDD"/>
          </w:tcPr>
          <w:p>
            <w:pPr>
              <w:spacing w:after="0"/>
              <w:rPr>
                <w:sz w:val="4"/>
                <w:szCs w:val="4"/>
                <w:color w:val="auto"/>
              </w:rPr>
            </w:pPr>
          </w:p>
        </w:tc>
        <w:tc>
          <w:tcPr>
            <w:tcW w:w="58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DDDDDD"/>
            </w:tcBorders>
          </w:tcPr>
          <w:p>
            <w:pPr>
              <w:ind w:left="160"/>
              <w:spacing w:after="0"/>
              <w:rPr>
                <w:sz w:val="20"/>
                <w:szCs w:val="20"/>
                <w:color w:val="auto"/>
              </w:rPr>
            </w:pPr>
            <w:r>
              <w:rPr>
                <w:rFonts w:ascii="Arial" w:cs="Arial" w:eastAsia="Arial" w:hAnsi="Arial"/>
                <w:sz w:val="14"/>
                <w:szCs w:val="14"/>
                <w:color w:val="auto"/>
              </w:rPr>
              <w:t>IMRALDI</w:t>
            </w:r>
          </w:p>
        </w:tc>
        <w:tc>
          <w:tcPr>
            <w:tcW w:w="100" w:type="dxa"/>
            <w:vAlign w:val="bottom"/>
            <w:shd w:val="clear" w:color="auto" w:fill="DDDDDD"/>
          </w:tcPr>
          <w:p>
            <w:pPr>
              <w:spacing w:after="0"/>
              <w:rPr>
                <w:sz w:val="18"/>
                <w:szCs w:val="18"/>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47.3</w:t>
            </w:r>
          </w:p>
        </w:tc>
        <w:tc>
          <w:tcPr>
            <w:tcW w:w="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58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47.3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35.7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54"/>
        </w:trPr>
        <w:tc>
          <w:tcPr>
            <w:tcW w:w="1660" w:type="dxa"/>
            <w:vAlign w:val="bottom"/>
            <w:tcBorders>
              <w:right w:val="single" w:sz="8" w:color="DDDDDD"/>
            </w:tcBorders>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8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60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60" w:type="dxa"/>
            <w:vAlign w:val="bottom"/>
            <w:shd w:val="clear" w:color="auto" w:fill="DDDDDD"/>
          </w:tcPr>
          <w:p>
            <w:pPr>
              <w:spacing w:after="0"/>
              <w:rPr>
                <w:sz w:val="4"/>
                <w:szCs w:val="4"/>
                <w:color w:val="auto"/>
              </w:rPr>
            </w:pPr>
          </w:p>
        </w:tc>
        <w:tc>
          <w:tcPr>
            <w:tcW w:w="58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Borders>
              <w:right w:val="single" w:sz="8" w:color="DDDDDD"/>
            </w:tcBorders>
          </w:tcPr>
          <w:p>
            <w:pPr>
              <w:ind w:left="160"/>
              <w:spacing w:after="0"/>
              <w:rPr>
                <w:sz w:val="20"/>
                <w:szCs w:val="20"/>
                <w:color w:val="auto"/>
              </w:rPr>
            </w:pPr>
            <w:r>
              <w:rPr>
                <w:rFonts w:ascii="Arial" w:cs="Arial" w:eastAsia="Arial" w:hAnsi="Arial"/>
                <w:sz w:val="14"/>
                <w:szCs w:val="14"/>
                <w:color w:val="auto"/>
              </w:rPr>
              <w:t>FLIXABI</w:t>
            </w:r>
          </w:p>
        </w:tc>
        <w:tc>
          <w:tcPr>
            <w:tcW w:w="100" w:type="dxa"/>
            <w:vAlign w:val="bottom"/>
            <w:shd w:val="clear" w:color="auto" w:fill="DDDDDD"/>
          </w:tcPr>
          <w:p>
            <w:pPr>
              <w:spacing w:after="0"/>
              <w:rPr>
                <w:sz w:val="18"/>
                <w:szCs w:val="18"/>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16.8</w:t>
            </w:r>
          </w:p>
        </w:tc>
        <w:tc>
          <w:tcPr>
            <w:tcW w:w="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58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16.8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54"/>
        </w:trPr>
        <w:tc>
          <w:tcPr>
            <w:tcW w:w="1660" w:type="dxa"/>
            <w:vAlign w:val="bottom"/>
            <w:tcBorders>
              <w:right w:val="single" w:sz="8" w:color="DDDDDD"/>
            </w:tcBorders>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8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60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60" w:type="dxa"/>
            <w:vAlign w:val="bottom"/>
            <w:shd w:val="clear" w:color="auto" w:fill="DDDDDD"/>
          </w:tcPr>
          <w:p>
            <w:pPr>
              <w:spacing w:after="0"/>
              <w:rPr>
                <w:sz w:val="4"/>
                <w:szCs w:val="4"/>
                <w:color w:val="auto"/>
              </w:rPr>
            </w:pPr>
          </w:p>
        </w:tc>
        <w:tc>
          <w:tcPr>
            <w:tcW w:w="58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660" w:type="dxa"/>
            <w:vAlign w:val="bottom"/>
            <w:tcBorders>
              <w:right w:val="single" w:sz="8" w:color="DDDDDD"/>
            </w:tcBorders>
          </w:tcPr>
          <w:p>
            <w:pPr>
              <w:ind w:left="20"/>
              <w:spacing w:after="0"/>
              <w:rPr>
                <w:sz w:val="20"/>
                <w:szCs w:val="20"/>
                <w:color w:val="auto"/>
              </w:rPr>
            </w:pPr>
            <w:r>
              <w:rPr>
                <w:rFonts w:ascii="Arial" w:cs="Arial" w:eastAsia="Arial" w:hAnsi="Arial"/>
                <w:sz w:val="14"/>
                <w:szCs w:val="14"/>
                <w:color w:val="auto"/>
              </w:rPr>
              <w:t>Other Product</w:t>
            </w:r>
          </w:p>
        </w:tc>
        <w:tc>
          <w:tcPr>
            <w:tcW w:w="100" w:type="dxa"/>
            <w:vAlign w:val="bottom"/>
            <w:shd w:val="clear" w:color="auto" w:fill="DDDDDD"/>
          </w:tcPr>
          <w:p>
            <w:pPr>
              <w:spacing w:after="0"/>
              <w:rPr>
                <w:sz w:val="15"/>
                <w:szCs w:val="15"/>
                <w:color w:val="auto"/>
              </w:rPr>
            </w:pPr>
          </w:p>
        </w:tc>
        <w:tc>
          <w:tcPr>
            <w:tcW w:w="58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60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580" w:type="dxa"/>
            <w:vAlign w:val="bottom"/>
            <w:tcBorders>
              <w:right w:val="single" w:sz="8" w:color="DDDDDD"/>
            </w:tcBorders>
            <w:shd w:val="clear" w:color="auto" w:fill="DDDDDD"/>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60" w:type="dxa"/>
            <w:vAlign w:val="bottom"/>
            <w:tcBorders>
              <w:right w:val="single" w:sz="8" w:color="DDDDDD"/>
            </w:tcBorders>
          </w:tcPr>
          <w:p>
            <w:pPr>
              <w:ind w:left="20"/>
              <w:spacing w:after="0"/>
              <w:rPr>
                <w:sz w:val="20"/>
                <w:szCs w:val="20"/>
                <w:color w:val="auto"/>
              </w:rPr>
            </w:pPr>
            <w:r>
              <w:rPr>
                <w:rFonts w:ascii="Arial" w:cs="Arial" w:eastAsia="Arial" w:hAnsi="Arial"/>
                <w:sz w:val="14"/>
                <w:szCs w:val="14"/>
                <w:color w:val="auto"/>
              </w:rPr>
              <w:t>Revenues:</w:t>
            </w:r>
          </w:p>
        </w:tc>
        <w:tc>
          <w:tcPr>
            <w:tcW w:w="100" w:type="dxa"/>
            <w:vAlign w:val="bottom"/>
            <w:shd w:val="clear" w:color="auto" w:fill="DDDDDD"/>
          </w:tcPr>
          <w:p>
            <w:pPr>
              <w:spacing w:after="0"/>
              <w:rPr>
                <w:sz w:val="16"/>
                <w:szCs w:val="16"/>
                <w:color w:val="auto"/>
              </w:rPr>
            </w:pPr>
          </w:p>
        </w:tc>
        <w:tc>
          <w:tcPr>
            <w:tcW w:w="58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580" w:type="dxa"/>
            <w:vAlign w:val="bottom"/>
            <w:tcBorders>
              <w:right w:val="single" w:sz="8" w:color="DDDDDD"/>
            </w:tcBorders>
            <w:shd w:val="clear" w:color="auto" w:fill="DDDDDD"/>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660" w:type="dxa"/>
            <w:vAlign w:val="bottom"/>
            <w:tcBorders>
              <w:right w:val="single" w:sz="8" w:color="DDDDDD"/>
            </w:tcBorders>
          </w:tcPr>
          <w:p>
            <w:pPr>
              <w:ind w:left="160"/>
              <w:spacing w:after="0"/>
              <w:rPr>
                <w:sz w:val="20"/>
                <w:szCs w:val="20"/>
                <w:color w:val="auto"/>
              </w:rPr>
            </w:pPr>
            <w:r>
              <w:rPr>
                <w:rFonts w:ascii="Arial" w:cs="Arial" w:eastAsia="Arial" w:hAnsi="Arial"/>
                <w:sz w:val="14"/>
                <w:szCs w:val="14"/>
                <w:color w:val="auto"/>
              </w:rPr>
              <w:t>FUMADERM</w:t>
            </w:r>
          </w:p>
        </w:tc>
        <w:tc>
          <w:tcPr>
            <w:tcW w:w="100" w:type="dxa"/>
            <w:vAlign w:val="bottom"/>
            <w:tcBorders>
              <w:bottom w:val="single" w:sz="8" w:color="DDDDDD"/>
            </w:tcBorders>
            <w:shd w:val="clear" w:color="auto" w:fill="DDDDDD"/>
          </w:tcPr>
          <w:p>
            <w:pPr>
              <w:spacing w:after="0"/>
              <w:rPr>
                <w:sz w:val="23"/>
                <w:szCs w:val="23"/>
                <w:color w:val="auto"/>
              </w:rPr>
            </w:pPr>
          </w:p>
        </w:tc>
        <w:tc>
          <w:tcPr>
            <w:tcW w:w="5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DDDDDD"/>
            </w:tcBorders>
            <w:shd w:val="clear" w:color="auto" w:fill="DDDDDD"/>
          </w:tcPr>
          <w:p>
            <w:pPr>
              <w:spacing w:after="0"/>
              <w:rPr>
                <w:sz w:val="23"/>
                <w:szCs w:val="23"/>
                <w:color w:val="auto"/>
              </w:rPr>
            </w:pPr>
          </w:p>
        </w:tc>
        <w:tc>
          <w:tcPr>
            <w:tcW w:w="120" w:type="dxa"/>
            <w:vAlign w:val="bottom"/>
            <w:tcBorders>
              <w:bottom w:val="single" w:sz="8" w:color="DDDDDD"/>
            </w:tcBorders>
            <w:shd w:val="clear" w:color="auto" w:fill="DDDDDD"/>
          </w:tcPr>
          <w:p>
            <w:pPr>
              <w:spacing w:after="0"/>
              <w:rPr>
                <w:sz w:val="23"/>
                <w:szCs w:val="23"/>
                <w:color w:val="auto"/>
              </w:rPr>
            </w:pPr>
          </w:p>
        </w:tc>
        <w:tc>
          <w:tcPr>
            <w:tcW w:w="100" w:type="dxa"/>
            <w:vAlign w:val="bottom"/>
            <w:tcBorders>
              <w:bottom w:val="single" w:sz="8" w:color="DDDDDD"/>
            </w:tcBorders>
            <w:shd w:val="clear" w:color="auto" w:fill="DDDDDD"/>
          </w:tcPr>
          <w:p>
            <w:pPr>
              <w:spacing w:after="0"/>
              <w:rPr>
                <w:sz w:val="23"/>
                <w:szCs w:val="23"/>
                <w:color w:val="auto"/>
              </w:rPr>
            </w:pPr>
          </w:p>
        </w:tc>
        <w:tc>
          <w:tcPr>
            <w:tcW w:w="6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3.7</w:t>
            </w:r>
          </w:p>
        </w:tc>
        <w:tc>
          <w:tcPr>
            <w:tcW w:w="40" w:type="dxa"/>
            <w:vAlign w:val="bottom"/>
            <w:tcBorders>
              <w:bottom w:val="single" w:sz="8" w:color="DDDDDD"/>
            </w:tcBorders>
            <w:shd w:val="clear" w:color="auto" w:fill="DDDDDD"/>
          </w:tcPr>
          <w:p>
            <w:pPr>
              <w:spacing w:after="0"/>
              <w:rPr>
                <w:sz w:val="23"/>
                <w:szCs w:val="23"/>
                <w:color w:val="auto"/>
              </w:rPr>
            </w:pPr>
          </w:p>
        </w:tc>
        <w:tc>
          <w:tcPr>
            <w:tcW w:w="10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58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3.7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62"/>
        </w:trPr>
        <w:tc>
          <w:tcPr>
            <w:tcW w:w="1660" w:type="dxa"/>
            <w:vAlign w:val="bottom"/>
            <w:tcBorders>
              <w:right w:val="single" w:sz="8" w:color="DDDDDD"/>
            </w:tcBorders>
          </w:tcPr>
          <w:p>
            <w:pPr>
              <w:ind w:left="280"/>
              <w:spacing w:after="0"/>
              <w:rPr>
                <w:sz w:val="20"/>
                <w:szCs w:val="20"/>
                <w:color w:val="auto"/>
              </w:rPr>
            </w:pPr>
            <w:r>
              <w:rPr>
                <w:rFonts w:ascii="Arial" w:cs="Arial" w:eastAsia="Arial" w:hAnsi="Arial"/>
                <w:sz w:val="14"/>
                <w:szCs w:val="14"/>
                <w:color w:val="auto"/>
              </w:rPr>
              <w:t>Total product</w:t>
            </w:r>
          </w:p>
        </w:tc>
        <w:tc>
          <w:tcPr>
            <w:tcW w:w="10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w w:val="76"/>
              </w:rPr>
              <w:t>$</w:t>
            </w:r>
          </w:p>
        </w:tc>
        <w:tc>
          <w:tcPr>
            <w:tcW w:w="58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1,744.4</w:t>
            </w:r>
          </w:p>
        </w:tc>
        <w:tc>
          <w:tcPr>
            <w:tcW w:w="40" w:type="dxa"/>
            <w:vAlign w:val="bottom"/>
            <w:tcBorders>
              <w:top w:val="single" w:sz="8" w:color="auto"/>
            </w:tcBorders>
            <w:shd w:val="clear" w:color="auto" w:fill="DDDDDD"/>
          </w:tcPr>
          <w:p>
            <w:pPr>
              <w:spacing w:after="0"/>
              <w:rPr>
                <w:sz w:val="14"/>
                <w:szCs w:val="14"/>
                <w:color w:val="auto"/>
              </w:rPr>
            </w:pPr>
          </w:p>
        </w:tc>
        <w:tc>
          <w:tcPr>
            <w:tcW w:w="120" w:type="dxa"/>
            <w:vAlign w:val="bottom"/>
            <w:tcBorders>
              <w:top w:val="single" w:sz="8" w:color="DDDDDD"/>
            </w:tcBorders>
            <w:shd w:val="clear" w:color="auto" w:fill="DDDDDD"/>
          </w:tcPr>
          <w:p>
            <w:pPr>
              <w:spacing w:after="0"/>
              <w:rPr>
                <w:sz w:val="14"/>
                <w:szCs w:val="14"/>
                <w:color w:val="auto"/>
              </w:rPr>
            </w:pPr>
          </w:p>
        </w:tc>
        <w:tc>
          <w:tcPr>
            <w:tcW w:w="10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60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1,135.9</w:t>
            </w:r>
          </w:p>
        </w:tc>
        <w:tc>
          <w:tcPr>
            <w:tcW w:w="40" w:type="dxa"/>
            <w:vAlign w:val="bottom"/>
            <w:tcBorders>
              <w:top w:val="single" w:sz="8" w:color="auto"/>
            </w:tcBorders>
            <w:shd w:val="clear" w:color="auto" w:fill="DDDDDD"/>
          </w:tcPr>
          <w:p>
            <w:pPr>
              <w:spacing w:after="0"/>
              <w:rPr>
                <w:sz w:val="14"/>
                <w:szCs w:val="14"/>
                <w:color w:val="auto"/>
              </w:rPr>
            </w:pPr>
          </w:p>
        </w:tc>
        <w:tc>
          <w:tcPr>
            <w:tcW w:w="100" w:type="dxa"/>
            <w:vAlign w:val="bottom"/>
            <w:tcBorders>
              <w:top w:val="single" w:sz="8" w:color="DDDDDD"/>
            </w:tcBorders>
            <w:shd w:val="clear" w:color="auto" w:fill="DDDDDD"/>
          </w:tcPr>
          <w:p>
            <w:pPr>
              <w:spacing w:after="0"/>
              <w:rPr>
                <w:sz w:val="14"/>
                <w:szCs w:val="14"/>
                <w:color w:val="auto"/>
              </w:rPr>
            </w:pPr>
          </w:p>
        </w:tc>
        <w:tc>
          <w:tcPr>
            <w:tcW w:w="16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580" w:type="dxa"/>
            <w:vAlign w:val="bottom"/>
            <w:tcBorders>
              <w:top w:val="single" w:sz="8" w:color="auto"/>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2,880.3</w:t>
            </w:r>
          </w:p>
        </w:tc>
        <w:tc>
          <w:tcPr>
            <w:tcW w:w="8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4"/>
                <w:szCs w:val="14"/>
                <w:color w:val="auto"/>
              </w:rPr>
              <w:t>1,741.9</w:t>
            </w:r>
          </w:p>
        </w:tc>
        <w:tc>
          <w:tcPr>
            <w:tcW w:w="20" w:type="dxa"/>
            <w:vAlign w:val="bottom"/>
            <w:tcBorders>
              <w:top w:val="single" w:sz="8" w:color="auto"/>
            </w:tcBorders>
          </w:tcPr>
          <w:p>
            <w:pPr>
              <w:spacing w:after="0"/>
              <w:rPr>
                <w:sz w:val="14"/>
                <w:szCs w:val="14"/>
                <w:color w:val="auto"/>
              </w:rPr>
            </w:pPr>
          </w:p>
        </w:tc>
        <w:tc>
          <w:tcPr>
            <w:tcW w:w="100" w:type="dxa"/>
            <w:vAlign w:val="bottom"/>
            <w:vMerge w:val="restart"/>
          </w:tcPr>
          <w:p>
            <w:pPr>
              <w:spacing w:after="0"/>
              <w:rPr>
                <w:sz w:val="14"/>
                <w:szCs w:val="14"/>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4"/>
                <w:szCs w:val="14"/>
                <w:color w:val="auto"/>
              </w:rPr>
              <w:t>1,015.6</w:t>
            </w:r>
          </w:p>
        </w:tc>
        <w:tc>
          <w:tcPr>
            <w:tcW w:w="12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4"/>
                <w:szCs w:val="14"/>
                <w:color w:val="auto"/>
              </w:rPr>
              <w:t>2,757.5</w:t>
            </w:r>
          </w:p>
        </w:tc>
        <w:tc>
          <w:tcPr>
            <w:tcW w:w="100" w:type="dxa"/>
            <w:vAlign w:val="bottom"/>
            <w:gridSpan w:val="2"/>
            <w:vMerge w:val="restart"/>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4"/>
                <w:szCs w:val="14"/>
                <w:color w:val="auto"/>
              </w:rPr>
              <w:t>1,513.3</w:t>
            </w:r>
          </w:p>
        </w:tc>
        <w:tc>
          <w:tcPr>
            <w:tcW w:w="40" w:type="dxa"/>
            <w:vAlign w:val="bottom"/>
            <w:tcBorders>
              <w:top w:val="single" w:sz="8" w:color="auto"/>
            </w:tcBorders>
            <w:vMerge w:val="restart"/>
          </w:tcPr>
          <w:p>
            <w:pPr>
              <w:spacing w:after="0"/>
              <w:rPr>
                <w:sz w:val="14"/>
                <w:szCs w:val="14"/>
                <w:color w:val="auto"/>
              </w:rPr>
            </w:pPr>
          </w:p>
        </w:tc>
        <w:tc>
          <w:tcPr>
            <w:tcW w:w="100" w:type="dxa"/>
            <w:vAlign w:val="bottom"/>
            <w:gridSpan w:val="2"/>
            <w:vMerge w:val="restart"/>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1,166.7</w:t>
            </w: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2,680.0</w:t>
            </w:r>
          </w:p>
        </w:tc>
        <w:tc>
          <w:tcPr>
            <w:tcW w:w="0" w:type="dxa"/>
            <w:vAlign w:val="bottom"/>
          </w:tcPr>
          <w:p>
            <w:pPr>
              <w:spacing w:after="0"/>
              <w:rPr>
                <w:sz w:val="1"/>
                <w:szCs w:val="1"/>
                <w:color w:val="auto"/>
              </w:rPr>
            </w:pPr>
          </w:p>
        </w:tc>
      </w:tr>
      <w:tr>
        <w:trPr>
          <w:trHeight w:val="189"/>
        </w:trPr>
        <w:tc>
          <w:tcPr>
            <w:tcW w:w="1660" w:type="dxa"/>
            <w:vAlign w:val="bottom"/>
            <w:tcBorders>
              <w:right w:val="single" w:sz="8" w:color="DDDDDD"/>
            </w:tcBorders>
          </w:tcPr>
          <w:p>
            <w:pPr>
              <w:ind w:left="280"/>
              <w:spacing w:after="0"/>
              <w:rPr>
                <w:sz w:val="20"/>
                <w:szCs w:val="20"/>
                <w:color w:val="auto"/>
              </w:rPr>
            </w:pPr>
            <w:r>
              <w:rPr>
                <w:rFonts w:ascii="Arial" w:cs="Arial" w:eastAsia="Arial" w:hAnsi="Arial"/>
                <w:sz w:val="14"/>
                <w:szCs w:val="14"/>
                <w:color w:val="auto"/>
              </w:rPr>
              <w:t>revenues</w:t>
            </w:r>
          </w:p>
        </w:tc>
        <w:tc>
          <w:tcPr>
            <w:tcW w:w="100" w:type="dxa"/>
            <w:vAlign w:val="bottom"/>
            <w:tcBorders>
              <w:bottom w:val="single" w:sz="8" w:color="auto"/>
            </w:tcBorders>
            <w:vMerge w:val="continue"/>
            <w:shd w:val="clear" w:color="auto" w:fill="DDDDDD"/>
          </w:tcPr>
          <w:p>
            <w:pPr>
              <w:spacing w:after="0"/>
              <w:rPr>
                <w:sz w:val="16"/>
                <w:szCs w:val="16"/>
                <w:color w:val="auto"/>
              </w:rPr>
            </w:pPr>
          </w:p>
        </w:tc>
        <w:tc>
          <w:tcPr>
            <w:tcW w:w="580" w:type="dxa"/>
            <w:vAlign w:val="bottom"/>
            <w:tcBorders>
              <w:bottom w:val="single" w:sz="8" w:color="auto"/>
            </w:tcBorders>
            <w:vMerge w:val="continue"/>
            <w:shd w:val="clear" w:color="auto" w:fill="DDDDDD"/>
          </w:tcPr>
          <w:p>
            <w:pPr>
              <w:spacing w:after="0"/>
              <w:rPr>
                <w:sz w:val="16"/>
                <w:szCs w:val="16"/>
                <w:color w:val="auto"/>
              </w:rPr>
            </w:pPr>
          </w:p>
        </w:tc>
        <w:tc>
          <w:tcPr>
            <w:tcW w:w="40" w:type="dxa"/>
            <w:vAlign w:val="bottom"/>
            <w:tcBorders>
              <w:bottom w:val="single" w:sz="8" w:color="auto"/>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auto"/>
            </w:tcBorders>
            <w:vMerge w:val="continue"/>
            <w:shd w:val="clear" w:color="auto" w:fill="DDDDDD"/>
          </w:tcPr>
          <w:p>
            <w:pPr>
              <w:spacing w:after="0"/>
              <w:rPr>
                <w:sz w:val="16"/>
                <w:szCs w:val="16"/>
                <w:color w:val="auto"/>
              </w:rPr>
            </w:pPr>
          </w:p>
        </w:tc>
        <w:tc>
          <w:tcPr>
            <w:tcW w:w="600" w:type="dxa"/>
            <w:vAlign w:val="bottom"/>
            <w:tcBorders>
              <w:bottom w:val="single" w:sz="8" w:color="auto"/>
            </w:tcBorders>
            <w:vMerge w:val="continue"/>
            <w:shd w:val="clear" w:color="auto" w:fill="DDDDDD"/>
          </w:tcPr>
          <w:p>
            <w:pPr>
              <w:spacing w:after="0"/>
              <w:rPr>
                <w:sz w:val="16"/>
                <w:szCs w:val="16"/>
                <w:color w:val="auto"/>
              </w:rPr>
            </w:pPr>
          </w:p>
        </w:tc>
        <w:tc>
          <w:tcPr>
            <w:tcW w:w="4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60" w:type="dxa"/>
            <w:vAlign w:val="bottom"/>
            <w:tcBorders>
              <w:bottom w:val="single" w:sz="8" w:color="auto"/>
            </w:tcBorders>
            <w:vMerge w:val="continue"/>
            <w:shd w:val="clear" w:color="auto" w:fill="DDDDDD"/>
          </w:tcPr>
          <w:p>
            <w:pPr>
              <w:spacing w:after="0"/>
              <w:rPr>
                <w:sz w:val="16"/>
                <w:szCs w:val="16"/>
                <w:color w:val="auto"/>
              </w:rPr>
            </w:pPr>
          </w:p>
        </w:tc>
        <w:tc>
          <w:tcPr>
            <w:tcW w:w="580" w:type="dxa"/>
            <w:vAlign w:val="bottom"/>
            <w:tcBorders>
              <w:bottom w:val="single" w:sz="8" w:color="auto"/>
              <w:right w:val="single" w:sz="8" w:color="DDDDDD"/>
            </w:tcBorders>
            <w:vMerge w:val="continue"/>
            <w:shd w:val="clear" w:color="auto" w:fill="DDDDDD"/>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4"/>
          </w:tcPr>
          <w:p>
            <w:pPr>
              <w:jc w:val="right"/>
              <w:ind w:right="128"/>
              <w:spacing w:after="0"/>
              <w:rPr>
                <w:sz w:val="20"/>
                <w:szCs w:val="20"/>
                <w:color w:val="auto"/>
              </w:rPr>
            </w:pPr>
            <w:r>
              <w:rPr>
                <w:rFonts w:ascii="Arial" w:cs="Arial" w:eastAsia="Arial" w:hAnsi="Arial"/>
                <w:sz w:val="14"/>
                <w:szCs w:val="14"/>
                <w:b w:val="1"/>
                <w:bCs w:val="1"/>
                <w:color w:val="auto"/>
              </w:rPr>
              <w:t>For the Six Months Ended</w:t>
            </w: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DDDDDD"/>
            </w:tcBorders>
          </w:tcPr>
          <w:p>
            <w:pPr>
              <w:spacing w:after="0"/>
              <w:rPr>
                <w:sz w:val="22"/>
                <w:szCs w:val="22"/>
                <w:color w:val="auto"/>
              </w:rPr>
            </w:pPr>
          </w:p>
        </w:tc>
        <w:tc>
          <w:tcPr>
            <w:tcW w:w="80" w:type="dxa"/>
            <w:vAlign w:val="bottom"/>
            <w:tcBorders>
              <w:bottom w:val="single" w:sz="8" w:color="auto"/>
            </w:tcBorders>
            <w:shd w:val="clear" w:color="auto" w:fill="DDDDDD"/>
          </w:tcPr>
          <w:p>
            <w:pPr>
              <w:spacing w:after="0"/>
              <w:rPr>
                <w:sz w:val="22"/>
                <w:szCs w:val="22"/>
                <w:color w:val="auto"/>
              </w:rPr>
            </w:pPr>
          </w:p>
        </w:tc>
        <w:tc>
          <w:tcPr>
            <w:tcW w:w="40" w:type="dxa"/>
            <w:vAlign w:val="bottom"/>
            <w:tcBorders>
              <w:bottom w:val="single" w:sz="8" w:color="auto"/>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spacing w:after="0"/>
              <w:rPr>
                <w:sz w:val="22"/>
                <w:szCs w:val="22"/>
                <w:color w:val="auto"/>
              </w:rPr>
            </w:pPr>
          </w:p>
        </w:tc>
        <w:tc>
          <w:tcPr>
            <w:tcW w:w="440" w:type="dxa"/>
            <w:vAlign w:val="bottom"/>
            <w:tcBorders>
              <w:bottom w:val="single" w:sz="8" w:color="auto"/>
            </w:tcBorders>
            <w:shd w:val="clear" w:color="auto" w:fill="DDDDDD"/>
          </w:tcPr>
          <w:p>
            <w:pPr>
              <w:spacing w:after="0"/>
              <w:rPr>
                <w:sz w:val="22"/>
                <w:szCs w:val="22"/>
                <w:color w:val="auto"/>
              </w:rPr>
            </w:pPr>
          </w:p>
        </w:tc>
        <w:tc>
          <w:tcPr>
            <w:tcW w:w="40" w:type="dxa"/>
            <w:vAlign w:val="bottom"/>
            <w:tcBorders>
              <w:bottom w:val="single" w:sz="8" w:color="auto"/>
            </w:tcBorders>
            <w:shd w:val="clear" w:color="auto" w:fill="DDDDDD"/>
          </w:tcPr>
          <w:p>
            <w:pPr>
              <w:spacing w:after="0"/>
              <w:rPr>
                <w:sz w:val="22"/>
                <w:szCs w:val="22"/>
                <w:color w:val="auto"/>
              </w:rPr>
            </w:pPr>
          </w:p>
        </w:tc>
        <w:tc>
          <w:tcPr>
            <w:tcW w:w="980" w:type="dxa"/>
            <w:vAlign w:val="bottom"/>
            <w:tcBorders>
              <w:bottom w:val="single" w:sz="8" w:color="auto"/>
            </w:tcBorders>
            <w:gridSpan w:val="7"/>
            <w:shd w:val="clear" w:color="auto" w:fill="DDDDDD"/>
          </w:tcPr>
          <w:p>
            <w:pPr>
              <w:jc w:val="right"/>
              <w:spacing w:after="0"/>
              <w:rPr>
                <w:sz w:val="20"/>
                <w:szCs w:val="20"/>
                <w:color w:val="auto"/>
              </w:rPr>
            </w:pPr>
            <w:r>
              <w:rPr>
                <w:rFonts w:ascii="Arial" w:cs="Arial" w:eastAsia="Arial" w:hAnsi="Arial"/>
                <w:sz w:val="14"/>
                <w:szCs w:val="14"/>
                <w:b w:val="1"/>
                <w:bCs w:val="1"/>
                <w:color w:val="2573BA"/>
              </w:rPr>
              <w:t>June 30, 2019</w:t>
            </w:r>
          </w:p>
        </w:tc>
        <w:tc>
          <w:tcPr>
            <w:tcW w:w="120" w:type="dxa"/>
            <w:vAlign w:val="bottom"/>
            <w:tcBorders>
              <w:bottom w:val="single" w:sz="8" w:color="auto"/>
            </w:tcBorders>
            <w:shd w:val="clear" w:color="auto" w:fill="DDDDDD"/>
          </w:tcPr>
          <w:p>
            <w:pPr>
              <w:spacing w:after="0"/>
              <w:rPr>
                <w:sz w:val="22"/>
                <w:szCs w:val="22"/>
                <w:color w:val="auto"/>
              </w:rPr>
            </w:pPr>
          </w:p>
        </w:tc>
        <w:tc>
          <w:tcPr>
            <w:tcW w:w="100" w:type="dxa"/>
            <w:vAlign w:val="bottom"/>
            <w:tcBorders>
              <w:bottom w:val="single" w:sz="8" w:color="auto"/>
            </w:tcBorders>
            <w:shd w:val="clear" w:color="auto" w:fill="DDDDDD"/>
          </w:tcPr>
          <w:p>
            <w:pPr>
              <w:spacing w:after="0"/>
              <w:rPr>
                <w:sz w:val="22"/>
                <w:szCs w:val="22"/>
                <w:color w:val="auto"/>
              </w:rPr>
            </w:pPr>
          </w:p>
        </w:tc>
        <w:tc>
          <w:tcPr>
            <w:tcW w:w="560" w:type="dxa"/>
            <w:vAlign w:val="bottom"/>
            <w:tcBorders>
              <w:bottom w:val="single" w:sz="8" w:color="auto"/>
              <w:right w:val="single" w:sz="8" w:color="DDDDDD"/>
            </w:tcBorders>
            <w:shd w:val="clear" w:color="auto" w:fill="DDDDDD"/>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June 30, 2018</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6"/>
          </w:tcPr>
          <w:p>
            <w:pPr>
              <w:ind w:left="40"/>
              <w:spacing w:after="0"/>
              <w:rPr>
                <w:sz w:val="20"/>
                <w:szCs w:val="20"/>
                <w:color w:val="auto"/>
              </w:rPr>
            </w:pPr>
            <w:r>
              <w:rPr>
                <w:rFonts w:ascii="Arial" w:cs="Arial" w:eastAsia="Arial" w:hAnsi="Arial"/>
                <w:sz w:val="14"/>
                <w:szCs w:val="14"/>
                <w:b w:val="1"/>
                <w:bCs w:val="1"/>
                <w:color w:val="auto"/>
              </w:rPr>
              <w:t>United</w:t>
            </w:r>
          </w:p>
        </w:tc>
        <w:tc>
          <w:tcPr>
            <w:tcW w:w="10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rPr>
              <w:t>Rest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7"/>
                <w:szCs w:val="17"/>
                <w:color w:val="auto"/>
              </w:rPr>
            </w:pPr>
          </w:p>
        </w:tc>
        <w:tc>
          <w:tcPr>
            <w:tcW w:w="74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States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World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Multiple Sclerosis (MS):</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right w:val="single" w:sz="8" w:color="DDDDDD"/>
            </w:tcBorders>
          </w:tcPr>
          <w:p>
            <w:pPr>
              <w:spacing w:after="0"/>
              <w:rPr>
                <w:sz w:val="17"/>
                <w:szCs w:val="17"/>
                <w:color w:val="auto"/>
              </w:rPr>
            </w:pPr>
          </w:p>
        </w:tc>
        <w:tc>
          <w:tcPr>
            <w:tcW w:w="80" w:type="dxa"/>
            <w:vAlign w:val="bottom"/>
            <w:tcBorders>
              <w:top w:val="single" w:sz="8" w:color="auto"/>
            </w:tcBorders>
            <w:shd w:val="clear" w:color="auto" w:fill="DDDDDD"/>
          </w:tcPr>
          <w:p>
            <w:pPr>
              <w:spacing w:after="0"/>
              <w:rPr>
                <w:sz w:val="17"/>
                <w:szCs w:val="17"/>
                <w:color w:val="auto"/>
              </w:rPr>
            </w:pPr>
          </w:p>
        </w:tc>
        <w:tc>
          <w:tcPr>
            <w:tcW w:w="40" w:type="dxa"/>
            <w:vAlign w:val="bottom"/>
            <w:tcBorders>
              <w:top w:val="single" w:sz="8" w:color="auto"/>
            </w:tcBorders>
            <w:shd w:val="clear" w:color="auto" w:fill="DDDDDD"/>
          </w:tcPr>
          <w:p>
            <w:pPr>
              <w:spacing w:after="0"/>
              <w:rPr>
                <w:sz w:val="17"/>
                <w:szCs w:val="17"/>
                <w:color w:val="auto"/>
              </w:rPr>
            </w:pPr>
          </w:p>
        </w:tc>
        <w:tc>
          <w:tcPr>
            <w:tcW w:w="120" w:type="dxa"/>
            <w:vAlign w:val="bottom"/>
            <w:tcBorders>
              <w:top w:val="single" w:sz="8" w:color="auto"/>
            </w:tcBorders>
            <w:shd w:val="clear" w:color="auto" w:fill="DDDDDD"/>
          </w:tcPr>
          <w:p>
            <w:pPr>
              <w:spacing w:after="0"/>
              <w:rPr>
                <w:sz w:val="17"/>
                <w:szCs w:val="17"/>
                <w:color w:val="auto"/>
              </w:rPr>
            </w:pPr>
          </w:p>
        </w:tc>
        <w:tc>
          <w:tcPr>
            <w:tcW w:w="440" w:type="dxa"/>
            <w:vAlign w:val="bottom"/>
            <w:tcBorders>
              <w:top w:val="single" w:sz="8" w:color="auto"/>
            </w:tcBorders>
            <w:shd w:val="clear" w:color="auto" w:fill="DDDDDD"/>
          </w:tcPr>
          <w:p>
            <w:pPr>
              <w:spacing w:after="0"/>
              <w:rPr>
                <w:sz w:val="17"/>
                <w:szCs w:val="17"/>
                <w:color w:val="auto"/>
              </w:rPr>
            </w:pPr>
          </w:p>
        </w:tc>
        <w:tc>
          <w:tcPr>
            <w:tcW w:w="40" w:type="dxa"/>
            <w:vAlign w:val="bottom"/>
            <w:tcBorders>
              <w:top w:val="single" w:sz="8" w:color="auto"/>
            </w:tcBorders>
            <w:shd w:val="clear" w:color="auto" w:fill="DDDDDD"/>
          </w:tcPr>
          <w:p>
            <w:pPr>
              <w:spacing w:after="0"/>
              <w:rPr>
                <w:sz w:val="17"/>
                <w:szCs w:val="17"/>
                <w:color w:val="auto"/>
              </w:rPr>
            </w:pPr>
          </w:p>
        </w:tc>
        <w:tc>
          <w:tcPr>
            <w:tcW w:w="120" w:type="dxa"/>
            <w:vAlign w:val="bottom"/>
            <w:tcBorders>
              <w:top w:val="single" w:sz="8" w:color="DDDDDD"/>
            </w:tcBorders>
            <w:shd w:val="clear" w:color="auto" w:fill="DDDDDD"/>
          </w:tcPr>
          <w:p>
            <w:pPr>
              <w:spacing w:after="0"/>
              <w:rPr>
                <w:sz w:val="17"/>
                <w:szCs w:val="17"/>
                <w:color w:val="auto"/>
              </w:rPr>
            </w:pPr>
          </w:p>
        </w:tc>
        <w:tc>
          <w:tcPr>
            <w:tcW w:w="2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auto"/>
            </w:tcBorders>
            <w:shd w:val="clear" w:color="auto" w:fill="DDDDDD"/>
          </w:tcPr>
          <w:p>
            <w:pPr>
              <w:spacing w:after="0"/>
              <w:rPr>
                <w:sz w:val="17"/>
                <w:szCs w:val="17"/>
                <w:color w:val="auto"/>
              </w:rPr>
            </w:pPr>
          </w:p>
        </w:tc>
        <w:tc>
          <w:tcPr>
            <w:tcW w:w="120" w:type="dxa"/>
            <w:vAlign w:val="bottom"/>
            <w:tcBorders>
              <w:top w:val="single" w:sz="8" w:color="auto"/>
            </w:tcBorders>
            <w:shd w:val="clear" w:color="auto" w:fill="DDDDDD"/>
          </w:tcPr>
          <w:p>
            <w:pPr>
              <w:spacing w:after="0"/>
              <w:rPr>
                <w:sz w:val="17"/>
                <w:szCs w:val="17"/>
                <w:color w:val="auto"/>
              </w:rPr>
            </w:pPr>
          </w:p>
        </w:tc>
        <w:tc>
          <w:tcPr>
            <w:tcW w:w="480" w:type="dxa"/>
            <w:vAlign w:val="bottom"/>
            <w:tcBorders>
              <w:top w:val="single" w:sz="8" w:color="auto"/>
            </w:tcBorders>
            <w:shd w:val="clear" w:color="auto" w:fill="DDDDDD"/>
          </w:tcPr>
          <w:p>
            <w:pPr>
              <w:spacing w:after="0"/>
              <w:rPr>
                <w:sz w:val="17"/>
                <w:szCs w:val="17"/>
                <w:color w:val="auto"/>
              </w:rPr>
            </w:pPr>
          </w:p>
        </w:tc>
        <w:tc>
          <w:tcPr>
            <w:tcW w:w="4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12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auto"/>
            </w:tcBorders>
            <w:shd w:val="clear" w:color="auto" w:fill="DDDDDD"/>
          </w:tcPr>
          <w:p>
            <w:pPr>
              <w:spacing w:after="0"/>
              <w:rPr>
                <w:sz w:val="17"/>
                <w:szCs w:val="17"/>
                <w:color w:val="auto"/>
              </w:rPr>
            </w:pPr>
          </w:p>
        </w:tc>
        <w:tc>
          <w:tcPr>
            <w:tcW w:w="560" w:type="dxa"/>
            <w:vAlign w:val="bottom"/>
            <w:tcBorders>
              <w:top w:val="single" w:sz="8" w:color="auto"/>
              <w:right w:val="single" w:sz="8" w:color="DDDDDD"/>
            </w:tcBorders>
            <w:shd w:val="clear" w:color="auto" w:fill="DDDDDD"/>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160"/>
              <w:spacing w:after="0"/>
              <w:rPr>
                <w:sz w:val="20"/>
                <w:szCs w:val="20"/>
                <w:color w:val="auto"/>
              </w:rPr>
            </w:pPr>
            <w:r>
              <w:rPr>
                <w:rFonts w:ascii="Arial" w:cs="Arial" w:eastAsia="Arial" w:hAnsi="Arial"/>
                <w:sz w:val="14"/>
                <w:szCs w:val="14"/>
                <w:color w:val="auto"/>
              </w:rPr>
              <w:t>TECFIDERA</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DDDDDD"/>
            </w:tcBorders>
          </w:tcPr>
          <w:p>
            <w:pPr>
              <w:spacing w:after="0"/>
              <w:rPr>
                <w:sz w:val="23"/>
                <w:szCs w:val="23"/>
                <w:color w:val="auto"/>
              </w:rPr>
            </w:pPr>
          </w:p>
        </w:tc>
        <w:tc>
          <w:tcPr>
            <w:tcW w:w="80" w:type="dxa"/>
            <w:vAlign w:val="bottom"/>
            <w:vMerge w:val="restart"/>
            <w:shd w:val="clear" w:color="auto" w:fill="DDDDDD"/>
          </w:tcPr>
          <w:p>
            <w:pPr>
              <w:jc w:val="right"/>
              <w:spacing w:after="0"/>
              <w:rPr>
                <w:sz w:val="20"/>
                <w:szCs w:val="20"/>
                <w:color w:val="auto"/>
              </w:rPr>
            </w:pPr>
            <w:r>
              <w:rPr>
                <w:rFonts w:ascii="Arial" w:cs="Arial" w:eastAsia="Arial" w:hAnsi="Arial"/>
                <w:sz w:val="10"/>
                <w:szCs w:val="10"/>
                <w:color w:val="2573BA"/>
                <w:w w:val="71"/>
              </w:rPr>
              <w:t>$</w:t>
            </w:r>
          </w:p>
        </w:tc>
        <w:tc>
          <w:tcPr>
            <w:tcW w:w="600" w:type="dxa"/>
            <w:vAlign w:val="bottom"/>
            <w:gridSpan w:val="3"/>
            <w:vMerge w:val="restart"/>
            <w:shd w:val="clear" w:color="auto" w:fill="DDDDDD"/>
          </w:tcPr>
          <w:p>
            <w:pPr>
              <w:jc w:val="right"/>
              <w:spacing w:after="0"/>
              <w:rPr>
                <w:sz w:val="20"/>
                <w:szCs w:val="20"/>
                <w:color w:val="auto"/>
              </w:rPr>
            </w:pPr>
            <w:r>
              <w:rPr>
                <w:rFonts w:ascii="Arial" w:cs="Arial" w:eastAsia="Arial" w:hAnsi="Arial"/>
                <w:sz w:val="14"/>
                <w:szCs w:val="14"/>
                <w:color w:val="2573BA"/>
              </w:rPr>
              <w:t>1,587.5</w:t>
            </w:r>
          </w:p>
        </w:tc>
        <w:tc>
          <w:tcPr>
            <w:tcW w:w="4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w w:val="76"/>
              </w:rPr>
              <w:t>$</w:t>
            </w:r>
          </w:p>
        </w:tc>
        <w:tc>
          <w:tcPr>
            <w:tcW w:w="120" w:type="dxa"/>
            <w:vAlign w:val="bottom"/>
            <w:shd w:val="clear" w:color="auto" w:fill="DDDDDD"/>
          </w:tcPr>
          <w:p>
            <w:pPr>
              <w:spacing w:after="0"/>
              <w:rPr>
                <w:sz w:val="23"/>
                <w:szCs w:val="23"/>
                <w:color w:val="auto"/>
              </w:rPr>
            </w:pPr>
          </w:p>
        </w:tc>
        <w:tc>
          <w:tcPr>
            <w:tcW w:w="520" w:type="dxa"/>
            <w:vAlign w:val="bottom"/>
            <w:gridSpan w:val="2"/>
            <w:vMerge w:val="restart"/>
            <w:shd w:val="clear" w:color="auto" w:fill="DDDDDD"/>
          </w:tcPr>
          <w:p>
            <w:pPr>
              <w:jc w:val="right"/>
              <w:ind w:right="40"/>
              <w:spacing w:after="0"/>
              <w:rPr>
                <w:sz w:val="20"/>
                <w:szCs w:val="20"/>
                <w:color w:val="auto"/>
              </w:rPr>
            </w:pPr>
            <w:r>
              <w:rPr>
                <w:rFonts w:ascii="Arial" w:cs="Arial" w:eastAsia="Arial" w:hAnsi="Arial"/>
                <w:sz w:val="14"/>
                <w:szCs w:val="14"/>
                <w:color w:val="2573BA"/>
              </w:rPr>
              <w:t>561.5</w:t>
            </w:r>
          </w:p>
        </w:tc>
        <w:tc>
          <w:tcPr>
            <w:tcW w:w="100" w:type="dxa"/>
            <w:vAlign w:val="bottom"/>
            <w:shd w:val="clear" w:color="auto" w:fill="DDDDDD"/>
          </w:tcPr>
          <w:p>
            <w:pPr>
              <w:spacing w:after="0"/>
              <w:rPr>
                <w:sz w:val="23"/>
                <w:szCs w:val="23"/>
                <w:color w:val="auto"/>
              </w:rPr>
            </w:pPr>
          </w:p>
        </w:tc>
        <w:tc>
          <w:tcPr>
            <w:tcW w:w="1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DDDDD"/>
          </w:tcPr>
          <w:p>
            <w:pPr>
              <w:spacing w:after="0"/>
              <w:rPr>
                <w:sz w:val="23"/>
                <w:szCs w:val="23"/>
                <w:color w:val="auto"/>
              </w:rPr>
            </w:pPr>
          </w:p>
        </w:tc>
        <w:tc>
          <w:tcPr>
            <w:tcW w:w="5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2,149.0</w:t>
            </w:r>
          </w:p>
        </w:tc>
        <w:tc>
          <w:tcPr>
            <w:tcW w:w="80" w:type="dxa"/>
            <w:vAlign w:val="bottom"/>
          </w:tcPr>
          <w:p>
            <w:pPr>
              <w:spacing w:after="0"/>
              <w:rPr>
                <w:sz w:val="23"/>
                <w:szCs w:val="23"/>
                <w:color w:val="auto"/>
              </w:rPr>
            </w:pPr>
          </w:p>
        </w:tc>
        <w:tc>
          <w:tcPr>
            <w:tcW w:w="22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1,554.7</w:t>
            </w:r>
          </w:p>
        </w:tc>
        <w:tc>
          <w:tcPr>
            <w:tcW w:w="20" w:type="dxa"/>
            <w:vAlign w:val="bottom"/>
          </w:tcPr>
          <w:p>
            <w:pPr>
              <w:spacing w:after="0"/>
              <w:rPr>
                <w:sz w:val="23"/>
                <w:szCs w:val="23"/>
                <w:color w:val="auto"/>
              </w:rPr>
            </w:pPr>
          </w:p>
        </w:tc>
        <w:tc>
          <w:tcPr>
            <w:tcW w:w="26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519.0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2,073.7</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DDDDDD"/>
            </w:tcBorders>
          </w:tcPr>
          <w:p>
            <w:pPr>
              <w:spacing w:after="0"/>
              <w:rPr>
                <w:sz w:val="4"/>
                <w:szCs w:val="4"/>
                <w:color w:val="auto"/>
              </w:rPr>
            </w:pPr>
          </w:p>
        </w:tc>
        <w:tc>
          <w:tcPr>
            <w:tcW w:w="80" w:type="dxa"/>
            <w:vAlign w:val="bottom"/>
            <w:vMerge w:val="continue"/>
            <w:shd w:val="clear" w:color="auto" w:fill="DDDDDD"/>
          </w:tcPr>
          <w:p>
            <w:pPr>
              <w:spacing w:after="0"/>
              <w:rPr>
                <w:sz w:val="4"/>
                <w:szCs w:val="4"/>
                <w:color w:val="auto"/>
              </w:rPr>
            </w:pPr>
          </w:p>
        </w:tc>
        <w:tc>
          <w:tcPr>
            <w:tcW w:w="600" w:type="dxa"/>
            <w:vAlign w:val="bottom"/>
            <w:gridSpan w:val="3"/>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 w:type="dxa"/>
            <w:vAlign w:val="bottom"/>
            <w:shd w:val="clear" w:color="auto" w:fill="DDDDDD"/>
          </w:tcPr>
          <w:p>
            <w:pPr>
              <w:spacing w:after="0"/>
              <w:rPr>
                <w:sz w:val="4"/>
                <w:szCs w:val="4"/>
                <w:color w:val="auto"/>
              </w:rPr>
            </w:pPr>
          </w:p>
        </w:tc>
        <w:tc>
          <w:tcPr>
            <w:tcW w:w="10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520" w:type="dxa"/>
            <w:vAlign w:val="bottom"/>
            <w:gridSpan w:val="2"/>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6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gridSpan w:val="4"/>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60"/>
              <w:spacing w:after="0"/>
              <w:rPr>
                <w:sz w:val="20"/>
                <w:szCs w:val="20"/>
                <w:color w:val="auto"/>
              </w:rPr>
            </w:pPr>
            <w:r>
              <w:rPr>
                <w:rFonts w:ascii="Arial" w:cs="Arial" w:eastAsia="Arial" w:hAnsi="Arial"/>
                <w:sz w:val="14"/>
                <w:szCs w:val="14"/>
                <w:color w:val="auto"/>
              </w:rPr>
              <w:t>Interferon*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right w:val="single" w:sz="8" w:color="DDDDDD"/>
            </w:tcBorders>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707.0</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520" w:type="dxa"/>
            <w:vAlign w:val="bottom"/>
            <w:gridSpan w:val="2"/>
            <w:vMerge w:val="restart"/>
            <w:shd w:val="clear" w:color="auto" w:fill="DDDDDD"/>
          </w:tcPr>
          <w:p>
            <w:pPr>
              <w:jc w:val="right"/>
              <w:ind w:right="40"/>
              <w:spacing w:after="0"/>
              <w:rPr>
                <w:sz w:val="20"/>
                <w:szCs w:val="20"/>
                <w:color w:val="auto"/>
              </w:rPr>
            </w:pPr>
            <w:r>
              <w:rPr>
                <w:rFonts w:ascii="Arial" w:cs="Arial" w:eastAsia="Arial" w:hAnsi="Arial"/>
                <w:sz w:val="14"/>
                <w:szCs w:val="14"/>
                <w:color w:val="2573BA"/>
              </w:rPr>
              <w:t>348.3</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5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1,055.3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816.0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359.8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1,175.8</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DDDDDD"/>
            </w:tcBorders>
          </w:tcPr>
          <w:p>
            <w:pPr>
              <w:spacing w:after="0"/>
              <w:rPr>
                <w:sz w:val="4"/>
                <w:szCs w:val="4"/>
                <w:color w:val="auto"/>
              </w:rPr>
            </w:pPr>
          </w:p>
        </w:tc>
        <w:tc>
          <w:tcPr>
            <w:tcW w:w="80" w:type="dxa"/>
            <w:vAlign w:val="bottom"/>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44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520" w:type="dxa"/>
            <w:vAlign w:val="bottom"/>
            <w:gridSpan w:val="2"/>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6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60"/>
              <w:spacing w:after="0"/>
              <w:rPr>
                <w:sz w:val="20"/>
                <w:szCs w:val="20"/>
                <w:color w:val="auto"/>
              </w:rPr>
            </w:pPr>
            <w:r>
              <w:rPr>
                <w:rFonts w:ascii="Arial" w:cs="Arial" w:eastAsia="Arial" w:hAnsi="Arial"/>
                <w:sz w:val="14"/>
                <w:szCs w:val="14"/>
                <w:color w:val="auto"/>
              </w:rPr>
              <w:t>TYSABRI</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right w:val="single" w:sz="8" w:color="DDDDDD"/>
            </w:tcBorders>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509.3</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520" w:type="dxa"/>
            <w:vAlign w:val="bottom"/>
            <w:gridSpan w:val="2"/>
            <w:vMerge w:val="restart"/>
            <w:shd w:val="clear" w:color="auto" w:fill="DDDDDD"/>
          </w:tcPr>
          <w:p>
            <w:pPr>
              <w:jc w:val="right"/>
              <w:ind w:right="40"/>
              <w:spacing w:after="0"/>
              <w:rPr>
                <w:sz w:val="20"/>
                <w:szCs w:val="20"/>
                <w:color w:val="auto"/>
              </w:rPr>
            </w:pPr>
            <w:r>
              <w:rPr>
                <w:rFonts w:ascii="Arial" w:cs="Arial" w:eastAsia="Arial" w:hAnsi="Arial"/>
                <w:sz w:val="14"/>
                <w:szCs w:val="14"/>
                <w:color w:val="2573BA"/>
              </w:rPr>
              <w:t>426.4</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5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935.7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515.2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414.1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929.3</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DDDDDD"/>
            </w:tcBorders>
          </w:tcPr>
          <w:p>
            <w:pPr>
              <w:spacing w:after="0"/>
              <w:rPr>
                <w:sz w:val="4"/>
                <w:szCs w:val="4"/>
                <w:color w:val="auto"/>
              </w:rPr>
            </w:pPr>
          </w:p>
        </w:tc>
        <w:tc>
          <w:tcPr>
            <w:tcW w:w="80" w:type="dxa"/>
            <w:vAlign w:val="bottom"/>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44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520" w:type="dxa"/>
            <w:vAlign w:val="bottom"/>
            <w:gridSpan w:val="2"/>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6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60"/>
              <w:spacing w:after="0"/>
              <w:rPr>
                <w:sz w:val="20"/>
                <w:szCs w:val="20"/>
                <w:color w:val="auto"/>
              </w:rPr>
            </w:pPr>
            <w:r>
              <w:rPr>
                <w:rFonts w:ascii="Arial" w:cs="Arial" w:eastAsia="Arial" w:hAnsi="Arial"/>
                <w:sz w:val="14"/>
                <w:szCs w:val="14"/>
                <w:color w:val="auto"/>
              </w:rPr>
              <w:t>FAMPYRA</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right w:val="single" w:sz="8" w:color="DDDDDD"/>
            </w:tcBorders>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47.0</w:t>
            </w:r>
          </w:p>
        </w:tc>
        <w:tc>
          <w:tcPr>
            <w:tcW w:w="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5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47.0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47.4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DDDDDD"/>
            </w:tcBorders>
          </w:tcPr>
          <w:p>
            <w:pPr>
              <w:spacing w:after="0"/>
              <w:rPr>
                <w:sz w:val="4"/>
                <w:szCs w:val="4"/>
                <w:color w:val="auto"/>
              </w:rPr>
            </w:pPr>
          </w:p>
        </w:tc>
        <w:tc>
          <w:tcPr>
            <w:tcW w:w="80" w:type="dxa"/>
            <w:vAlign w:val="bottom"/>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44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48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6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60"/>
              <w:spacing w:after="0"/>
              <w:rPr>
                <w:sz w:val="20"/>
                <w:szCs w:val="20"/>
                <w:color w:val="auto"/>
              </w:rPr>
            </w:pPr>
            <w:r>
              <w:rPr>
                <w:rFonts w:ascii="Arial" w:cs="Arial" w:eastAsia="Arial" w:hAnsi="Arial"/>
                <w:sz w:val="14"/>
                <w:szCs w:val="14"/>
                <w:color w:val="auto"/>
              </w:rPr>
              <w:t>ZINBRYTA</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right w:val="single" w:sz="8" w:color="DDDDDD"/>
            </w:tcBorders>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5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DDDDDD"/>
            </w:tcBorders>
          </w:tcPr>
          <w:p>
            <w:pPr>
              <w:spacing w:after="0"/>
              <w:rPr>
                <w:sz w:val="4"/>
                <w:szCs w:val="4"/>
                <w:color w:val="auto"/>
              </w:rPr>
            </w:pPr>
          </w:p>
        </w:tc>
        <w:tc>
          <w:tcPr>
            <w:tcW w:w="80" w:type="dxa"/>
            <w:vAlign w:val="bottom"/>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44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48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6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20"/>
              <w:spacing w:after="0"/>
              <w:rPr>
                <w:sz w:val="20"/>
                <w:szCs w:val="20"/>
                <w:color w:val="auto"/>
              </w:rPr>
            </w:pPr>
            <w:r>
              <w:rPr>
                <w:rFonts w:ascii="Arial" w:cs="Arial" w:eastAsia="Arial" w:hAnsi="Arial"/>
                <w:sz w:val="14"/>
                <w:szCs w:val="14"/>
                <w:color w:val="auto"/>
              </w:rPr>
              <w:t>Spinal Muscular Atrophy: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right w:val="single" w:sz="8" w:color="DDDDDD"/>
            </w:tcBorders>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4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560" w:type="dxa"/>
            <w:vAlign w:val="bottom"/>
            <w:tcBorders>
              <w:right w:val="single" w:sz="8" w:color="DDDDDD"/>
            </w:tcBorders>
            <w:shd w:val="clear" w:color="auto" w:fill="DDDDDD"/>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160"/>
              <w:spacing w:after="0"/>
              <w:rPr>
                <w:sz w:val="20"/>
                <w:szCs w:val="20"/>
                <w:color w:val="auto"/>
              </w:rPr>
            </w:pPr>
            <w:r>
              <w:rPr>
                <w:rFonts w:ascii="Arial" w:cs="Arial" w:eastAsia="Arial" w:hAnsi="Arial"/>
                <w:sz w:val="14"/>
                <w:szCs w:val="14"/>
                <w:color w:val="auto"/>
              </w:rPr>
              <w:t>SPINRAZA</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DDDDDD"/>
            </w:tcBorders>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480" w:type="dxa"/>
            <w:vAlign w:val="bottom"/>
            <w:gridSpan w:val="2"/>
            <w:vMerge w:val="restart"/>
            <w:shd w:val="clear" w:color="auto" w:fill="DDDDDD"/>
          </w:tcPr>
          <w:p>
            <w:pPr>
              <w:jc w:val="right"/>
              <w:ind w:right="40"/>
              <w:spacing w:after="0"/>
              <w:rPr>
                <w:sz w:val="20"/>
                <w:szCs w:val="20"/>
                <w:color w:val="auto"/>
              </w:rPr>
            </w:pPr>
            <w:r>
              <w:rPr>
                <w:rFonts w:ascii="Arial" w:cs="Arial" w:eastAsia="Arial" w:hAnsi="Arial"/>
                <w:sz w:val="14"/>
                <w:szCs w:val="14"/>
                <w:color w:val="2573BA"/>
              </w:rPr>
              <w:t>453.9</w:t>
            </w:r>
          </w:p>
        </w:tc>
        <w:tc>
          <w:tcPr>
            <w:tcW w:w="1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520" w:type="dxa"/>
            <w:vAlign w:val="bottom"/>
            <w:gridSpan w:val="2"/>
            <w:vMerge w:val="restart"/>
            <w:shd w:val="clear" w:color="auto" w:fill="DDDDDD"/>
          </w:tcPr>
          <w:p>
            <w:pPr>
              <w:jc w:val="right"/>
              <w:ind w:right="40"/>
              <w:spacing w:after="0"/>
              <w:rPr>
                <w:sz w:val="20"/>
                <w:szCs w:val="20"/>
                <w:color w:val="auto"/>
              </w:rPr>
            </w:pPr>
            <w:r>
              <w:rPr>
                <w:rFonts w:ascii="Arial" w:cs="Arial" w:eastAsia="Arial" w:hAnsi="Arial"/>
                <w:sz w:val="14"/>
                <w:szCs w:val="14"/>
                <w:color w:val="2573BA"/>
              </w:rPr>
              <w:t>552.8</w:t>
            </w:r>
          </w:p>
        </w:tc>
        <w:tc>
          <w:tcPr>
            <w:tcW w:w="10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5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1,006.7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393.9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392.7</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786.6</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DDDDDD"/>
            </w:tcBorders>
          </w:tcPr>
          <w:p>
            <w:pPr>
              <w:spacing w:after="0"/>
              <w:rPr>
                <w:sz w:val="4"/>
                <w:szCs w:val="4"/>
                <w:color w:val="auto"/>
              </w:rPr>
            </w:pPr>
          </w:p>
        </w:tc>
        <w:tc>
          <w:tcPr>
            <w:tcW w:w="80" w:type="dxa"/>
            <w:vAlign w:val="bottom"/>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480" w:type="dxa"/>
            <w:vAlign w:val="bottom"/>
            <w:gridSpan w:val="2"/>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520" w:type="dxa"/>
            <w:vAlign w:val="bottom"/>
            <w:gridSpan w:val="2"/>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6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20"/>
              <w:spacing w:after="0"/>
              <w:rPr>
                <w:sz w:val="20"/>
                <w:szCs w:val="20"/>
                <w:color w:val="auto"/>
              </w:rPr>
            </w:pPr>
            <w:r>
              <w:rPr>
                <w:rFonts w:ascii="Arial" w:cs="Arial" w:eastAsia="Arial" w:hAnsi="Arial"/>
                <w:sz w:val="14"/>
                <w:szCs w:val="14"/>
                <w:color w:val="auto"/>
              </w:rPr>
              <w:t>Biosimilars: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right w:val="single" w:sz="8" w:color="DDDDDD"/>
            </w:tcBorders>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4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560" w:type="dxa"/>
            <w:vAlign w:val="bottom"/>
            <w:tcBorders>
              <w:right w:val="single" w:sz="8" w:color="DDDDDD"/>
            </w:tcBorders>
            <w:shd w:val="clear" w:color="auto" w:fill="DDDDDD"/>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660" w:type="dxa"/>
            <w:vAlign w:val="bottom"/>
          </w:tcPr>
          <w:p>
            <w:pPr>
              <w:ind w:left="160"/>
              <w:spacing w:after="0"/>
              <w:rPr>
                <w:sz w:val="20"/>
                <w:szCs w:val="20"/>
                <w:color w:val="auto"/>
              </w:rPr>
            </w:pPr>
            <w:r>
              <w:rPr>
                <w:rFonts w:ascii="Arial" w:cs="Arial" w:eastAsia="Arial" w:hAnsi="Arial"/>
                <w:sz w:val="14"/>
                <w:szCs w:val="14"/>
                <w:color w:val="auto"/>
              </w:rPr>
              <w:t>BENEPALI</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DDDDDD"/>
            </w:tcBorders>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4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244.3</w:t>
            </w:r>
          </w:p>
        </w:tc>
        <w:tc>
          <w:tcPr>
            <w:tcW w:w="4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5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244.3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236.5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236.5</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DDDDDD"/>
            </w:tcBorders>
          </w:tcPr>
          <w:p>
            <w:pPr>
              <w:spacing w:after="0"/>
              <w:rPr>
                <w:sz w:val="4"/>
                <w:szCs w:val="4"/>
                <w:color w:val="auto"/>
              </w:rPr>
            </w:pPr>
          </w:p>
        </w:tc>
        <w:tc>
          <w:tcPr>
            <w:tcW w:w="80" w:type="dxa"/>
            <w:vAlign w:val="bottom"/>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44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48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6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60"/>
              <w:spacing w:after="0"/>
              <w:rPr>
                <w:sz w:val="20"/>
                <w:szCs w:val="20"/>
                <w:color w:val="auto"/>
              </w:rPr>
            </w:pPr>
            <w:r>
              <w:rPr>
                <w:rFonts w:ascii="Arial" w:cs="Arial" w:eastAsia="Arial" w:hAnsi="Arial"/>
                <w:sz w:val="14"/>
                <w:szCs w:val="14"/>
                <w:color w:val="auto"/>
              </w:rPr>
              <w:t>IMRALDI</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right w:val="single" w:sz="8" w:color="DDDDDD"/>
            </w:tcBorders>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83.0</w:t>
            </w:r>
          </w:p>
        </w:tc>
        <w:tc>
          <w:tcPr>
            <w:tcW w:w="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5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83.0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DDDDDD"/>
            </w:tcBorders>
          </w:tcPr>
          <w:p>
            <w:pPr>
              <w:spacing w:after="0"/>
              <w:rPr>
                <w:sz w:val="4"/>
                <w:szCs w:val="4"/>
                <w:color w:val="auto"/>
              </w:rPr>
            </w:pPr>
          </w:p>
        </w:tc>
        <w:tc>
          <w:tcPr>
            <w:tcW w:w="80" w:type="dxa"/>
            <w:vAlign w:val="bottom"/>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44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48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6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60"/>
              <w:spacing w:after="0"/>
              <w:rPr>
                <w:sz w:val="20"/>
                <w:szCs w:val="20"/>
                <w:color w:val="auto"/>
              </w:rPr>
            </w:pPr>
            <w:r>
              <w:rPr>
                <w:rFonts w:ascii="Arial" w:cs="Arial" w:eastAsia="Arial" w:hAnsi="Arial"/>
                <w:sz w:val="14"/>
                <w:szCs w:val="14"/>
                <w:color w:val="auto"/>
              </w:rPr>
              <w:t>FLIXABI</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right w:val="single" w:sz="8" w:color="DDDDDD"/>
            </w:tcBorders>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31.5</w:t>
            </w:r>
          </w:p>
        </w:tc>
        <w:tc>
          <w:tcPr>
            <w:tcW w:w="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5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31.5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DDDDDD"/>
            </w:tcBorders>
          </w:tcPr>
          <w:p>
            <w:pPr>
              <w:spacing w:after="0"/>
              <w:rPr>
                <w:sz w:val="4"/>
                <w:szCs w:val="4"/>
                <w:color w:val="auto"/>
              </w:rPr>
            </w:pPr>
          </w:p>
        </w:tc>
        <w:tc>
          <w:tcPr>
            <w:tcW w:w="80" w:type="dxa"/>
            <w:vAlign w:val="bottom"/>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44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480" w:type="dxa"/>
            <w:vAlign w:val="bottom"/>
            <w:vMerge w:val="continue"/>
            <w:shd w:val="clear" w:color="auto" w:fill="DDDDDD"/>
          </w:tcPr>
          <w:p>
            <w:pPr>
              <w:spacing w:after="0"/>
              <w:rPr>
                <w:sz w:val="4"/>
                <w:szCs w:val="4"/>
                <w:color w:val="auto"/>
              </w:rPr>
            </w:pPr>
          </w:p>
        </w:tc>
        <w:tc>
          <w:tcPr>
            <w:tcW w:w="4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560" w:type="dxa"/>
            <w:vAlign w:val="bottom"/>
            <w:tcBorders>
              <w:right w:val="single" w:sz="8" w:color="DDDDDD"/>
            </w:tcBorders>
            <w:vMerge w:val="continue"/>
            <w:shd w:val="clear" w:color="auto" w:fill="DDDDDD"/>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20"/>
              <w:spacing w:after="0"/>
              <w:rPr>
                <w:sz w:val="20"/>
                <w:szCs w:val="20"/>
                <w:color w:val="auto"/>
              </w:rPr>
            </w:pPr>
            <w:r>
              <w:rPr>
                <w:rFonts w:ascii="Arial" w:cs="Arial" w:eastAsia="Arial" w:hAnsi="Arial"/>
                <w:sz w:val="14"/>
                <w:szCs w:val="14"/>
                <w:color w:val="auto"/>
              </w:rPr>
              <w:t>Other Product Revenues: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right w:val="single" w:sz="8" w:color="DDDDDD"/>
            </w:tcBorders>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4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560" w:type="dxa"/>
            <w:vAlign w:val="bottom"/>
            <w:tcBorders>
              <w:right w:val="single" w:sz="8" w:color="DDDDDD"/>
            </w:tcBorders>
            <w:shd w:val="clear" w:color="auto" w:fill="DDDDDD"/>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660" w:type="dxa"/>
            <w:vAlign w:val="bottom"/>
          </w:tcPr>
          <w:p>
            <w:pPr>
              <w:ind w:left="160"/>
              <w:spacing w:after="0"/>
              <w:rPr>
                <w:sz w:val="20"/>
                <w:szCs w:val="20"/>
                <w:color w:val="auto"/>
              </w:rPr>
            </w:pPr>
            <w:r>
              <w:rPr>
                <w:rFonts w:ascii="Arial" w:cs="Arial" w:eastAsia="Arial" w:hAnsi="Arial"/>
                <w:sz w:val="14"/>
                <w:szCs w:val="14"/>
                <w:color w:val="auto"/>
              </w:rPr>
              <w:t>FUMADERM</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DDDDDD"/>
            </w:tcBorders>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120" w:type="dxa"/>
            <w:vAlign w:val="bottom"/>
            <w:tcBorders>
              <w:bottom w:val="single" w:sz="8" w:color="DDDDDD"/>
            </w:tcBorders>
            <w:shd w:val="clear" w:color="auto" w:fill="DDDDDD"/>
          </w:tcPr>
          <w:p>
            <w:pPr>
              <w:spacing w:after="0"/>
              <w:rPr>
                <w:sz w:val="24"/>
                <w:szCs w:val="24"/>
                <w:color w:val="auto"/>
              </w:rPr>
            </w:pPr>
          </w:p>
        </w:tc>
        <w:tc>
          <w:tcPr>
            <w:tcW w:w="480" w:type="dxa"/>
            <w:vAlign w:val="bottom"/>
            <w:tcBorders>
              <w:bottom w:val="single" w:sz="8" w:color="DDDDDD"/>
            </w:tcBorders>
            <w:gridSpan w:val="2"/>
            <w:shd w:val="clear" w:color="auto" w:fill="DDDDDD"/>
          </w:tcPr>
          <w:p>
            <w:pPr>
              <w:jc w:val="right"/>
              <w:ind w:right="40"/>
              <w:spacing w:after="0"/>
              <w:rPr>
                <w:sz w:val="20"/>
                <w:szCs w:val="20"/>
                <w:color w:val="auto"/>
              </w:rPr>
            </w:pPr>
            <w:r>
              <w:rPr>
                <w:rFonts w:ascii="Arial" w:cs="Arial" w:eastAsia="Arial" w:hAnsi="Arial"/>
                <w:sz w:val="14"/>
                <w:szCs w:val="14"/>
                <w:color w:val="2573BA"/>
              </w:rPr>
              <w:t>—</w:t>
            </w:r>
          </w:p>
        </w:tc>
        <w:tc>
          <w:tcPr>
            <w:tcW w:w="12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00" w:type="dxa"/>
            <w:vAlign w:val="bottom"/>
            <w:tcBorders>
              <w:bottom w:val="single" w:sz="8" w:color="DDDDDD"/>
            </w:tcBorders>
            <w:shd w:val="clear" w:color="auto" w:fill="DDDDDD"/>
          </w:tcPr>
          <w:p>
            <w:pPr>
              <w:spacing w:after="0"/>
              <w:rPr>
                <w:sz w:val="24"/>
                <w:szCs w:val="24"/>
                <w:color w:val="auto"/>
              </w:rPr>
            </w:pPr>
          </w:p>
        </w:tc>
        <w:tc>
          <w:tcPr>
            <w:tcW w:w="120" w:type="dxa"/>
            <w:vAlign w:val="bottom"/>
            <w:tcBorders>
              <w:bottom w:val="single" w:sz="8" w:color="DDDDDD"/>
            </w:tcBorders>
            <w:shd w:val="clear" w:color="auto" w:fill="DDDDDD"/>
          </w:tcPr>
          <w:p>
            <w:pPr>
              <w:spacing w:after="0"/>
              <w:rPr>
                <w:sz w:val="24"/>
                <w:szCs w:val="24"/>
                <w:color w:val="auto"/>
              </w:rPr>
            </w:pPr>
          </w:p>
        </w:tc>
        <w:tc>
          <w:tcPr>
            <w:tcW w:w="4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7.8</w:t>
            </w:r>
          </w:p>
        </w:tc>
        <w:tc>
          <w:tcPr>
            <w:tcW w:w="40" w:type="dxa"/>
            <w:vAlign w:val="bottom"/>
            <w:tcBorders>
              <w:bottom w:val="single" w:sz="8" w:color="DDDDDD"/>
            </w:tcBorders>
            <w:shd w:val="clear" w:color="auto" w:fill="DDDDDD"/>
          </w:tcPr>
          <w:p>
            <w:pPr>
              <w:spacing w:after="0"/>
              <w:rPr>
                <w:sz w:val="24"/>
                <w:szCs w:val="24"/>
                <w:color w:val="auto"/>
              </w:rPr>
            </w:pPr>
          </w:p>
        </w:tc>
        <w:tc>
          <w:tcPr>
            <w:tcW w:w="100" w:type="dxa"/>
            <w:vAlign w:val="bottom"/>
            <w:tcBorders>
              <w:bottom w:val="single" w:sz="8" w:color="DDDDDD"/>
            </w:tcBorders>
            <w:shd w:val="clear" w:color="auto" w:fill="DDDDDD"/>
          </w:tcPr>
          <w:p>
            <w:pPr>
              <w:spacing w:after="0"/>
              <w:rPr>
                <w:sz w:val="24"/>
                <w:szCs w:val="24"/>
                <w:color w:val="auto"/>
              </w:rPr>
            </w:pPr>
          </w:p>
        </w:tc>
        <w:tc>
          <w:tcPr>
            <w:tcW w:w="120" w:type="dxa"/>
            <w:vAlign w:val="bottom"/>
            <w:tcBorders>
              <w:bottom w:val="single" w:sz="8" w:color="DDDDDD"/>
            </w:tcBorders>
            <w:shd w:val="clear" w:color="auto" w:fill="DDDDDD"/>
          </w:tcPr>
          <w:p>
            <w:pPr>
              <w:spacing w:after="0"/>
              <w:rPr>
                <w:sz w:val="24"/>
                <w:szCs w:val="24"/>
                <w:color w:val="auto"/>
              </w:rPr>
            </w:pPr>
          </w:p>
        </w:tc>
        <w:tc>
          <w:tcPr>
            <w:tcW w:w="100" w:type="dxa"/>
            <w:vAlign w:val="bottom"/>
            <w:tcBorders>
              <w:bottom w:val="single" w:sz="8" w:color="DDDDDD"/>
            </w:tcBorders>
            <w:shd w:val="clear" w:color="auto" w:fill="DDDDDD"/>
          </w:tcPr>
          <w:p>
            <w:pPr>
              <w:spacing w:after="0"/>
              <w:rPr>
                <w:sz w:val="24"/>
                <w:szCs w:val="24"/>
                <w:color w:val="auto"/>
              </w:rPr>
            </w:pPr>
          </w:p>
        </w:tc>
        <w:tc>
          <w:tcPr>
            <w:tcW w:w="56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7.8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39"/>
        </w:trPr>
        <w:tc>
          <w:tcPr>
            <w:tcW w:w="1760" w:type="dxa"/>
            <w:vAlign w:val="bottom"/>
            <w:gridSpan w:val="2"/>
          </w:tcPr>
          <w:p>
            <w:pPr>
              <w:ind w:left="260"/>
              <w:spacing w:after="0"/>
              <w:rPr>
                <w:sz w:val="20"/>
                <w:szCs w:val="20"/>
                <w:color w:val="auto"/>
              </w:rPr>
            </w:pPr>
            <w:r>
              <w:rPr>
                <w:rFonts w:ascii="Arial" w:cs="Arial" w:eastAsia="Arial" w:hAnsi="Arial"/>
                <w:sz w:val="14"/>
                <w:szCs w:val="14"/>
                <w:color w:val="auto"/>
              </w:rPr>
              <w:t>Total product revenues</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right w:val="single" w:sz="8" w:color="DDDDDD"/>
            </w:tcBorders>
          </w:tcPr>
          <w:p>
            <w:pPr>
              <w:spacing w:after="0"/>
              <w:rPr>
                <w:sz w:val="20"/>
                <w:szCs w:val="20"/>
                <w:color w:val="auto"/>
              </w:rPr>
            </w:pPr>
          </w:p>
        </w:tc>
        <w:tc>
          <w:tcPr>
            <w:tcW w:w="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0"/>
                <w:szCs w:val="10"/>
                <w:color w:val="2573BA"/>
                <w:w w:val="71"/>
              </w:rPr>
              <w:t>$</w:t>
            </w:r>
          </w:p>
        </w:tc>
        <w:tc>
          <w:tcPr>
            <w:tcW w:w="640" w:type="dxa"/>
            <w:vAlign w:val="bottom"/>
            <w:tcBorders>
              <w:top w:val="single" w:sz="8" w:color="auto"/>
              <w:bottom w:val="single" w:sz="8" w:color="auto"/>
            </w:tcBorders>
            <w:gridSpan w:val="4"/>
            <w:shd w:val="clear" w:color="auto" w:fill="DDDDDD"/>
          </w:tcPr>
          <w:p>
            <w:pPr>
              <w:jc w:val="right"/>
              <w:ind w:right="40"/>
              <w:spacing w:after="0"/>
              <w:rPr>
                <w:sz w:val="20"/>
                <w:szCs w:val="20"/>
                <w:color w:val="auto"/>
              </w:rPr>
            </w:pPr>
            <w:r>
              <w:rPr>
                <w:rFonts w:ascii="Arial" w:cs="Arial" w:eastAsia="Arial" w:hAnsi="Arial"/>
                <w:sz w:val="14"/>
                <w:szCs w:val="14"/>
                <w:color w:val="2573BA"/>
              </w:rPr>
              <w:t>3,257.7</w:t>
            </w:r>
          </w:p>
        </w:tc>
        <w:tc>
          <w:tcPr>
            <w:tcW w:w="120" w:type="dxa"/>
            <w:vAlign w:val="bottom"/>
            <w:tcBorders>
              <w:top w:val="single" w:sz="8" w:color="DDDDDD"/>
              <w:bottom w:val="single" w:sz="8" w:color="DDDDDD"/>
            </w:tcBorders>
            <w:shd w:val="clear" w:color="auto" w:fill="DDDDDD"/>
          </w:tcPr>
          <w:p>
            <w:pPr>
              <w:spacing w:after="0"/>
              <w:rPr>
                <w:sz w:val="20"/>
                <w:szCs w:val="20"/>
                <w:color w:val="auto"/>
              </w:rPr>
            </w:pP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1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w w:val="76"/>
              </w:rPr>
              <w:t>$</w:t>
            </w:r>
          </w:p>
        </w:tc>
        <w:tc>
          <w:tcPr>
            <w:tcW w:w="120" w:type="dxa"/>
            <w:vAlign w:val="bottom"/>
            <w:tcBorders>
              <w:top w:val="single" w:sz="8" w:color="auto"/>
              <w:bottom w:val="single" w:sz="8" w:color="auto"/>
            </w:tcBorders>
            <w:shd w:val="clear" w:color="auto" w:fill="DDDDDD"/>
          </w:tcPr>
          <w:p>
            <w:pPr>
              <w:spacing w:after="0"/>
              <w:rPr>
                <w:sz w:val="20"/>
                <w:szCs w:val="20"/>
                <w:color w:val="auto"/>
              </w:rPr>
            </w:pPr>
          </w:p>
        </w:tc>
        <w:tc>
          <w:tcPr>
            <w:tcW w:w="520" w:type="dxa"/>
            <w:vAlign w:val="bottom"/>
            <w:tcBorders>
              <w:top w:val="single" w:sz="8" w:color="auto"/>
              <w:bottom w:val="single" w:sz="8" w:color="auto"/>
            </w:tcBorders>
            <w:gridSpan w:val="2"/>
            <w:shd w:val="clear" w:color="auto" w:fill="DDDDDD"/>
          </w:tcPr>
          <w:p>
            <w:pPr>
              <w:jc w:val="right"/>
              <w:ind w:right="40"/>
              <w:spacing w:after="0"/>
              <w:rPr>
                <w:sz w:val="20"/>
                <w:szCs w:val="20"/>
                <w:color w:val="auto"/>
              </w:rPr>
            </w:pPr>
            <w:r>
              <w:rPr>
                <w:rFonts w:ascii="Arial" w:cs="Arial" w:eastAsia="Arial" w:hAnsi="Arial"/>
                <w:sz w:val="14"/>
                <w:szCs w:val="14"/>
                <w:color w:val="2573BA"/>
                <w:w w:val="98"/>
              </w:rPr>
              <w:t>2,302.6</w:t>
            </w:r>
          </w:p>
        </w:tc>
        <w:tc>
          <w:tcPr>
            <w:tcW w:w="100" w:type="dxa"/>
            <w:vAlign w:val="bottom"/>
            <w:tcBorders>
              <w:top w:val="single" w:sz="8" w:color="DDDDDD"/>
              <w:bottom w:val="single" w:sz="8" w:color="DDDDDD"/>
            </w:tcBorders>
            <w:shd w:val="clear" w:color="auto" w:fill="DDDDDD"/>
          </w:tcPr>
          <w:p>
            <w:pPr>
              <w:spacing w:after="0"/>
              <w:rPr>
                <w:sz w:val="20"/>
                <w:szCs w:val="20"/>
                <w:color w:val="auto"/>
              </w:rPr>
            </w:pPr>
          </w:p>
        </w:tc>
        <w:tc>
          <w:tcPr>
            <w:tcW w:w="1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tcBorders>
              <w:top w:val="single" w:sz="8" w:color="auto"/>
              <w:bottom w:val="single" w:sz="8" w:color="auto"/>
            </w:tcBorders>
            <w:shd w:val="clear" w:color="auto" w:fill="DDDDDD"/>
          </w:tcPr>
          <w:p>
            <w:pPr>
              <w:spacing w:after="0"/>
              <w:rPr>
                <w:sz w:val="20"/>
                <w:szCs w:val="20"/>
                <w:color w:val="auto"/>
              </w:rPr>
            </w:pPr>
          </w:p>
        </w:tc>
        <w:tc>
          <w:tcPr>
            <w:tcW w:w="560" w:type="dxa"/>
            <w:vAlign w:val="bottom"/>
            <w:tcBorders>
              <w:top w:val="single" w:sz="8" w:color="auto"/>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5,560.3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3,279.8</w:t>
            </w:r>
          </w:p>
        </w:tc>
        <w:tc>
          <w:tcPr>
            <w:tcW w:w="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2,001.2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5,281.0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 Interferon includes AVONEX and PLEGRIDY</w:t>
      </w:r>
    </w:p>
    <w:sectPr>
      <w:pgSz w:w="11900" w:h="16838" w:orient="portrait"/>
      <w:cols w:equalWidth="0" w:num="1">
        <w:col w:w="10320"/>
      </w:cols>
      <w:pgMar w:left="240" w:top="576"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
      <w:numFmt w:val="bullet"/>
      <w:start w:val="1"/>
    </w:lvl>
  </w:abstractNum>
  <w:abstractNum w:abstractNumId="3">
    <w:nsid w:val="3352255A"/>
    <w:multiLevelType w:val="hybridMultilevel"/>
    <w:lvl w:ilvl="0">
      <w:lvlJc w:val="left"/>
      <w:lvlText w:val="•"/>
      <w:numFmt w:val="bullet"/>
      <w:start w:val="1"/>
    </w:lvl>
    <w:lvl w:ilvl="1">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lvl w:ilvl="1">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A"/>
      <w:numFmt w:val="bullet"/>
      <w:start w:val="1"/>
    </w:lvl>
  </w:abstractNum>
  <w:abstractNum w:abstractNumId="16">
    <w:nsid w:val="257130A3"/>
    <w:multiLevelType w:val="hybridMultilevel"/>
    <w:lvl w:ilvl="0">
      <w:lvlJc w:val="left"/>
      <w:lvlText w:val="B"/>
      <w:numFmt w:val="bullet"/>
      <w:start w:val="1"/>
    </w:lvl>
  </w:abstractNum>
  <w:abstractNum w:abstractNumId="17">
    <w:nsid w:val="62BBD95A"/>
    <w:multiLevelType w:val="hybridMultilevel"/>
    <w:lvl w:ilvl="0">
      <w:lvlJc w:val="left"/>
      <w:lvlText w:val="C"/>
      <w:numFmt w:val="bullet"/>
      <w:start w:val="1"/>
    </w:lvl>
  </w:abstractNum>
  <w:abstractNum w:abstractNumId="18">
    <w:nsid w:val="436C6125"/>
    <w:multiLevelType w:val="hybridMultilevel"/>
    <w:lvl w:ilvl="0">
      <w:lvlJc w:val="left"/>
      <w:lvlText w:val="D"/>
      <w:numFmt w:val="bullet"/>
      <w:start w:val="1"/>
    </w:lvl>
  </w:abstractNum>
  <w:abstractNum w:abstractNumId="19">
    <w:nsid w:val="628C895D"/>
    <w:multiLevelType w:val="hybridMultilevel"/>
    <w:lvl w:ilvl="0">
      <w:lvlJc w:val="left"/>
      <w:lvlText w:val="E"/>
      <w:numFmt w:val="bullet"/>
      <w:start w:val="1"/>
    </w:lvl>
  </w:abstractNum>
  <w:abstractNum w:abstractNumId="20">
    <w:nsid w:val="333AB105"/>
    <w:multiLevelType w:val="hybridMultilevel"/>
    <w:lvl w:ilvl="0">
      <w:lvlJc w:val="left"/>
      <w:lvlText w:val="F"/>
      <w:numFmt w:val="bullet"/>
      <w:start w:val="1"/>
    </w:lvl>
  </w:abstractNum>
  <w:abstractNum w:abstractNumId="21">
    <w:nsid w:val="721DA317"/>
    <w:multiLevelType w:val="hybridMultilevel"/>
    <w:lvl w:ilvl="0">
      <w:lvlJc w:val="left"/>
      <w:lvlText w:val="G"/>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2019-12-28T10:04:45Z</dcterms:created>
  <dcterms:modified xsi:type="dcterms:W3CDTF">2019-12-28T10:04:45Z</dcterms:modified>
</cp:coreProperties>
</file>