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1330960</wp:posOffset>
            </wp:positionV>
            <wp:extent cx="2828925" cy="942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89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20"/>
        <w:spacing w:after="0"/>
        <w:rPr>
          <w:sz w:val="20"/>
          <w:szCs w:val="20"/>
          <w:color w:val="auto"/>
        </w:rPr>
      </w:pPr>
      <w:r>
        <w:rPr>
          <w:rFonts w:ascii="Arial" w:cs="Arial" w:eastAsia="Arial" w:hAnsi="Arial"/>
          <w:sz w:val="32"/>
          <w:szCs w:val="32"/>
          <w:color w:val="427F3D"/>
        </w:rPr>
        <w:t>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-52070</wp:posOffset>
            </wp:positionV>
            <wp:extent cx="702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-52070</wp:posOffset>
            </wp:positionV>
            <wp:extent cx="728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32"/>
          <w:szCs w:val="32"/>
          <w:color w:val="1A6DBB"/>
        </w:rPr>
        <w:t>2022 Annual Meeting of</w:t>
      </w:r>
    </w:p>
    <w:p>
      <w:pPr>
        <w:spacing w:after="0" w:line="334" w:lineRule="exact"/>
        <w:rPr>
          <w:sz w:val="20"/>
          <w:szCs w:val="20"/>
          <w:color w:val="auto"/>
        </w:rPr>
      </w:pPr>
    </w:p>
    <w:p>
      <w:pPr>
        <w:jc w:val="center"/>
        <w:ind w:right="-1100"/>
        <w:spacing w:after="0"/>
        <w:rPr>
          <w:sz w:val="20"/>
          <w:szCs w:val="20"/>
          <w:color w:val="auto"/>
        </w:rPr>
      </w:pPr>
      <w:r>
        <w:rPr>
          <w:rFonts w:ascii="Arial" w:cs="Arial" w:eastAsia="Arial" w:hAnsi="Arial"/>
          <w:sz w:val="32"/>
          <w:szCs w:val="32"/>
          <w:color w:val="1A6DBB"/>
        </w:rPr>
        <w:t>Stockholders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rPr>
          <w:sz w:val="20"/>
          <w:szCs w:val="20"/>
          <w:color w:val="auto"/>
        </w:rPr>
      </w:pPr>
      <w:r>
        <w:rPr>
          <w:rFonts w:ascii="Arial" w:cs="Arial" w:eastAsia="Arial" w:hAnsi="Arial"/>
          <w:sz w:val="29"/>
          <w:szCs w:val="29"/>
          <w:b w:val="1"/>
          <w:bCs w:val="1"/>
          <w:i w:val="1"/>
          <w:iCs w:val="1"/>
          <w:color w:val="1A6DBB"/>
        </w:rPr>
        <w:t>Wednesday, June 15, 2022</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9"/>
          <w:szCs w:val="29"/>
          <w:b w:val="1"/>
          <w:bCs w:val="1"/>
          <w:i w:val="1"/>
          <w:iCs w:val="1"/>
          <w:color w:val="1A6DBB"/>
        </w:rPr>
        <w:t>9:00 a.m. Eastern Time</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1A6DBB"/>
        </w:rPr>
        <w:t>To be held online at</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29"/>
          <w:szCs w:val="29"/>
          <w:b w:val="1"/>
          <w:bCs w:val="1"/>
          <w:u w:val="single" w:color="auto"/>
          <w:color w:val="1A6DBB"/>
        </w:rPr>
        <w:t>www.virtualshareholdermeeting.com/BIIB2022</w:t>
      </w:r>
    </w:p>
    <w:p>
      <w:pPr>
        <w:sectPr>
          <w:pgSz w:w="11900" w:h="16838" w:orient="portrait"/>
          <w:cols w:equalWidth="0" w:num="1">
            <w:col w:w="10139"/>
          </w:cols>
          <w:pgMar w:left="320" w:top="45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1039495</wp:posOffset>
            </wp:positionV>
            <wp:extent cx="685800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208280</wp:posOffset>
            </wp:positionV>
            <wp:extent cx="154305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sz w:val="1"/>
          <w:szCs w:val="1"/>
          <w:color w:val="auto"/>
        </w:rPr>
        <w:drawing>
          <wp:inline distT="0" distB="0" distL="0" distR="0">
            <wp:extent cx="77470" cy="4718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471805"/>
                    </a:xfrm>
                    <a:prstGeom prst="rect">
                      <a:avLst/>
                    </a:prstGeom>
                    <a:noFill/>
                    <a:ln>
                      <a:noFill/>
                    </a:ln>
                  </pic:spPr>
                </pic:pic>
              </a:graphicData>
            </a:graphic>
          </wp:inline>
        </w:drawing>
      </w:r>
      <w:r>
        <w:rPr>
          <w:rFonts w:ascii="Arial" w:cs="Arial" w:eastAsia="Arial" w:hAnsi="Arial"/>
          <w:sz w:val="29"/>
          <w:szCs w:val="29"/>
          <w:color w:val="FFFFFF"/>
        </w:rPr>
        <w:t xml:space="preserve"> Letter from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-350520</wp:posOffset>
            </wp:positionV>
            <wp:extent cx="691769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7690" cy="4718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29, 2022</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To My Fellow Stockholders:</w:t>
      </w:r>
    </w:p>
    <w:p>
      <w:pPr>
        <w:spacing w:after="0" w:line="219"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On behalf of the Board of Directors, I want to thank you for your investment in Biogen and for the confidence you place in this Board to oversee your interests in our company. For more than 40 years, Biogen has played a key role in advancing the field of biotechnology as we work to address some of the most complex diseases.</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We entered 2022 following a resilient year for Biogen. In 2021 we performed well across all of our core business areas, strengthened our pipeline and continued to execute on our strategy. All while remaining focused on our goal of advancing pioneering science for the patients we serve, our communities, our employees and you, our fellow stockholders. We believe we are well positioned to continue developing transformational therapies in neuroscience and specialized immunology, while commercializing biosimilars of advanced biologics and creating opportunities for potential digital therapeutics.</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We are committed to Diversity, Equity and Inclusion (DE&amp;I) across all aspects of our organization – from recruitment, hiring, promotion, compensation and development practices, to clinical research and trials, to patient advocacy. We believe that our diverse, equitable and inclusive workplace allows us to empower our global workforce, foster innovation and achieve better business results. In 2021 we released our first public DE&amp;I report that outlined our DE&amp;I strategy to build upon our strong foundation with even deeper commitments in this important arena. This plan includes a four-part initiative to build our talent and leadership pipeline, improve health outcomes for the African American, Black, Hispanic, Latino and other minority communities in the disease areas we treat and expand sourcing with minority-owned businesses.</w:t>
      </w:r>
    </w:p>
    <w:p>
      <w:pPr>
        <w:spacing w:after="0" w:line="18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Recognizing that equity and health are core principles of our company, in 2021 we made strides in Healthy Climate, Healthy Lives, our $250 million, 20-year initiative to eliminate our use of fossil fuels and collaborate with renowned institutions with the aim to improve health outcomes, especially for vulnerable populations. Announced in 2020, this commitment made Biogen the first Fortune 500 company to go beyond net zero to commit to become fossil fuel free across our operations by 2040. In September 2021 we issued our first progress report which details operational milestones, engagement with our employees and suppliers that exceeded our year-one targets, and pioneering efforts with global leaders such as the Harvard T.H. Chan School of Public Health, MIT, the World Business Council for Sustainable Development, and many others as we aspire to be a catalyst for positive change. In 2021 we also advanced our commitment to disclosure with enhanced reporting in line with the Task Force for Climate Related Financial Disclosures (TCFD).</w:t>
      </w:r>
    </w:p>
    <w:p>
      <w:pPr>
        <w:spacing w:after="0" w:line="181"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Our Board takes its role in protecting the interest of our fellow stockholders and overseeing our long-term business strategy very seriously. We believe that good corporate governance and high ethical standards are key to our success. We are accountable to you, our stockholders, and remain committed to investing time with you to increase transparency and better understand your perspectives. During 2021 independent members of our Board met with several stockholders to discuss a variety of topics, including business strategy, capital allocation, corporate governance, executive compensation and our environmental, social and governance (ESG) initiatives. We look forward to continuing these dialogues in 2022 and beyond.</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We had a productive and successful 2021 despite the challenges we faced – including continued TECFIDERA generic entrants in the U.S. market, in addition to the challenges we faced with the slower than expected launch of ADUHELM and biosimilar competition for RITUXAN.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proud of all of our other accomplishments in 2021, including:</w:t>
      </w:r>
    </w:p>
    <w:p>
      <w:pPr>
        <w:spacing w:after="0" w:line="127"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Generating revenue of $11.0 billion for the year while remaining a leader in multiple sclerosis (MS) and spinal muscular atrophy (SMA).</w:t>
      </w:r>
    </w:p>
    <w:p>
      <w:pPr>
        <w:spacing w:after="0" w:line="126" w:lineRule="exact"/>
        <w:rPr>
          <w:rFonts w:ascii="Arial" w:cs="Arial" w:eastAsia="Arial" w:hAnsi="Arial"/>
          <w:sz w:val="16"/>
          <w:szCs w:val="16"/>
          <w:color w:val="1A6DBB"/>
        </w:rPr>
      </w:pPr>
    </w:p>
    <w:p>
      <w:pPr>
        <w:ind w:left="440" w:hanging="324"/>
        <w:spacing w:after="0" w:line="286" w:lineRule="auto"/>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U.S. Food and Drug Administration (FDA) grant of accelerated approval for ADUHELM as the first and only Alzheimer’s disease treatment to address a defining pathology of the disease by reducing amyloid beta plaques in the brain.</w:t>
      </w:r>
    </w:p>
    <w:p>
      <w:pPr>
        <w:spacing w:after="0" w:line="61" w:lineRule="exact"/>
        <w:rPr>
          <w:rFonts w:ascii="Arial" w:cs="Arial" w:eastAsia="Arial" w:hAnsi="Arial"/>
          <w:sz w:val="16"/>
          <w:szCs w:val="16"/>
          <w:color w:val="1A6DBB"/>
        </w:rPr>
      </w:pPr>
    </w:p>
    <w:p>
      <w:pPr>
        <w:ind w:left="440" w:right="520" w:hanging="324"/>
        <w:spacing w:after="0" w:line="286" w:lineRule="auto"/>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Continued development of approximately 30 clinical programs in our pipeline, 10 of which are in Phase 3 or filed, in areas such as Alzheimer’s disease, depression, MS, amyotrophic lateral sclerosis (ALS), stroke, Parkinson’s disease and other movement disorders.</w:t>
      </w:r>
    </w:p>
    <w:p>
      <w:pPr>
        <w:spacing w:after="0" w:line="61" w:lineRule="exact"/>
        <w:rPr>
          <w:rFonts w:ascii="Arial" w:cs="Arial" w:eastAsia="Arial" w:hAnsi="Arial"/>
          <w:sz w:val="16"/>
          <w:szCs w:val="16"/>
          <w:color w:val="1A6DBB"/>
        </w:rPr>
      </w:pPr>
    </w:p>
    <w:p>
      <w:pPr>
        <w:ind w:left="440" w:hanging="324"/>
        <w:spacing w:after="0"/>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Our collaborations with:</w:t>
      </w:r>
    </w:p>
    <w:p>
      <w:pPr>
        <w:spacing w:after="0" w:line="126" w:lineRule="exact"/>
        <w:rPr>
          <w:rFonts w:ascii="Arial" w:cs="Arial" w:eastAsia="Arial" w:hAnsi="Arial"/>
          <w:sz w:val="16"/>
          <w:szCs w:val="16"/>
          <w:color w:val="1A6DBB"/>
        </w:rPr>
      </w:pPr>
    </w:p>
    <w:p>
      <w:pPr>
        <w:ind w:left="760" w:right="260" w:hanging="320"/>
        <w:spacing w:after="0" w:line="286" w:lineRule="auto"/>
        <w:tabs>
          <w:tab w:leader="none" w:pos="760" w:val="left"/>
        </w:tabs>
        <w:numPr>
          <w:ilvl w:val="1"/>
          <w:numId w:val="6"/>
        </w:numPr>
        <w:rPr>
          <w:rFonts w:ascii="Arial" w:cs="Arial" w:eastAsia="Arial" w:hAnsi="Arial"/>
          <w:sz w:val="16"/>
          <w:szCs w:val="16"/>
          <w:color w:val="1A6DBB"/>
        </w:rPr>
      </w:pPr>
      <w:r>
        <w:rPr>
          <w:rFonts w:ascii="Arial" w:cs="Arial" w:eastAsia="Arial" w:hAnsi="Arial"/>
          <w:sz w:val="16"/>
          <w:szCs w:val="16"/>
          <w:color w:val="auto"/>
        </w:rPr>
        <w:t>InnoCare Pharma Limited (InnoCare) to develop and commercialize orelabrutinib, an oral small molecule Bruton’s tyrosine kinase inhibitor for the potential treatment of MS.</w:t>
      </w:r>
    </w:p>
    <w:p>
      <w:pPr>
        <w:spacing w:after="0" w:line="61" w:lineRule="exact"/>
        <w:rPr>
          <w:rFonts w:ascii="Arial" w:cs="Arial" w:eastAsia="Arial" w:hAnsi="Arial"/>
          <w:sz w:val="16"/>
          <w:szCs w:val="16"/>
          <w:color w:val="1A6DBB"/>
        </w:rPr>
      </w:pPr>
    </w:p>
    <w:p>
      <w:pPr>
        <w:ind w:left="760" w:right="580" w:hanging="320"/>
        <w:spacing w:after="0" w:line="286" w:lineRule="auto"/>
        <w:tabs>
          <w:tab w:leader="none" w:pos="760" w:val="left"/>
        </w:tabs>
        <w:numPr>
          <w:ilvl w:val="1"/>
          <w:numId w:val="6"/>
        </w:numPr>
        <w:rPr>
          <w:rFonts w:ascii="Arial" w:cs="Arial" w:eastAsia="Arial" w:hAnsi="Arial"/>
          <w:sz w:val="16"/>
          <w:szCs w:val="16"/>
          <w:color w:val="1A6DBB"/>
        </w:rPr>
      </w:pPr>
      <w:r>
        <w:rPr>
          <w:rFonts w:ascii="Arial" w:cs="Arial" w:eastAsia="Arial" w:hAnsi="Arial"/>
          <w:sz w:val="16"/>
          <w:szCs w:val="16"/>
          <w:color w:val="auto"/>
        </w:rPr>
        <w:t>Bio-Thera Solutions, Ltd. to develop, manufacture and commercialize BAT1806, a Phase 3 clinical stage anti-interleukin-6 (IL-6) receptor monoclonal antibody that is a proposed biosimilar referencing ACTEMRA (tocilizumab).</w:t>
      </w:r>
    </w:p>
    <w:p>
      <w:pPr>
        <w:spacing w:after="0" w:line="61" w:lineRule="exact"/>
        <w:rPr>
          <w:rFonts w:ascii="Arial" w:cs="Arial" w:eastAsia="Arial" w:hAnsi="Arial"/>
          <w:sz w:val="16"/>
          <w:szCs w:val="16"/>
          <w:color w:val="1A6DBB"/>
        </w:rPr>
      </w:pPr>
    </w:p>
    <w:p>
      <w:pPr>
        <w:ind w:left="440" w:right="560" w:hanging="324"/>
        <w:spacing w:after="0" w:line="303" w:lineRule="auto"/>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 xml:space="preserve">The approximately </w:t>
      </w:r>
      <w:r>
        <w:rPr>
          <w:rFonts w:ascii="Times New Roman" w:cs="Times New Roman" w:eastAsia="Times New Roman" w:hAnsi="Times New Roman"/>
          <w:sz w:val="16"/>
          <w:szCs w:val="16"/>
          <w:color w:val="auto"/>
        </w:rPr>
        <w:t>€</w:t>
      </w:r>
      <w:r>
        <w:rPr>
          <w:rFonts w:ascii="Arial" w:cs="Arial" w:eastAsia="Arial" w:hAnsi="Arial"/>
          <w:sz w:val="16"/>
          <w:szCs w:val="16"/>
          <w:color w:val="auto"/>
        </w:rPr>
        <w:t>2.6 billion of healthcare savings in Europe that we estimate was contributed by our three anti-tumor necrosis factor (TNF) biosimilars.</w:t>
      </w:r>
    </w:p>
    <w:p>
      <w:pPr>
        <w:spacing w:after="0" w:line="47" w:lineRule="exact"/>
        <w:rPr>
          <w:rFonts w:ascii="Arial" w:cs="Arial" w:eastAsia="Arial" w:hAnsi="Arial"/>
          <w:sz w:val="16"/>
          <w:szCs w:val="16"/>
          <w:color w:val="1A6DBB"/>
        </w:rPr>
      </w:pPr>
    </w:p>
    <w:p>
      <w:pPr>
        <w:ind w:left="440" w:hanging="324"/>
        <w:spacing w:after="0"/>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Being named the number one biotechnology company on the Dow Jones Sustainability World Index for the seventh time.</w:t>
      </w:r>
    </w:p>
    <w:p>
      <w:pPr>
        <w:spacing w:after="0" w:line="126" w:lineRule="exact"/>
        <w:rPr>
          <w:rFonts w:ascii="Arial" w:cs="Arial" w:eastAsia="Arial" w:hAnsi="Arial"/>
          <w:sz w:val="16"/>
          <w:szCs w:val="16"/>
          <w:color w:val="1A6DBB"/>
        </w:rPr>
      </w:pPr>
    </w:p>
    <w:p>
      <w:pPr>
        <w:ind w:left="440" w:hanging="324"/>
        <w:spacing w:after="0"/>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Our use of green chemistry processes and techniques to reduce our waste and energy consumption.</w:t>
      </w:r>
    </w:p>
    <w:p>
      <w:pPr>
        <w:spacing w:after="0" w:line="126" w:lineRule="exact"/>
        <w:rPr>
          <w:rFonts w:ascii="Arial" w:cs="Arial" w:eastAsia="Arial" w:hAnsi="Arial"/>
          <w:sz w:val="16"/>
          <w:szCs w:val="16"/>
          <w:color w:val="1A6DBB"/>
        </w:rPr>
      </w:pPr>
    </w:p>
    <w:p>
      <w:pPr>
        <w:ind w:left="440" w:right="200" w:hanging="324"/>
        <w:spacing w:after="0" w:line="286" w:lineRule="auto"/>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Receiving 100% on the Human Rights Campaign’s Corporate Equality Index (a national benchmarking tool on corporate policies and practices pertinent to LGBTQ+ employees) for the eighth consecutive year and scoring 100% on the Disability Equality Index for the fourth consecutive year.</w:t>
      </w:r>
    </w:p>
    <w:p>
      <w:pPr>
        <w:spacing w:after="0" w:line="61" w:lineRule="exact"/>
        <w:rPr>
          <w:rFonts w:ascii="Arial" w:cs="Arial" w:eastAsia="Arial" w:hAnsi="Arial"/>
          <w:sz w:val="16"/>
          <w:szCs w:val="16"/>
          <w:color w:val="1A6DBB"/>
        </w:rPr>
      </w:pPr>
    </w:p>
    <w:p>
      <w:pPr>
        <w:ind w:left="440" w:hanging="324"/>
        <w:spacing w:after="0" w:line="286" w:lineRule="auto"/>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Advancing our Healthy Climate, Healthy Lives initiative, which was recognized as the Best Sustainability Program by the U.S. Chamber of Commerce Foundation.</w:t>
      </w:r>
    </w:p>
    <w:p>
      <w:pPr>
        <w:spacing w:after="0" w:line="61" w:lineRule="exact"/>
        <w:rPr>
          <w:rFonts w:ascii="Arial" w:cs="Arial" w:eastAsia="Arial" w:hAnsi="Arial"/>
          <w:sz w:val="16"/>
          <w:szCs w:val="16"/>
          <w:color w:val="1A6DBB"/>
        </w:rPr>
      </w:pPr>
    </w:p>
    <w:p>
      <w:pPr>
        <w:ind w:left="440" w:hanging="324"/>
        <w:spacing w:after="0"/>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Ranked #11 on Newsweek / Statista’s list of America’s Most Responsible Companies.</w:t>
      </w:r>
    </w:p>
    <w:p>
      <w:pPr>
        <w:spacing w:after="0" w:line="126" w:lineRule="exact"/>
        <w:rPr>
          <w:rFonts w:ascii="Arial" w:cs="Arial" w:eastAsia="Arial" w:hAnsi="Arial"/>
          <w:sz w:val="16"/>
          <w:szCs w:val="16"/>
          <w:color w:val="1A6DBB"/>
        </w:rPr>
      </w:pPr>
    </w:p>
    <w:p>
      <w:pPr>
        <w:ind w:left="440" w:right="300" w:hanging="324"/>
        <w:spacing w:after="0" w:line="286" w:lineRule="auto"/>
        <w:tabs>
          <w:tab w:leader="none" w:pos="44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Engaged more than 61,000 students with hands-on learning to inspire their passion for science since the inception of Biogen’s Community Lab in 2002 with priority focus on underrepresented students.</w:t>
      </w:r>
    </w:p>
    <w:p>
      <w:pPr>
        <w:spacing w:after="0" w:line="156"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 xml:space="preserve">On behalf of the Board, I am pleased to invite you to attend our 2022 annual meeting of stockholders, which will be held on Wednesday, June 15, 2022, beginning at 9:00 a.m. Eastern Time. Due to the ongoing COVID-19 pandemic and to support the health and well-being of our employees and stockholders, this year’s annual meeting will be held in a virtual meeting format only. You may attend the meeting virtually via the Internet at </w:t>
      </w:r>
      <w:r>
        <w:rPr>
          <w:rFonts w:ascii="Arial" w:cs="Arial" w:eastAsia="Arial" w:hAnsi="Arial"/>
          <w:sz w:val="16"/>
          <w:szCs w:val="16"/>
          <w:u w:val="single" w:color="auto"/>
          <w:color w:val="auto"/>
        </w:rPr>
        <w:t>www.virtualshareholdermeeting.com/BIIB2022</w:t>
      </w:r>
      <w:r>
        <w:rPr>
          <w:rFonts w:ascii="Arial" w:cs="Arial" w:eastAsia="Arial" w:hAnsi="Arial"/>
          <w:sz w:val="16"/>
          <w:szCs w:val="16"/>
          <w:color w:val="auto"/>
        </w:rPr>
        <w:t>, where you will be able to view the meeting, vote online and submit questions. You will need the 16-digit control number included on your Notice of Internet Availability of Proxy Materials or your proxy card or voting instruction form to attend the annual meeting virtually via the Internet.</w:t>
      </w:r>
    </w:p>
    <w:p>
      <w:pPr>
        <w:spacing w:after="0" w:line="18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following notice of our annual meeting of stockholders contains details of the business to be conducted at the meeting. Only stockholders of record at the close of business on April 21, 2022, will be entitled to notice of, and to vote at, the annual meeting.</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It is an honor to serve as your Chairman and, on behalf of the Board of Directors, I thank you for your continued support and investment in Biogen.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105535"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553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TELIOS</w:t>
      </w:r>
      <w:r>
        <w:rPr>
          <w:rFonts w:ascii="Arial" w:cs="Arial" w:eastAsia="Arial" w:hAnsi="Arial"/>
          <w:sz w:val="16"/>
          <w:szCs w:val="16"/>
          <w:color w:val="auto"/>
        </w:rPr>
        <w:t xml:space="preserve"> P</w:t>
      </w:r>
      <w:r>
        <w:rPr>
          <w:rFonts w:ascii="Arial" w:cs="Arial" w:eastAsia="Arial" w:hAnsi="Arial"/>
          <w:sz w:val="13"/>
          <w:szCs w:val="13"/>
          <w:color w:val="auto"/>
        </w:rPr>
        <w:t>APADOPOULOS</w:t>
      </w:r>
      <w:r>
        <w:rPr>
          <w:rFonts w:ascii="Arial" w:cs="Arial" w:eastAsia="Arial" w:hAnsi="Arial"/>
          <w:sz w:val="16"/>
          <w:szCs w:val="16"/>
          <w:color w:val="auto"/>
        </w:rPr>
        <w:t>, Ph.D.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Chairman of the Board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behalf of the Board of Directors of Biogen Inc.</w:t>
      </w:r>
    </w:p>
    <w:p>
      <w:pPr>
        <w:sectPr>
          <w:pgSz w:w="11900" w:h="16838" w:orient="portrait"/>
          <w:cols w:equalWidth="0" w:num="1">
            <w:col w:w="10580"/>
          </w:cols>
          <w:pgMar w:left="320" w:top="45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1073785</wp:posOffset>
            </wp:positionV>
            <wp:extent cx="685800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1543050" cy="52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sz w:val="1"/>
          <w:szCs w:val="1"/>
          <w:color w:val="auto"/>
        </w:rPr>
        <w:drawing>
          <wp:inline distT="0" distB="0" distL="0" distR="0">
            <wp:extent cx="77470" cy="4718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471805"/>
                    </a:xfrm>
                    <a:prstGeom prst="rect">
                      <a:avLst/>
                    </a:prstGeom>
                    <a:noFill/>
                    <a:ln>
                      <a:noFill/>
                    </a:ln>
                  </pic:spPr>
                </pic:pic>
              </a:graphicData>
            </a:graphic>
          </wp:inline>
        </w:drawing>
      </w:r>
      <w:r>
        <w:rPr>
          <w:rFonts w:ascii="Arial" w:cs="Arial" w:eastAsia="Arial" w:hAnsi="Arial"/>
          <w:sz w:val="29"/>
          <w:szCs w:val="29"/>
          <w:color w:val="FFFFFF"/>
        </w:rPr>
        <w:t xml:space="preserve"> 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-350520</wp:posOffset>
            </wp:positionV>
            <wp:extent cx="6917690"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690" cy="4718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1960" w:type="dxa"/>
            <w:vAlign w:val="bottom"/>
          </w:tcPr>
          <w:p>
            <w:pPr>
              <w:spacing w:after="0"/>
              <w:rPr>
                <w:sz w:val="20"/>
                <w:szCs w:val="20"/>
                <w:color w:val="auto"/>
              </w:rPr>
            </w:pPr>
            <w:r>
              <w:rPr>
                <w:rFonts w:ascii="Arial" w:cs="Arial" w:eastAsia="Arial" w:hAnsi="Arial"/>
                <w:sz w:val="16"/>
                <w:szCs w:val="16"/>
                <w:b w:val="1"/>
                <w:bCs w:val="1"/>
                <w:color w:val="1A6DBB"/>
              </w:rPr>
              <w:t>Date:</w:t>
            </w:r>
          </w:p>
        </w:tc>
        <w:tc>
          <w:tcPr>
            <w:tcW w:w="540" w:type="dxa"/>
            <w:vAlign w:val="bottom"/>
          </w:tcPr>
          <w:p>
            <w:pPr>
              <w:spacing w:after="0"/>
              <w:rPr>
                <w:sz w:val="19"/>
                <w:szCs w:val="19"/>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Wednesday, June 15, 2022</w:t>
            </w:r>
          </w:p>
        </w:tc>
      </w:tr>
      <w:tr>
        <w:trPr>
          <w:trHeight w:val="324"/>
        </w:trPr>
        <w:tc>
          <w:tcPr>
            <w:tcW w:w="1960" w:type="dxa"/>
            <w:vAlign w:val="bottom"/>
          </w:tcPr>
          <w:p>
            <w:pPr>
              <w:spacing w:after="0"/>
              <w:rPr>
                <w:sz w:val="20"/>
                <w:szCs w:val="20"/>
                <w:color w:val="auto"/>
              </w:rPr>
            </w:pPr>
            <w:r>
              <w:rPr>
                <w:rFonts w:ascii="Arial" w:cs="Arial" w:eastAsia="Arial" w:hAnsi="Arial"/>
                <w:sz w:val="16"/>
                <w:szCs w:val="16"/>
                <w:b w:val="1"/>
                <w:bCs w:val="1"/>
                <w:color w:val="1A6DBB"/>
              </w:rPr>
              <w:t>Time:</w:t>
            </w:r>
          </w:p>
        </w:tc>
        <w:tc>
          <w:tcPr>
            <w:tcW w:w="5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9:00 a.m. Eastern Time</w:t>
            </w:r>
          </w:p>
        </w:tc>
      </w:tr>
      <w:tr>
        <w:trPr>
          <w:trHeight w:val="278"/>
        </w:trPr>
        <w:tc>
          <w:tcPr>
            <w:tcW w:w="1960" w:type="dxa"/>
            <w:vAlign w:val="bottom"/>
          </w:tcPr>
          <w:p>
            <w:pPr>
              <w:spacing w:after="0"/>
              <w:rPr>
                <w:sz w:val="20"/>
                <w:szCs w:val="20"/>
                <w:color w:val="auto"/>
              </w:rPr>
            </w:pPr>
            <w:r>
              <w:rPr>
                <w:rFonts w:ascii="Arial" w:cs="Arial" w:eastAsia="Arial" w:hAnsi="Arial"/>
                <w:sz w:val="16"/>
                <w:szCs w:val="16"/>
                <w:b w:val="1"/>
                <w:bCs w:val="1"/>
                <w:color w:val="1A6DBB"/>
              </w:rPr>
              <w:t>Place:</w:t>
            </w:r>
          </w:p>
        </w:tc>
        <w:tc>
          <w:tcPr>
            <w:tcW w:w="5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Online only at www.virtualshareholdermeeting.com/BIIB2022</w:t>
            </w:r>
          </w:p>
        </w:tc>
      </w:tr>
      <w:tr>
        <w:trPr>
          <w:trHeight w:val="20"/>
        </w:trPr>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17"/>
        </w:trPr>
        <w:tc>
          <w:tcPr>
            <w:tcW w:w="1960" w:type="dxa"/>
            <w:vAlign w:val="bottom"/>
          </w:tcPr>
          <w:p>
            <w:pPr>
              <w:spacing w:after="0"/>
              <w:rPr>
                <w:sz w:val="20"/>
                <w:szCs w:val="20"/>
                <w:color w:val="auto"/>
              </w:rPr>
            </w:pPr>
            <w:r>
              <w:rPr>
                <w:rFonts w:ascii="Arial" w:cs="Arial" w:eastAsia="Arial" w:hAnsi="Arial"/>
                <w:sz w:val="16"/>
                <w:szCs w:val="16"/>
                <w:b w:val="1"/>
                <w:bCs w:val="1"/>
                <w:color w:val="1A6DBB"/>
              </w:rPr>
              <w:t>Record Date:</w:t>
            </w:r>
          </w:p>
        </w:tc>
        <w:tc>
          <w:tcPr>
            <w:tcW w:w="5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April 21, 2022. Only Biogen stockholders of record at the close of business on the record date are entitled to receive</w:t>
            </w:r>
          </w:p>
        </w:tc>
      </w:tr>
      <w:tr>
        <w:trPr>
          <w:trHeight w:val="215"/>
        </w:trPr>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notice of, and vote at, the annual meeting.</w:t>
            </w:r>
          </w:p>
        </w:tc>
      </w:tr>
      <w:tr>
        <w:trPr>
          <w:trHeight w:val="285"/>
        </w:trPr>
        <w:tc>
          <w:tcPr>
            <w:tcW w:w="1960" w:type="dxa"/>
            <w:vAlign w:val="bottom"/>
          </w:tcPr>
          <w:p>
            <w:pPr>
              <w:spacing w:after="0"/>
              <w:rPr>
                <w:sz w:val="20"/>
                <w:szCs w:val="20"/>
                <w:color w:val="auto"/>
              </w:rPr>
            </w:pPr>
            <w:r>
              <w:rPr>
                <w:rFonts w:ascii="Arial" w:cs="Arial" w:eastAsia="Arial" w:hAnsi="Arial"/>
                <w:sz w:val="16"/>
                <w:szCs w:val="16"/>
                <w:b w:val="1"/>
                <w:bCs w:val="1"/>
                <w:color w:val="1A6DBB"/>
              </w:rPr>
              <w:t>Items of Business:</w:t>
            </w:r>
          </w:p>
        </w:tc>
        <w:tc>
          <w:tcPr>
            <w:tcW w:w="8960" w:type="dxa"/>
            <w:vAlign w:val="bottom"/>
            <w:gridSpan w:val="5"/>
          </w:tcPr>
          <w:p>
            <w:pPr>
              <w:ind w:left="520"/>
              <w:spacing w:after="0"/>
              <w:rPr>
                <w:sz w:val="20"/>
                <w:szCs w:val="20"/>
                <w:color w:val="auto"/>
              </w:rPr>
            </w:pPr>
            <w:r>
              <w:rPr>
                <w:rFonts w:ascii="Arial" w:cs="Arial" w:eastAsia="Arial" w:hAnsi="Arial"/>
                <w:sz w:val="16"/>
                <w:szCs w:val="16"/>
                <w:color w:val="auto"/>
              </w:rPr>
              <w:t>1. To elect the 11 nominees identified in the accompanying Proxy Statement to our Board of Directors to serve for a</w:t>
            </w:r>
          </w:p>
        </w:tc>
      </w:tr>
      <w:tr>
        <w:trPr>
          <w:trHeight w:val="189"/>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gridSpan w:val="4"/>
          </w:tcPr>
          <w:p>
            <w:pPr>
              <w:ind w:left="220"/>
              <w:spacing w:after="0"/>
              <w:rPr>
                <w:sz w:val="20"/>
                <w:szCs w:val="20"/>
                <w:color w:val="auto"/>
              </w:rPr>
            </w:pPr>
            <w:r>
              <w:rPr>
                <w:rFonts w:ascii="Arial" w:cs="Arial" w:eastAsia="Arial" w:hAnsi="Arial"/>
                <w:sz w:val="16"/>
                <w:szCs w:val="16"/>
                <w:color w:val="auto"/>
              </w:rPr>
              <w:t>one-year term extending until our 2023 annual meeting of stockholders and their successors are duly elected and</w:t>
            </w:r>
          </w:p>
        </w:tc>
      </w:tr>
      <w:tr>
        <w:trPr>
          <w:trHeight w:val="215"/>
        </w:trPr>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20" w:type="dxa"/>
            <w:vAlign w:val="bottom"/>
            <w:gridSpan w:val="4"/>
          </w:tcPr>
          <w:p>
            <w:pPr>
              <w:ind w:left="220"/>
              <w:spacing w:after="0"/>
              <w:rPr>
                <w:sz w:val="20"/>
                <w:szCs w:val="20"/>
                <w:color w:val="auto"/>
              </w:rPr>
            </w:pPr>
            <w:r>
              <w:rPr>
                <w:rFonts w:ascii="Arial" w:cs="Arial" w:eastAsia="Arial" w:hAnsi="Arial"/>
                <w:sz w:val="16"/>
                <w:szCs w:val="16"/>
                <w:color w:val="auto"/>
              </w:rPr>
              <w:t>qualified.</w:t>
            </w:r>
          </w:p>
        </w:tc>
      </w:tr>
      <w:tr>
        <w:trPr>
          <w:trHeight w:val="285"/>
        </w:trPr>
        <w:tc>
          <w:tcPr>
            <w:tcW w:w="1960" w:type="dxa"/>
            <w:vAlign w:val="bottom"/>
          </w:tcPr>
          <w:p>
            <w:pPr>
              <w:spacing w:after="0"/>
              <w:rPr>
                <w:sz w:val="24"/>
                <w:szCs w:val="24"/>
                <w:color w:val="auto"/>
              </w:rPr>
            </w:pPr>
          </w:p>
        </w:tc>
        <w:tc>
          <w:tcPr>
            <w:tcW w:w="8960" w:type="dxa"/>
            <w:vAlign w:val="bottom"/>
            <w:gridSpan w:val="5"/>
          </w:tcPr>
          <w:p>
            <w:pPr>
              <w:ind w:left="520"/>
              <w:spacing w:after="0"/>
              <w:rPr>
                <w:sz w:val="20"/>
                <w:szCs w:val="20"/>
                <w:color w:val="auto"/>
              </w:rPr>
            </w:pPr>
            <w:r>
              <w:rPr>
                <w:rFonts w:ascii="Arial" w:cs="Arial" w:eastAsia="Arial" w:hAnsi="Arial"/>
                <w:sz w:val="16"/>
                <w:szCs w:val="16"/>
                <w:color w:val="auto"/>
              </w:rPr>
              <w:t>2. To ratify the selection of PricewaterhouseCoopers LLP as our independent registered public accounting firm for the</w:t>
            </w:r>
          </w:p>
        </w:tc>
      </w:tr>
      <w:tr>
        <w:trPr>
          <w:trHeight w:val="215"/>
        </w:trPr>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20" w:type="dxa"/>
            <w:vAlign w:val="bottom"/>
            <w:gridSpan w:val="4"/>
          </w:tcPr>
          <w:p>
            <w:pPr>
              <w:ind w:left="220"/>
              <w:spacing w:after="0"/>
              <w:rPr>
                <w:sz w:val="20"/>
                <w:szCs w:val="20"/>
                <w:color w:val="auto"/>
              </w:rPr>
            </w:pPr>
            <w:r>
              <w:rPr>
                <w:rFonts w:ascii="Arial" w:cs="Arial" w:eastAsia="Arial" w:hAnsi="Arial"/>
                <w:sz w:val="16"/>
                <w:szCs w:val="16"/>
                <w:color w:val="auto"/>
              </w:rPr>
              <w:t>fiscal year ending December 31, 2022.</w:t>
            </w:r>
          </w:p>
        </w:tc>
      </w:tr>
      <w:tr>
        <w:trPr>
          <w:trHeight w:val="310"/>
        </w:trPr>
        <w:tc>
          <w:tcPr>
            <w:tcW w:w="1960" w:type="dxa"/>
            <w:vAlign w:val="bottom"/>
          </w:tcPr>
          <w:p>
            <w:pPr>
              <w:spacing w:after="0"/>
              <w:rPr>
                <w:sz w:val="24"/>
                <w:szCs w:val="24"/>
                <w:color w:val="auto"/>
              </w:rPr>
            </w:pPr>
          </w:p>
        </w:tc>
        <w:tc>
          <w:tcPr>
            <w:tcW w:w="8960" w:type="dxa"/>
            <w:vAlign w:val="bottom"/>
            <w:gridSpan w:val="5"/>
          </w:tcPr>
          <w:p>
            <w:pPr>
              <w:ind w:left="520"/>
              <w:spacing w:after="0"/>
              <w:rPr>
                <w:sz w:val="20"/>
                <w:szCs w:val="20"/>
                <w:color w:val="auto"/>
              </w:rPr>
            </w:pPr>
            <w:r>
              <w:rPr>
                <w:rFonts w:ascii="Arial" w:cs="Arial" w:eastAsia="Arial" w:hAnsi="Arial"/>
                <w:sz w:val="16"/>
                <w:szCs w:val="16"/>
                <w:color w:val="auto"/>
              </w:rPr>
              <w:t>3. To hold an advisory vote on executive compensation.</w:t>
            </w:r>
          </w:p>
        </w:tc>
      </w:tr>
      <w:tr>
        <w:trPr>
          <w:trHeight w:val="285"/>
        </w:trPr>
        <w:tc>
          <w:tcPr>
            <w:tcW w:w="1960" w:type="dxa"/>
            <w:vAlign w:val="bottom"/>
          </w:tcPr>
          <w:p>
            <w:pPr>
              <w:spacing w:after="0"/>
              <w:rPr>
                <w:sz w:val="24"/>
                <w:szCs w:val="24"/>
                <w:color w:val="auto"/>
              </w:rPr>
            </w:pPr>
          </w:p>
        </w:tc>
        <w:tc>
          <w:tcPr>
            <w:tcW w:w="8960" w:type="dxa"/>
            <w:vAlign w:val="bottom"/>
            <w:gridSpan w:val="5"/>
          </w:tcPr>
          <w:p>
            <w:pPr>
              <w:ind w:left="520"/>
              <w:spacing w:after="0"/>
              <w:rPr>
                <w:sz w:val="20"/>
                <w:szCs w:val="20"/>
                <w:color w:val="auto"/>
              </w:rPr>
            </w:pPr>
            <w:r>
              <w:rPr>
                <w:rFonts w:ascii="Arial" w:cs="Arial" w:eastAsia="Arial" w:hAnsi="Arial"/>
                <w:sz w:val="16"/>
                <w:szCs w:val="16"/>
                <w:color w:val="auto"/>
              </w:rPr>
              <w:t>4. To transact such other business as may be properly brought before the annual meeting and any adjournments or</w:t>
            </w:r>
          </w:p>
        </w:tc>
      </w:tr>
      <w:tr>
        <w:trPr>
          <w:trHeight w:val="215"/>
        </w:trPr>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20" w:type="dxa"/>
            <w:vAlign w:val="bottom"/>
            <w:gridSpan w:val="4"/>
          </w:tcPr>
          <w:p>
            <w:pPr>
              <w:ind w:left="220"/>
              <w:spacing w:after="0"/>
              <w:rPr>
                <w:sz w:val="20"/>
                <w:szCs w:val="20"/>
                <w:color w:val="auto"/>
              </w:rPr>
            </w:pPr>
            <w:r>
              <w:rPr>
                <w:rFonts w:ascii="Arial" w:cs="Arial" w:eastAsia="Arial" w:hAnsi="Arial"/>
                <w:sz w:val="16"/>
                <w:szCs w:val="16"/>
                <w:color w:val="auto"/>
              </w:rPr>
              <w:t>postponements.</w:t>
            </w:r>
          </w:p>
        </w:tc>
      </w:tr>
      <w:tr>
        <w:trPr>
          <w:trHeight w:val="285"/>
        </w:trPr>
        <w:tc>
          <w:tcPr>
            <w:tcW w:w="1960" w:type="dxa"/>
            <w:vAlign w:val="bottom"/>
          </w:tcPr>
          <w:p>
            <w:pPr>
              <w:spacing w:after="0"/>
              <w:rPr>
                <w:sz w:val="20"/>
                <w:szCs w:val="20"/>
                <w:color w:val="auto"/>
              </w:rPr>
            </w:pPr>
            <w:r>
              <w:rPr>
                <w:rFonts w:ascii="Arial" w:cs="Arial" w:eastAsia="Arial" w:hAnsi="Arial"/>
                <w:sz w:val="16"/>
                <w:szCs w:val="16"/>
                <w:b w:val="1"/>
                <w:bCs w:val="1"/>
                <w:color w:val="1A6DBB"/>
              </w:rPr>
              <w:t>Virtual Meeting:</w:t>
            </w:r>
          </w:p>
        </w:tc>
        <w:tc>
          <w:tcPr>
            <w:tcW w:w="5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To participate in the annual meeting virtually via the Internet, please visit</w:t>
            </w:r>
          </w:p>
        </w:tc>
      </w:tr>
      <w:tr>
        <w:trPr>
          <w:trHeight w:val="176"/>
        </w:trPr>
        <w:tc>
          <w:tcPr>
            <w:tcW w:w="1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4"/>
          </w:tcPr>
          <w:p>
            <w:pPr>
              <w:spacing w:after="0" w:line="176" w:lineRule="exact"/>
              <w:rPr>
                <w:sz w:val="20"/>
                <w:szCs w:val="20"/>
                <w:color w:val="auto"/>
              </w:rPr>
            </w:pPr>
            <w:r>
              <w:rPr>
                <w:rFonts w:ascii="Arial" w:cs="Arial" w:eastAsia="Arial" w:hAnsi="Arial"/>
                <w:sz w:val="16"/>
                <w:szCs w:val="16"/>
                <w:color w:val="auto"/>
              </w:rPr>
              <w:t>www.virtualshareholdermeeting.com/BIIB2022. You will need the 16-digit control number included on your Notice of</w:t>
            </w:r>
          </w:p>
        </w:tc>
      </w:tr>
      <w:tr>
        <w:trPr>
          <w:trHeight w:val="182"/>
        </w:trPr>
        <w:tc>
          <w:tcPr>
            <w:tcW w:w="1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2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color w:val="auto"/>
              </w:rPr>
              <w:t>Internet Availability of Proxy Materials or your</w:t>
            </w:r>
          </w:p>
        </w:tc>
        <w:tc>
          <w:tcPr>
            <w:tcW w:w="5100" w:type="dxa"/>
            <w:vAlign w:val="bottom"/>
            <w:gridSpan w:val="2"/>
          </w:tcPr>
          <w:p>
            <w:pPr>
              <w:spacing w:after="0" w:line="182" w:lineRule="exact"/>
              <w:rPr>
                <w:sz w:val="20"/>
                <w:szCs w:val="20"/>
                <w:color w:val="auto"/>
              </w:rPr>
            </w:pPr>
            <w:r>
              <w:rPr>
                <w:rFonts w:ascii="Arial" w:cs="Arial" w:eastAsia="Arial" w:hAnsi="Arial"/>
                <w:sz w:val="16"/>
                <w:szCs w:val="16"/>
                <w:color w:val="auto"/>
              </w:rPr>
              <w:t>proxy card or voting instruction form that accompanied your proxy</w:t>
            </w:r>
          </w:p>
        </w:tc>
      </w:tr>
      <w:tr>
        <w:trPr>
          <w:trHeight w:val="189"/>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materials. Stockholders will be able to vote and submit questions during the annual meeting with the 16-digit control</w:t>
            </w:r>
          </w:p>
        </w:tc>
      </w:tr>
      <w:tr>
        <w:trPr>
          <w:trHeight w:val="215"/>
        </w:trPr>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20" w:type="dxa"/>
            <w:vAlign w:val="bottom"/>
            <w:gridSpan w:val="4"/>
          </w:tcPr>
          <w:p>
            <w:pPr>
              <w:spacing w:after="0"/>
              <w:rPr>
                <w:sz w:val="20"/>
                <w:szCs w:val="20"/>
                <w:color w:val="auto"/>
              </w:rPr>
            </w:pPr>
            <w:r>
              <w:rPr>
                <w:rFonts w:ascii="Arial" w:cs="Arial" w:eastAsia="Arial" w:hAnsi="Arial"/>
                <w:sz w:val="16"/>
                <w:szCs w:val="16"/>
                <w:color w:val="auto"/>
              </w:rPr>
              <w:t>number.</w:t>
            </w:r>
          </w:p>
        </w:tc>
      </w:tr>
      <w:tr>
        <w:trPr>
          <w:trHeight w:val="318"/>
        </w:trPr>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You will not be able to attend the annual meeting in person.</w:t>
            </w:r>
          </w:p>
        </w:tc>
      </w:tr>
      <w:tr>
        <w:trPr>
          <w:trHeight w:val="277"/>
        </w:trPr>
        <w:tc>
          <w:tcPr>
            <w:tcW w:w="1960" w:type="dxa"/>
            <w:vAlign w:val="bottom"/>
          </w:tcPr>
          <w:p>
            <w:pPr>
              <w:spacing w:after="0"/>
              <w:rPr>
                <w:sz w:val="20"/>
                <w:szCs w:val="20"/>
                <w:color w:val="auto"/>
              </w:rPr>
            </w:pPr>
            <w:r>
              <w:rPr>
                <w:rFonts w:ascii="Arial" w:cs="Arial" w:eastAsia="Arial" w:hAnsi="Arial"/>
                <w:sz w:val="16"/>
                <w:szCs w:val="16"/>
                <w:b w:val="1"/>
                <w:bCs w:val="1"/>
                <w:color w:val="1A6DBB"/>
              </w:rPr>
              <w:t>Voting:</w:t>
            </w:r>
          </w:p>
        </w:tc>
        <w:tc>
          <w:tcPr>
            <w:tcW w:w="540" w:type="dxa"/>
            <w:vAlign w:val="bottom"/>
          </w:tcPr>
          <w:p>
            <w:pPr>
              <w:spacing w:after="0"/>
              <w:rPr>
                <w:sz w:val="24"/>
                <w:szCs w:val="24"/>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Your vote is extremely important regardless of the number of shares you own. Whether or not you expect to</w:t>
            </w:r>
          </w:p>
        </w:tc>
      </w:tr>
      <w:tr>
        <w:trPr>
          <w:trHeight w:val="189"/>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attend the annual meeting online, we urge you to vote as promptly as possible by telephone or Internet or by</w:t>
            </w:r>
          </w:p>
        </w:tc>
      </w:tr>
      <w:tr>
        <w:trPr>
          <w:trHeight w:val="189"/>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signing, dating and returning a printed proxy card or voting instruction form, as applicable. If you attend the</w:t>
            </w:r>
          </w:p>
        </w:tc>
      </w:tr>
      <w:tr>
        <w:trPr>
          <w:trHeight w:val="189"/>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annual meeting online, you may vote your shares during the annual meeting virtually via the Internet even if</w:t>
            </w:r>
          </w:p>
        </w:tc>
      </w:tr>
      <w:tr>
        <w:trPr>
          <w:trHeight w:val="189"/>
        </w:trPr>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you previously voted your proxy. Please vote as soon as possible to ensure that your shares will be</w:t>
            </w:r>
          </w:p>
        </w:tc>
      </w:tr>
      <w:tr>
        <w:trPr>
          <w:trHeight w:val="223"/>
        </w:trPr>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20" w:type="dxa"/>
            <w:vAlign w:val="bottom"/>
            <w:gridSpan w:val="4"/>
          </w:tcPr>
          <w:p>
            <w:pPr>
              <w:spacing w:after="0"/>
              <w:rPr>
                <w:sz w:val="20"/>
                <w:szCs w:val="20"/>
                <w:color w:val="auto"/>
              </w:rPr>
            </w:pPr>
            <w:r>
              <w:rPr>
                <w:rFonts w:ascii="Arial" w:cs="Arial" w:eastAsia="Arial" w:hAnsi="Arial"/>
                <w:sz w:val="16"/>
                <w:szCs w:val="16"/>
                <w:b w:val="1"/>
                <w:bCs w:val="1"/>
                <w:color w:val="auto"/>
              </w:rPr>
              <w:t>represented and counted at the 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128905</wp:posOffset>
            </wp:positionV>
            <wp:extent cx="702056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0560" cy="608330"/>
                    </a:xfrm>
                    <a:prstGeom prst="rect">
                      <a:avLst/>
                    </a:prstGeom>
                    <a:noFill/>
                  </pic:spPr>
                </pic:pic>
              </a:graphicData>
            </a:graphic>
          </wp:anchor>
        </w:drawing>
      </w: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Important Notice Regarding the Availability of Proxy Materials for Annual Meeting of Stockholders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To Be Held on June 15, 2022:</w:t>
      </w:r>
    </w:p>
    <w:p>
      <w:pPr>
        <w:spacing w:after="0" w:line="5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Notice of 2022 Annual Meeting of Stockholders, Proxy Statement and 2021 Annual Report on Form 10-K</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 xml:space="preserve">are available at the following website: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920240"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024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USAN</w:t>
      </w:r>
      <w:r>
        <w:rPr>
          <w:rFonts w:ascii="Arial" w:cs="Arial" w:eastAsia="Arial" w:hAnsi="Arial"/>
          <w:sz w:val="16"/>
          <w:szCs w:val="16"/>
          <w:color w:val="auto"/>
        </w:rPr>
        <w:t xml:space="preserve"> H. A</w:t>
      </w:r>
      <w:r>
        <w:rPr>
          <w:rFonts w:ascii="Arial" w:cs="Arial" w:eastAsia="Arial" w:hAnsi="Arial"/>
          <w:sz w:val="13"/>
          <w:szCs w:val="13"/>
          <w:color w:val="auto"/>
        </w:rPr>
        <w:t>LEXANDER</w:t>
      </w:r>
      <w:r>
        <w:rPr>
          <w:rFonts w:ascii="Arial" w:cs="Arial" w:eastAsia="Arial" w:hAnsi="Arial"/>
          <w:sz w:val="16"/>
          <w:szCs w:val="16"/>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Secretary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225 Binney Street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Cambridge, Massachusetts 02142</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29, 2022</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1A6DBB"/>
        </w:rPr>
        <w:t>This Notice and Proxy Statement are first being sent to stockholders on or about April 29, 2022.</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1A6DBB"/>
        </w:rPr>
        <w:t>Our 2021 Annual Report on Form 10-K is being sent with this Notice and Proxy Statement.</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358140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0" w:type="dxa"/>
            <w:vAlign w:val="bottom"/>
          </w:tcPr>
          <w:p>
            <w:pPr>
              <w:spacing w:after="0"/>
              <w:rPr>
                <w:sz w:val="24"/>
                <w:szCs w:val="24"/>
                <w:color w:val="auto"/>
              </w:rPr>
            </w:pPr>
          </w:p>
        </w:tc>
        <w:tc>
          <w:tcPr>
            <w:tcW w:w="2800" w:type="dxa"/>
            <w:vAlign w:val="bottom"/>
            <w:tcBorders>
              <w:bottom w:val="single" w:sz="8" w:color="0000EE"/>
            </w:tcBorders>
            <w:gridSpan w:val="7"/>
          </w:tcPr>
          <w:p>
            <w:pPr>
              <w:spacing w:after="0"/>
              <w:rPr>
                <w:sz w:val="20"/>
                <w:szCs w:val="20"/>
                <w:color w:val="auto"/>
              </w:rPr>
            </w:pPr>
            <w:r>
              <w:rPr>
                <w:rFonts w:ascii="Arial" w:cs="Arial" w:eastAsia="Arial" w:hAnsi="Arial"/>
                <w:sz w:val="23"/>
                <w:szCs w:val="23"/>
                <w:color w:val="0000EE"/>
              </w:rPr>
              <w:t>Proxy Statement Summary</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1A6DBB"/>
              </w:rPr>
              <w:t>iii</w:t>
            </w:r>
          </w:p>
        </w:tc>
        <w:tc>
          <w:tcPr>
            <w:tcW w:w="0" w:type="dxa"/>
            <w:vAlign w:val="bottom"/>
          </w:tcPr>
          <w:p>
            <w:pPr>
              <w:spacing w:after="0"/>
              <w:rPr>
                <w:sz w:val="1"/>
                <w:szCs w:val="1"/>
                <w:color w:val="auto"/>
              </w:rPr>
            </w:pPr>
          </w:p>
        </w:tc>
      </w:tr>
      <w:tr>
        <w:trPr>
          <w:trHeight w:val="34"/>
        </w:trPr>
        <w:tc>
          <w:tcPr>
            <w:tcW w:w="12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104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90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320" w:type="dxa"/>
            <w:vAlign w:val="bottom"/>
            <w:tcBorders>
              <w:bottom w:val="single" w:sz="8" w:color="1A6DBB"/>
            </w:tcBorders>
          </w:tcPr>
          <w:p>
            <w:pPr>
              <w:spacing w:after="0"/>
              <w:rPr>
                <w:sz w:val="2"/>
                <w:szCs w:val="2"/>
                <w:color w:val="auto"/>
              </w:rPr>
            </w:pPr>
          </w:p>
        </w:tc>
        <w:tc>
          <w:tcPr>
            <w:tcW w:w="300" w:type="dxa"/>
            <w:vAlign w:val="bottom"/>
            <w:tcBorders>
              <w:bottom w:val="single" w:sz="8" w:color="1A6DBB"/>
            </w:tcBorders>
          </w:tcPr>
          <w:p>
            <w:pPr>
              <w:spacing w:after="0"/>
              <w:rPr>
                <w:sz w:val="2"/>
                <w:szCs w:val="2"/>
                <w:color w:val="auto"/>
              </w:rPr>
            </w:pPr>
          </w:p>
        </w:tc>
        <w:tc>
          <w:tcPr>
            <w:tcW w:w="320" w:type="dxa"/>
            <w:vAlign w:val="bottom"/>
            <w:tcBorders>
              <w:bottom w:val="single" w:sz="8" w:color="1A6DBB"/>
            </w:tcBorders>
          </w:tcPr>
          <w:p>
            <w:pPr>
              <w:spacing w:after="0"/>
              <w:rPr>
                <w:sz w:val="2"/>
                <w:szCs w:val="2"/>
                <w:color w:val="auto"/>
              </w:rPr>
            </w:pPr>
          </w:p>
        </w:tc>
        <w:tc>
          <w:tcPr>
            <w:tcW w:w="24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20" w:type="dxa"/>
            <w:vAlign w:val="bottom"/>
            <w:tcBorders>
              <w:bottom w:val="single" w:sz="8" w:color="1A6DBB"/>
            </w:tcBorders>
          </w:tcPr>
          <w:p>
            <w:pPr>
              <w:spacing w:after="0"/>
              <w:rPr>
                <w:sz w:val="2"/>
                <w:szCs w:val="2"/>
                <w:color w:val="auto"/>
              </w:rPr>
            </w:pPr>
          </w:p>
        </w:tc>
        <w:tc>
          <w:tcPr>
            <w:tcW w:w="520" w:type="dxa"/>
            <w:vAlign w:val="bottom"/>
            <w:tcBorders>
              <w:bottom w:val="single" w:sz="8" w:color="1A6DBB"/>
            </w:tcBorders>
          </w:tcPr>
          <w:p>
            <w:pPr>
              <w:spacing w:after="0"/>
              <w:rPr>
                <w:sz w:val="2"/>
                <w:szCs w:val="2"/>
                <w:color w:val="auto"/>
              </w:rPr>
            </w:pPr>
          </w:p>
        </w:tc>
        <w:tc>
          <w:tcPr>
            <w:tcW w:w="28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1000" w:type="dxa"/>
            <w:vAlign w:val="bottom"/>
            <w:tcBorders>
              <w:bottom w:val="single" w:sz="8" w:color="1A6DBB"/>
            </w:tcBorders>
          </w:tcPr>
          <w:p>
            <w:pPr>
              <w:spacing w:after="0"/>
              <w:rPr>
                <w:sz w:val="2"/>
                <w:szCs w:val="2"/>
                <w:color w:val="auto"/>
              </w:rPr>
            </w:pPr>
          </w:p>
        </w:tc>
        <w:tc>
          <w:tcPr>
            <w:tcW w:w="36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300" w:type="dxa"/>
            <w:vAlign w:val="bottom"/>
            <w:tcBorders>
              <w:bottom w:val="single" w:sz="8" w:color="1A6DBB"/>
            </w:tcBorders>
          </w:tcPr>
          <w:p>
            <w:pPr>
              <w:spacing w:after="0"/>
              <w:rPr>
                <w:sz w:val="2"/>
                <w:szCs w:val="2"/>
                <w:color w:val="auto"/>
              </w:rPr>
            </w:pPr>
          </w:p>
        </w:tc>
        <w:tc>
          <w:tcPr>
            <w:tcW w:w="10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220" w:type="dxa"/>
            <w:vAlign w:val="bottom"/>
            <w:tcBorders>
              <w:bottom w:val="single" w:sz="8" w:color="1A6DBB"/>
            </w:tcBorders>
          </w:tcPr>
          <w:p>
            <w:pPr>
              <w:spacing w:after="0"/>
              <w:rPr>
                <w:sz w:val="2"/>
                <w:szCs w:val="2"/>
                <w:color w:val="auto"/>
              </w:rPr>
            </w:pPr>
          </w:p>
        </w:tc>
        <w:tc>
          <w:tcPr>
            <w:tcW w:w="480" w:type="dxa"/>
            <w:vAlign w:val="bottom"/>
            <w:tcBorders>
              <w:bottom w:val="single" w:sz="8" w:color="1A6DBB"/>
            </w:tcBorders>
          </w:tcPr>
          <w:p>
            <w:pPr>
              <w:spacing w:after="0"/>
              <w:rPr>
                <w:sz w:val="2"/>
                <w:szCs w:val="2"/>
                <w:color w:val="auto"/>
              </w:rPr>
            </w:pPr>
          </w:p>
        </w:tc>
        <w:tc>
          <w:tcPr>
            <w:tcW w:w="280" w:type="dxa"/>
            <w:vAlign w:val="bottom"/>
            <w:tcBorders>
              <w:bottom w:val="single" w:sz="8" w:color="1A6DBB"/>
            </w:tcBorders>
          </w:tcPr>
          <w:p>
            <w:pPr>
              <w:spacing w:after="0"/>
              <w:rPr>
                <w:sz w:val="2"/>
                <w:szCs w:val="2"/>
                <w:color w:val="auto"/>
              </w:rPr>
            </w:pPr>
          </w:p>
        </w:tc>
        <w:tc>
          <w:tcPr>
            <w:tcW w:w="52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1740" w:type="dxa"/>
            <w:vAlign w:val="bottom"/>
            <w:tcBorders>
              <w:bottom w:val="single" w:sz="8" w:color="1A6DBB"/>
            </w:tcBorders>
          </w:tcPr>
          <w:p>
            <w:pPr>
              <w:spacing w:after="0"/>
              <w:rPr>
                <w:sz w:val="2"/>
                <w:szCs w:val="2"/>
                <w:color w:val="auto"/>
              </w:rPr>
            </w:pPr>
          </w:p>
        </w:tc>
        <w:tc>
          <w:tcPr>
            <w:tcW w:w="600" w:type="dxa"/>
            <w:vAlign w:val="bottom"/>
            <w:tcBorders>
              <w:bottom w:val="single" w:sz="8" w:color="1A6DBB"/>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gridSpan w:val="3"/>
            <w:vMerge w:val="restart"/>
            <w:shd w:val="clear" w:color="auto" w:fill="E8F0F8"/>
          </w:tcPr>
          <w:p>
            <w:pPr>
              <w:jc w:val="right"/>
              <w:ind w:right="260"/>
              <w:spacing w:after="0" w:line="1532" w:lineRule="exact"/>
              <w:rPr>
                <w:sz w:val="20"/>
                <w:szCs w:val="20"/>
                <w:color w:val="auto"/>
              </w:rPr>
            </w:pPr>
            <w:r>
              <w:rPr>
                <w:rFonts w:ascii="Arial" w:cs="Arial" w:eastAsia="Arial" w:hAnsi="Arial"/>
                <w:sz w:val="144"/>
                <w:szCs w:val="144"/>
                <w:color w:val="1A6DBB"/>
              </w:rPr>
              <w:t>1</w:t>
            </w:r>
          </w:p>
        </w:tc>
        <w:tc>
          <w:tcPr>
            <w:tcW w:w="40" w:type="dxa"/>
            <w:vAlign w:val="bottom"/>
            <w:shd w:val="clear" w:color="auto" w:fill="E8F0F8"/>
          </w:tcPr>
          <w:p>
            <w:pPr>
              <w:spacing w:after="0"/>
              <w:rPr>
                <w:sz w:val="12"/>
                <w:szCs w:val="12"/>
                <w:color w:val="auto"/>
              </w:rPr>
            </w:pPr>
          </w:p>
        </w:tc>
        <w:tc>
          <w:tcPr>
            <w:tcW w:w="3080" w:type="dxa"/>
            <w:vAlign w:val="bottom"/>
            <w:gridSpan w:val="11"/>
            <w:shd w:val="clear" w:color="auto" w:fill="E8F0F8"/>
          </w:tcPr>
          <w:p>
            <w:pPr>
              <w:spacing w:after="0" w:line="142" w:lineRule="exact"/>
              <w:rPr>
                <w:sz w:val="20"/>
                <w:szCs w:val="20"/>
                <w:color w:val="auto"/>
              </w:rPr>
            </w:pPr>
            <w:r>
              <w:rPr>
                <w:rFonts w:ascii="Arial" w:cs="Arial" w:eastAsia="Arial" w:hAnsi="Arial"/>
                <w:sz w:val="16"/>
                <w:szCs w:val="16"/>
                <w:color w:val="0000EE"/>
              </w:rPr>
              <w:t>General Information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1A6DBB"/>
              </w:rPr>
              <w:t>1</w:t>
            </w:r>
          </w:p>
        </w:tc>
        <w:tc>
          <w:tcPr>
            <w:tcW w:w="0" w:type="dxa"/>
            <w:vAlign w:val="bottom"/>
          </w:tcPr>
          <w:p>
            <w:pPr>
              <w:spacing w:after="0"/>
              <w:rPr>
                <w:sz w:val="1"/>
                <w:szCs w:val="1"/>
                <w:color w:val="auto"/>
              </w:rPr>
            </w:pPr>
          </w:p>
        </w:tc>
      </w:tr>
      <w:tr>
        <w:trPr>
          <w:trHeight w:val="66"/>
        </w:trPr>
        <w:tc>
          <w:tcPr>
            <w:tcW w:w="1300" w:type="dxa"/>
            <w:vAlign w:val="bottom"/>
            <w:gridSpan w:val="3"/>
            <w:vMerge w:val="continue"/>
            <w:shd w:val="clear" w:color="auto" w:fill="E8F0F8"/>
          </w:tcPr>
          <w:p>
            <w:pPr>
              <w:spacing w:after="0"/>
              <w:rPr>
                <w:sz w:val="5"/>
                <w:szCs w:val="5"/>
                <w:color w:val="auto"/>
              </w:rPr>
            </w:pPr>
          </w:p>
        </w:tc>
        <w:tc>
          <w:tcPr>
            <w:tcW w:w="40" w:type="dxa"/>
            <w:vAlign w:val="bottom"/>
            <w:shd w:val="clear" w:color="auto" w:fill="E8F0F8"/>
          </w:tcPr>
          <w:p>
            <w:pPr>
              <w:spacing w:after="0"/>
              <w:rPr>
                <w:sz w:val="5"/>
                <w:szCs w:val="5"/>
                <w:color w:val="auto"/>
              </w:rPr>
            </w:pPr>
          </w:p>
        </w:tc>
        <w:tc>
          <w:tcPr>
            <w:tcW w:w="900" w:type="dxa"/>
            <w:vAlign w:val="bottom"/>
            <w:shd w:val="clear" w:color="auto" w:fill="E8F0F8"/>
          </w:tcPr>
          <w:p>
            <w:pPr>
              <w:spacing w:after="0"/>
              <w:rPr>
                <w:sz w:val="5"/>
                <w:szCs w:val="5"/>
                <w:color w:val="auto"/>
              </w:rPr>
            </w:pPr>
          </w:p>
        </w:tc>
        <w:tc>
          <w:tcPr>
            <w:tcW w:w="60" w:type="dxa"/>
            <w:vAlign w:val="bottom"/>
            <w:shd w:val="clear" w:color="auto" w:fill="E8F0F8"/>
          </w:tcPr>
          <w:p>
            <w:pPr>
              <w:spacing w:after="0"/>
              <w:rPr>
                <w:sz w:val="5"/>
                <w:szCs w:val="5"/>
                <w:color w:val="auto"/>
              </w:rPr>
            </w:pPr>
          </w:p>
        </w:tc>
        <w:tc>
          <w:tcPr>
            <w:tcW w:w="320" w:type="dxa"/>
            <w:vAlign w:val="bottom"/>
            <w:shd w:val="clear" w:color="auto" w:fill="E8F0F8"/>
          </w:tcPr>
          <w:p>
            <w:pPr>
              <w:spacing w:after="0"/>
              <w:rPr>
                <w:sz w:val="5"/>
                <w:szCs w:val="5"/>
                <w:color w:val="auto"/>
              </w:rPr>
            </w:pPr>
          </w:p>
        </w:tc>
        <w:tc>
          <w:tcPr>
            <w:tcW w:w="300" w:type="dxa"/>
            <w:vAlign w:val="bottom"/>
            <w:shd w:val="clear" w:color="auto" w:fill="E8F0F8"/>
          </w:tcPr>
          <w:p>
            <w:pPr>
              <w:spacing w:after="0"/>
              <w:rPr>
                <w:sz w:val="5"/>
                <w:szCs w:val="5"/>
                <w:color w:val="auto"/>
              </w:rPr>
            </w:pPr>
          </w:p>
        </w:tc>
        <w:tc>
          <w:tcPr>
            <w:tcW w:w="320" w:type="dxa"/>
            <w:vAlign w:val="bottom"/>
            <w:shd w:val="clear" w:color="auto" w:fill="E8F0F8"/>
          </w:tcPr>
          <w:p>
            <w:pPr>
              <w:spacing w:after="0"/>
              <w:rPr>
                <w:sz w:val="5"/>
                <w:szCs w:val="5"/>
                <w:color w:val="auto"/>
              </w:rPr>
            </w:pPr>
          </w:p>
        </w:tc>
        <w:tc>
          <w:tcPr>
            <w:tcW w:w="240" w:type="dxa"/>
            <w:vAlign w:val="bottom"/>
            <w:shd w:val="clear" w:color="auto" w:fill="E8F0F8"/>
          </w:tcPr>
          <w:p>
            <w:pPr>
              <w:spacing w:after="0"/>
              <w:rPr>
                <w:sz w:val="5"/>
                <w:szCs w:val="5"/>
                <w:color w:val="auto"/>
              </w:rPr>
            </w:pPr>
          </w:p>
        </w:tc>
        <w:tc>
          <w:tcPr>
            <w:tcW w:w="40" w:type="dxa"/>
            <w:vAlign w:val="bottom"/>
            <w:shd w:val="clear" w:color="auto" w:fill="E8F0F8"/>
          </w:tcPr>
          <w:p>
            <w:pPr>
              <w:spacing w:after="0"/>
              <w:rPr>
                <w:sz w:val="5"/>
                <w:szCs w:val="5"/>
                <w:color w:val="auto"/>
              </w:rPr>
            </w:pPr>
          </w:p>
        </w:tc>
        <w:tc>
          <w:tcPr>
            <w:tcW w:w="140" w:type="dxa"/>
            <w:vAlign w:val="bottom"/>
            <w:shd w:val="clear" w:color="auto" w:fill="E8F0F8"/>
          </w:tcPr>
          <w:p>
            <w:pPr>
              <w:spacing w:after="0"/>
              <w:rPr>
                <w:sz w:val="5"/>
                <w:szCs w:val="5"/>
                <w:color w:val="auto"/>
              </w:rPr>
            </w:pPr>
          </w:p>
        </w:tc>
        <w:tc>
          <w:tcPr>
            <w:tcW w:w="20" w:type="dxa"/>
            <w:vAlign w:val="bottom"/>
            <w:shd w:val="clear" w:color="auto" w:fill="E8F0F8"/>
          </w:tcPr>
          <w:p>
            <w:pPr>
              <w:spacing w:after="0"/>
              <w:rPr>
                <w:sz w:val="5"/>
                <w:szCs w:val="5"/>
                <w:color w:val="auto"/>
              </w:rPr>
            </w:pPr>
          </w:p>
        </w:tc>
        <w:tc>
          <w:tcPr>
            <w:tcW w:w="220" w:type="dxa"/>
            <w:vAlign w:val="bottom"/>
            <w:shd w:val="clear" w:color="auto" w:fill="E8F0F8"/>
          </w:tcPr>
          <w:p>
            <w:pPr>
              <w:spacing w:after="0"/>
              <w:rPr>
                <w:sz w:val="5"/>
                <w:szCs w:val="5"/>
                <w:color w:val="auto"/>
              </w:rPr>
            </w:pPr>
          </w:p>
        </w:tc>
        <w:tc>
          <w:tcPr>
            <w:tcW w:w="520" w:type="dxa"/>
            <w:vAlign w:val="bottom"/>
            <w:shd w:val="clear" w:color="auto" w:fill="E8F0F8"/>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300" w:type="dxa"/>
            <w:vAlign w:val="bottom"/>
            <w:gridSpan w:val="3"/>
            <w:vMerge w:val="continue"/>
            <w:shd w:val="clear" w:color="auto" w:fill="E8F0F8"/>
          </w:tcPr>
          <w:p>
            <w:pPr>
              <w:spacing w:after="0"/>
              <w:rPr>
                <w:sz w:val="6"/>
                <w:szCs w:val="6"/>
                <w:color w:val="auto"/>
              </w:rPr>
            </w:pPr>
          </w:p>
        </w:tc>
        <w:tc>
          <w:tcPr>
            <w:tcW w:w="40" w:type="dxa"/>
            <w:vAlign w:val="bottom"/>
            <w:shd w:val="clear" w:color="auto" w:fill="E8F0F8"/>
          </w:tcPr>
          <w:p>
            <w:pPr>
              <w:spacing w:after="0"/>
              <w:rPr>
                <w:sz w:val="6"/>
                <w:szCs w:val="6"/>
                <w:color w:val="auto"/>
              </w:rPr>
            </w:pPr>
          </w:p>
        </w:tc>
        <w:tc>
          <w:tcPr>
            <w:tcW w:w="900" w:type="dxa"/>
            <w:vAlign w:val="bottom"/>
            <w:shd w:val="clear" w:color="auto" w:fill="E8F0F8"/>
          </w:tcPr>
          <w:p>
            <w:pPr>
              <w:spacing w:after="0"/>
              <w:rPr>
                <w:sz w:val="6"/>
                <w:szCs w:val="6"/>
                <w:color w:val="auto"/>
              </w:rPr>
            </w:pPr>
          </w:p>
        </w:tc>
        <w:tc>
          <w:tcPr>
            <w:tcW w:w="60" w:type="dxa"/>
            <w:vAlign w:val="bottom"/>
            <w:shd w:val="clear" w:color="auto" w:fill="E8F0F8"/>
          </w:tcPr>
          <w:p>
            <w:pPr>
              <w:spacing w:after="0"/>
              <w:rPr>
                <w:sz w:val="6"/>
                <w:szCs w:val="6"/>
                <w:color w:val="auto"/>
              </w:rPr>
            </w:pPr>
          </w:p>
        </w:tc>
        <w:tc>
          <w:tcPr>
            <w:tcW w:w="320" w:type="dxa"/>
            <w:vAlign w:val="bottom"/>
            <w:shd w:val="clear" w:color="auto" w:fill="E8F0F8"/>
          </w:tcPr>
          <w:p>
            <w:pPr>
              <w:spacing w:after="0"/>
              <w:rPr>
                <w:sz w:val="6"/>
                <w:szCs w:val="6"/>
                <w:color w:val="auto"/>
              </w:rPr>
            </w:pPr>
          </w:p>
        </w:tc>
        <w:tc>
          <w:tcPr>
            <w:tcW w:w="620" w:type="dxa"/>
            <w:vAlign w:val="bottom"/>
            <w:gridSpan w:val="2"/>
            <w:shd w:val="clear" w:color="auto" w:fill="E8F0F8"/>
          </w:tcPr>
          <w:p>
            <w:pPr>
              <w:spacing w:after="0"/>
              <w:rPr>
                <w:sz w:val="6"/>
                <w:szCs w:val="6"/>
                <w:color w:val="auto"/>
              </w:rPr>
            </w:pPr>
          </w:p>
        </w:tc>
        <w:tc>
          <w:tcPr>
            <w:tcW w:w="240" w:type="dxa"/>
            <w:vAlign w:val="bottom"/>
            <w:shd w:val="clear" w:color="auto" w:fill="E8F0F8"/>
          </w:tcPr>
          <w:p>
            <w:pPr>
              <w:spacing w:after="0"/>
              <w:rPr>
                <w:sz w:val="6"/>
                <w:szCs w:val="6"/>
                <w:color w:val="auto"/>
              </w:rPr>
            </w:pPr>
          </w:p>
        </w:tc>
        <w:tc>
          <w:tcPr>
            <w:tcW w:w="40" w:type="dxa"/>
            <w:vAlign w:val="bottom"/>
            <w:shd w:val="clear" w:color="auto" w:fill="E8F0F8"/>
          </w:tcPr>
          <w:p>
            <w:pPr>
              <w:spacing w:after="0"/>
              <w:rPr>
                <w:sz w:val="6"/>
                <w:szCs w:val="6"/>
                <w:color w:val="auto"/>
              </w:rPr>
            </w:pPr>
          </w:p>
        </w:tc>
        <w:tc>
          <w:tcPr>
            <w:tcW w:w="140" w:type="dxa"/>
            <w:vAlign w:val="bottom"/>
            <w:shd w:val="clear" w:color="auto" w:fill="E8F0F8"/>
          </w:tcPr>
          <w:p>
            <w:pPr>
              <w:spacing w:after="0"/>
              <w:rPr>
                <w:sz w:val="6"/>
                <w:szCs w:val="6"/>
                <w:color w:val="auto"/>
              </w:rPr>
            </w:pPr>
          </w:p>
        </w:tc>
        <w:tc>
          <w:tcPr>
            <w:tcW w:w="20" w:type="dxa"/>
            <w:vAlign w:val="bottom"/>
            <w:shd w:val="clear" w:color="auto" w:fill="E8F0F8"/>
          </w:tcPr>
          <w:p>
            <w:pPr>
              <w:spacing w:after="0"/>
              <w:rPr>
                <w:sz w:val="6"/>
                <w:szCs w:val="6"/>
                <w:color w:val="auto"/>
              </w:rPr>
            </w:pPr>
          </w:p>
        </w:tc>
        <w:tc>
          <w:tcPr>
            <w:tcW w:w="740" w:type="dxa"/>
            <w:vAlign w:val="bottom"/>
            <w:gridSpan w:val="2"/>
            <w:shd w:val="clear" w:color="auto" w:fill="E8F0F8"/>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300" w:type="dxa"/>
            <w:vAlign w:val="bottom"/>
            <w:tcBorders>
              <w:top w:val="single" w:sz="8" w:color="E8F0F8"/>
              <w:bottom w:val="single" w:sz="8" w:color="E8F0F8"/>
            </w:tcBorders>
            <w:gridSpan w:val="3"/>
            <w:vMerge w:val="continue"/>
            <w:shd w:val="clear" w:color="auto" w:fill="E8F0F8"/>
          </w:tcPr>
          <w:p>
            <w:pPr>
              <w:spacing w:after="0"/>
              <w:rPr>
                <w:sz w:val="24"/>
                <w:szCs w:val="24"/>
                <w:color w:val="auto"/>
              </w:rPr>
            </w:pPr>
          </w:p>
        </w:tc>
        <w:tc>
          <w:tcPr>
            <w:tcW w:w="40" w:type="dxa"/>
            <w:vAlign w:val="bottom"/>
            <w:tcBorders>
              <w:top w:val="single" w:sz="8" w:color="E8F0F8"/>
              <w:bottom w:val="single" w:sz="8" w:color="E8F0F8"/>
            </w:tcBorders>
            <w:shd w:val="clear" w:color="auto" w:fill="E8F0F8"/>
          </w:tcPr>
          <w:p>
            <w:pPr>
              <w:spacing w:after="0"/>
              <w:rPr>
                <w:sz w:val="24"/>
                <w:szCs w:val="24"/>
                <w:color w:val="auto"/>
              </w:rPr>
            </w:pPr>
          </w:p>
        </w:tc>
        <w:tc>
          <w:tcPr>
            <w:tcW w:w="2340" w:type="dxa"/>
            <w:vAlign w:val="bottom"/>
            <w:tcBorders>
              <w:top w:val="single" w:sz="8" w:color="0000EE"/>
              <w:bottom w:val="single" w:sz="8" w:color="0000EE"/>
            </w:tcBorders>
            <w:gridSpan w:val="9"/>
            <w:shd w:val="clear" w:color="auto" w:fill="E8F0F8"/>
          </w:tcPr>
          <w:p>
            <w:pPr>
              <w:spacing w:after="0" w:line="291" w:lineRule="exact"/>
              <w:rPr>
                <w:sz w:val="20"/>
                <w:szCs w:val="20"/>
                <w:color w:val="auto"/>
              </w:rPr>
            </w:pPr>
            <w:r>
              <w:rPr>
                <w:rFonts w:ascii="Arial" w:cs="Arial" w:eastAsia="Arial" w:hAnsi="Arial"/>
                <w:sz w:val="29"/>
                <w:szCs w:val="29"/>
                <w:color w:val="0000EE"/>
                <w:w w:val="98"/>
              </w:rPr>
              <w:t>About the Meeting</w:t>
            </w:r>
          </w:p>
        </w:tc>
        <w:tc>
          <w:tcPr>
            <w:tcW w:w="220" w:type="dxa"/>
            <w:vAlign w:val="bottom"/>
            <w:tcBorders>
              <w:top w:val="single" w:sz="8" w:color="0000EE"/>
              <w:bottom w:val="single" w:sz="8" w:color="0000EE"/>
            </w:tcBorders>
            <w:vMerge w:val="restart"/>
            <w:shd w:val="clear" w:color="auto" w:fill="E8F0F8"/>
          </w:tcPr>
          <w:p>
            <w:pPr>
              <w:spacing w:after="0"/>
              <w:rPr>
                <w:sz w:val="24"/>
                <w:szCs w:val="24"/>
                <w:color w:val="auto"/>
              </w:rPr>
            </w:pPr>
          </w:p>
        </w:tc>
        <w:tc>
          <w:tcPr>
            <w:tcW w:w="520" w:type="dxa"/>
            <w:vAlign w:val="bottom"/>
            <w:tcBorders>
              <w:top w:val="single" w:sz="8" w:color="E8F0F8"/>
              <w:bottom w:val="single" w:sz="8" w:color="E8F0F8"/>
            </w:tcBorders>
            <w:shd w:val="clear" w:color="auto" w:fill="E8F0F8"/>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1300" w:type="dxa"/>
            <w:vAlign w:val="bottom"/>
            <w:gridSpan w:val="3"/>
            <w:vMerge w:val="continue"/>
            <w:shd w:val="clear" w:color="auto" w:fill="E8F0F8"/>
          </w:tcPr>
          <w:p>
            <w:pPr>
              <w:spacing w:after="0"/>
              <w:rPr>
                <w:sz w:val="24"/>
                <w:szCs w:val="24"/>
                <w:color w:val="auto"/>
              </w:rPr>
            </w:pPr>
          </w:p>
        </w:tc>
        <w:tc>
          <w:tcPr>
            <w:tcW w:w="40" w:type="dxa"/>
            <w:vAlign w:val="bottom"/>
            <w:shd w:val="clear" w:color="auto" w:fill="E8F0F8"/>
          </w:tcPr>
          <w:p>
            <w:pPr>
              <w:spacing w:after="0"/>
              <w:rPr>
                <w:sz w:val="24"/>
                <w:szCs w:val="24"/>
                <w:color w:val="auto"/>
              </w:rPr>
            </w:pPr>
          </w:p>
        </w:tc>
        <w:tc>
          <w:tcPr>
            <w:tcW w:w="900" w:type="dxa"/>
            <w:vAlign w:val="bottom"/>
            <w:shd w:val="clear" w:color="auto" w:fill="E8F0F8"/>
          </w:tcPr>
          <w:p>
            <w:pPr>
              <w:spacing w:after="0"/>
              <w:rPr>
                <w:sz w:val="24"/>
                <w:szCs w:val="24"/>
                <w:color w:val="auto"/>
              </w:rPr>
            </w:pPr>
          </w:p>
        </w:tc>
        <w:tc>
          <w:tcPr>
            <w:tcW w:w="60" w:type="dxa"/>
            <w:vAlign w:val="bottom"/>
            <w:shd w:val="clear" w:color="auto" w:fill="E8F0F8"/>
          </w:tcPr>
          <w:p>
            <w:pPr>
              <w:spacing w:after="0"/>
              <w:rPr>
                <w:sz w:val="24"/>
                <w:szCs w:val="24"/>
                <w:color w:val="auto"/>
              </w:rPr>
            </w:pPr>
          </w:p>
        </w:tc>
        <w:tc>
          <w:tcPr>
            <w:tcW w:w="320" w:type="dxa"/>
            <w:vAlign w:val="bottom"/>
            <w:shd w:val="clear" w:color="auto" w:fill="E8F0F8"/>
          </w:tcPr>
          <w:p>
            <w:pPr>
              <w:spacing w:after="0"/>
              <w:rPr>
                <w:sz w:val="24"/>
                <w:szCs w:val="24"/>
                <w:color w:val="auto"/>
              </w:rPr>
            </w:pPr>
          </w:p>
        </w:tc>
        <w:tc>
          <w:tcPr>
            <w:tcW w:w="620" w:type="dxa"/>
            <w:vAlign w:val="bottom"/>
            <w:gridSpan w:val="2"/>
            <w:shd w:val="clear" w:color="auto" w:fill="E8F0F8"/>
          </w:tcPr>
          <w:p>
            <w:pPr>
              <w:spacing w:after="0"/>
              <w:rPr>
                <w:sz w:val="24"/>
                <w:szCs w:val="24"/>
                <w:color w:val="auto"/>
              </w:rPr>
            </w:pPr>
          </w:p>
        </w:tc>
        <w:tc>
          <w:tcPr>
            <w:tcW w:w="240" w:type="dxa"/>
            <w:vAlign w:val="bottom"/>
            <w:shd w:val="clear" w:color="auto" w:fill="E8F0F8"/>
          </w:tcPr>
          <w:p>
            <w:pPr>
              <w:spacing w:after="0"/>
              <w:rPr>
                <w:sz w:val="24"/>
                <w:szCs w:val="24"/>
                <w:color w:val="auto"/>
              </w:rPr>
            </w:pPr>
          </w:p>
        </w:tc>
        <w:tc>
          <w:tcPr>
            <w:tcW w:w="40" w:type="dxa"/>
            <w:vAlign w:val="bottom"/>
            <w:shd w:val="clear" w:color="auto" w:fill="E8F0F8"/>
          </w:tcPr>
          <w:p>
            <w:pPr>
              <w:spacing w:after="0"/>
              <w:rPr>
                <w:sz w:val="24"/>
                <w:szCs w:val="24"/>
                <w:color w:val="auto"/>
              </w:rPr>
            </w:pPr>
          </w:p>
        </w:tc>
        <w:tc>
          <w:tcPr>
            <w:tcW w:w="140" w:type="dxa"/>
            <w:vAlign w:val="bottom"/>
            <w:shd w:val="clear" w:color="auto" w:fill="E8F0F8"/>
          </w:tcPr>
          <w:p>
            <w:pPr>
              <w:spacing w:after="0"/>
              <w:rPr>
                <w:sz w:val="24"/>
                <w:szCs w:val="24"/>
                <w:color w:val="auto"/>
              </w:rPr>
            </w:pPr>
          </w:p>
        </w:tc>
        <w:tc>
          <w:tcPr>
            <w:tcW w:w="20" w:type="dxa"/>
            <w:vAlign w:val="bottom"/>
            <w:shd w:val="clear" w:color="auto" w:fill="E8F0F8"/>
          </w:tcPr>
          <w:p>
            <w:pPr>
              <w:spacing w:after="0"/>
              <w:rPr>
                <w:sz w:val="24"/>
                <w:szCs w:val="24"/>
                <w:color w:val="auto"/>
              </w:rPr>
            </w:pPr>
          </w:p>
        </w:tc>
        <w:tc>
          <w:tcPr>
            <w:tcW w:w="220" w:type="dxa"/>
            <w:vAlign w:val="bottom"/>
            <w:vMerge w:val="continue"/>
            <w:shd w:val="clear" w:color="auto" w:fill="E8F0F8"/>
          </w:tcPr>
          <w:p>
            <w:pPr>
              <w:spacing w:after="0"/>
              <w:rPr>
                <w:sz w:val="24"/>
                <w:szCs w:val="24"/>
                <w:color w:val="auto"/>
              </w:rPr>
            </w:pPr>
          </w:p>
        </w:tc>
        <w:tc>
          <w:tcPr>
            <w:tcW w:w="520" w:type="dxa"/>
            <w:vAlign w:val="bottom"/>
            <w:shd w:val="clear" w:color="auto" w:fill="E8F0F8"/>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E8F0F8"/>
          </w:tcPr>
          <w:p>
            <w:pPr>
              <w:spacing w:after="0"/>
              <w:rPr>
                <w:sz w:val="16"/>
                <w:szCs w:val="16"/>
                <w:color w:val="auto"/>
              </w:rPr>
            </w:pPr>
          </w:p>
        </w:tc>
        <w:tc>
          <w:tcPr>
            <w:tcW w:w="140" w:type="dxa"/>
            <w:vAlign w:val="bottom"/>
            <w:shd w:val="clear" w:color="auto" w:fill="E8F0F8"/>
          </w:tcPr>
          <w:p>
            <w:pPr>
              <w:spacing w:after="0"/>
              <w:rPr>
                <w:sz w:val="16"/>
                <w:szCs w:val="16"/>
                <w:color w:val="auto"/>
              </w:rPr>
            </w:pPr>
          </w:p>
        </w:tc>
        <w:tc>
          <w:tcPr>
            <w:tcW w:w="1040" w:type="dxa"/>
            <w:vAlign w:val="bottom"/>
            <w:shd w:val="clear" w:color="auto" w:fill="E8F0F8"/>
          </w:tcPr>
          <w:p>
            <w:pPr>
              <w:spacing w:after="0"/>
              <w:rPr>
                <w:sz w:val="16"/>
                <w:szCs w:val="16"/>
                <w:color w:val="auto"/>
              </w:rPr>
            </w:pPr>
          </w:p>
        </w:tc>
        <w:tc>
          <w:tcPr>
            <w:tcW w:w="40" w:type="dxa"/>
            <w:vAlign w:val="bottom"/>
            <w:shd w:val="clear" w:color="auto" w:fill="E8F0F8"/>
          </w:tcPr>
          <w:p>
            <w:pPr>
              <w:spacing w:after="0"/>
              <w:rPr>
                <w:sz w:val="16"/>
                <w:szCs w:val="16"/>
                <w:color w:val="auto"/>
              </w:rPr>
            </w:pPr>
          </w:p>
        </w:tc>
        <w:tc>
          <w:tcPr>
            <w:tcW w:w="900" w:type="dxa"/>
            <w:vAlign w:val="bottom"/>
            <w:shd w:val="clear" w:color="auto" w:fill="E8F0F8"/>
          </w:tcPr>
          <w:p>
            <w:pPr>
              <w:spacing w:after="0"/>
              <w:rPr>
                <w:sz w:val="16"/>
                <w:szCs w:val="16"/>
                <w:color w:val="auto"/>
              </w:rPr>
            </w:pPr>
          </w:p>
        </w:tc>
        <w:tc>
          <w:tcPr>
            <w:tcW w:w="60" w:type="dxa"/>
            <w:vAlign w:val="bottom"/>
            <w:shd w:val="clear" w:color="auto" w:fill="E8F0F8"/>
          </w:tcPr>
          <w:p>
            <w:pPr>
              <w:spacing w:after="0"/>
              <w:rPr>
                <w:sz w:val="16"/>
                <w:szCs w:val="16"/>
                <w:color w:val="auto"/>
              </w:rPr>
            </w:pPr>
          </w:p>
        </w:tc>
        <w:tc>
          <w:tcPr>
            <w:tcW w:w="32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320" w:type="dxa"/>
            <w:vAlign w:val="bottom"/>
            <w:shd w:val="clear" w:color="auto" w:fill="E8F0F8"/>
          </w:tcPr>
          <w:p>
            <w:pPr>
              <w:spacing w:after="0"/>
              <w:rPr>
                <w:sz w:val="16"/>
                <w:szCs w:val="16"/>
                <w:color w:val="auto"/>
              </w:rPr>
            </w:pPr>
          </w:p>
        </w:tc>
        <w:tc>
          <w:tcPr>
            <w:tcW w:w="240" w:type="dxa"/>
            <w:vAlign w:val="bottom"/>
            <w:shd w:val="clear" w:color="auto" w:fill="E8F0F8"/>
          </w:tcPr>
          <w:p>
            <w:pPr>
              <w:spacing w:after="0"/>
              <w:rPr>
                <w:sz w:val="16"/>
                <w:szCs w:val="16"/>
                <w:color w:val="auto"/>
              </w:rPr>
            </w:pPr>
          </w:p>
        </w:tc>
        <w:tc>
          <w:tcPr>
            <w:tcW w:w="40" w:type="dxa"/>
            <w:vAlign w:val="bottom"/>
            <w:shd w:val="clear" w:color="auto" w:fill="E8F0F8"/>
          </w:tcPr>
          <w:p>
            <w:pPr>
              <w:spacing w:after="0"/>
              <w:rPr>
                <w:sz w:val="16"/>
                <w:szCs w:val="16"/>
                <w:color w:val="auto"/>
              </w:rPr>
            </w:pPr>
          </w:p>
        </w:tc>
        <w:tc>
          <w:tcPr>
            <w:tcW w:w="140" w:type="dxa"/>
            <w:vAlign w:val="bottom"/>
            <w:shd w:val="clear" w:color="auto" w:fill="E8F0F8"/>
          </w:tcPr>
          <w:p>
            <w:pPr>
              <w:spacing w:after="0"/>
              <w:rPr>
                <w:sz w:val="16"/>
                <w:szCs w:val="16"/>
                <w:color w:val="auto"/>
              </w:rPr>
            </w:pPr>
          </w:p>
        </w:tc>
        <w:tc>
          <w:tcPr>
            <w:tcW w:w="20" w:type="dxa"/>
            <w:vAlign w:val="bottom"/>
            <w:shd w:val="clear" w:color="auto" w:fill="E8F0F8"/>
          </w:tcPr>
          <w:p>
            <w:pPr>
              <w:spacing w:after="0"/>
              <w:rPr>
                <w:sz w:val="16"/>
                <w:szCs w:val="16"/>
                <w:color w:val="auto"/>
              </w:rPr>
            </w:pPr>
          </w:p>
        </w:tc>
        <w:tc>
          <w:tcPr>
            <w:tcW w:w="220" w:type="dxa"/>
            <w:vAlign w:val="bottom"/>
            <w:shd w:val="clear" w:color="auto" w:fill="E8F0F8"/>
          </w:tcPr>
          <w:p>
            <w:pPr>
              <w:spacing w:after="0"/>
              <w:rPr>
                <w:sz w:val="16"/>
                <w:szCs w:val="16"/>
                <w:color w:val="auto"/>
              </w:rPr>
            </w:pPr>
          </w:p>
        </w:tc>
        <w:tc>
          <w:tcPr>
            <w:tcW w:w="520" w:type="dxa"/>
            <w:vAlign w:val="bottom"/>
            <w:shd w:val="clear" w:color="auto" w:fill="E8F0F8"/>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
        </w:trPr>
        <w:tc>
          <w:tcPr>
            <w:tcW w:w="1300" w:type="dxa"/>
            <w:vAlign w:val="bottom"/>
            <w:gridSpan w:val="3"/>
            <w:shd w:val="clear" w:color="auto" w:fill="000000"/>
          </w:tcPr>
          <w:p>
            <w:pPr>
              <w:jc w:val="right"/>
              <w:ind w:right="260"/>
              <w:spacing w:after="0"/>
              <w:rPr>
                <w:sz w:val="20"/>
                <w:szCs w:val="20"/>
                <w:color w:val="auto"/>
              </w:rPr>
            </w:pPr>
            <w:r>
              <w:rPr>
                <w:rFonts w:ascii="Arial" w:cs="Arial" w:eastAsia="Arial" w:hAnsi="Arial"/>
                <w:sz w:val="1"/>
                <w:szCs w:val="1"/>
                <w:color w:val="1A6DBB"/>
              </w:rPr>
              <w:t>2</w:t>
            </w:r>
          </w:p>
        </w:tc>
        <w:tc>
          <w:tcPr>
            <w:tcW w:w="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 w:type="dxa"/>
            <w:vAlign w:val="bottom"/>
            <w:tcBorders>
              <w:bottom w:val="single" w:sz="8" w:color="E8F0F8"/>
            </w:tcBorders>
            <w:shd w:val="clear" w:color="auto" w:fill="E8F0F8"/>
          </w:tcPr>
          <w:p>
            <w:pPr>
              <w:spacing w:after="0"/>
              <w:rPr>
                <w:sz w:val="15"/>
                <w:szCs w:val="15"/>
                <w:color w:val="auto"/>
              </w:rPr>
            </w:pPr>
          </w:p>
        </w:tc>
        <w:tc>
          <w:tcPr>
            <w:tcW w:w="140" w:type="dxa"/>
            <w:vAlign w:val="bottom"/>
            <w:tcBorders>
              <w:bottom w:val="single" w:sz="8" w:color="E8F0F8"/>
            </w:tcBorders>
            <w:shd w:val="clear" w:color="auto" w:fill="E8F0F8"/>
          </w:tcPr>
          <w:p>
            <w:pPr>
              <w:spacing w:after="0"/>
              <w:rPr>
                <w:sz w:val="15"/>
                <w:szCs w:val="15"/>
                <w:color w:val="auto"/>
              </w:rPr>
            </w:pPr>
          </w:p>
        </w:tc>
        <w:tc>
          <w:tcPr>
            <w:tcW w:w="1040" w:type="dxa"/>
            <w:vAlign w:val="bottom"/>
            <w:tcBorders>
              <w:bottom w:val="single" w:sz="8" w:color="E8F0F8"/>
            </w:tcBorders>
            <w:shd w:val="clear" w:color="auto" w:fill="E8F0F8"/>
          </w:tcPr>
          <w:p>
            <w:pPr>
              <w:spacing w:after="0"/>
              <w:rPr>
                <w:sz w:val="15"/>
                <w:szCs w:val="15"/>
                <w:color w:val="auto"/>
              </w:rPr>
            </w:pPr>
          </w:p>
        </w:tc>
        <w:tc>
          <w:tcPr>
            <w:tcW w:w="40" w:type="dxa"/>
            <w:vAlign w:val="bottom"/>
            <w:tcBorders>
              <w:bottom w:val="single" w:sz="8" w:color="E8F0F8"/>
            </w:tcBorders>
            <w:shd w:val="clear" w:color="auto" w:fill="E8F0F8"/>
          </w:tcPr>
          <w:p>
            <w:pPr>
              <w:spacing w:after="0"/>
              <w:rPr>
                <w:sz w:val="15"/>
                <w:szCs w:val="15"/>
                <w:color w:val="auto"/>
              </w:rPr>
            </w:pPr>
          </w:p>
        </w:tc>
        <w:tc>
          <w:tcPr>
            <w:tcW w:w="3080" w:type="dxa"/>
            <w:vAlign w:val="bottom"/>
            <w:tcBorders>
              <w:bottom w:val="single" w:sz="8" w:color="E8F0F8"/>
            </w:tcBorders>
            <w:gridSpan w:val="11"/>
            <w:shd w:val="clear" w:color="auto" w:fill="E8F0F8"/>
          </w:tcPr>
          <w:p>
            <w:pPr>
              <w:spacing w:after="0" w:line="162" w:lineRule="exact"/>
              <w:rPr>
                <w:sz w:val="20"/>
                <w:szCs w:val="20"/>
                <w:color w:val="auto"/>
              </w:rPr>
            </w:pPr>
            <w:r>
              <w:rPr>
                <w:rFonts w:ascii="Arial" w:cs="Arial" w:eastAsia="Arial" w:hAnsi="Arial"/>
                <w:sz w:val="17"/>
                <w:szCs w:val="17"/>
                <w:color w:val="0000EE"/>
              </w:rPr>
              <w:t>Corporate</w:t>
            </w:r>
          </w:p>
        </w:tc>
        <w:tc>
          <w:tcPr>
            <w:tcW w:w="280" w:type="dxa"/>
            <w:vAlign w:val="bottom"/>
          </w:tcPr>
          <w:p>
            <w:pPr>
              <w:spacing w:after="0"/>
              <w:rPr>
                <w:sz w:val="15"/>
                <w:szCs w:val="15"/>
                <w:color w:val="auto"/>
              </w:rPr>
            </w:pPr>
          </w:p>
        </w:tc>
        <w:tc>
          <w:tcPr>
            <w:tcW w:w="2360" w:type="dxa"/>
            <w:vAlign w:val="bottom"/>
            <w:tcBorders>
              <w:bottom w:val="single" w:sz="8" w:color="0000EE"/>
            </w:tcBorders>
            <w:gridSpan w:val="14"/>
          </w:tcPr>
          <w:p>
            <w:pPr>
              <w:spacing w:after="0" w:line="175" w:lineRule="exact"/>
              <w:rPr>
                <w:sz w:val="20"/>
                <w:szCs w:val="20"/>
                <w:color w:val="auto"/>
              </w:rPr>
            </w:pPr>
            <w:r>
              <w:rPr>
                <w:rFonts w:ascii="Arial" w:cs="Arial" w:eastAsia="Arial" w:hAnsi="Arial"/>
                <w:sz w:val="16"/>
                <w:szCs w:val="16"/>
                <w:color w:val="0000EE"/>
              </w:rPr>
              <w:t>Corporate Governance Practices</w:t>
            </w:r>
          </w:p>
        </w:tc>
        <w:tc>
          <w:tcPr>
            <w:tcW w:w="3360" w:type="dxa"/>
            <w:vAlign w:val="bottom"/>
            <w:gridSpan w:val="8"/>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95"/>
        </w:trPr>
        <w:tc>
          <w:tcPr>
            <w:tcW w:w="120" w:type="dxa"/>
            <w:vAlign w:val="bottom"/>
            <w:tcBorders>
              <w:bottom w:val="single" w:sz="8" w:color="E8F0F8"/>
            </w:tcBorders>
            <w:shd w:val="clear" w:color="auto" w:fill="E8F0F8"/>
          </w:tcPr>
          <w:p>
            <w:pPr>
              <w:spacing w:after="0"/>
              <w:rPr>
                <w:sz w:val="8"/>
                <w:szCs w:val="8"/>
                <w:color w:val="auto"/>
              </w:rPr>
            </w:pPr>
          </w:p>
        </w:tc>
        <w:tc>
          <w:tcPr>
            <w:tcW w:w="140" w:type="dxa"/>
            <w:vAlign w:val="bottom"/>
            <w:tcBorders>
              <w:bottom w:val="single" w:sz="8" w:color="E8F0F8"/>
            </w:tcBorders>
            <w:shd w:val="clear" w:color="auto" w:fill="E8F0F8"/>
          </w:tcPr>
          <w:p>
            <w:pPr>
              <w:spacing w:after="0"/>
              <w:rPr>
                <w:sz w:val="8"/>
                <w:szCs w:val="8"/>
                <w:color w:val="auto"/>
              </w:rPr>
            </w:pPr>
          </w:p>
        </w:tc>
        <w:tc>
          <w:tcPr>
            <w:tcW w:w="1040" w:type="dxa"/>
            <w:vAlign w:val="bottom"/>
            <w:tcBorders>
              <w:bottom w:val="single" w:sz="8" w:color="E8F0F8"/>
            </w:tcBorders>
            <w:shd w:val="clear" w:color="auto" w:fill="E8F0F8"/>
          </w:tcPr>
          <w:p>
            <w:pPr>
              <w:spacing w:after="0"/>
              <w:rPr>
                <w:sz w:val="8"/>
                <w:szCs w:val="8"/>
                <w:color w:val="auto"/>
              </w:rPr>
            </w:pPr>
          </w:p>
        </w:tc>
        <w:tc>
          <w:tcPr>
            <w:tcW w:w="40" w:type="dxa"/>
            <w:vAlign w:val="bottom"/>
            <w:tcBorders>
              <w:bottom w:val="single" w:sz="8" w:color="E8F0F8"/>
            </w:tcBorders>
            <w:shd w:val="clear" w:color="auto" w:fill="E8F0F8"/>
          </w:tcPr>
          <w:p>
            <w:pPr>
              <w:spacing w:after="0"/>
              <w:rPr>
                <w:sz w:val="8"/>
                <w:szCs w:val="8"/>
                <w:color w:val="auto"/>
              </w:rPr>
            </w:pPr>
          </w:p>
        </w:tc>
        <w:tc>
          <w:tcPr>
            <w:tcW w:w="900" w:type="dxa"/>
            <w:vAlign w:val="bottom"/>
            <w:tcBorders>
              <w:bottom w:val="single" w:sz="8" w:color="0000EE"/>
            </w:tcBorders>
            <w:shd w:val="clear" w:color="auto" w:fill="E8F0F8"/>
          </w:tcPr>
          <w:p>
            <w:pPr>
              <w:spacing w:after="0"/>
              <w:rPr>
                <w:sz w:val="8"/>
                <w:szCs w:val="8"/>
                <w:color w:val="auto"/>
              </w:rPr>
            </w:pPr>
          </w:p>
        </w:tc>
        <w:tc>
          <w:tcPr>
            <w:tcW w:w="60" w:type="dxa"/>
            <w:vAlign w:val="bottom"/>
            <w:tcBorders>
              <w:bottom w:val="single" w:sz="8" w:color="0000EE"/>
            </w:tcBorders>
            <w:shd w:val="clear" w:color="auto" w:fill="E8F0F8"/>
          </w:tcPr>
          <w:p>
            <w:pPr>
              <w:spacing w:after="0"/>
              <w:rPr>
                <w:sz w:val="8"/>
                <w:szCs w:val="8"/>
                <w:color w:val="auto"/>
              </w:rPr>
            </w:pPr>
          </w:p>
        </w:tc>
        <w:tc>
          <w:tcPr>
            <w:tcW w:w="320" w:type="dxa"/>
            <w:vAlign w:val="bottom"/>
            <w:tcBorders>
              <w:bottom w:val="single" w:sz="8" w:color="0000EE"/>
            </w:tcBorders>
            <w:shd w:val="clear" w:color="auto" w:fill="E8F0F8"/>
          </w:tcPr>
          <w:p>
            <w:pPr>
              <w:spacing w:after="0"/>
              <w:rPr>
                <w:sz w:val="8"/>
                <w:szCs w:val="8"/>
                <w:color w:val="auto"/>
              </w:rPr>
            </w:pPr>
          </w:p>
        </w:tc>
        <w:tc>
          <w:tcPr>
            <w:tcW w:w="300" w:type="dxa"/>
            <w:vAlign w:val="bottom"/>
            <w:tcBorders>
              <w:bottom w:val="single" w:sz="8" w:color="E8F0F8"/>
            </w:tcBorders>
            <w:shd w:val="clear" w:color="auto" w:fill="E8F0F8"/>
          </w:tcPr>
          <w:p>
            <w:pPr>
              <w:spacing w:after="0"/>
              <w:rPr>
                <w:sz w:val="8"/>
                <w:szCs w:val="8"/>
                <w:color w:val="auto"/>
              </w:rPr>
            </w:pPr>
          </w:p>
        </w:tc>
        <w:tc>
          <w:tcPr>
            <w:tcW w:w="320" w:type="dxa"/>
            <w:vAlign w:val="bottom"/>
            <w:tcBorders>
              <w:bottom w:val="single" w:sz="8" w:color="E8F0F8"/>
            </w:tcBorders>
            <w:shd w:val="clear" w:color="auto" w:fill="E8F0F8"/>
          </w:tcPr>
          <w:p>
            <w:pPr>
              <w:spacing w:after="0"/>
              <w:rPr>
                <w:sz w:val="8"/>
                <w:szCs w:val="8"/>
                <w:color w:val="auto"/>
              </w:rPr>
            </w:pPr>
          </w:p>
        </w:tc>
        <w:tc>
          <w:tcPr>
            <w:tcW w:w="240" w:type="dxa"/>
            <w:vAlign w:val="bottom"/>
            <w:tcBorders>
              <w:bottom w:val="single" w:sz="8" w:color="E8F0F8"/>
            </w:tcBorders>
            <w:shd w:val="clear" w:color="auto" w:fill="E8F0F8"/>
          </w:tcPr>
          <w:p>
            <w:pPr>
              <w:spacing w:after="0"/>
              <w:rPr>
                <w:sz w:val="8"/>
                <w:szCs w:val="8"/>
                <w:color w:val="auto"/>
              </w:rPr>
            </w:pPr>
          </w:p>
        </w:tc>
        <w:tc>
          <w:tcPr>
            <w:tcW w:w="40" w:type="dxa"/>
            <w:vAlign w:val="bottom"/>
            <w:tcBorders>
              <w:bottom w:val="single" w:sz="8" w:color="E8F0F8"/>
            </w:tcBorders>
            <w:shd w:val="clear" w:color="auto" w:fill="E8F0F8"/>
          </w:tcPr>
          <w:p>
            <w:pPr>
              <w:spacing w:after="0"/>
              <w:rPr>
                <w:sz w:val="8"/>
                <w:szCs w:val="8"/>
                <w:color w:val="auto"/>
              </w:rPr>
            </w:pPr>
          </w:p>
        </w:tc>
        <w:tc>
          <w:tcPr>
            <w:tcW w:w="140" w:type="dxa"/>
            <w:vAlign w:val="bottom"/>
            <w:tcBorders>
              <w:bottom w:val="single" w:sz="8" w:color="E8F0F8"/>
            </w:tcBorders>
            <w:shd w:val="clear" w:color="auto" w:fill="E8F0F8"/>
          </w:tcPr>
          <w:p>
            <w:pPr>
              <w:spacing w:after="0"/>
              <w:rPr>
                <w:sz w:val="8"/>
                <w:szCs w:val="8"/>
                <w:color w:val="auto"/>
              </w:rPr>
            </w:pPr>
          </w:p>
        </w:tc>
        <w:tc>
          <w:tcPr>
            <w:tcW w:w="20" w:type="dxa"/>
            <w:vAlign w:val="bottom"/>
            <w:tcBorders>
              <w:bottom w:val="single" w:sz="8" w:color="E8F0F8"/>
            </w:tcBorders>
            <w:shd w:val="clear" w:color="auto" w:fill="E8F0F8"/>
          </w:tcPr>
          <w:p>
            <w:pPr>
              <w:spacing w:after="0"/>
              <w:rPr>
                <w:sz w:val="8"/>
                <w:szCs w:val="8"/>
                <w:color w:val="auto"/>
              </w:rPr>
            </w:pPr>
          </w:p>
        </w:tc>
        <w:tc>
          <w:tcPr>
            <w:tcW w:w="220" w:type="dxa"/>
            <w:vAlign w:val="bottom"/>
            <w:tcBorders>
              <w:bottom w:val="single" w:sz="8" w:color="E8F0F8"/>
            </w:tcBorders>
            <w:shd w:val="clear" w:color="auto" w:fill="E8F0F8"/>
          </w:tcPr>
          <w:p>
            <w:pPr>
              <w:spacing w:after="0"/>
              <w:rPr>
                <w:sz w:val="8"/>
                <w:szCs w:val="8"/>
                <w:color w:val="auto"/>
              </w:rPr>
            </w:pPr>
          </w:p>
        </w:tc>
        <w:tc>
          <w:tcPr>
            <w:tcW w:w="520" w:type="dxa"/>
            <w:vAlign w:val="bottom"/>
            <w:tcBorders>
              <w:bottom w:val="single" w:sz="8" w:color="E8F0F8"/>
            </w:tcBorders>
            <w:shd w:val="clear" w:color="auto" w:fill="E8F0F8"/>
          </w:tcPr>
          <w:p>
            <w:pPr>
              <w:spacing w:after="0"/>
              <w:rPr>
                <w:sz w:val="8"/>
                <w:szCs w:val="8"/>
                <w:color w:val="auto"/>
              </w:rPr>
            </w:pPr>
          </w:p>
        </w:tc>
        <w:tc>
          <w:tcPr>
            <w:tcW w:w="280" w:type="dxa"/>
            <w:vAlign w:val="bottom"/>
            <w:vMerge w:val="restart"/>
          </w:tcPr>
          <w:p>
            <w:pPr>
              <w:spacing w:after="0"/>
              <w:rPr>
                <w:sz w:val="8"/>
                <w:szCs w:val="8"/>
                <w:color w:val="auto"/>
              </w:rPr>
            </w:pPr>
          </w:p>
        </w:tc>
        <w:tc>
          <w:tcPr>
            <w:tcW w:w="1640" w:type="dxa"/>
            <w:vAlign w:val="bottom"/>
            <w:gridSpan w:val="6"/>
            <w:vMerge w:val="restart"/>
          </w:tcPr>
          <w:p>
            <w:pPr>
              <w:spacing w:after="0"/>
              <w:rPr>
                <w:sz w:val="20"/>
                <w:szCs w:val="20"/>
                <w:color w:val="auto"/>
              </w:rPr>
            </w:pPr>
            <w:r>
              <w:rPr>
                <w:rFonts w:ascii="Arial" w:cs="Arial" w:eastAsia="Arial" w:hAnsi="Arial"/>
                <w:sz w:val="16"/>
                <w:szCs w:val="16"/>
                <w:color w:val="0000EE"/>
              </w:rPr>
              <w:t>Director Independence</w:t>
            </w:r>
          </w:p>
        </w:tc>
        <w:tc>
          <w:tcPr>
            <w:tcW w:w="4080" w:type="dxa"/>
            <w:vAlign w:val="bottom"/>
            <w:gridSpan w:val="16"/>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81"/>
        </w:trPr>
        <w:tc>
          <w:tcPr>
            <w:tcW w:w="120" w:type="dxa"/>
            <w:vAlign w:val="bottom"/>
            <w:tcBorders>
              <w:bottom w:val="single" w:sz="8" w:color="E8F0F8"/>
            </w:tcBorders>
            <w:shd w:val="clear" w:color="auto" w:fill="E8F0F8"/>
          </w:tcPr>
          <w:p>
            <w:pPr>
              <w:spacing w:after="0"/>
              <w:rPr>
                <w:sz w:val="7"/>
                <w:szCs w:val="7"/>
                <w:color w:val="auto"/>
              </w:rPr>
            </w:pPr>
          </w:p>
        </w:tc>
        <w:tc>
          <w:tcPr>
            <w:tcW w:w="140" w:type="dxa"/>
            <w:vAlign w:val="bottom"/>
            <w:tcBorders>
              <w:bottom w:val="single" w:sz="8" w:color="E8F0F8"/>
            </w:tcBorders>
            <w:shd w:val="clear" w:color="auto" w:fill="E8F0F8"/>
          </w:tcPr>
          <w:p>
            <w:pPr>
              <w:spacing w:after="0"/>
              <w:rPr>
                <w:sz w:val="7"/>
                <w:szCs w:val="7"/>
                <w:color w:val="auto"/>
              </w:rPr>
            </w:pPr>
          </w:p>
        </w:tc>
        <w:tc>
          <w:tcPr>
            <w:tcW w:w="1040" w:type="dxa"/>
            <w:vAlign w:val="bottom"/>
            <w:tcBorders>
              <w:bottom w:val="single" w:sz="8" w:color="E8F0F8"/>
            </w:tcBorders>
            <w:shd w:val="clear" w:color="auto" w:fill="E8F0F8"/>
          </w:tcPr>
          <w:p>
            <w:pPr>
              <w:spacing w:after="0"/>
              <w:rPr>
                <w:sz w:val="7"/>
                <w:szCs w:val="7"/>
                <w:color w:val="auto"/>
              </w:rPr>
            </w:pPr>
          </w:p>
        </w:tc>
        <w:tc>
          <w:tcPr>
            <w:tcW w:w="40" w:type="dxa"/>
            <w:vAlign w:val="bottom"/>
            <w:tcBorders>
              <w:bottom w:val="single" w:sz="8" w:color="E8F0F8"/>
            </w:tcBorders>
            <w:shd w:val="clear" w:color="auto" w:fill="E8F0F8"/>
          </w:tcPr>
          <w:p>
            <w:pPr>
              <w:spacing w:after="0"/>
              <w:rPr>
                <w:sz w:val="7"/>
                <w:szCs w:val="7"/>
                <w:color w:val="auto"/>
              </w:rPr>
            </w:pPr>
          </w:p>
        </w:tc>
        <w:tc>
          <w:tcPr>
            <w:tcW w:w="3080" w:type="dxa"/>
            <w:vAlign w:val="bottom"/>
            <w:tcBorders>
              <w:bottom w:val="single" w:sz="8" w:color="E8F0F8"/>
            </w:tcBorders>
            <w:gridSpan w:val="11"/>
            <w:vMerge w:val="restart"/>
            <w:shd w:val="clear" w:color="auto" w:fill="E8F0F8"/>
          </w:tcPr>
          <w:p>
            <w:pPr>
              <w:spacing w:after="0" w:line="296" w:lineRule="exact"/>
              <w:rPr>
                <w:sz w:val="20"/>
                <w:szCs w:val="20"/>
                <w:color w:val="auto"/>
              </w:rPr>
            </w:pPr>
            <w:r>
              <w:rPr>
                <w:rFonts w:ascii="Arial" w:cs="Arial" w:eastAsia="Arial" w:hAnsi="Arial"/>
                <w:sz w:val="29"/>
                <w:szCs w:val="29"/>
                <w:color w:val="0000EE"/>
              </w:rPr>
              <w:t>Governance at</w:t>
            </w:r>
          </w:p>
        </w:tc>
        <w:tc>
          <w:tcPr>
            <w:tcW w:w="280" w:type="dxa"/>
            <w:vAlign w:val="bottom"/>
            <w:vMerge w:val="continue"/>
          </w:tcPr>
          <w:p>
            <w:pPr>
              <w:spacing w:after="0"/>
              <w:rPr>
                <w:sz w:val="7"/>
                <w:szCs w:val="7"/>
                <w:color w:val="auto"/>
              </w:rPr>
            </w:pPr>
          </w:p>
        </w:tc>
        <w:tc>
          <w:tcPr>
            <w:tcW w:w="1640" w:type="dxa"/>
            <w:vAlign w:val="bottom"/>
            <w:tcBorders>
              <w:bottom w:val="single" w:sz="8" w:color="0000EE"/>
            </w:tcBorders>
            <w:gridSpan w:val="6"/>
            <w:vMerge w:val="continue"/>
          </w:tcPr>
          <w:p>
            <w:pPr>
              <w:spacing w:after="0"/>
              <w:rPr>
                <w:sz w:val="7"/>
                <w:szCs w:val="7"/>
                <w:color w:val="auto"/>
              </w:rPr>
            </w:pPr>
          </w:p>
        </w:tc>
        <w:tc>
          <w:tcPr>
            <w:tcW w:w="4080" w:type="dxa"/>
            <w:vAlign w:val="bottom"/>
            <w:gridSpan w:val="16"/>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E8F0F8"/>
            </w:tcBorders>
            <w:shd w:val="clear" w:color="auto" w:fill="E8F0F8"/>
          </w:tcPr>
          <w:p>
            <w:pPr>
              <w:spacing w:after="0"/>
              <w:rPr>
                <w:sz w:val="18"/>
                <w:szCs w:val="18"/>
                <w:color w:val="auto"/>
              </w:rPr>
            </w:pPr>
          </w:p>
        </w:tc>
        <w:tc>
          <w:tcPr>
            <w:tcW w:w="140" w:type="dxa"/>
            <w:vAlign w:val="bottom"/>
            <w:tcBorders>
              <w:bottom w:val="single" w:sz="8" w:color="E8F0F8"/>
            </w:tcBorders>
            <w:shd w:val="clear" w:color="auto" w:fill="E8F0F8"/>
          </w:tcPr>
          <w:p>
            <w:pPr>
              <w:spacing w:after="0"/>
              <w:rPr>
                <w:sz w:val="18"/>
                <w:szCs w:val="18"/>
                <w:color w:val="auto"/>
              </w:rPr>
            </w:pPr>
          </w:p>
        </w:tc>
        <w:tc>
          <w:tcPr>
            <w:tcW w:w="1040" w:type="dxa"/>
            <w:vAlign w:val="bottom"/>
            <w:tcBorders>
              <w:bottom w:val="single" w:sz="8" w:color="E8F0F8"/>
            </w:tcBorders>
            <w:shd w:val="clear" w:color="auto" w:fill="E8F0F8"/>
          </w:tcPr>
          <w:p>
            <w:pPr>
              <w:spacing w:after="0"/>
              <w:rPr>
                <w:sz w:val="18"/>
                <w:szCs w:val="18"/>
                <w:color w:val="auto"/>
              </w:rPr>
            </w:pPr>
          </w:p>
        </w:tc>
        <w:tc>
          <w:tcPr>
            <w:tcW w:w="40" w:type="dxa"/>
            <w:vAlign w:val="bottom"/>
            <w:tcBorders>
              <w:bottom w:val="single" w:sz="8" w:color="E8F0F8"/>
            </w:tcBorders>
            <w:shd w:val="clear" w:color="auto" w:fill="E8F0F8"/>
          </w:tcPr>
          <w:p>
            <w:pPr>
              <w:spacing w:after="0"/>
              <w:rPr>
                <w:sz w:val="18"/>
                <w:szCs w:val="18"/>
                <w:color w:val="auto"/>
              </w:rPr>
            </w:pPr>
          </w:p>
        </w:tc>
        <w:tc>
          <w:tcPr>
            <w:tcW w:w="3080" w:type="dxa"/>
            <w:vAlign w:val="bottom"/>
            <w:tcBorders>
              <w:bottom w:val="single" w:sz="8" w:color="E8F0F8"/>
            </w:tcBorders>
            <w:gridSpan w:val="11"/>
            <w:vMerge w:val="continue"/>
            <w:shd w:val="clear" w:color="auto" w:fill="E8F0F8"/>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Nominating Processes</w:t>
            </w:r>
          </w:p>
        </w:tc>
        <w:tc>
          <w:tcPr>
            <w:tcW w:w="4100" w:type="dxa"/>
            <w:vAlign w:val="bottom"/>
            <w:gridSpan w:val="17"/>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6"/>
        </w:trPr>
        <w:tc>
          <w:tcPr>
            <w:tcW w:w="120" w:type="dxa"/>
            <w:vAlign w:val="bottom"/>
            <w:tcBorders>
              <w:top w:val="single" w:sz="8" w:color="E8F0F8"/>
            </w:tcBorders>
            <w:shd w:val="clear" w:color="auto" w:fill="E8F0F8"/>
          </w:tcPr>
          <w:p>
            <w:pPr>
              <w:spacing w:after="0"/>
              <w:rPr>
                <w:sz w:val="15"/>
                <w:szCs w:val="15"/>
                <w:color w:val="auto"/>
              </w:rPr>
            </w:pPr>
          </w:p>
        </w:tc>
        <w:tc>
          <w:tcPr>
            <w:tcW w:w="140" w:type="dxa"/>
            <w:vAlign w:val="bottom"/>
            <w:tcBorders>
              <w:top w:val="single" w:sz="8" w:color="E8F0F8"/>
            </w:tcBorders>
            <w:shd w:val="clear" w:color="auto" w:fill="E8F0F8"/>
          </w:tcPr>
          <w:p>
            <w:pPr>
              <w:spacing w:after="0"/>
              <w:rPr>
                <w:sz w:val="15"/>
                <w:szCs w:val="15"/>
                <w:color w:val="auto"/>
              </w:rPr>
            </w:pPr>
          </w:p>
        </w:tc>
        <w:tc>
          <w:tcPr>
            <w:tcW w:w="1040" w:type="dxa"/>
            <w:vAlign w:val="bottom"/>
            <w:tcBorders>
              <w:top w:val="single" w:sz="8" w:color="E8F0F8"/>
            </w:tcBorders>
            <w:shd w:val="clear" w:color="auto" w:fill="E8F0F8"/>
          </w:tcPr>
          <w:p>
            <w:pPr>
              <w:spacing w:after="0"/>
              <w:rPr>
                <w:sz w:val="15"/>
                <w:szCs w:val="15"/>
                <w:color w:val="auto"/>
              </w:rPr>
            </w:pPr>
          </w:p>
        </w:tc>
        <w:tc>
          <w:tcPr>
            <w:tcW w:w="40" w:type="dxa"/>
            <w:vAlign w:val="bottom"/>
            <w:tcBorders>
              <w:top w:val="single" w:sz="8" w:color="E8F0F8"/>
            </w:tcBorders>
            <w:shd w:val="clear" w:color="auto" w:fill="E8F0F8"/>
          </w:tcPr>
          <w:p>
            <w:pPr>
              <w:spacing w:after="0"/>
              <w:rPr>
                <w:sz w:val="15"/>
                <w:szCs w:val="15"/>
                <w:color w:val="auto"/>
              </w:rPr>
            </w:pPr>
          </w:p>
        </w:tc>
        <w:tc>
          <w:tcPr>
            <w:tcW w:w="1900" w:type="dxa"/>
            <w:vAlign w:val="bottom"/>
            <w:tcBorders>
              <w:top w:val="single" w:sz="8" w:color="0000EE"/>
            </w:tcBorders>
            <w:gridSpan w:val="5"/>
            <w:vMerge w:val="restart"/>
            <w:shd w:val="clear" w:color="auto" w:fill="E8F0F8"/>
          </w:tcPr>
          <w:p>
            <w:pPr>
              <w:spacing w:after="0" w:line="310" w:lineRule="exact"/>
              <w:rPr>
                <w:sz w:val="20"/>
                <w:szCs w:val="20"/>
                <w:color w:val="auto"/>
              </w:rPr>
            </w:pPr>
            <w:r>
              <w:rPr>
                <w:rFonts w:ascii="Arial" w:cs="Arial" w:eastAsia="Arial" w:hAnsi="Arial"/>
                <w:sz w:val="29"/>
                <w:szCs w:val="29"/>
                <w:color w:val="0000EE"/>
              </w:rPr>
              <w:t>Biogen</w:t>
            </w:r>
          </w:p>
        </w:tc>
        <w:tc>
          <w:tcPr>
            <w:tcW w:w="1180" w:type="dxa"/>
            <w:vAlign w:val="bottom"/>
            <w:tcBorders>
              <w:top w:val="single" w:sz="8" w:color="E8F0F8"/>
            </w:tcBorders>
            <w:gridSpan w:val="6"/>
            <w:vMerge w:val="restart"/>
            <w:shd w:val="clear" w:color="auto" w:fill="E8F0F8"/>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gridSpan w:val="22"/>
          </w:tcPr>
          <w:p>
            <w:pPr>
              <w:spacing w:after="0" w:line="175" w:lineRule="exact"/>
              <w:rPr>
                <w:sz w:val="20"/>
                <w:szCs w:val="20"/>
                <w:color w:val="auto"/>
              </w:rPr>
            </w:pPr>
            <w:r>
              <w:rPr>
                <w:rFonts w:ascii="Arial" w:cs="Arial" w:eastAsia="Arial" w:hAnsi="Arial"/>
                <w:sz w:val="16"/>
                <w:szCs w:val="16"/>
                <w:color w:val="0000EE"/>
              </w:rPr>
              <w:t>Annual Elections and Majority Voting</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10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1900" w:type="dxa"/>
            <w:vAlign w:val="bottom"/>
            <w:gridSpan w:val="5"/>
            <w:vMerge w:val="continue"/>
            <w:shd w:val="clear" w:color="auto" w:fill="E8F0F8"/>
          </w:tcPr>
          <w:p>
            <w:pPr>
              <w:spacing w:after="0" w:line="20" w:lineRule="exact"/>
              <w:rPr>
                <w:sz w:val="1"/>
                <w:szCs w:val="1"/>
                <w:color w:val="auto"/>
              </w:rPr>
            </w:pPr>
          </w:p>
        </w:tc>
        <w:tc>
          <w:tcPr>
            <w:tcW w:w="1180" w:type="dxa"/>
            <w:vAlign w:val="bottom"/>
            <w:gridSpan w:val="6"/>
            <w:vMerge w:val="continue"/>
            <w:shd w:val="clear" w:color="auto" w:fill="E8F0F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shd w:val="clear" w:color="auto" w:fill="E8F0F8"/>
          </w:tcPr>
          <w:p>
            <w:pPr>
              <w:spacing w:after="0"/>
              <w:rPr>
                <w:sz w:val="10"/>
                <w:szCs w:val="10"/>
                <w:color w:val="auto"/>
              </w:rPr>
            </w:pPr>
          </w:p>
        </w:tc>
        <w:tc>
          <w:tcPr>
            <w:tcW w:w="140" w:type="dxa"/>
            <w:vAlign w:val="bottom"/>
            <w:shd w:val="clear" w:color="auto" w:fill="E8F0F8"/>
          </w:tcPr>
          <w:p>
            <w:pPr>
              <w:spacing w:after="0"/>
              <w:rPr>
                <w:sz w:val="10"/>
                <w:szCs w:val="10"/>
                <w:color w:val="auto"/>
              </w:rPr>
            </w:pPr>
          </w:p>
        </w:tc>
        <w:tc>
          <w:tcPr>
            <w:tcW w:w="1040" w:type="dxa"/>
            <w:vAlign w:val="bottom"/>
            <w:shd w:val="clear" w:color="auto" w:fill="E8F0F8"/>
          </w:tcPr>
          <w:p>
            <w:pPr>
              <w:spacing w:after="0"/>
              <w:rPr>
                <w:sz w:val="10"/>
                <w:szCs w:val="10"/>
                <w:color w:val="auto"/>
              </w:rPr>
            </w:pPr>
          </w:p>
        </w:tc>
        <w:tc>
          <w:tcPr>
            <w:tcW w:w="40" w:type="dxa"/>
            <w:vAlign w:val="bottom"/>
            <w:shd w:val="clear" w:color="auto" w:fill="E8F0F8"/>
          </w:tcPr>
          <w:p>
            <w:pPr>
              <w:spacing w:after="0"/>
              <w:rPr>
                <w:sz w:val="10"/>
                <w:szCs w:val="10"/>
                <w:color w:val="auto"/>
              </w:rPr>
            </w:pPr>
          </w:p>
        </w:tc>
        <w:tc>
          <w:tcPr>
            <w:tcW w:w="1900" w:type="dxa"/>
            <w:vAlign w:val="bottom"/>
            <w:gridSpan w:val="5"/>
            <w:vMerge w:val="continue"/>
            <w:shd w:val="clear" w:color="auto" w:fill="E8F0F8"/>
          </w:tcPr>
          <w:p>
            <w:pPr>
              <w:spacing w:after="0"/>
              <w:rPr>
                <w:sz w:val="10"/>
                <w:szCs w:val="10"/>
                <w:color w:val="auto"/>
              </w:rPr>
            </w:pPr>
          </w:p>
        </w:tc>
        <w:tc>
          <w:tcPr>
            <w:tcW w:w="1180" w:type="dxa"/>
            <w:vAlign w:val="bottom"/>
            <w:gridSpan w:val="6"/>
            <w:vMerge w:val="continue"/>
            <w:shd w:val="clear" w:color="auto" w:fill="E8F0F8"/>
          </w:tcPr>
          <w:p>
            <w:pPr>
              <w:spacing w:after="0"/>
              <w:rPr>
                <w:sz w:val="10"/>
                <w:szCs w:val="10"/>
                <w:color w:val="auto"/>
              </w:rPr>
            </w:pPr>
          </w:p>
        </w:tc>
        <w:tc>
          <w:tcPr>
            <w:tcW w:w="280" w:type="dxa"/>
            <w:vAlign w:val="bottom"/>
          </w:tcPr>
          <w:p>
            <w:pPr>
              <w:spacing w:after="0"/>
              <w:rPr>
                <w:sz w:val="10"/>
                <w:szCs w:val="10"/>
                <w:color w:val="auto"/>
              </w:rPr>
            </w:pPr>
          </w:p>
        </w:tc>
        <w:tc>
          <w:tcPr>
            <w:tcW w:w="5720" w:type="dxa"/>
            <w:vAlign w:val="bottom"/>
            <w:gridSpan w:val="22"/>
            <w:vMerge w:val="restart"/>
          </w:tcPr>
          <w:p>
            <w:pPr>
              <w:spacing w:after="0"/>
              <w:rPr>
                <w:sz w:val="20"/>
                <w:szCs w:val="20"/>
                <w:color w:val="auto"/>
              </w:rPr>
            </w:pPr>
            <w:r>
              <w:rPr>
                <w:rFonts w:ascii="Arial" w:cs="Arial" w:eastAsia="Arial" w:hAnsi="Arial"/>
                <w:sz w:val="16"/>
                <w:szCs w:val="16"/>
                <w:color w:val="0000EE"/>
              </w:rPr>
              <w:t>Director Qualifications, Standards and Diversity</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54"/>
        </w:trPr>
        <w:tc>
          <w:tcPr>
            <w:tcW w:w="120" w:type="dxa"/>
            <w:vAlign w:val="bottom"/>
            <w:tcBorders>
              <w:top w:val="single" w:sz="8" w:color="E8F0F8"/>
            </w:tcBorders>
            <w:shd w:val="clear" w:color="auto" w:fill="E8F0F8"/>
          </w:tcPr>
          <w:p>
            <w:pPr>
              <w:spacing w:after="0"/>
              <w:rPr>
                <w:sz w:val="4"/>
                <w:szCs w:val="4"/>
                <w:color w:val="auto"/>
              </w:rPr>
            </w:pPr>
          </w:p>
        </w:tc>
        <w:tc>
          <w:tcPr>
            <w:tcW w:w="140" w:type="dxa"/>
            <w:vAlign w:val="bottom"/>
            <w:tcBorders>
              <w:top w:val="single" w:sz="8" w:color="E8F0F8"/>
            </w:tcBorders>
            <w:shd w:val="clear" w:color="auto" w:fill="E8F0F8"/>
          </w:tcPr>
          <w:p>
            <w:pPr>
              <w:spacing w:after="0"/>
              <w:rPr>
                <w:sz w:val="4"/>
                <w:szCs w:val="4"/>
                <w:color w:val="auto"/>
              </w:rPr>
            </w:pPr>
          </w:p>
        </w:tc>
        <w:tc>
          <w:tcPr>
            <w:tcW w:w="1040" w:type="dxa"/>
            <w:vAlign w:val="bottom"/>
            <w:tcBorders>
              <w:top w:val="single" w:sz="8" w:color="E8F0F8"/>
            </w:tcBorders>
            <w:shd w:val="clear" w:color="auto" w:fill="E8F0F8"/>
          </w:tcPr>
          <w:p>
            <w:pPr>
              <w:spacing w:after="0"/>
              <w:rPr>
                <w:sz w:val="4"/>
                <w:szCs w:val="4"/>
                <w:color w:val="auto"/>
              </w:rPr>
            </w:pPr>
          </w:p>
        </w:tc>
        <w:tc>
          <w:tcPr>
            <w:tcW w:w="40" w:type="dxa"/>
            <w:vAlign w:val="bottom"/>
            <w:tcBorders>
              <w:top w:val="single" w:sz="8" w:color="E8F0F8"/>
            </w:tcBorders>
            <w:shd w:val="clear" w:color="auto" w:fill="E8F0F8"/>
          </w:tcPr>
          <w:p>
            <w:pPr>
              <w:spacing w:after="0"/>
              <w:rPr>
                <w:sz w:val="4"/>
                <w:szCs w:val="4"/>
                <w:color w:val="auto"/>
              </w:rPr>
            </w:pPr>
          </w:p>
        </w:tc>
        <w:tc>
          <w:tcPr>
            <w:tcW w:w="900" w:type="dxa"/>
            <w:vAlign w:val="bottom"/>
            <w:tcBorders>
              <w:top w:val="single" w:sz="8" w:color="0000EE"/>
            </w:tcBorders>
            <w:shd w:val="clear" w:color="auto" w:fill="E8F0F8"/>
          </w:tcPr>
          <w:p>
            <w:pPr>
              <w:spacing w:after="0"/>
              <w:rPr>
                <w:sz w:val="4"/>
                <w:szCs w:val="4"/>
                <w:color w:val="auto"/>
              </w:rPr>
            </w:pPr>
          </w:p>
        </w:tc>
        <w:tc>
          <w:tcPr>
            <w:tcW w:w="60" w:type="dxa"/>
            <w:vAlign w:val="bottom"/>
            <w:tcBorders>
              <w:top w:val="single" w:sz="8" w:color="E8F0F8"/>
            </w:tcBorders>
            <w:shd w:val="clear" w:color="auto" w:fill="E8F0F8"/>
          </w:tcPr>
          <w:p>
            <w:pPr>
              <w:spacing w:after="0"/>
              <w:rPr>
                <w:sz w:val="4"/>
                <w:szCs w:val="4"/>
                <w:color w:val="auto"/>
              </w:rPr>
            </w:pPr>
          </w:p>
        </w:tc>
        <w:tc>
          <w:tcPr>
            <w:tcW w:w="320" w:type="dxa"/>
            <w:vAlign w:val="bottom"/>
            <w:tcBorders>
              <w:top w:val="single" w:sz="8" w:color="E8F0F8"/>
            </w:tcBorders>
            <w:shd w:val="clear" w:color="auto" w:fill="E8F0F8"/>
          </w:tcPr>
          <w:p>
            <w:pPr>
              <w:spacing w:after="0"/>
              <w:rPr>
                <w:sz w:val="4"/>
                <w:szCs w:val="4"/>
                <w:color w:val="auto"/>
              </w:rPr>
            </w:pPr>
          </w:p>
        </w:tc>
        <w:tc>
          <w:tcPr>
            <w:tcW w:w="300" w:type="dxa"/>
            <w:vAlign w:val="bottom"/>
            <w:tcBorders>
              <w:top w:val="single" w:sz="8" w:color="E8F0F8"/>
            </w:tcBorders>
            <w:shd w:val="clear" w:color="auto" w:fill="E8F0F8"/>
          </w:tcPr>
          <w:p>
            <w:pPr>
              <w:spacing w:after="0"/>
              <w:rPr>
                <w:sz w:val="4"/>
                <w:szCs w:val="4"/>
                <w:color w:val="auto"/>
              </w:rPr>
            </w:pPr>
          </w:p>
        </w:tc>
        <w:tc>
          <w:tcPr>
            <w:tcW w:w="320" w:type="dxa"/>
            <w:vAlign w:val="bottom"/>
            <w:tcBorders>
              <w:top w:val="single" w:sz="8" w:color="E8F0F8"/>
            </w:tcBorders>
            <w:shd w:val="clear" w:color="auto" w:fill="E8F0F8"/>
          </w:tcPr>
          <w:p>
            <w:pPr>
              <w:spacing w:after="0"/>
              <w:rPr>
                <w:sz w:val="4"/>
                <w:szCs w:val="4"/>
                <w:color w:val="auto"/>
              </w:rPr>
            </w:pPr>
          </w:p>
        </w:tc>
        <w:tc>
          <w:tcPr>
            <w:tcW w:w="240" w:type="dxa"/>
            <w:vAlign w:val="bottom"/>
            <w:tcBorders>
              <w:top w:val="single" w:sz="8" w:color="E8F0F8"/>
            </w:tcBorders>
            <w:shd w:val="clear" w:color="auto" w:fill="E8F0F8"/>
          </w:tcPr>
          <w:p>
            <w:pPr>
              <w:spacing w:after="0"/>
              <w:rPr>
                <w:sz w:val="4"/>
                <w:szCs w:val="4"/>
                <w:color w:val="auto"/>
              </w:rPr>
            </w:pPr>
          </w:p>
        </w:tc>
        <w:tc>
          <w:tcPr>
            <w:tcW w:w="40" w:type="dxa"/>
            <w:vAlign w:val="bottom"/>
            <w:tcBorders>
              <w:top w:val="single" w:sz="8" w:color="E8F0F8"/>
            </w:tcBorders>
            <w:shd w:val="clear" w:color="auto" w:fill="E8F0F8"/>
          </w:tcPr>
          <w:p>
            <w:pPr>
              <w:spacing w:after="0"/>
              <w:rPr>
                <w:sz w:val="4"/>
                <w:szCs w:val="4"/>
                <w:color w:val="auto"/>
              </w:rPr>
            </w:pPr>
          </w:p>
        </w:tc>
        <w:tc>
          <w:tcPr>
            <w:tcW w:w="140" w:type="dxa"/>
            <w:vAlign w:val="bottom"/>
            <w:tcBorders>
              <w:top w:val="single" w:sz="8" w:color="E8F0F8"/>
            </w:tcBorders>
            <w:shd w:val="clear" w:color="auto" w:fill="E8F0F8"/>
          </w:tcPr>
          <w:p>
            <w:pPr>
              <w:spacing w:after="0"/>
              <w:rPr>
                <w:sz w:val="4"/>
                <w:szCs w:val="4"/>
                <w:color w:val="auto"/>
              </w:rPr>
            </w:pPr>
          </w:p>
        </w:tc>
        <w:tc>
          <w:tcPr>
            <w:tcW w:w="20" w:type="dxa"/>
            <w:vAlign w:val="bottom"/>
            <w:tcBorders>
              <w:top w:val="single" w:sz="8" w:color="E8F0F8"/>
            </w:tcBorders>
            <w:shd w:val="clear" w:color="auto" w:fill="E8F0F8"/>
          </w:tcPr>
          <w:p>
            <w:pPr>
              <w:spacing w:after="0"/>
              <w:rPr>
                <w:sz w:val="4"/>
                <w:szCs w:val="4"/>
                <w:color w:val="auto"/>
              </w:rPr>
            </w:pPr>
          </w:p>
        </w:tc>
        <w:tc>
          <w:tcPr>
            <w:tcW w:w="220" w:type="dxa"/>
            <w:vAlign w:val="bottom"/>
            <w:tcBorders>
              <w:top w:val="single" w:sz="8" w:color="E8F0F8"/>
            </w:tcBorders>
            <w:shd w:val="clear" w:color="auto" w:fill="E8F0F8"/>
          </w:tcPr>
          <w:p>
            <w:pPr>
              <w:spacing w:after="0"/>
              <w:rPr>
                <w:sz w:val="4"/>
                <w:szCs w:val="4"/>
                <w:color w:val="auto"/>
              </w:rPr>
            </w:pPr>
          </w:p>
        </w:tc>
        <w:tc>
          <w:tcPr>
            <w:tcW w:w="520" w:type="dxa"/>
            <w:vAlign w:val="bottom"/>
            <w:tcBorders>
              <w:top w:val="single" w:sz="8" w:color="E8F0F8"/>
            </w:tcBorders>
            <w:shd w:val="clear" w:color="auto" w:fill="E8F0F8"/>
          </w:tcPr>
          <w:p>
            <w:pPr>
              <w:spacing w:after="0"/>
              <w:rPr>
                <w:sz w:val="4"/>
                <w:szCs w:val="4"/>
                <w:color w:val="auto"/>
              </w:rPr>
            </w:pPr>
          </w:p>
        </w:tc>
        <w:tc>
          <w:tcPr>
            <w:tcW w:w="280" w:type="dxa"/>
            <w:vAlign w:val="bottom"/>
          </w:tcPr>
          <w:p>
            <w:pPr>
              <w:spacing w:after="0"/>
              <w:rPr>
                <w:sz w:val="4"/>
                <w:szCs w:val="4"/>
                <w:color w:val="auto"/>
              </w:rPr>
            </w:pPr>
          </w:p>
        </w:tc>
        <w:tc>
          <w:tcPr>
            <w:tcW w:w="5720" w:type="dxa"/>
            <w:vAlign w:val="bottom"/>
            <w:gridSpan w:val="2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4"/>
        </w:trPr>
        <w:tc>
          <w:tcPr>
            <w:tcW w:w="120" w:type="dxa"/>
            <w:vAlign w:val="bottom"/>
            <w:tcBorders>
              <w:top w:val="single" w:sz="8" w:color="E8F0F8"/>
              <w:bottom w:val="single" w:sz="8" w:color="auto"/>
            </w:tcBorders>
            <w:shd w:val="clear" w:color="auto" w:fill="E8F0F8"/>
          </w:tcPr>
          <w:p>
            <w:pPr>
              <w:spacing w:after="0"/>
              <w:rPr>
                <w:sz w:val="24"/>
                <w:szCs w:val="24"/>
                <w:color w:val="auto"/>
              </w:rPr>
            </w:pPr>
          </w:p>
        </w:tc>
        <w:tc>
          <w:tcPr>
            <w:tcW w:w="140" w:type="dxa"/>
            <w:vAlign w:val="bottom"/>
            <w:tcBorders>
              <w:top w:val="single" w:sz="8" w:color="E8F0F8"/>
              <w:bottom w:val="single" w:sz="8" w:color="auto"/>
            </w:tcBorders>
            <w:shd w:val="clear" w:color="auto" w:fill="E8F0F8"/>
          </w:tcPr>
          <w:p>
            <w:pPr>
              <w:spacing w:after="0"/>
              <w:rPr>
                <w:sz w:val="24"/>
                <w:szCs w:val="24"/>
                <w:color w:val="auto"/>
              </w:rPr>
            </w:pPr>
          </w:p>
        </w:tc>
        <w:tc>
          <w:tcPr>
            <w:tcW w:w="1040" w:type="dxa"/>
            <w:vAlign w:val="bottom"/>
            <w:tcBorders>
              <w:top w:val="single" w:sz="8" w:color="E8F0F8"/>
              <w:bottom w:val="single" w:sz="8" w:color="auto"/>
            </w:tcBorders>
            <w:shd w:val="clear" w:color="auto" w:fill="E8F0F8"/>
          </w:tcPr>
          <w:p>
            <w:pPr>
              <w:spacing w:after="0"/>
              <w:rPr>
                <w:sz w:val="24"/>
                <w:szCs w:val="24"/>
                <w:color w:val="auto"/>
              </w:rPr>
            </w:pPr>
          </w:p>
        </w:tc>
        <w:tc>
          <w:tcPr>
            <w:tcW w:w="40" w:type="dxa"/>
            <w:vAlign w:val="bottom"/>
            <w:tcBorders>
              <w:top w:val="single" w:sz="8" w:color="E8F0F8"/>
              <w:bottom w:val="single" w:sz="8" w:color="auto"/>
            </w:tcBorders>
            <w:shd w:val="clear" w:color="auto" w:fill="E8F0F8"/>
          </w:tcPr>
          <w:p>
            <w:pPr>
              <w:spacing w:after="0"/>
              <w:rPr>
                <w:sz w:val="24"/>
                <w:szCs w:val="24"/>
                <w:color w:val="auto"/>
              </w:rPr>
            </w:pPr>
          </w:p>
        </w:tc>
        <w:tc>
          <w:tcPr>
            <w:tcW w:w="900" w:type="dxa"/>
            <w:vAlign w:val="bottom"/>
            <w:tcBorders>
              <w:top w:val="single" w:sz="8" w:color="E8F0F8"/>
              <w:bottom w:val="single" w:sz="8" w:color="auto"/>
            </w:tcBorders>
            <w:shd w:val="clear" w:color="auto" w:fill="E8F0F8"/>
          </w:tcPr>
          <w:p>
            <w:pPr>
              <w:spacing w:after="0"/>
              <w:rPr>
                <w:sz w:val="24"/>
                <w:szCs w:val="24"/>
                <w:color w:val="auto"/>
              </w:rPr>
            </w:pPr>
          </w:p>
        </w:tc>
        <w:tc>
          <w:tcPr>
            <w:tcW w:w="60" w:type="dxa"/>
            <w:vAlign w:val="bottom"/>
            <w:tcBorders>
              <w:top w:val="single" w:sz="8" w:color="E8F0F8"/>
              <w:bottom w:val="single" w:sz="8" w:color="auto"/>
            </w:tcBorders>
            <w:shd w:val="clear" w:color="auto" w:fill="E8F0F8"/>
          </w:tcPr>
          <w:p>
            <w:pPr>
              <w:spacing w:after="0"/>
              <w:rPr>
                <w:sz w:val="24"/>
                <w:szCs w:val="24"/>
                <w:color w:val="auto"/>
              </w:rPr>
            </w:pPr>
          </w:p>
        </w:tc>
        <w:tc>
          <w:tcPr>
            <w:tcW w:w="320" w:type="dxa"/>
            <w:vAlign w:val="bottom"/>
            <w:tcBorders>
              <w:top w:val="single" w:sz="8" w:color="E8F0F8"/>
              <w:bottom w:val="single" w:sz="8" w:color="auto"/>
            </w:tcBorders>
            <w:shd w:val="clear" w:color="auto" w:fill="E8F0F8"/>
          </w:tcPr>
          <w:p>
            <w:pPr>
              <w:spacing w:after="0"/>
              <w:rPr>
                <w:sz w:val="24"/>
                <w:szCs w:val="24"/>
                <w:color w:val="auto"/>
              </w:rPr>
            </w:pPr>
          </w:p>
        </w:tc>
        <w:tc>
          <w:tcPr>
            <w:tcW w:w="300" w:type="dxa"/>
            <w:vAlign w:val="bottom"/>
            <w:tcBorders>
              <w:top w:val="single" w:sz="8" w:color="E8F0F8"/>
              <w:bottom w:val="single" w:sz="8" w:color="auto"/>
            </w:tcBorders>
            <w:shd w:val="clear" w:color="auto" w:fill="E8F0F8"/>
          </w:tcPr>
          <w:p>
            <w:pPr>
              <w:spacing w:after="0"/>
              <w:rPr>
                <w:sz w:val="24"/>
                <w:szCs w:val="24"/>
                <w:color w:val="auto"/>
              </w:rPr>
            </w:pPr>
          </w:p>
        </w:tc>
        <w:tc>
          <w:tcPr>
            <w:tcW w:w="320" w:type="dxa"/>
            <w:vAlign w:val="bottom"/>
            <w:tcBorders>
              <w:top w:val="single" w:sz="8" w:color="E8F0F8"/>
              <w:bottom w:val="single" w:sz="8" w:color="auto"/>
            </w:tcBorders>
            <w:shd w:val="clear" w:color="auto" w:fill="E8F0F8"/>
          </w:tcPr>
          <w:p>
            <w:pPr>
              <w:spacing w:after="0"/>
              <w:rPr>
                <w:sz w:val="24"/>
                <w:szCs w:val="24"/>
                <w:color w:val="auto"/>
              </w:rPr>
            </w:pPr>
          </w:p>
        </w:tc>
        <w:tc>
          <w:tcPr>
            <w:tcW w:w="240" w:type="dxa"/>
            <w:vAlign w:val="bottom"/>
            <w:tcBorders>
              <w:top w:val="single" w:sz="8" w:color="E8F0F8"/>
              <w:bottom w:val="single" w:sz="8" w:color="auto"/>
            </w:tcBorders>
            <w:shd w:val="clear" w:color="auto" w:fill="E8F0F8"/>
          </w:tcPr>
          <w:p>
            <w:pPr>
              <w:spacing w:after="0"/>
              <w:rPr>
                <w:sz w:val="24"/>
                <w:szCs w:val="24"/>
                <w:color w:val="auto"/>
              </w:rPr>
            </w:pPr>
          </w:p>
        </w:tc>
        <w:tc>
          <w:tcPr>
            <w:tcW w:w="40" w:type="dxa"/>
            <w:vAlign w:val="bottom"/>
            <w:tcBorders>
              <w:top w:val="single" w:sz="8" w:color="E8F0F8"/>
              <w:bottom w:val="single" w:sz="8" w:color="auto"/>
            </w:tcBorders>
            <w:shd w:val="clear" w:color="auto" w:fill="E8F0F8"/>
          </w:tcPr>
          <w:p>
            <w:pPr>
              <w:spacing w:after="0"/>
              <w:rPr>
                <w:sz w:val="24"/>
                <w:szCs w:val="24"/>
                <w:color w:val="auto"/>
              </w:rPr>
            </w:pPr>
          </w:p>
        </w:tc>
        <w:tc>
          <w:tcPr>
            <w:tcW w:w="140" w:type="dxa"/>
            <w:vAlign w:val="bottom"/>
            <w:tcBorders>
              <w:top w:val="single" w:sz="8" w:color="E8F0F8"/>
              <w:bottom w:val="single" w:sz="8" w:color="auto"/>
            </w:tcBorders>
            <w:shd w:val="clear" w:color="auto" w:fill="E8F0F8"/>
          </w:tcPr>
          <w:p>
            <w:pPr>
              <w:spacing w:after="0"/>
              <w:rPr>
                <w:sz w:val="24"/>
                <w:szCs w:val="24"/>
                <w:color w:val="auto"/>
              </w:rPr>
            </w:pPr>
          </w:p>
        </w:tc>
        <w:tc>
          <w:tcPr>
            <w:tcW w:w="20" w:type="dxa"/>
            <w:vAlign w:val="bottom"/>
            <w:tcBorders>
              <w:top w:val="single" w:sz="8" w:color="E8F0F8"/>
              <w:bottom w:val="single" w:sz="8" w:color="auto"/>
            </w:tcBorders>
            <w:shd w:val="clear" w:color="auto" w:fill="E8F0F8"/>
          </w:tcPr>
          <w:p>
            <w:pPr>
              <w:spacing w:after="0"/>
              <w:rPr>
                <w:sz w:val="24"/>
                <w:szCs w:val="24"/>
                <w:color w:val="auto"/>
              </w:rPr>
            </w:pPr>
          </w:p>
        </w:tc>
        <w:tc>
          <w:tcPr>
            <w:tcW w:w="220" w:type="dxa"/>
            <w:vAlign w:val="bottom"/>
            <w:tcBorders>
              <w:top w:val="single" w:sz="8" w:color="E8F0F8"/>
              <w:bottom w:val="single" w:sz="8" w:color="auto"/>
            </w:tcBorders>
            <w:shd w:val="clear" w:color="auto" w:fill="E8F0F8"/>
          </w:tcPr>
          <w:p>
            <w:pPr>
              <w:spacing w:after="0"/>
              <w:rPr>
                <w:sz w:val="24"/>
                <w:szCs w:val="24"/>
                <w:color w:val="auto"/>
              </w:rPr>
            </w:pPr>
          </w:p>
        </w:tc>
        <w:tc>
          <w:tcPr>
            <w:tcW w:w="520" w:type="dxa"/>
            <w:vAlign w:val="bottom"/>
            <w:tcBorders>
              <w:top w:val="single" w:sz="8" w:color="E8F0F8"/>
              <w:bottom w:val="single" w:sz="8" w:color="auto"/>
            </w:tcBorders>
            <w:shd w:val="clear" w:color="auto" w:fill="E8F0F8"/>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00" w:type="dxa"/>
            <w:vAlign w:val="bottom"/>
            <w:tcBorders>
              <w:bottom w:val="single" w:sz="8" w:color="E8F0F8"/>
            </w:tcBorders>
            <w:gridSpan w:val="3"/>
            <w:vMerge w:val="restart"/>
            <w:shd w:val="clear" w:color="auto" w:fill="E8F0F8"/>
          </w:tcPr>
          <w:p>
            <w:pPr>
              <w:jc w:val="right"/>
              <w:ind w:right="260"/>
              <w:spacing w:after="0" w:line="1463" w:lineRule="exact"/>
              <w:rPr>
                <w:sz w:val="20"/>
                <w:szCs w:val="20"/>
                <w:color w:val="auto"/>
              </w:rPr>
            </w:pPr>
            <w:r>
              <w:rPr>
                <w:rFonts w:ascii="Arial" w:cs="Arial" w:eastAsia="Arial" w:hAnsi="Arial"/>
                <w:sz w:val="144"/>
                <w:szCs w:val="144"/>
                <w:color w:val="1A6DBB"/>
              </w:rPr>
              <w:t>3</w:t>
            </w:r>
          </w:p>
        </w:tc>
        <w:tc>
          <w:tcPr>
            <w:tcW w:w="40" w:type="dxa"/>
            <w:vAlign w:val="bottom"/>
            <w:tcBorders>
              <w:bottom w:val="single" w:sz="8" w:color="E8F0F8"/>
            </w:tcBorders>
            <w:shd w:val="clear" w:color="auto" w:fill="E8F0F8"/>
          </w:tcPr>
          <w:p>
            <w:pPr>
              <w:spacing w:after="0"/>
              <w:rPr>
                <w:sz w:val="14"/>
                <w:szCs w:val="14"/>
                <w:color w:val="auto"/>
              </w:rPr>
            </w:pPr>
          </w:p>
        </w:tc>
        <w:tc>
          <w:tcPr>
            <w:tcW w:w="3080" w:type="dxa"/>
            <w:vAlign w:val="bottom"/>
            <w:tcBorders>
              <w:bottom w:val="single" w:sz="8" w:color="E8F0F8"/>
            </w:tcBorders>
            <w:gridSpan w:val="11"/>
            <w:shd w:val="clear" w:color="auto" w:fill="E8F0F8"/>
          </w:tcPr>
          <w:p>
            <w:pPr>
              <w:spacing w:after="0" w:line="162" w:lineRule="exact"/>
              <w:rPr>
                <w:sz w:val="20"/>
                <w:szCs w:val="20"/>
                <w:color w:val="auto"/>
              </w:rPr>
            </w:pPr>
            <w:r>
              <w:rPr>
                <w:rFonts w:ascii="Arial" w:cs="Arial" w:eastAsia="Arial" w:hAnsi="Arial"/>
                <w:sz w:val="17"/>
                <w:szCs w:val="17"/>
                <w:color w:val="0000EE"/>
              </w:rPr>
              <w:t>Board of Directors</w:t>
            </w:r>
          </w:p>
        </w:tc>
        <w:tc>
          <w:tcPr>
            <w:tcW w:w="280" w:type="dxa"/>
            <w:vAlign w:val="bottom"/>
          </w:tcPr>
          <w:p>
            <w:pPr>
              <w:spacing w:after="0"/>
              <w:rPr>
                <w:sz w:val="14"/>
                <w:szCs w:val="14"/>
                <w:color w:val="auto"/>
              </w:rPr>
            </w:pPr>
          </w:p>
        </w:tc>
        <w:tc>
          <w:tcPr>
            <w:tcW w:w="2400" w:type="dxa"/>
            <w:vAlign w:val="bottom"/>
            <w:tcBorders>
              <w:bottom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Proposal 1 – Election of Directors</w:t>
            </w:r>
          </w:p>
        </w:tc>
        <w:tc>
          <w:tcPr>
            <w:tcW w:w="3320" w:type="dxa"/>
            <w:vAlign w:val="bottom"/>
            <w:gridSpan w:val="7"/>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1A6DBB"/>
              </w:rPr>
              <w:t>11</w:t>
            </w:r>
          </w:p>
        </w:tc>
        <w:tc>
          <w:tcPr>
            <w:tcW w:w="0" w:type="dxa"/>
            <w:vAlign w:val="bottom"/>
          </w:tcPr>
          <w:p>
            <w:pPr>
              <w:spacing w:after="0"/>
              <w:rPr>
                <w:sz w:val="1"/>
                <w:szCs w:val="1"/>
                <w:color w:val="auto"/>
              </w:rPr>
            </w:pPr>
          </w:p>
        </w:tc>
      </w:tr>
      <w:tr>
        <w:trPr>
          <w:trHeight w:val="95"/>
        </w:trPr>
        <w:tc>
          <w:tcPr>
            <w:tcW w:w="1300" w:type="dxa"/>
            <w:vAlign w:val="bottom"/>
            <w:tcBorders>
              <w:bottom w:val="single" w:sz="8" w:color="E8F0F8"/>
            </w:tcBorders>
            <w:gridSpan w:val="3"/>
            <w:vMerge w:val="continue"/>
            <w:shd w:val="clear" w:color="auto" w:fill="E8F0F8"/>
          </w:tcPr>
          <w:p>
            <w:pPr>
              <w:spacing w:after="0"/>
              <w:rPr>
                <w:sz w:val="8"/>
                <w:szCs w:val="8"/>
                <w:color w:val="auto"/>
              </w:rPr>
            </w:pPr>
          </w:p>
        </w:tc>
        <w:tc>
          <w:tcPr>
            <w:tcW w:w="40" w:type="dxa"/>
            <w:vAlign w:val="bottom"/>
            <w:tcBorders>
              <w:bottom w:val="single" w:sz="8" w:color="E8F0F8"/>
            </w:tcBorders>
            <w:shd w:val="clear" w:color="auto" w:fill="E8F0F8"/>
          </w:tcPr>
          <w:p>
            <w:pPr>
              <w:spacing w:after="0"/>
              <w:rPr>
                <w:sz w:val="8"/>
                <w:szCs w:val="8"/>
                <w:color w:val="auto"/>
              </w:rPr>
            </w:pPr>
          </w:p>
        </w:tc>
        <w:tc>
          <w:tcPr>
            <w:tcW w:w="900" w:type="dxa"/>
            <w:vAlign w:val="bottom"/>
            <w:tcBorders>
              <w:bottom w:val="single" w:sz="8" w:color="0000EE"/>
            </w:tcBorders>
            <w:shd w:val="clear" w:color="auto" w:fill="E8F0F8"/>
          </w:tcPr>
          <w:p>
            <w:pPr>
              <w:spacing w:after="0"/>
              <w:rPr>
                <w:sz w:val="8"/>
                <w:szCs w:val="8"/>
                <w:color w:val="auto"/>
              </w:rPr>
            </w:pPr>
          </w:p>
        </w:tc>
        <w:tc>
          <w:tcPr>
            <w:tcW w:w="60" w:type="dxa"/>
            <w:vAlign w:val="bottom"/>
            <w:tcBorders>
              <w:bottom w:val="single" w:sz="8" w:color="0000EE"/>
            </w:tcBorders>
            <w:shd w:val="clear" w:color="auto" w:fill="E8F0F8"/>
          </w:tcPr>
          <w:p>
            <w:pPr>
              <w:spacing w:after="0"/>
              <w:rPr>
                <w:sz w:val="8"/>
                <w:szCs w:val="8"/>
                <w:color w:val="auto"/>
              </w:rPr>
            </w:pPr>
          </w:p>
        </w:tc>
        <w:tc>
          <w:tcPr>
            <w:tcW w:w="320" w:type="dxa"/>
            <w:vAlign w:val="bottom"/>
            <w:tcBorders>
              <w:bottom w:val="single" w:sz="8" w:color="0000EE"/>
            </w:tcBorders>
            <w:shd w:val="clear" w:color="auto" w:fill="E8F0F8"/>
          </w:tcPr>
          <w:p>
            <w:pPr>
              <w:spacing w:after="0"/>
              <w:rPr>
                <w:sz w:val="8"/>
                <w:szCs w:val="8"/>
                <w:color w:val="auto"/>
              </w:rPr>
            </w:pPr>
          </w:p>
        </w:tc>
        <w:tc>
          <w:tcPr>
            <w:tcW w:w="300" w:type="dxa"/>
            <w:vAlign w:val="bottom"/>
            <w:tcBorders>
              <w:bottom w:val="single" w:sz="8" w:color="0000EE"/>
            </w:tcBorders>
            <w:shd w:val="clear" w:color="auto" w:fill="E8F0F8"/>
          </w:tcPr>
          <w:p>
            <w:pPr>
              <w:spacing w:after="0"/>
              <w:rPr>
                <w:sz w:val="8"/>
                <w:szCs w:val="8"/>
                <w:color w:val="auto"/>
              </w:rPr>
            </w:pPr>
          </w:p>
        </w:tc>
        <w:tc>
          <w:tcPr>
            <w:tcW w:w="320" w:type="dxa"/>
            <w:vAlign w:val="bottom"/>
            <w:tcBorders>
              <w:bottom w:val="single" w:sz="8" w:color="0000EE"/>
            </w:tcBorders>
            <w:shd w:val="clear" w:color="auto" w:fill="E8F0F8"/>
          </w:tcPr>
          <w:p>
            <w:pPr>
              <w:spacing w:after="0"/>
              <w:rPr>
                <w:sz w:val="8"/>
                <w:szCs w:val="8"/>
                <w:color w:val="auto"/>
              </w:rPr>
            </w:pPr>
          </w:p>
        </w:tc>
        <w:tc>
          <w:tcPr>
            <w:tcW w:w="240" w:type="dxa"/>
            <w:vAlign w:val="bottom"/>
            <w:tcBorders>
              <w:bottom w:val="single" w:sz="8" w:color="0000EE"/>
            </w:tcBorders>
            <w:shd w:val="clear" w:color="auto" w:fill="E8F0F8"/>
          </w:tcPr>
          <w:p>
            <w:pPr>
              <w:spacing w:after="0"/>
              <w:rPr>
                <w:sz w:val="8"/>
                <w:szCs w:val="8"/>
                <w:color w:val="auto"/>
              </w:rPr>
            </w:pPr>
          </w:p>
        </w:tc>
        <w:tc>
          <w:tcPr>
            <w:tcW w:w="40" w:type="dxa"/>
            <w:vAlign w:val="bottom"/>
            <w:tcBorders>
              <w:bottom w:val="single" w:sz="8" w:color="0000EE"/>
            </w:tcBorders>
            <w:shd w:val="clear" w:color="auto" w:fill="E8F0F8"/>
          </w:tcPr>
          <w:p>
            <w:pPr>
              <w:spacing w:after="0"/>
              <w:rPr>
                <w:sz w:val="8"/>
                <w:szCs w:val="8"/>
                <w:color w:val="auto"/>
              </w:rPr>
            </w:pPr>
          </w:p>
        </w:tc>
        <w:tc>
          <w:tcPr>
            <w:tcW w:w="140" w:type="dxa"/>
            <w:vAlign w:val="bottom"/>
            <w:tcBorders>
              <w:bottom w:val="single" w:sz="8" w:color="0000EE"/>
            </w:tcBorders>
            <w:shd w:val="clear" w:color="auto" w:fill="E8F0F8"/>
          </w:tcPr>
          <w:p>
            <w:pPr>
              <w:spacing w:after="0"/>
              <w:rPr>
                <w:sz w:val="8"/>
                <w:szCs w:val="8"/>
                <w:color w:val="auto"/>
              </w:rPr>
            </w:pPr>
          </w:p>
        </w:tc>
        <w:tc>
          <w:tcPr>
            <w:tcW w:w="20" w:type="dxa"/>
            <w:vAlign w:val="bottom"/>
            <w:tcBorders>
              <w:bottom w:val="single" w:sz="8" w:color="E8F0F8"/>
            </w:tcBorders>
            <w:shd w:val="clear" w:color="auto" w:fill="E8F0F8"/>
          </w:tcPr>
          <w:p>
            <w:pPr>
              <w:spacing w:after="0"/>
              <w:rPr>
                <w:sz w:val="8"/>
                <w:szCs w:val="8"/>
                <w:color w:val="auto"/>
              </w:rPr>
            </w:pPr>
          </w:p>
        </w:tc>
        <w:tc>
          <w:tcPr>
            <w:tcW w:w="220" w:type="dxa"/>
            <w:vAlign w:val="bottom"/>
            <w:tcBorders>
              <w:bottom w:val="single" w:sz="8" w:color="E8F0F8"/>
            </w:tcBorders>
            <w:shd w:val="clear" w:color="auto" w:fill="E8F0F8"/>
          </w:tcPr>
          <w:p>
            <w:pPr>
              <w:spacing w:after="0"/>
              <w:rPr>
                <w:sz w:val="8"/>
                <w:szCs w:val="8"/>
                <w:color w:val="auto"/>
              </w:rPr>
            </w:pPr>
          </w:p>
        </w:tc>
        <w:tc>
          <w:tcPr>
            <w:tcW w:w="520" w:type="dxa"/>
            <w:vAlign w:val="bottom"/>
            <w:tcBorders>
              <w:bottom w:val="single" w:sz="8" w:color="E8F0F8"/>
            </w:tcBorders>
            <w:shd w:val="clear" w:color="auto" w:fill="E8F0F8"/>
          </w:tcPr>
          <w:p>
            <w:pPr>
              <w:spacing w:after="0"/>
              <w:rPr>
                <w:sz w:val="8"/>
                <w:szCs w:val="8"/>
                <w:color w:val="auto"/>
              </w:rPr>
            </w:pPr>
          </w:p>
        </w:tc>
        <w:tc>
          <w:tcPr>
            <w:tcW w:w="280" w:type="dxa"/>
            <w:vAlign w:val="bottom"/>
          </w:tcPr>
          <w:p>
            <w:pPr>
              <w:spacing w:after="0"/>
              <w:rPr>
                <w:sz w:val="8"/>
                <w:szCs w:val="8"/>
                <w:color w:val="auto"/>
              </w:rPr>
            </w:pPr>
          </w:p>
        </w:tc>
        <w:tc>
          <w:tcPr>
            <w:tcW w:w="1880" w:type="dxa"/>
            <w:vAlign w:val="bottom"/>
            <w:gridSpan w:val="10"/>
            <w:vMerge w:val="restart"/>
          </w:tcPr>
          <w:p>
            <w:pPr>
              <w:spacing w:after="0"/>
              <w:rPr>
                <w:sz w:val="20"/>
                <w:szCs w:val="20"/>
                <w:color w:val="auto"/>
              </w:rPr>
            </w:pPr>
            <w:r>
              <w:rPr>
                <w:rFonts w:ascii="Arial" w:cs="Arial" w:eastAsia="Arial" w:hAnsi="Arial"/>
                <w:sz w:val="16"/>
                <w:szCs w:val="16"/>
                <w:color w:val="0000EE"/>
              </w:rPr>
              <w:t>Committees and Meetings</w:t>
            </w:r>
          </w:p>
        </w:tc>
        <w:tc>
          <w:tcPr>
            <w:tcW w:w="3840" w:type="dxa"/>
            <w:vAlign w:val="bottom"/>
            <w:gridSpan w:val="12"/>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81"/>
        </w:trPr>
        <w:tc>
          <w:tcPr>
            <w:tcW w:w="1300" w:type="dxa"/>
            <w:vAlign w:val="bottom"/>
            <w:tcBorders>
              <w:bottom w:val="single" w:sz="8" w:color="E8F0F8"/>
            </w:tcBorders>
            <w:gridSpan w:val="3"/>
            <w:vMerge w:val="continue"/>
            <w:shd w:val="clear" w:color="auto" w:fill="E8F0F8"/>
          </w:tcPr>
          <w:p>
            <w:pPr>
              <w:spacing w:after="0"/>
              <w:rPr>
                <w:sz w:val="7"/>
                <w:szCs w:val="7"/>
                <w:color w:val="auto"/>
              </w:rPr>
            </w:pPr>
          </w:p>
        </w:tc>
        <w:tc>
          <w:tcPr>
            <w:tcW w:w="40" w:type="dxa"/>
            <w:vAlign w:val="bottom"/>
            <w:tcBorders>
              <w:bottom w:val="single" w:sz="8" w:color="E8F0F8"/>
            </w:tcBorders>
            <w:shd w:val="clear" w:color="auto" w:fill="E8F0F8"/>
          </w:tcPr>
          <w:p>
            <w:pPr>
              <w:spacing w:after="0"/>
              <w:rPr>
                <w:sz w:val="7"/>
                <w:szCs w:val="7"/>
                <w:color w:val="auto"/>
              </w:rPr>
            </w:pPr>
          </w:p>
        </w:tc>
        <w:tc>
          <w:tcPr>
            <w:tcW w:w="900" w:type="dxa"/>
            <w:vAlign w:val="bottom"/>
            <w:tcBorders>
              <w:bottom w:val="single" w:sz="8" w:color="E8F0F8"/>
            </w:tcBorders>
            <w:shd w:val="clear" w:color="auto" w:fill="E8F0F8"/>
          </w:tcPr>
          <w:p>
            <w:pPr>
              <w:spacing w:after="0"/>
              <w:rPr>
                <w:sz w:val="7"/>
                <w:szCs w:val="7"/>
                <w:color w:val="auto"/>
              </w:rPr>
            </w:pPr>
          </w:p>
        </w:tc>
        <w:tc>
          <w:tcPr>
            <w:tcW w:w="60" w:type="dxa"/>
            <w:vAlign w:val="bottom"/>
            <w:tcBorders>
              <w:bottom w:val="single" w:sz="8" w:color="E8F0F8"/>
            </w:tcBorders>
            <w:shd w:val="clear" w:color="auto" w:fill="E8F0F8"/>
          </w:tcPr>
          <w:p>
            <w:pPr>
              <w:spacing w:after="0"/>
              <w:rPr>
                <w:sz w:val="7"/>
                <w:szCs w:val="7"/>
                <w:color w:val="auto"/>
              </w:rPr>
            </w:pPr>
          </w:p>
        </w:tc>
        <w:tc>
          <w:tcPr>
            <w:tcW w:w="320" w:type="dxa"/>
            <w:vAlign w:val="bottom"/>
            <w:tcBorders>
              <w:bottom w:val="single" w:sz="8" w:color="E8F0F8"/>
            </w:tcBorders>
            <w:shd w:val="clear" w:color="auto" w:fill="E8F0F8"/>
          </w:tcPr>
          <w:p>
            <w:pPr>
              <w:spacing w:after="0"/>
              <w:rPr>
                <w:sz w:val="7"/>
                <w:szCs w:val="7"/>
                <w:color w:val="auto"/>
              </w:rPr>
            </w:pPr>
          </w:p>
        </w:tc>
        <w:tc>
          <w:tcPr>
            <w:tcW w:w="300" w:type="dxa"/>
            <w:vAlign w:val="bottom"/>
            <w:tcBorders>
              <w:bottom w:val="single" w:sz="8" w:color="E8F0F8"/>
            </w:tcBorders>
            <w:shd w:val="clear" w:color="auto" w:fill="E8F0F8"/>
          </w:tcPr>
          <w:p>
            <w:pPr>
              <w:spacing w:after="0"/>
              <w:rPr>
                <w:sz w:val="7"/>
                <w:szCs w:val="7"/>
                <w:color w:val="auto"/>
              </w:rPr>
            </w:pPr>
          </w:p>
        </w:tc>
        <w:tc>
          <w:tcPr>
            <w:tcW w:w="320" w:type="dxa"/>
            <w:vAlign w:val="bottom"/>
            <w:tcBorders>
              <w:bottom w:val="single" w:sz="8" w:color="E8F0F8"/>
            </w:tcBorders>
            <w:shd w:val="clear" w:color="auto" w:fill="E8F0F8"/>
          </w:tcPr>
          <w:p>
            <w:pPr>
              <w:spacing w:after="0"/>
              <w:rPr>
                <w:sz w:val="7"/>
                <w:szCs w:val="7"/>
                <w:color w:val="auto"/>
              </w:rPr>
            </w:pPr>
          </w:p>
        </w:tc>
        <w:tc>
          <w:tcPr>
            <w:tcW w:w="240" w:type="dxa"/>
            <w:vAlign w:val="bottom"/>
            <w:tcBorders>
              <w:bottom w:val="single" w:sz="8" w:color="E8F0F8"/>
            </w:tcBorders>
            <w:shd w:val="clear" w:color="auto" w:fill="E8F0F8"/>
          </w:tcPr>
          <w:p>
            <w:pPr>
              <w:spacing w:after="0"/>
              <w:rPr>
                <w:sz w:val="7"/>
                <w:szCs w:val="7"/>
                <w:color w:val="auto"/>
              </w:rPr>
            </w:pPr>
          </w:p>
        </w:tc>
        <w:tc>
          <w:tcPr>
            <w:tcW w:w="40" w:type="dxa"/>
            <w:vAlign w:val="bottom"/>
            <w:tcBorders>
              <w:bottom w:val="single" w:sz="8" w:color="E8F0F8"/>
            </w:tcBorders>
            <w:shd w:val="clear" w:color="auto" w:fill="E8F0F8"/>
          </w:tcPr>
          <w:p>
            <w:pPr>
              <w:spacing w:after="0"/>
              <w:rPr>
                <w:sz w:val="7"/>
                <w:szCs w:val="7"/>
                <w:color w:val="auto"/>
              </w:rPr>
            </w:pPr>
          </w:p>
        </w:tc>
        <w:tc>
          <w:tcPr>
            <w:tcW w:w="140" w:type="dxa"/>
            <w:vAlign w:val="bottom"/>
            <w:tcBorders>
              <w:bottom w:val="single" w:sz="8" w:color="E8F0F8"/>
            </w:tcBorders>
            <w:shd w:val="clear" w:color="auto" w:fill="E8F0F8"/>
          </w:tcPr>
          <w:p>
            <w:pPr>
              <w:spacing w:after="0"/>
              <w:rPr>
                <w:sz w:val="7"/>
                <w:szCs w:val="7"/>
                <w:color w:val="auto"/>
              </w:rPr>
            </w:pPr>
          </w:p>
        </w:tc>
        <w:tc>
          <w:tcPr>
            <w:tcW w:w="20" w:type="dxa"/>
            <w:vAlign w:val="bottom"/>
            <w:tcBorders>
              <w:bottom w:val="single" w:sz="8" w:color="E8F0F8"/>
            </w:tcBorders>
            <w:shd w:val="clear" w:color="auto" w:fill="E8F0F8"/>
          </w:tcPr>
          <w:p>
            <w:pPr>
              <w:spacing w:after="0"/>
              <w:rPr>
                <w:sz w:val="7"/>
                <w:szCs w:val="7"/>
                <w:color w:val="auto"/>
              </w:rPr>
            </w:pPr>
          </w:p>
        </w:tc>
        <w:tc>
          <w:tcPr>
            <w:tcW w:w="220" w:type="dxa"/>
            <w:vAlign w:val="bottom"/>
            <w:tcBorders>
              <w:bottom w:val="single" w:sz="8" w:color="E8F0F8"/>
            </w:tcBorders>
            <w:shd w:val="clear" w:color="auto" w:fill="E8F0F8"/>
          </w:tcPr>
          <w:p>
            <w:pPr>
              <w:spacing w:after="0"/>
              <w:rPr>
                <w:sz w:val="7"/>
                <w:szCs w:val="7"/>
                <w:color w:val="auto"/>
              </w:rPr>
            </w:pPr>
          </w:p>
        </w:tc>
        <w:tc>
          <w:tcPr>
            <w:tcW w:w="520" w:type="dxa"/>
            <w:vAlign w:val="bottom"/>
            <w:tcBorders>
              <w:bottom w:val="single" w:sz="8" w:color="E8F0F8"/>
            </w:tcBorders>
            <w:shd w:val="clear" w:color="auto" w:fill="E8F0F8"/>
          </w:tcPr>
          <w:p>
            <w:pPr>
              <w:spacing w:after="0"/>
              <w:rPr>
                <w:sz w:val="7"/>
                <w:szCs w:val="7"/>
                <w:color w:val="auto"/>
              </w:rPr>
            </w:pPr>
          </w:p>
        </w:tc>
        <w:tc>
          <w:tcPr>
            <w:tcW w:w="280" w:type="dxa"/>
            <w:vAlign w:val="bottom"/>
          </w:tcPr>
          <w:p>
            <w:pPr>
              <w:spacing w:after="0"/>
              <w:rPr>
                <w:sz w:val="7"/>
                <w:szCs w:val="7"/>
                <w:color w:val="auto"/>
              </w:rPr>
            </w:pPr>
          </w:p>
        </w:tc>
        <w:tc>
          <w:tcPr>
            <w:tcW w:w="1880" w:type="dxa"/>
            <w:vAlign w:val="bottom"/>
            <w:tcBorders>
              <w:bottom w:val="single" w:sz="8" w:color="0000EE"/>
            </w:tcBorders>
            <w:gridSpan w:val="10"/>
            <w:vMerge w:val="continue"/>
          </w:tcPr>
          <w:p>
            <w:pPr>
              <w:spacing w:after="0"/>
              <w:rPr>
                <w:sz w:val="7"/>
                <w:szCs w:val="7"/>
                <w:color w:val="auto"/>
              </w:rPr>
            </w:pPr>
          </w:p>
        </w:tc>
        <w:tc>
          <w:tcPr>
            <w:tcW w:w="3840" w:type="dxa"/>
            <w:vAlign w:val="bottom"/>
            <w:gridSpan w:val="1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E8F0F8"/>
            </w:tcBorders>
            <w:gridSpan w:val="3"/>
            <w:vMerge w:val="continue"/>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9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30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2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20" w:type="dxa"/>
            <w:vAlign w:val="bottom"/>
            <w:tcBorders>
              <w:bottom w:val="single" w:sz="8" w:color="E8F0F8"/>
            </w:tcBorders>
            <w:shd w:val="clear" w:color="auto" w:fill="E8F0F8"/>
          </w:tcPr>
          <w:p>
            <w:pPr>
              <w:spacing w:after="0"/>
              <w:rPr>
                <w:sz w:val="17"/>
                <w:szCs w:val="17"/>
                <w:color w:val="auto"/>
              </w:rPr>
            </w:pPr>
          </w:p>
        </w:tc>
        <w:tc>
          <w:tcPr>
            <w:tcW w:w="220" w:type="dxa"/>
            <w:vAlign w:val="bottom"/>
            <w:tcBorders>
              <w:bottom w:val="single" w:sz="8" w:color="E8F0F8"/>
            </w:tcBorders>
            <w:shd w:val="clear" w:color="auto" w:fill="E8F0F8"/>
          </w:tcPr>
          <w:p>
            <w:pPr>
              <w:spacing w:after="0"/>
              <w:rPr>
                <w:sz w:val="17"/>
                <w:szCs w:val="17"/>
                <w:color w:val="auto"/>
              </w:rPr>
            </w:pPr>
          </w:p>
        </w:tc>
        <w:tc>
          <w:tcPr>
            <w:tcW w:w="520" w:type="dxa"/>
            <w:vAlign w:val="bottom"/>
            <w:tcBorders>
              <w:bottom w:val="single" w:sz="8" w:color="E8F0F8"/>
            </w:tcBorders>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Director Compensation</w:t>
            </w:r>
          </w:p>
        </w:tc>
        <w:tc>
          <w:tcPr>
            <w:tcW w:w="4060" w:type="dxa"/>
            <w:vAlign w:val="bottom"/>
            <w:gridSpan w:val="15"/>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E8F0F8"/>
            </w:tcBorders>
            <w:gridSpan w:val="3"/>
            <w:vMerge w:val="continue"/>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9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30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2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20" w:type="dxa"/>
            <w:vAlign w:val="bottom"/>
            <w:tcBorders>
              <w:bottom w:val="single" w:sz="8" w:color="E8F0F8"/>
            </w:tcBorders>
            <w:shd w:val="clear" w:color="auto" w:fill="E8F0F8"/>
          </w:tcPr>
          <w:p>
            <w:pPr>
              <w:spacing w:after="0"/>
              <w:rPr>
                <w:sz w:val="17"/>
                <w:szCs w:val="17"/>
                <w:color w:val="auto"/>
              </w:rPr>
            </w:pPr>
          </w:p>
        </w:tc>
        <w:tc>
          <w:tcPr>
            <w:tcW w:w="220" w:type="dxa"/>
            <w:vAlign w:val="bottom"/>
            <w:tcBorders>
              <w:bottom w:val="single" w:sz="8" w:color="E8F0F8"/>
            </w:tcBorders>
            <w:shd w:val="clear" w:color="auto" w:fill="E8F0F8"/>
          </w:tcPr>
          <w:p>
            <w:pPr>
              <w:spacing w:after="0"/>
              <w:rPr>
                <w:sz w:val="17"/>
                <w:szCs w:val="17"/>
                <w:color w:val="auto"/>
              </w:rPr>
            </w:pPr>
          </w:p>
        </w:tc>
        <w:tc>
          <w:tcPr>
            <w:tcW w:w="520" w:type="dxa"/>
            <w:vAlign w:val="bottom"/>
            <w:tcBorders>
              <w:bottom w:val="single" w:sz="8" w:color="E8F0F8"/>
            </w:tcBorders>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2021 Changes to Director Compensation</w:t>
            </w:r>
          </w:p>
        </w:tc>
        <w:tc>
          <w:tcPr>
            <w:tcW w:w="26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3"/>
            <w:vMerge w:val="continue"/>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9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2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20" w:type="dxa"/>
            <w:vAlign w:val="bottom"/>
            <w:shd w:val="clear" w:color="auto" w:fill="E8F0F8"/>
          </w:tcPr>
          <w:p>
            <w:pPr>
              <w:spacing w:after="0"/>
              <w:rPr>
                <w:sz w:val="17"/>
                <w:szCs w:val="17"/>
                <w:color w:val="auto"/>
              </w:rPr>
            </w:pPr>
          </w:p>
        </w:tc>
        <w:tc>
          <w:tcPr>
            <w:tcW w:w="220" w:type="dxa"/>
            <w:vAlign w:val="bottom"/>
            <w:shd w:val="clear" w:color="auto" w:fill="E8F0F8"/>
          </w:tcPr>
          <w:p>
            <w:pPr>
              <w:spacing w:after="0"/>
              <w:rPr>
                <w:sz w:val="17"/>
                <w:szCs w:val="17"/>
                <w:color w:val="auto"/>
              </w:rPr>
            </w:pPr>
          </w:p>
        </w:tc>
        <w:tc>
          <w:tcPr>
            <w:tcW w:w="520" w:type="dxa"/>
            <w:vAlign w:val="bottom"/>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60" w:type="dxa"/>
            <w:vAlign w:val="bottom"/>
            <w:gridSpan w:val="21"/>
          </w:tcPr>
          <w:p>
            <w:pPr>
              <w:spacing w:after="0"/>
              <w:rPr>
                <w:sz w:val="20"/>
                <w:szCs w:val="20"/>
                <w:color w:val="auto"/>
              </w:rPr>
            </w:pPr>
            <w:r>
              <w:rPr>
                <w:rFonts w:ascii="Arial" w:cs="Arial" w:eastAsia="Arial" w:hAnsi="Arial"/>
                <w:sz w:val="16"/>
                <w:szCs w:val="16"/>
                <w:color w:val="0000EE"/>
              </w:rPr>
              <w:t>Retainers and Expenses</w:t>
            </w: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1300" w:type="dxa"/>
            <w:vAlign w:val="bottom"/>
            <w:tcBorders>
              <w:top w:val="single" w:sz="8" w:color="E8F0F8"/>
            </w:tcBorders>
            <w:gridSpan w:val="3"/>
            <w:vMerge w:val="continue"/>
            <w:shd w:val="clear" w:color="auto" w:fill="E8F0F8"/>
          </w:tcPr>
          <w:p>
            <w:pPr>
              <w:spacing w:after="0"/>
              <w:rPr>
                <w:sz w:val="17"/>
                <w:szCs w:val="17"/>
                <w:color w:val="auto"/>
              </w:rPr>
            </w:pPr>
          </w:p>
        </w:tc>
        <w:tc>
          <w:tcPr>
            <w:tcW w:w="40" w:type="dxa"/>
            <w:vAlign w:val="bottom"/>
            <w:tcBorders>
              <w:top w:val="single" w:sz="8" w:color="E8F0F8"/>
            </w:tcBorders>
            <w:shd w:val="clear" w:color="auto" w:fill="E8F0F8"/>
          </w:tcPr>
          <w:p>
            <w:pPr>
              <w:spacing w:after="0"/>
              <w:rPr>
                <w:sz w:val="17"/>
                <w:szCs w:val="17"/>
                <w:color w:val="auto"/>
              </w:rPr>
            </w:pPr>
          </w:p>
        </w:tc>
        <w:tc>
          <w:tcPr>
            <w:tcW w:w="900" w:type="dxa"/>
            <w:vAlign w:val="bottom"/>
            <w:tcBorders>
              <w:top w:val="single" w:sz="8" w:color="E8F0F8"/>
            </w:tcBorders>
            <w:shd w:val="clear" w:color="auto" w:fill="E8F0F8"/>
          </w:tcPr>
          <w:p>
            <w:pPr>
              <w:spacing w:after="0"/>
              <w:rPr>
                <w:sz w:val="17"/>
                <w:szCs w:val="17"/>
                <w:color w:val="auto"/>
              </w:rPr>
            </w:pPr>
          </w:p>
        </w:tc>
        <w:tc>
          <w:tcPr>
            <w:tcW w:w="60" w:type="dxa"/>
            <w:vAlign w:val="bottom"/>
            <w:tcBorders>
              <w:top w:val="single" w:sz="8" w:color="E8F0F8"/>
            </w:tcBorders>
            <w:shd w:val="clear" w:color="auto" w:fill="E8F0F8"/>
          </w:tcPr>
          <w:p>
            <w:pPr>
              <w:spacing w:after="0"/>
              <w:rPr>
                <w:sz w:val="17"/>
                <w:szCs w:val="17"/>
                <w:color w:val="auto"/>
              </w:rPr>
            </w:pPr>
          </w:p>
        </w:tc>
        <w:tc>
          <w:tcPr>
            <w:tcW w:w="320" w:type="dxa"/>
            <w:vAlign w:val="bottom"/>
            <w:tcBorders>
              <w:top w:val="single" w:sz="8" w:color="E8F0F8"/>
            </w:tcBorders>
            <w:shd w:val="clear" w:color="auto" w:fill="E8F0F8"/>
          </w:tcPr>
          <w:p>
            <w:pPr>
              <w:spacing w:after="0"/>
              <w:rPr>
                <w:sz w:val="17"/>
                <w:szCs w:val="17"/>
                <w:color w:val="auto"/>
              </w:rPr>
            </w:pPr>
          </w:p>
        </w:tc>
        <w:tc>
          <w:tcPr>
            <w:tcW w:w="300" w:type="dxa"/>
            <w:vAlign w:val="bottom"/>
            <w:tcBorders>
              <w:top w:val="single" w:sz="8" w:color="E8F0F8"/>
            </w:tcBorders>
            <w:shd w:val="clear" w:color="auto" w:fill="E8F0F8"/>
          </w:tcPr>
          <w:p>
            <w:pPr>
              <w:spacing w:after="0"/>
              <w:rPr>
                <w:sz w:val="17"/>
                <w:szCs w:val="17"/>
                <w:color w:val="auto"/>
              </w:rPr>
            </w:pPr>
          </w:p>
        </w:tc>
        <w:tc>
          <w:tcPr>
            <w:tcW w:w="320" w:type="dxa"/>
            <w:vAlign w:val="bottom"/>
            <w:tcBorders>
              <w:top w:val="single" w:sz="8" w:color="E8F0F8"/>
            </w:tcBorders>
            <w:shd w:val="clear" w:color="auto" w:fill="E8F0F8"/>
          </w:tcPr>
          <w:p>
            <w:pPr>
              <w:spacing w:after="0"/>
              <w:rPr>
                <w:sz w:val="17"/>
                <w:szCs w:val="17"/>
                <w:color w:val="auto"/>
              </w:rPr>
            </w:pPr>
          </w:p>
        </w:tc>
        <w:tc>
          <w:tcPr>
            <w:tcW w:w="240" w:type="dxa"/>
            <w:vAlign w:val="bottom"/>
            <w:tcBorders>
              <w:top w:val="single" w:sz="8" w:color="E8F0F8"/>
            </w:tcBorders>
            <w:shd w:val="clear" w:color="auto" w:fill="E8F0F8"/>
          </w:tcPr>
          <w:p>
            <w:pPr>
              <w:spacing w:after="0"/>
              <w:rPr>
                <w:sz w:val="17"/>
                <w:szCs w:val="17"/>
                <w:color w:val="auto"/>
              </w:rPr>
            </w:pPr>
          </w:p>
        </w:tc>
        <w:tc>
          <w:tcPr>
            <w:tcW w:w="40" w:type="dxa"/>
            <w:vAlign w:val="bottom"/>
            <w:tcBorders>
              <w:top w:val="single" w:sz="8" w:color="E8F0F8"/>
            </w:tcBorders>
            <w:shd w:val="clear" w:color="auto" w:fill="E8F0F8"/>
          </w:tcPr>
          <w:p>
            <w:pPr>
              <w:spacing w:after="0"/>
              <w:rPr>
                <w:sz w:val="17"/>
                <w:szCs w:val="17"/>
                <w:color w:val="auto"/>
              </w:rPr>
            </w:pPr>
          </w:p>
        </w:tc>
        <w:tc>
          <w:tcPr>
            <w:tcW w:w="140" w:type="dxa"/>
            <w:vAlign w:val="bottom"/>
            <w:tcBorders>
              <w:top w:val="single" w:sz="8" w:color="E8F0F8"/>
            </w:tcBorders>
            <w:shd w:val="clear" w:color="auto" w:fill="E8F0F8"/>
          </w:tcPr>
          <w:p>
            <w:pPr>
              <w:spacing w:after="0"/>
              <w:rPr>
                <w:sz w:val="17"/>
                <w:szCs w:val="17"/>
                <w:color w:val="auto"/>
              </w:rPr>
            </w:pPr>
          </w:p>
        </w:tc>
        <w:tc>
          <w:tcPr>
            <w:tcW w:w="20" w:type="dxa"/>
            <w:vAlign w:val="bottom"/>
            <w:tcBorders>
              <w:top w:val="single" w:sz="8" w:color="E8F0F8"/>
            </w:tcBorders>
            <w:shd w:val="clear" w:color="auto" w:fill="E8F0F8"/>
          </w:tcPr>
          <w:p>
            <w:pPr>
              <w:spacing w:after="0"/>
              <w:rPr>
                <w:sz w:val="17"/>
                <w:szCs w:val="17"/>
                <w:color w:val="auto"/>
              </w:rPr>
            </w:pPr>
          </w:p>
        </w:tc>
        <w:tc>
          <w:tcPr>
            <w:tcW w:w="220" w:type="dxa"/>
            <w:vAlign w:val="bottom"/>
            <w:tcBorders>
              <w:top w:val="single" w:sz="8" w:color="E8F0F8"/>
            </w:tcBorders>
            <w:shd w:val="clear" w:color="auto" w:fill="E8F0F8"/>
          </w:tcPr>
          <w:p>
            <w:pPr>
              <w:spacing w:after="0"/>
              <w:rPr>
                <w:sz w:val="17"/>
                <w:szCs w:val="17"/>
                <w:color w:val="auto"/>
              </w:rPr>
            </w:pPr>
          </w:p>
        </w:tc>
        <w:tc>
          <w:tcPr>
            <w:tcW w:w="520" w:type="dxa"/>
            <w:vAlign w:val="bottom"/>
            <w:tcBorders>
              <w:top w:val="single" w:sz="8" w:color="E8F0F8"/>
            </w:tcBorders>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0000EE"/>
              </w:rPr>
              <w:t>Equity Awards</w:t>
            </w:r>
          </w:p>
        </w:tc>
        <w:tc>
          <w:tcPr>
            <w:tcW w:w="3800" w:type="dxa"/>
            <w:vAlign w:val="bottom"/>
            <w:gridSpan w:val="11"/>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1300" w:type="dxa"/>
            <w:vAlign w:val="bottom"/>
            <w:gridSpan w:val="3"/>
            <w:vMerge w:val="continue"/>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9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30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2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20" w:type="dxa"/>
            <w:vAlign w:val="bottom"/>
            <w:shd w:val="clear" w:color="auto" w:fill="E8F0F8"/>
          </w:tcPr>
          <w:p>
            <w:pPr>
              <w:spacing w:after="0" w:line="20" w:lineRule="exact"/>
              <w:rPr>
                <w:sz w:val="1"/>
                <w:szCs w:val="1"/>
                <w:color w:val="auto"/>
              </w:rPr>
            </w:pPr>
          </w:p>
        </w:tc>
        <w:tc>
          <w:tcPr>
            <w:tcW w:w="220" w:type="dxa"/>
            <w:vAlign w:val="bottom"/>
            <w:shd w:val="clear" w:color="auto" w:fill="E8F0F8"/>
          </w:tcPr>
          <w:p>
            <w:pPr>
              <w:spacing w:after="0" w:line="20" w:lineRule="exact"/>
              <w:rPr>
                <w:sz w:val="1"/>
                <w:szCs w:val="1"/>
                <w:color w:val="auto"/>
              </w:rPr>
            </w:pPr>
          </w:p>
        </w:tc>
        <w:tc>
          <w:tcPr>
            <w:tcW w:w="520" w:type="dxa"/>
            <w:vAlign w:val="bottom"/>
            <w:shd w:val="clear" w:color="auto" w:fill="E8F0F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E8F0F8"/>
            </w:tcBorders>
            <w:gridSpan w:val="3"/>
            <w:vMerge w:val="continue"/>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9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30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2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20" w:type="dxa"/>
            <w:vAlign w:val="bottom"/>
            <w:tcBorders>
              <w:bottom w:val="single" w:sz="8" w:color="E8F0F8"/>
            </w:tcBorders>
            <w:shd w:val="clear" w:color="auto" w:fill="E8F0F8"/>
          </w:tcPr>
          <w:p>
            <w:pPr>
              <w:spacing w:after="0"/>
              <w:rPr>
                <w:sz w:val="17"/>
                <w:szCs w:val="17"/>
                <w:color w:val="auto"/>
              </w:rPr>
            </w:pPr>
          </w:p>
        </w:tc>
        <w:tc>
          <w:tcPr>
            <w:tcW w:w="220" w:type="dxa"/>
            <w:vAlign w:val="bottom"/>
            <w:tcBorders>
              <w:bottom w:val="single" w:sz="8" w:color="E8F0F8"/>
            </w:tcBorders>
            <w:shd w:val="clear" w:color="auto" w:fill="E8F0F8"/>
          </w:tcPr>
          <w:p>
            <w:pPr>
              <w:spacing w:after="0"/>
              <w:rPr>
                <w:sz w:val="17"/>
                <w:szCs w:val="17"/>
                <w:color w:val="auto"/>
              </w:rPr>
            </w:pPr>
          </w:p>
        </w:tc>
        <w:tc>
          <w:tcPr>
            <w:tcW w:w="520" w:type="dxa"/>
            <w:vAlign w:val="bottom"/>
            <w:tcBorders>
              <w:bottom w:val="single" w:sz="8" w:color="E8F0F8"/>
            </w:tcBorders>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9"/>
              </w:rPr>
              <w:t>10b5-1 Trading Plans</w:t>
            </w:r>
          </w:p>
        </w:tc>
        <w:tc>
          <w:tcPr>
            <w:tcW w:w="4020" w:type="dxa"/>
            <w:vAlign w:val="bottom"/>
            <w:gridSpan w:val="14"/>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12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10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9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30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2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20" w:type="dxa"/>
            <w:vAlign w:val="bottom"/>
            <w:tcBorders>
              <w:bottom w:val="single" w:sz="8" w:color="E8F0F8"/>
            </w:tcBorders>
            <w:shd w:val="clear" w:color="auto" w:fill="E8F0F8"/>
          </w:tcPr>
          <w:p>
            <w:pPr>
              <w:spacing w:after="0"/>
              <w:rPr>
                <w:sz w:val="17"/>
                <w:szCs w:val="17"/>
                <w:color w:val="auto"/>
              </w:rPr>
            </w:pPr>
          </w:p>
        </w:tc>
        <w:tc>
          <w:tcPr>
            <w:tcW w:w="220" w:type="dxa"/>
            <w:vAlign w:val="bottom"/>
            <w:tcBorders>
              <w:bottom w:val="single" w:sz="8" w:color="E8F0F8"/>
            </w:tcBorders>
            <w:shd w:val="clear" w:color="auto" w:fill="E8F0F8"/>
          </w:tcPr>
          <w:p>
            <w:pPr>
              <w:spacing w:after="0"/>
              <w:rPr>
                <w:sz w:val="17"/>
                <w:szCs w:val="17"/>
                <w:color w:val="auto"/>
              </w:rPr>
            </w:pPr>
          </w:p>
        </w:tc>
        <w:tc>
          <w:tcPr>
            <w:tcW w:w="520" w:type="dxa"/>
            <w:vAlign w:val="bottom"/>
            <w:tcBorders>
              <w:bottom w:val="single" w:sz="8" w:color="E8F0F8"/>
            </w:tcBorders>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Non-Employee Director Stock Ownership Guidelines</w:t>
            </w:r>
          </w:p>
        </w:tc>
        <w:tc>
          <w:tcPr>
            <w:tcW w:w="1800" w:type="dxa"/>
            <w:vAlign w:val="bottom"/>
            <w:gridSpan w:val="2"/>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12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10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9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300" w:type="dxa"/>
            <w:vAlign w:val="bottom"/>
            <w:tcBorders>
              <w:bottom w:val="single" w:sz="8" w:color="E8F0F8"/>
            </w:tcBorders>
            <w:shd w:val="clear" w:color="auto" w:fill="E8F0F8"/>
          </w:tcPr>
          <w:p>
            <w:pPr>
              <w:spacing w:after="0"/>
              <w:rPr>
                <w:sz w:val="17"/>
                <w:szCs w:val="17"/>
                <w:color w:val="auto"/>
              </w:rPr>
            </w:pPr>
          </w:p>
        </w:tc>
        <w:tc>
          <w:tcPr>
            <w:tcW w:w="320" w:type="dxa"/>
            <w:vAlign w:val="bottom"/>
            <w:tcBorders>
              <w:bottom w:val="single" w:sz="8" w:color="E8F0F8"/>
            </w:tcBorders>
            <w:shd w:val="clear" w:color="auto" w:fill="E8F0F8"/>
          </w:tcPr>
          <w:p>
            <w:pPr>
              <w:spacing w:after="0"/>
              <w:rPr>
                <w:sz w:val="17"/>
                <w:szCs w:val="17"/>
                <w:color w:val="auto"/>
              </w:rPr>
            </w:pPr>
          </w:p>
        </w:tc>
        <w:tc>
          <w:tcPr>
            <w:tcW w:w="240" w:type="dxa"/>
            <w:vAlign w:val="bottom"/>
            <w:tcBorders>
              <w:bottom w:val="single" w:sz="8" w:color="E8F0F8"/>
            </w:tcBorders>
            <w:shd w:val="clear" w:color="auto" w:fill="E8F0F8"/>
          </w:tcPr>
          <w:p>
            <w:pPr>
              <w:spacing w:after="0"/>
              <w:rPr>
                <w:sz w:val="17"/>
                <w:szCs w:val="17"/>
                <w:color w:val="auto"/>
              </w:rPr>
            </w:pPr>
          </w:p>
        </w:tc>
        <w:tc>
          <w:tcPr>
            <w:tcW w:w="40" w:type="dxa"/>
            <w:vAlign w:val="bottom"/>
            <w:tcBorders>
              <w:bottom w:val="single" w:sz="8" w:color="E8F0F8"/>
            </w:tcBorders>
            <w:shd w:val="clear" w:color="auto" w:fill="E8F0F8"/>
          </w:tcPr>
          <w:p>
            <w:pPr>
              <w:spacing w:after="0"/>
              <w:rPr>
                <w:sz w:val="17"/>
                <w:szCs w:val="17"/>
                <w:color w:val="auto"/>
              </w:rPr>
            </w:pPr>
          </w:p>
        </w:tc>
        <w:tc>
          <w:tcPr>
            <w:tcW w:w="140" w:type="dxa"/>
            <w:vAlign w:val="bottom"/>
            <w:tcBorders>
              <w:bottom w:val="single" w:sz="8" w:color="E8F0F8"/>
            </w:tcBorders>
            <w:shd w:val="clear" w:color="auto" w:fill="E8F0F8"/>
          </w:tcPr>
          <w:p>
            <w:pPr>
              <w:spacing w:after="0"/>
              <w:rPr>
                <w:sz w:val="17"/>
                <w:szCs w:val="17"/>
                <w:color w:val="auto"/>
              </w:rPr>
            </w:pPr>
          </w:p>
        </w:tc>
        <w:tc>
          <w:tcPr>
            <w:tcW w:w="20" w:type="dxa"/>
            <w:vAlign w:val="bottom"/>
            <w:tcBorders>
              <w:bottom w:val="single" w:sz="8" w:color="E8F0F8"/>
            </w:tcBorders>
            <w:shd w:val="clear" w:color="auto" w:fill="E8F0F8"/>
          </w:tcPr>
          <w:p>
            <w:pPr>
              <w:spacing w:after="0"/>
              <w:rPr>
                <w:sz w:val="17"/>
                <w:szCs w:val="17"/>
                <w:color w:val="auto"/>
              </w:rPr>
            </w:pPr>
          </w:p>
        </w:tc>
        <w:tc>
          <w:tcPr>
            <w:tcW w:w="220" w:type="dxa"/>
            <w:vAlign w:val="bottom"/>
            <w:tcBorders>
              <w:bottom w:val="single" w:sz="8" w:color="E8F0F8"/>
            </w:tcBorders>
            <w:shd w:val="clear" w:color="auto" w:fill="E8F0F8"/>
          </w:tcPr>
          <w:p>
            <w:pPr>
              <w:spacing w:after="0"/>
              <w:rPr>
                <w:sz w:val="17"/>
                <w:szCs w:val="17"/>
                <w:color w:val="auto"/>
              </w:rPr>
            </w:pPr>
          </w:p>
        </w:tc>
        <w:tc>
          <w:tcPr>
            <w:tcW w:w="520" w:type="dxa"/>
            <w:vAlign w:val="bottom"/>
            <w:tcBorders>
              <w:bottom w:val="single" w:sz="8" w:color="E8F0F8"/>
            </w:tcBorders>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2021 Director Compensation</w:t>
            </w:r>
          </w:p>
        </w:tc>
        <w:tc>
          <w:tcPr>
            <w:tcW w:w="3500" w:type="dxa"/>
            <w:vAlign w:val="bottom"/>
            <w:gridSpan w:val="10"/>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12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10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9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2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20" w:type="dxa"/>
            <w:vAlign w:val="bottom"/>
            <w:shd w:val="clear" w:color="auto" w:fill="E8F0F8"/>
          </w:tcPr>
          <w:p>
            <w:pPr>
              <w:spacing w:after="0"/>
              <w:rPr>
                <w:sz w:val="17"/>
                <w:szCs w:val="17"/>
                <w:color w:val="auto"/>
              </w:rPr>
            </w:pPr>
          </w:p>
        </w:tc>
        <w:tc>
          <w:tcPr>
            <w:tcW w:w="220" w:type="dxa"/>
            <w:vAlign w:val="bottom"/>
            <w:shd w:val="clear" w:color="auto" w:fill="E8F0F8"/>
          </w:tcPr>
          <w:p>
            <w:pPr>
              <w:spacing w:after="0"/>
              <w:rPr>
                <w:sz w:val="17"/>
                <w:szCs w:val="17"/>
                <w:color w:val="auto"/>
              </w:rPr>
            </w:pPr>
          </w:p>
        </w:tc>
        <w:tc>
          <w:tcPr>
            <w:tcW w:w="520" w:type="dxa"/>
            <w:vAlign w:val="bottom"/>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60" w:type="dxa"/>
            <w:vAlign w:val="bottom"/>
            <w:gridSpan w:val="21"/>
          </w:tcPr>
          <w:p>
            <w:pPr>
              <w:spacing w:after="0"/>
              <w:rPr>
                <w:sz w:val="20"/>
                <w:szCs w:val="20"/>
                <w:color w:val="auto"/>
              </w:rPr>
            </w:pPr>
            <w:r>
              <w:rPr>
                <w:rFonts w:ascii="Arial" w:cs="Arial" w:eastAsia="Arial" w:hAnsi="Arial"/>
                <w:sz w:val="16"/>
                <w:szCs w:val="16"/>
                <w:color w:val="0000EE"/>
              </w:rPr>
              <w:t>Director Equity Outstanding at 2021 Fiscal Year-End</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10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9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30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2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20" w:type="dxa"/>
            <w:vAlign w:val="bottom"/>
            <w:shd w:val="clear" w:color="auto" w:fill="E8F0F8"/>
          </w:tcPr>
          <w:p>
            <w:pPr>
              <w:spacing w:after="0" w:line="20" w:lineRule="exact"/>
              <w:rPr>
                <w:sz w:val="1"/>
                <w:szCs w:val="1"/>
                <w:color w:val="auto"/>
              </w:rPr>
            </w:pPr>
          </w:p>
        </w:tc>
        <w:tc>
          <w:tcPr>
            <w:tcW w:w="220" w:type="dxa"/>
            <w:vAlign w:val="bottom"/>
            <w:shd w:val="clear" w:color="auto" w:fill="E8F0F8"/>
          </w:tcPr>
          <w:p>
            <w:pPr>
              <w:spacing w:after="0" w:line="20" w:lineRule="exact"/>
              <w:rPr>
                <w:sz w:val="1"/>
                <w:szCs w:val="1"/>
                <w:color w:val="auto"/>
              </w:rPr>
            </w:pPr>
          </w:p>
        </w:tc>
        <w:tc>
          <w:tcPr>
            <w:tcW w:w="520" w:type="dxa"/>
            <w:vAlign w:val="bottom"/>
            <w:shd w:val="clear" w:color="auto" w:fill="E8F0F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10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9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2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20" w:type="dxa"/>
            <w:vAlign w:val="bottom"/>
            <w:shd w:val="clear" w:color="auto" w:fill="E8F0F8"/>
          </w:tcPr>
          <w:p>
            <w:pPr>
              <w:spacing w:after="0"/>
              <w:rPr>
                <w:sz w:val="17"/>
                <w:szCs w:val="17"/>
                <w:color w:val="auto"/>
              </w:rPr>
            </w:pPr>
          </w:p>
        </w:tc>
        <w:tc>
          <w:tcPr>
            <w:tcW w:w="220" w:type="dxa"/>
            <w:vAlign w:val="bottom"/>
            <w:shd w:val="clear" w:color="auto" w:fill="E8F0F8"/>
          </w:tcPr>
          <w:p>
            <w:pPr>
              <w:spacing w:after="0"/>
              <w:rPr>
                <w:sz w:val="17"/>
                <w:szCs w:val="17"/>
                <w:color w:val="auto"/>
              </w:rPr>
            </w:pPr>
          </w:p>
        </w:tc>
        <w:tc>
          <w:tcPr>
            <w:tcW w:w="520" w:type="dxa"/>
            <w:vAlign w:val="bottom"/>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gridSpan w:val="22"/>
          </w:tcPr>
          <w:p>
            <w:pPr>
              <w:spacing w:after="0"/>
              <w:rPr>
                <w:sz w:val="20"/>
                <w:szCs w:val="20"/>
                <w:color w:val="auto"/>
              </w:rPr>
            </w:pPr>
            <w:r>
              <w:rPr>
                <w:rFonts w:ascii="Arial" w:cs="Arial" w:eastAsia="Arial" w:hAnsi="Arial"/>
                <w:sz w:val="16"/>
                <w:szCs w:val="16"/>
                <w:color w:val="0000EE"/>
              </w:rPr>
              <w:t>Board Risk Oversight</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10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9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30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2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20" w:type="dxa"/>
            <w:vAlign w:val="bottom"/>
            <w:shd w:val="clear" w:color="auto" w:fill="E8F0F8"/>
          </w:tcPr>
          <w:p>
            <w:pPr>
              <w:spacing w:after="0" w:line="20" w:lineRule="exact"/>
              <w:rPr>
                <w:sz w:val="1"/>
                <w:szCs w:val="1"/>
                <w:color w:val="auto"/>
              </w:rPr>
            </w:pPr>
          </w:p>
        </w:tc>
        <w:tc>
          <w:tcPr>
            <w:tcW w:w="220" w:type="dxa"/>
            <w:vAlign w:val="bottom"/>
            <w:shd w:val="clear" w:color="auto" w:fill="E8F0F8"/>
          </w:tcPr>
          <w:p>
            <w:pPr>
              <w:spacing w:after="0" w:line="20" w:lineRule="exact"/>
              <w:rPr>
                <w:sz w:val="1"/>
                <w:szCs w:val="1"/>
                <w:color w:val="auto"/>
              </w:rPr>
            </w:pPr>
          </w:p>
        </w:tc>
        <w:tc>
          <w:tcPr>
            <w:tcW w:w="520" w:type="dxa"/>
            <w:vAlign w:val="bottom"/>
            <w:shd w:val="clear" w:color="auto" w:fill="E8F0F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10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9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2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20" w:type="dxa"/>
            <w:vAlign w:val="bottom"/>
            <w:shd w:val="clear" w:color="auto" w:fill="E8F0F8"/>
          </w:tcPr>
          <w:p>
            <w:pPr>
              <w:spacing w:after="0"/>
              <w:rPr>
                <w:sz w:val="17"/>
                <w:szCs w:val="17"/>
                <w:color w:val="auto"/>
              </w:rPr>
            </w:pPr>
          </w:p>
        </w:tc>
        <w:tc>
          <w:tcPr>
            <w:tcW w:w="220" w:type="dxa"/>
            <w:vAlign w:val="bottom"/>
            <w:shd w:val="clear" w:color="auto" w:fill="E8F0F8"/>
          </w:tcPr>
          <w:p>
            <w:pPr>
              <w:spacing w:after="0"/>
              <w:rPr>
                <w:sz w:val="17"/>
                <w:szCs w:val="17"/>
                <w:color w:val="auto"/>
              </w:rPr>
            </w:pPr>
          </w:p>
        </w:tc>
        <w:tc>
          <w:tcPr>
            <w:tcW w:w="520" w:type="dxa"/>
            <w:vAlign w:val="bottom"/>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gridSpan w:val="22"/>
          </w:tcPr>
          <w:p>
            <w:pPr>
              <w:spacing w:after="0"/>
              <w:rPr>
                <w:sz w:val="20"/>
                <w:szCs w:val="20"/>
                <w:color w:val="auto"/>
              </w:rPr>
            </w:pPr>
            <w:r>
              <w:rPr>
                <w:rFonts w:ascii="Arial" w:cs="Arial" w:eastAsia="Arial" w:hAnsi="Arial"/>
                <w:sz w:val="16"/>
                <w:szCs w:val="16"/>
                <w:color w:val="0000EE"/>
              </w:rPr>
              <w:t>Compensation Risk Assessment</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120" w:type="dxa"/>
            <w:vAlign w:val="bottom"/>
            <w:tcBorders>
              <w:top w:val="single" w:sz="8" w:color="E8F0F8"/>
              <w:bottom w:val="single" w:sz="8" w:color="auto"/>
            </w:tcBorders>
            <w:shd w:val="clear" w:color="auto" w:fill="E8F0F8"/>
          </w:tcPr>
          <w:p>
            <w:pPr>
              <w:spacing w:after="0"/>
              <w:rPr>
                <w:sz w:val="20"/>
                <w:szCs w:val="20"/>
                <w:color w:val="auto"/>
              </w:rPr>
            </w:pPr>
          </w:p>
        </w:tc>
        <w:tc>
          <w:tcPr>
            <w:tcW w:w="140" w:type="dxa"/>
            <w:vAlign w:val="bottom"/>
            <w:tcBorders>
              <w:top w:val="single" w:sz="8" w:color="E8F0F8"/>
              <w:bottom w:val="single" w:sz="8" w:color="auto"/>
            </w:tcBorders>
            <w:shd w:val="clear" w:color="auto" w:fill="E8F0F8"/>
          </w:tcPr>
          <w:p>
            <w:pPr>
              <w:spacing w:after="0"/>
              <w:rPr>
                <w:sz w:val="20"/>
                <w:szCs w:val="20"/>
                <w:color w:val="auto"/>
              </w:rPr>
            </w:pPr>
          </w:p>
        </w:tc>
        <w:tc>
          <w:tcPr>
            <w:tcW w:w="1040" w:type="dxa"/>
            <w:vAlign w:val="bottom"/>
            <w:tcBorders>
              <w:top w:val="single" w:sz="8" w:color="E8F0F8"/>
              <w:bottom w:val="single" w:sz="8" w:color="auto"/>
            </w:tcBorders>
            <w:shd w:val="clear" w:color="auto" w:fill="E8F0F8"/>
          </w:tcPr>
          <w:p>
            <w:pPr>
              <w:spacing w:after="0"/>
              <w:rPr>
                <w:sz w:val="20"/>
                <w:szCs w:val="20"/>
                <w:color w:val="auto"/>
              </w:rPr>
            </w:pPr>
          </w:p>
        </w:tc>
        <w:tc>
          <w:tcPr>
            <w:tcW w:w="40" w:type="dxa"/>
            <w:vAlign w:val="bottom"/>
            <w:tcBorders>
              <w:top w:val="single" w:sz="8" w:color="E8F0F8"/>
              <w:bottom w:val="single" w:sz="8" w:color="auto"/>
            </w:tcBorders>
            <w:shd w:val="clear" w:color="auto" w:fill="E8F0F8"/>
          </w:tcPr>
          <w:p>
            <w:pPr>
              <w:spacing w:after="0"/>
              <w:rPr>
                <w:sz w:val="20"/>
                <w:szCs w:val="20"/>
                <w:color w:val="auto"/>
              </w:rPr>
            </w:pPr>
          </w:p>
        </w:tc>
        <w:tc>
          <w:tcPr>
            <w:tcW w:w="900" w:type="dxa"/>
            <w:vAlign w:val="bottom"/>
            <w:tcBorders>
              <w:top w:val="single" w:sz="8" w:color="E8F0F8"/>
              <w:bottom w:val="single" w:sz="8" w:color="auto"/>
            </w:tcBorders>
            <w:shd w:val="clear" w:color="auto" w:fill="E8F0F8"/>
          </w:tcPr>
          <w:p>
            <w:pPr>
              <w:spacing w:after="0"/>
              <w:rPr>
                <w:sz w:val="20"/>
                <w:szCs w:val="20"/>
                <w:color w:val="auto"/>
              </w:rPr>
            </w:pPr>
          </w:p>
        </w:tc>
        <w:tc>
          <w:tcPr>
            <w:tcW w:w="60" w:type="dxa"/>
            <w:vAlign w:val="bottom"/>
            <w:tcBorders>
              <w:top w:val="single" w:sz="8" w:color="E8F0F8"/>
              <w:bottom w:val="single" w:sz="8" w:color="auto"/>
            </w:tcBorders>
            <w:shd w:val="clear" w:color="auto" w:fill="E8F0F8"/>
          </w:tcPr>
          <w:p>
            <w:pPr>
              <w:spacing w:after="0"/>
              <w:rPr>
                <w:sz w:val="20"/>
                <w:szCs w:val="20"/>
                <w:color w:val="auto"/>
              </w:rPr>
            </w:pPr>
          </w:p>
        </w:tc>
        <w:tc>
          <w:tcPr>
            <w:tcW w:w="320" w:type="dxa"/>
            <w:vAlign w:val="bottom"/>
            <w:tcBorders>
              <w:top w:val="single" w:sz="8" w:color="E8F0F8"/>
              <w:bottom w:val="single" w:sz="8" w:color="auto"/>
            </w:tcBorders>
            <w:shd w:val="clear" w:color="auto" w:fill="E8F0F8"/>
          </w:tcPr>
          <w:p>
            <w:pPr>
              <w:spacing w:after="0"/>
              <w:rPr>
                <w:sz w:val="20"/>
                <w:szCs w:val="20"/>
                <w:color w:val="auto"/>
              </w:rPr>
            </w:pPr>
          </w:p>
        </w:tc>
        <w:tc>
          <w:tcPr>
            <w:tcW w:w="300" w:type="dxa"/>
            <w:vAlign w:val="bottom"/>
            <w:tcBorders>
              <w:top w:val="single" w:sz="8" w:color="E8F0F8"/>
              <w:bottom w:val="single" w:sz="8" w:color="auto"/>
            </w:tcBorders>
            <w:shd w:val="clear" w:color="auto" w:fill="E8F0F8"/>
          </w:tcPr>
          <w:p>
            <w:pPr>
              <w:spacing w:after="0"/>
              <w:rPr>
                <w:sz w:val="20"/>
                <w:szCs w:val="20"/>
                <w:color w:val="auto"/>
              </w:rPr>
            </w:pPr>
          </w:p>
        </w:tc>
        <w:tc>
          <w:tcPr>
            <w:tcW w:w="320" w:type="dxa"/>
            <w:vAlign w:val="bottom"/>
            <w:tcBorders>
              <w:top w:val="single" w:sz="8" w:color="E8F0F8"/>
              <w:bottom w:val="single" w:sz="8" w:color="auto"/>
            </w:tcBorders>
            <w:shd w:val="clear" w:color="auto" w:fill="E8F0F8"/>
          </w:tcPr>
          <w:p>
            <w:pPr>
              <w:spacing w:after="0"/>
              <w:rPr>
                <w:sz w:val="20"/>
                <w:szCs w:val="20"/>
                <w:color w:val="auto"/>
              </w:rPr>
            </w:pPr>
          </w:p>
        </w:tc>
        <w:tc>
          <w:tcPr>
            <w:tcW w:w="240" w:type="dxa"/>
            <w:vAlign w:val="bottom"/>
            <w:tcBorders>
              <w:top w:val="single" w:sz="8" w:color="E8F0F8"/>
              <w:bottom w:val="single" w:sz="8" w:color="auto"/>
            </w:tcBorders>
            <w:shd w:val="clear" w:color="auto" w:fill="E8F0F8"/>
          </w:tcPr>
          <w:p>
            <w:pPr>
              <w:spacing w:after="0"/>
              <w:rPr>
                <w:sz w:val="20"/>
                <w:szCs w:val="20"/>
                <w:color w:val="auto"/>
              </w:rPr>
            </w:pPr>
          </w:p>
        </w:tc>
        <w:tc>
          <w:tcPr>
            <w:tcW w:w="40" w:type="dxa"/>
            <w:vAlign w:val="bottom"/>
            <w:tcBorders>
              <w:top w:val="single" w:sz="8" w:color="E8F0F8"/>
              <w:bottom w:val="single" w:sz="8" w:color="auto"/>
            </w:tcBorders>
            <w:shd w:val="clear" w:color="auto" w:fill="E8F0F8"/>
          </w:tcPr>
          <w:p>
            <w:pPr>
              <w:spacing w:after="0"/>
              <w:rPr>
                <w:sz w:val="20"/>
                <w:szCs w:val="20"/>
                <w:color w:val="auto"/>
              </w:rPr>
            </w:pPr>
          </w:p>
        </w:tc>
        <w:tc>
          <w:tcPr>
            <w:tcW w:w="140" w:type="dxa"/>
            <w:vAlign w:val="bottom"/>
            <w:tcBorders>
              <w:top w:val="single" w:sz="8" w:color="E8F0F8"/>
              <w:bottom w:val="single" w:sz="8" w:color="auto"/>
            </w:tcBorders>
            <w:shd w:val="clear" w:color="auto" w:fill="E8F0F8"/>
          </w:tcPr>
          <w:p>
            <w:pPr>
              <w:spacing w:after="0"/>
              <w:rPr>
                <w:sz w:val="20"/>
                <w:szCs w:val="20"/>
                <w:color w:val="auto"/>
              </w:rPr>
            </w:pPr>
          </w:p>
        </w:tc>
        <w:tc>
          <w:tcPr>
            <w:tcW w:w="20" w:type="dxa"/>
            <w:vAlign w:val="bottom"/>
            <w:tcBorders>
              <w:top w:val="single" w:sz="8" w:color="E8F0F8"/>
              <w:bottom w:val="single" w:sz="8" w:color="auto"/>
            </w:tcBorders>
            <w:shd w:val="clear" w:color="auto" w:fill="E8F0F8"/>
          </w:tcPr>
          <w:p>
            <w:pPr>
              <w:spacing w:after="0"/>
              <w:rPr>
                <w:sz w:val="20"/>
                <w:szCs w:val="20"/>
                <w:color w:val="auto"/>
              </w:rPr>
            </w:pPr>
          </w:p>
        </w:tc>
        <w:tc>
          <w:tcPr>
            <w:tcW w:w="220" w:type="dxa"/>
            <w:vAlign w:val="bottom"/>
            <w:tcBorders>
              <w:top w:val="single" w:sz="8" w:color="E8F0F8"/>
              <w:bottom w:val="single" w:sz="8" w:color="auto"/>
            </w:tcBorders>
            <w:shd w:val="clear" w:color="auto" w:fill="E8F0F8"/>
          </w:tcPr>
          <w:p>
            <w:pPr>
              <w:spacing w:after="0"/>
              <w:rPr>
                <w:sz w:val="20"/>
                <w:szCs w:val="20"/>
                <w:color w:val="auto"/>
              </w:rPr>
            </w:pPr>
          </w:p>
        </w:tc>
        <w:tc>
          <w:tcPr>
            <w:tcW w:w="520" w:type="dxa"/>
            <w:vAlign w:val="bottom"/>
            <w:tcBorders>
              <w:top w:val="single" w:sz="8" w:color="E8F0F8"/>
              <w:bottom w:val="single" w:sz="8" w:color="auto"/>
            </w:tcBorders>
            <w:shd w:val="clear" w:color="auto" w:fill="E8F0F8"/>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00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300" w:type="dxa"/>
            <w:vAlign w:val="bottom"/>
            <w:gridSpan w:val="3"/>
            <w:shd w:val="clear" w:color="auto" w:fill="E8F0F8"/>
          </w:tcPr>
          <w:p>
            <w:pPr>
              <w:jc w:val="right"/>
              <w:ind w:right="260"/>
              <w:spacing w:after="0" w:line="142" w:lineRule="exact"/>
              <w:rPr>
                <w:sz w:val="20"/>
                <w:szCs w:val="20"/>
                <w:color w:val="auto"/>
              </w:rPr>
            </w:pPr>
            <w:r>
              <w:rPr>
                <w:rFonts w:ascii="Arial" w:cs="Arial" w:eastAsia="Arial" w:hAnsi="Arial"/>
                <w:sz w:val="16"/>
                <w:szCs w:val="16"/>
                <w:color w:val="1A6DBB"/>
              </w:rPr>
              <w:t>4</w:t>
            </w:r>
          </w:p>
        </w:tc>
        <w:tc>
          <w:tcPr>
            <w:tcW w:w="40" w:type="dxa"/>
            <w:vAlign w:val="bottom"/>
            <w:shd w:val="clear" w:color="auto" w:fill="E8F0F8"/>
          </w:tcPr>
          <w:p>
            <w:pPr>
              <w:spacing w:after="0"/>
              <w:rPr>
                <w:sz w:val="12"/>
                <w:szCs w:val="12"/>
                <w:color w:val="auto"/>
              </w:rPr>
            </w:pPr>
          </w:p>
        </w:tc>
        <w:tc>
          <w:tcPr>
            <w:tcW w:w="3080" w:type="dxa"/>
            <w:vAlign w:val="bottom"/>
            <w:gridSpan w:val="11"/>
            <w:shd w:val="clear" w:color="auto" w:fill="E8F0F8"/>
          </w:tcPr>
          <w:p>
            <w:pPr>
              <w:spacing w:after="0" w:line="142" w:lineRule="exact"/>
              <w:rPr>
                <w:sz w:val="20"/>
                <w:szCs w:val="20"/>
                <w:color w:val="auto"/>
              </w:rPr>
            </w:pPr>
            <w:r>
              <w:rPr>
                <w:rFonts w:ascii="Arial" w:cs="Arial" w:eastAsia="Arial" w:hAnsi="Arial"/>
                <w:sz w:val="16"/>
                <w:szCs w:val="16"/>
                <w:color w:val="0000EE"/>
              </w:rPr>
              <w:t>Stock Ownership</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1A6DBB"/>
              </w:rPr>
              <w:t>26</w:t>
            </w:r>
          </w:p>
        </w:tc>
        <w:tc>
          <w:tcPr>
            <w:tcW w:w="0" w:type="dxa"/>
            <w:vAlign w:val="bottom"/>
          </w:tcPr>
          <w:p>
            <w:pPr>
              <w:spacing w:after="0"/>
              <w:rPr>
                <w:sz w:val="1"/>
                <w:szCs w:val="1"/>
                <w:color w:val="auto"/>
              </w:rPr>
            </w:pPr>
          </w:p>
        </w:tc>
      </w:tr>
      <w:tr>
        <w:trPr>
          <w:trHeight w:val="66"/>
        </w:trPr>
        <w:tc>
          <w:tcPr>
            <w:tcW w:w="120" w:type="dxa"/>
            <w:vAlign w:val="bottom"/>
            <w:shd w:val="clear" w:color="auto" w:fill="E8F0F8"/>
          </w:tcPr>
          <w:p>
            <w:pPr>
              <w:spacing w:after="0"/>
              <w:rPr>
                <w:sz w:val="5"/>
                <w:szCs w:val="5"/>
                <w:color w:val="auto"/>
              </w:rPr>
            </w:pPr>
          </w:p>
        </w:tc>
        <w:tc>
          <w:tcPr>
            <w:tcW w:w="140" w:type="dxa"/>
            <w:vAlign w:val="bottom"/>
            <w:shd w:val="clear" w:color="auto" w:fill="E8F0F8"/>
          </w:tcPr>
          <w:p>
            <w:pPr>
              <w:spacing w:after="0"/>
              <w:rPr>
                <w:sz w:val="5"/>
                <w:szCs w:val="5"/>
                <w:color w:val="auto"/>
              </w:rPr>
            </w:pPr>
          </w:p>
        </w:tc>
        <w:tc>
          <w:tcPr>
            <w:tcW w:w="1040" w:type="dxa"/>
            <w:vAlign w:val="bottom"/>
            <w:shd w:val="clear" w:color="auto" w:fill="E8F0F8"/>
          </w:tcPr>
          <w:p>
            <w:pPr>
              <w:spacing w:after="0"/>
              <w:rPr>
                <w:sz w:val="5"/>
                <w:szCs w:val="5"/>
                <w:color w:val="auto"/>
              </w:rPr>
            </w:pPr>
          </w:p>
        </w:tc>
        <w:tc>
          <w:tcPr>
            <w:tcW w:w="40" w:type="dxa"/>
            <w:vAlign w:val="bottom"/>
            <w:shd w:val="clear" w:color="auto" w:fill="E8F0F8"/>
          </w:tcPr>
          <w:p>
            <w:pPr>
              <w:spacing w:after="0"/>
              <w:rPr>
                <w:sz w:val="5"/>
                <w:szCs w:val="5"/>
                <w:color w:val="auto"/>
              </w:rPr>
            </w:pPr>
          </w:p>
        </w:tc>
        <w:tc>
          <w:tcPr>
            <w:tcW w:w="900" w:type="dxa"/>
            <w:vAlign w:val="bottom"/>
            <w:shd w:val="clear" w:color="auto" w:fill="E8F0F8"/>
          </w:tcPr>
          <w:p>
            <w:pPr>
              <w:spacing w:after="0"/>
              <w:rPr>
                <w:sz w:val="5"/>
                <w:szCs w:val="5"/>
                <w:color w:val="auto"/>
              </w:rPr>
            </w:pPr>
          </w:p>
        </w:tc>
        <w:tc>
          <w:tcPr>
            <w:tcW w:w="60" w:type="dxa"/>
            <w:vAlign w:val="bottom"/>
            <w:shd w:val="clear" w:color="auto" w:fill="E8F0F8"/>
          </w:tcPr>
          <w:p>
            <w:pPr>
              <w:spacing w:after="0"/>
              <w:rPr>
                <w:sz w:val="5"/>
                <w:szCs w:val="5"/>
                <w:color w:val="auto"/>
              </w:rPr>
            </w:pPr>
          </w:p>
        </w:tc>
        <w:tc>
          <w:tcPr>
            <w:tcW w:w="320" w:type="dxa"/>
            <w:vAlign w:val="bottom"/>
            <w:shd w:val="clear" w:color="auto" w:fill="E8F0F8"/>
          </w:tcPr>
          <w:p>
            <w:pPr>
              <w:spacing w:after="0"/>
              <w:rPr>
                <w:sz w:val="5"/>
                <w:szCs w:val="5"/>
                <w:color w:val="auto"/>
              </w:rPr>
            </w:pPr>
          </w:p>
        </w:tc>
        <w:tc>
          <w:tcPr>
            <w:tcW w:w="300" w:type="dxa"/>
            <w:vAlign w:val="bottom"/>
            <w:shd w:val="clear" w:color="auto" w:fill="E8F0F8"/>
          </w:tcPr>
          <w:p>
            <w:pPr>
              <w:spacing w:after="0"/>
              <w:rPr>
                <w:sz w:val="5"/>
                <w:szCs w:val="5"/>
                <w:color w:val="auto"/>
              </w:rPr>
            </w:pPr>
          </w:p>
        </w:tc>
        <w:tc>
          <w:tcPr>
            <w:tcW w:w="320" w:type="dxa"/>
            <w:vAlign w:val="bottom"/>
            <w:shd w:val="clear" w:color="auto" w:fill="E8F0F8"/>
          </w:tcPr>
          <w:p>
            <w:pPr>
              <w:spacing w:after="0"/>
              <w:rPr>
                <w:sz w:val="5"/>
                <w:szCs w:val="5"/>
                <w:color w:val="auto"/>
              </w:rPr>
            </w:pPr>
          </w:p>
        </w:tc>
        <w:tc>
          <w:tcPr>
            <w:tcW w:w="240" w:type="dxa"/>
            <w:vAlign w:val="bottom"/>
            <w:shd w:val="clear" w:color="auto" w:fill="E8F0F8"/>
          </w:tcPr>
          <w:p>
            <w:pPr>
              <w:spacing w:after="0"/>
              <w:rPr>
                <w:sz w:val="5"/>
                <w:szCs w:val="5"/>
                <w:color w:val="auto"/>
              </w:rPr>
            </w:pPr>
          </w:p>
        </w:tc>
        <w:tc>
          <w:tcPr>
            <w:tcW w:w="40" w:type="dxa"/>
            <w:vAlign w:val="bottom"/>
            <w:shd w:val="clear" w:color="auto" w:fill="E8F0F8"/>
          </w:tcPr>
          <w:p>
            <w:pPr>
              <w:spacing w:after="0"/>
              <w:rPr>
                <w:sz w:val="5"/>
                <w:szCs w:val="5"/>
                <w:color w:val="auto"/>
              </w:rPr>
            </w:pPr>
          </w:p>
        </w:tc>
        <w:tc>
          <w:tcPr>
            <w:tcW w:w="140" w:type="dxa"/>
            <w:vAlign w:val="bottom"/>
            <w:shd w:val="clear" w:color="auto" w:fill="E8F0F8"/>
          </w:tcPr>
          <w:p>
            <w:pPr>
              <w:spacing w:after="0"/>
              <w:rPr>
                <w:sz w:val="5"/>
                <w:szCs w:val="5"/>
                <w:color w:val="auto"/>
              </w:rPr>
            </w:pPr>
          </w:p>
        </w:tc>
        <w:tc>
          <w:tcPr>
            <w:tcW w:w="20" w:type="dxa"/>
            <w:vAlign w:val="bottom"/>
            <w:shd w:val="clear" w:color="auto" w:fill="E8F0F8"/>
          </w:tcPr>
          <w:p>
            <w:pPr>
              <w:spacing w:after="0"/>
              <w:rPr>
                <w:sz w:val="5"/>
                <w:szCs w:val="5"/>
                <w:color w:val="auto"/>
              </w:rPr>
            </w:pPr>
          </w:p>
        </w:tc>
        <w:tc>
          <w:tcPr>
            <w:tcW w:w="220" w:type="dxa"/>
            <w:vAlign w:val="bottom"/>
            <w:shd w:val="clear" w:color="auto" w:fill="E8F0F8"/>
          </w:tcPr>
          <w:p>
            <w:pPr>
              <w:spacing w:after="0"/>
              <w:rPr>
                <w:sz w:val="5"/>
                <w:szCs w:val="5"/>
                <w:color w:val="auto"/>
              </w:rPr>
            </w:pPr>
          </w:p>
        </w:tc>
        <w:tc>
          <w:tcPr>
            <w:tcW w:w="520" w:type="dxa"/>
            <w:vAlign w:val="bottom"/>
            <w:shd w:val="clear" w:color="auto" w:fill="E8F0F8"/>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E8F0F8"/>
            </w:tcBorders>
            <w:shd w:val="clear" w:color="auto" w:fill="E8F0F8"/>
          </w:tcPr>
          <w:p>
            <w:pPr>
              <w:spacing w:after="0"/>
              <w:rPr>
                <w:sz w:val="6"/>
                <w:szCs w:val="6"/>
                <w:color w:val="auto"/>
              </w:rPr>
            </w:pPr>
          </w:p>
        </w:tc>
        <w:tc>
          <w:tcPr>
            <w:tcW w:w="140" w:type="dxa"/>
            <w:vAlign w:val="bottom"/>
            <w:tcBorders>
              <w:bottom w:val="single" w:sz="8" w:color="E8F0F8"/>
            </w:tcBorders>
            <w:shd w:val="clear" w:color="auto" w:fill="E8F0F8"/>
          </w:tcPr>
          <w:p>
            <w:pPr>
              <w:spacing w:after="0"/>
              <w:rPr>
                <w:sz w:val="6"/>
                <w:szCs w:val="6"/>
                <w:color w:val="auto"/>
              </w:rPr>
            </w:pPr>
          </w:p>
        </w:tc>
        <w:tc>
          <w:tcPr>
            <w:tcW w:w="1040" w:type="dxa"/>
            <w:vAlign w:val="bottom"/>
            <w:tcBorders>
              <w:bottom w:val="single" w:sz="8" w:color="E8F0F8"/>
            </w:tcBorders>
            <w:shd w:val="clear" w:color="auto" w:fill="E8F0F8"/>
          </w:tcPr>
          <w:p>
            <w:pPr>
              <w:spacing w:after="0"/>
              <w:rPr>
                <w:sz w:val="6"/>
                <w:szCs w:val="6"/>
                <w:color w:val="auto"/>
              </w:rPr>
            </w:pPr>
          </w:p>
        </w:tc>
        <w:tc>
          <w:tcPr>
            <w:tcW w:w="40" w:type="dxa"/>
            <w:vAlign w:val="bottom"/>
            <w:tcBorders>
              <w:bottom w:val="single" w:sz="8" w:color="E8F0F8"/>
            </w:tcBorders>
            <w:shd w:val="clear" w:color="auto" w:fill="E8F0F8"/>
          </w:tcPr>
          <w:p>
            <w:pPr>
              <w:spacing w:after="0"/>
              <w:rPr>
                <w:sz w:val="6"/>
                <w:szCs w:val="6"/>
                <w:color w:val="auto"/>
              </w:rPr>
            </w:pPr>
          </w:p>
        </w:tc>
        <w:tc>
          <w:tcPr>
            <w:tcW w:w="900" w:type="dxa"/>
            <w:vAlign w:val="bottom"/>
            <w:tcBorders>
              <w:bottom w:val="single" w:sz="8" w:color="0000EE"/>
            </w:tcBorders>
            <w:shd w:val="clear" w:color="auto" w:fill="E8F0F8"/>
          </w:tcPr>
          <w:p>
            <w:pPr>
              <w:spacing w:after="0"/>
              <w:rPr>
                <w:sz w:val="6"/>
                <w:szCs w:val="6"/>
                <w:color w:val="auto"/>
              </w:rPr>
            </w:pPr>
          </w:p>
        </w:tc>
        <w:tc>
          <w:tcPr>
            <w:tcW w:w="60" w:type="dxa"/>
            <w:vAlign w:val="bottom"/>
            <w:tcBorders>
              <w:bottom w:val="single" w:sz="8" w:color="0000EE"/>
            </w:tcBorders>
            <w:shd w:val="clear" w:color="auto" w:fill="E8F0F8"/>
          </w:tcPr>
          <w:p>
            <w:pPr>
              <w:spacing w:after="0"/>
              <w:rPr>
                <w:sz w:val="6"/>
                <w:szCs w:val="6"/>
                <w:color w:val="auto"/>
              </w:rPr>
            </w:pPr>
          </w:p>
        </w:tc>
        <w:tc>
          <w:tcPr>
            <w:tcW w:w="320" w:type="dxa"/>
            <w:vAlign w:val="bottom"/>
            <w:tcBorders>
              <w:bottom w:val="single" w:sz="8" w:color="0000EE"/>
            </w:tcBorders>
            <w:shd w:val="clear" w:color="auto" w:fill="E8F0F8"/>
          </w:tcPr>
          <w:p>
            <w:pPr>
              <w:spacing w:after="0"/>
              <w:rPr>
                <w:sz w:val="6"/>
                <w:szCs w:val="6"/>
                <w:color w:val="auto"/>
              </w:rPr>
            </w:pPr>
          </w:p>
        </w:tc>
        <w:tc>
          <w:tcPr>
            <w:tcW w:w="300" w:type="dxa"/>
            <w:vAlign w:val="bottom"/>
            <w:tcBorders>
              <w:bottom w:val="single" w:sz="8" w:color="0000EE"/>
            </w:tcBorders>
            <w:shd w:val="clear" w:color="auto" w:fill="E8F0F8"/>
          </w:tcPr>
          <w:p>
            <w:pPr>
              <w:spacing w:after="0"/>
              <w:rPr>
                <w:sz w:val="6"/>
                <w:szCs w:val="6"/>
                <w:color w:val="auto"/>
              </w:rPr>
            </w:pPr>
          </w:p>
        </w:tc>
        <w:tc>
          <w:tcPr>
            <w:tcW w:w="320" w:type="dxa"/>
            <w:vAlign w:val="bottom"/>
            <w:tcBorders>
              <w:bottom w:val="single" w:sz="8" w:color="0000EE"/>
            </w:tcBorders>
            <w:shd w:val="clear" w:color="auto" w:fill="E8F0F8"/>
          </w:tcPr>
          <w:p>
            <w:pPr>
              <w:spacing w:after="0"/>
              <w:rPr>
                <w:sz w:val="6"/>
                <w:szCs w:val="6"/>
                <w:color w:val="auto"/>
              </w:rPr>
            </w:pPr>
          </w:p>
        </w:tc>
        <w:tc>
          <w:tcPr>
            <w:tcW w:w="240" w:type="dxa"/>
            <w:vAlign w:val="bottom"/>
            <w:tcBorders>
              <w:bottom w:val="single" w:sz="8" w:color="0000EE"/>
            </w:tcBorders>
            <w:shd w:val="clear" w:color="auto" w:fill="E8F0F8"/>
          </w:tcPr>
          <w:p>
            <w:pPr>
              <w:spacing w:after="0"/>
              <w:rPr>
                <w:sz w:val="6"/>
                <w:szCs w:val="6"/>
                <w:color w:val="auto"/>
              </w:rPr>
            </w:pPr>
          </w:p>
        </w:tc>
        <w:tc>
          <w:tcPr>
            <w:tcW w:w="40" w:type="dxa"/>
            <w:vAlign w:val="bottom"/>
            <w:tcBorders>
              <w:bottom w:val="single" w:sz="8" w:color="0000EE"/>
            </w:tcBorders>
            <w:shd w:val="clear" w:color="auto" w:fill="E8F0F8"/>
          </w:tcPr>
          <w:p>
            <w:pPr>
              <w:spacing w:after="0"/>
              <w:rPr>
                <w:sz w:val="6"/>
                <w:szCs w:val="6"/>
                <w:color w:val="auto"/>
              </w:rPr>
            </w:pPr>
          </w:p>
        </w:tc>
        <w:tc>
          <w:tcPr>
            <w:tcW w:w="140" w:type="dxa"/>
            <w:vAlign w:val="bottom"/>
            <w:tcBorders>
              <w:bottom w:val="single" w:sz="8" w:color="E8F0F8"/>
            </w:tcBorders>
            <w:shd w:val="clear" w:color="auto" w:fill="E8F0F8"/>
          </w:tcPr>
          <w:p>
            <w:pPr>
              <w:spacing w:after="0"/>
              <w:rPr>
                <w:sz w:val="6"/>
                <w:szCs w:val="6"/>
                <w:color w:val="auto"/>
              </w:rPr>
            </w:pPr>
          </w:p>
        </w:tc>
        <w:tc>
          <w:tcPr>
            <w:tcW w:w="20" w:type="dxa"/>
            <w:vAlign w:val="bottom"/>
            <w:tcBorders>
              <w:bottom w:val="single" w:sz="8" w:color="E8F0F8"/>
            </w:tcBorders>
            <w:shd w:val="clear" w:color="auto" w:fill="E8F0F8"/>
          </w:tcPr>
          <w:p>
            <w:pPr>
              <w:spacing w:after="0"/>
              <w:rPr>
                <w:sz w:val="6"/>
                <w:szCs w:val="6"/>
                <w:color w:val="auto"/>
              </w:rPr>
            </w:pPr>
          </w:p>
        </w:tc>
        <w:tc>
          <w:tcPr>
            <w:tcW w:w="220" w:type="dxa"/>
            <w:vAlign w:val="bottom"/>
            <w:tcBorders>
              <w:bottom w:val="single" w:sz="8" w:color="E8F0F8"/>
            </w:tcBorders>
            <w:shd w:val="clear" w:color="auto" w:fill="E8F0F8"/>
          </w:tcPr>
          <w:p>
            <w:pPr>
              <w:spacing w:after="0"/>
              <w:rPr>
                <w:sz w:val="6"/>
                <w:szCs w:val="6"/>
                <w:color w:val="auto"/>
              </w:rPr>
            </w:pPr>
          </w:p>
        </w:tc>
        <w:tc>
          <w:tcPr>
            <w:tcW w:w="520" w:type="dxa"/>
            <w:vAlign w:val="bottom"/>
            <w:tcBorders>
              <w:bottom w:val="single" w:sz="8" w:color="E8F0F8"/>
            </w:tcBorders>
            <w:shd w:val="clear" w:color="auto" w:fill="E8F0F8"/>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8"/>
        </w:trPr>
        <w:tc>
          <w:tcPr>
            <w:tcW w:w="120" w:type="dxa"/>
            <w:vAlign w:val="bottom"/>
            <w:shd w:val="clear" w:color="auto" w:fill="E8F0F8"/>
          </w:tcPr>
          <w:p>
            <w:pPr>
              <w:spacing w:after="0"/>
              <w:rPr>
                <w:sz w:val="24"/>
                <w:szCs w:val="24"/>
                <w:color w:val="auto"/>
              </w:rPr>
            </w:pPr>
          </w:p>
        </w:tc>
        <w:tc>
          <w:tcPr>
            <w:tcW w:w="140" w:type="dxa"/>
            <w:vAlign w:val="bottom"/>
            <w:shd w:val="clear" w:color="auto" w:fill="E8F0F8"/>
          </w:tcPr>
          <w:p>
            <w:pPr>
              <w:spacing w:after="0"/>
              <w:rPr>
                <w:sz w:val="24"/>
                <w:szCs w:val="24"/>
                <w:color w:val="auto"/>
              </w:rPr>
            </w:pPr>
          </w:p>
        </w:tc>
        <w:tc>
          <w:tcPr>
            <w:tcW w:w="1040" w:type="dxa"/>
            <w:vAlign w:val="bottom"/>
            <w:shd w:val="clear" w:color="auto" w:fill="E8F0F8"/>
          </w:tcPr>
          <w:p>
            <w:pPr>
              <w:spacing w:after="0"/>
              <w:rPr>
                <w:sz w:val="24"/>
                <w:szCs w:val="24"/>
                <w:color w:val="auto"/>
              </w:rPr>
            </w:pPr>
          </w:p>
        </w:tc>
        <w:tc>
          <w:tcPr>
            <w:tcW w:w="40" w:type="dxa"/>
            <w:vAlign w:val="bottom"/>
            <w:shd w:val="clear" w:color="auto" w:fill="E8F0F8"/>
          </w:tcPr>
          <w:p>
            <w:pPr>
              <w:spacing w:after="0"/>
              <w:rPr>
                <w:sz w:val="24"/>
                <w:szCs w:val="24"/>
                <w:color w:val="auto"/>
              </w:rPr>
            </w:pPr>
          </w:p>
        </w:tc>
        <w:tc>
          <w:tcPr>
            <w:tcW w:w="900" w:type="dxa"/>
            <w:vAlign w:val="bottom"/>
            <w:shd w:val="clear" w:color="auto" w:fill="E8F0F8"/>
          </w:tcPr>
          <w:p>
            <w:pPr>
              <w:spacing w:after="0"/>
              <w:rPr>
                <w:sz w:val="24"/>
                <w:szCs w:val="24"/>
                <w:color w:val="auto"/>
              </w:rPr>
            </w:pPr>
          </w:p>
        </w:tc>
        <w:tc>
          <w:tcPr>
            <w:tcW w:w="60" w:type="dxa"/>
            <w:vAlign w:val="bottom"/>
            <w:shd w:val="clear" w:color="auto" w:fill="E8F0F8"/>
          </w:tcPr>
          <w:p>
            <w:pPr>
              <w:spacing w:after="0"/>
              <w:rPr>
                <w:sz w:val="24"/>
                <w:szCs w:val="24"/>
                <w:color w:val="auto"/>
              </w:rPr>
            </w:pPr>
          </w:p>
        </w:tc>
        <w:tc>
          <w:tcPr>
            <w:tcW w:w="320" w:type="dxa"/>
            <w:vAlign w:val="bottom"/>
            <w:shd w:val="clear" w:color="auto" w:fill="E8F0F8"/>
          </w:tcPr>
          <w:p>
            <w:pPr>
              <w:spacing w:after="0"/>
              <w:rPr>
                <w:sz w:val="24"/>
                <w:szCs w:val="24"/>
                <w:color w:val="auto"/>
              </w:rPr>
            </w:pPr>
          </w:p>
        </w:tc>
        <w:tc>
          <w:tcPr>
            <w:tcW w:w="300" w:type="dxa"/>
            <w:vAlign w:val="bottom"/>
            <w:shd w:val="clear" w:color="auto" w:fill="E8F0F8"/>
          </w:tcPr>
          <w:p>
            <w:pPr>
              <w:spacing w:after="0"/>
              <w:rPr>
                <w:sz w:val="24"/>
                <w:szCs w:val="24"/>
                <w:color w:val="auto"/>
              </w:rPr>
            </w:pPr>
          </w:p>
        </w:tc>
        <w:tc>
          <w:tcPr>
            <w:tcW w:w="320" w:type="dxa"/>
            <w:vAlign w:val="bottom"/>
            <w:shd w:val="clear" w:color="auto" w:fill="E8F0F8"/>
          </w:tcPr>
          <w:p>
            <w:pPr>
              <w:spacing w:after="0"/>
              <w:rPr>
                <w:sz w:val="24"/>
                <w:szCs w:val="24"/>
                <w:color w:val="auto"/>
              </w:rPr>
            </w:pPr>
          </w:p>
        </w:tc>
        <w:tc>
          <w:tcPr>
            <w:tcW w:w="240" w:type="dxa"/>
            <w:vAlign w:val="bottom"/>
            <w:shd w:val="clear" w:color="auto" w:fill="E8F0F8"/>
          </w:tcPr>
          <w:p>
            <w:pPr>
              <w:spacing w:after="0"/>
              <w:rPr>
                <w:sz w:val="24"/>
                <w:szCs w:val="24"/>
                <w:color w:val="auto"/>
              </w:rPr>
            </w:pPr>
          </w:p>
        </w:tc>
        <w:tc>
          <w:tcPr>
            <w:tcW w:w="40" w:type="dxa"/>
            <w:vAlign w:val="bottom"/>
            <w:shd w:val="clear" w:color="auto" w:fill="E8F0F8"/>
          </w:tcPr>
          <w:p>
            <w:pPr>
              <w:spacing w:after="0"/>
              <w:rPr>
                <w:sz w:val="24"/>
                <w:szCs w:val="24"/>
                <w:color w:val="auto"/>
              </w:rPr>
            </w:pPr>
          </w:p>
        </w:tc>
        <w:tc>
          <w:tcPr>
            <w:tcW w:w="140" w:type="dxa"/>
            <w:vAlign w:val="bottom"/>
            <w:shd w:val="clear" w:color="auto" w:fill="E8F0F8"/>
          </w:tcPr>
          <w:p>
            <w:pPr>
              <w:spacing w:after="0"/>
              <w:rPr>
                <w:sz w:val="24"/>
                <w:szCs w:val="24"/>
                <w:color w:val="auto"/>
              </w:rPr>
            </w:pPr>
          </w:p>
        </w:tc>
        <w:tc>
          <w:tcPr>
            <w:tcW w:w="20" w:type="dxa"/>
            <w:vAlign w:val="bottom"/>
            <w:shd w:val="clear" w:color="auto" w:fill="E8F0F8"/>
          </w:tcPr>
          <w:p>
            <w:pPr>
              <w:spacing w:after="0"/>
              <w:rPr>
                <w:sz w:val="24"/>
                <w:szCs w:val="24"/>
                <w:color w:val="auto"/>
              </w:rPr>
            </w:pPr>
          </w:p>
        </w:tc>
        <w:tc>
          <w:tcPr>
            <w:tcW w:w="220" w:type="dxa"/>
            <w:vAlign w:val="bottom"/>
            <w:shd w:val="clear" w:color="auto" w:fill="E8F0F8"/>
          </w:tcPr>
          <w:p>
            <w:pPr>
              <w:spacing w:after="0"/>
              <w:rPr>
                <w:sz w:val="24"/>
                <w:szCs w:val="24"/>
                <w:color w:val="auto"/>
              </w:rPr>
            </w:pPr>
          </w:p>
        </w:tc>
        <w:tc>
          <w:tcPr>
            <w:tcW w:w="520" w:type="dxa"/>
            <w:vAlign w:val="bottom"/>
            <w:shd w:val="clear" w:color="auto" w:fill="E8F0F8"/>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1300" w:type="dxa"/>
            <w:vAlign w:val="bottom"/>
            <w:gridSpan w:val="3"/>
            <w:shd w:val="clear" w:color="auto" w:fill="000000"/>
          </w:tcPr>
          <w:p>
            <w:pPr>
              <w:jc w:val="right"/>
              <w:ind w:right="260"/>
              <w:spacing w:after="0"/>
              <w:rPr>
                <w:sz w:val="20"/>
                <w:szCs w:val="20"/>
                <w:color w:val="auto"/>
              </w:rPr>
            </w:pPr>
            <w:r>
              <w:rPr>
                <w:rFonts w:ascii="Arial" w:cs="Arial" w:eastAsia="Arial" w:hAnsi="Arial"/>
                <w:sz w:val="1"/>
                <w:szCs w:val="1"/>
                <w:color w:val="1A6DBB"/>
              </w:rPr>
              <w:t>5</w:t>
            </w:r>
          </w:p>
        </w:tc>
        <w:tc>
          <w:tcPr>
            <w:tcW w:w="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 w:type="dxa"/>
            <w:vAlign w:val="bottom"/>
            <w:tcBorders>
              <w:bottom w:val="single" w:sz="8" w:color="E8F0F8"/>
            </w:tcBorders>
            <w:shd w:val="clear" w:color="auto" w:fill="E8F0F8"/>
          </w:tcPr>
          <w:p>
            <w:pPr>
              <w:spacing w:after="0"/>
              <w:rPr>
                <w:sz w:val="15"/>
                <w:szCs w:val="15"/>
                <w:color w:val="auto"/>
              </w:rPr>
            </w:pPr>
          </w:p>
        </w:tc>
        <w:tc>
          <w:tcPr>
            <w:tcW w:w="140" w:type="dxa"/>
            <w:vAlign w:val="bottom"/>
            <w:tcBorders>
              <w:bottom w:val="single" w:sz="8" w:color="E8F0F8"/>
            </w:tcBorders>
            <w:shd w:val="clear" w:color="auto" w:fill="E8F0F8"/>
          </w:tcPr>
          <w:p>
            <w:pPr>
              <w:spacing w:after="0"/>
              <w:rPr>
                <w:sz w:val="15"/>
                <w:szCs w:val="15"/>
                <w:color w:val="auto"/>
              </w:rPr>
            </w:pPr>
          </w:p>
        </w:tc>
        <w:tc>
          <w:tcPr>
            <w:tcW w:w="1040" w:type="dxa"/>
            <w:vAlign w:val="bottom"/>
            <w:tcBorders>
              <w:bottom w:val="single" w:sz="8" w:color="E8F0F8"/>
            </w:tcBorders>
            <w:shd w:val="clear" w:color="auto" w:fill="E8F0F8"/>
          </w:tcPr>
          <w:p>
            <w:pPr>
              <w:spacing w:after="0"/>
              <w:rPr>
                <w:sz w:val="15"/>
                <w:szCs w:val="15"/>
                <w:color w:val="auto"/>
              </w:rPr>
            </w:pPr>
          </w:p>
        </w:tc>
        <w:tc>
          <w:tcPr>
            <w:tcW w:w="40" w:type="dxa"/>
            <w:vAlign w:val="bottom"/>
            <w:tcBorders>
              <w:bottom w:val="single" w:sz="8" w:color="E8F0F8"/>
            </w:tcBorders>
            <w:shd w:val="clear" w:color="auto" w:fill="E8F0F8"/>
          </w:tcPr>
          <w:p>
            <w:pPr>
              <w:spacing w:after="0"/>
              <w:rPr>
                <w:sz w:val="15"/>
                <w:szCs w:val="15"/>
                <w:color w:val="auto"/>
              </w:rPr>
            </w:pPr>
          </w:p>
        </w:tc>
        <w:tc>
          <w:tcPr>
            <w:tcW w:w="3080" w:type="dxa"/>
            <w:vAlign w:val="bottom"/>
            <w:tcBorders>
              <w:bottom w:val="single" w:sz="8" w:color="E8F0F8"/>
            </w:tcBorders>
            <w:gridSpan w:val="11"/>
            <w:shd w:val="clear" w:color="auto" w:fill="E8F0F8"/>
          </w:tcPr>
          <w:p>
            <w:pPr>
              <w:spacing w:after="0" w:line="162" w:lineRule="exact"/>
              <w:rPr>
                <w:sz w:val="20"/>
                <w:szCs w:val="20"/>
                <w:color w:val="auto"/>
              </w:rPr>
            </w:pPr>
            <w:r>
              <w:rPr>
                <w:rFonts w:ascii="Arial" w:cs="Arial" w:eastAsia="Arial" w:hAnsi="Arial"/>
                <w:sz w:val="17"/>
                <w:szCs w:val="17"/>
                <w:color w:val="0000EE"/>
              </w:rPr>
              <w:t>Audit Committee</w:t>
            </w:r>
          </w:p>
        </w:tc>
        <w:tc>
          <w:tcPr>
            <w:tcW w:w="280" w:type="dxa"/>
            <w:vAlign w:val="bottom"/>
          </w:tcPr>
          <w:p>
            <w:pPr>
              <w:spacing w:after="0"/>
              <w:rPr>
                <w:sz w:val="15"/>
                <w:szCs w:val="15"/>
                <w:color w:val="auto"/>
              </w:rPr>
            </w:pPr>
          </w:p>
        </w:tc>
        <w:tc>
          <w:tcPr>
            <w:tcW w:w="5720" w:type="dxa"/>
            <w:vAlign w:val="bottom"/>
            <w:tcBorders>
              <w:bottom w:val="single" w:sz="8" w:color="0000EE"/>
            </w:tcBorders>
            <w:gridSpan w:val="22"/>
          </w:tcPr>
          <w:p>
            <w:pPr>
              <w:spacing w:after="0" w:line="175" w:lineRule="exact"/>
              <w:rPr>
                <w:sz w:val="20"/>
                <w:szCs w:val="20"/>
                <w:color w:val="auto"/>
              </w:rPr>
            </w:pPr>
            <w:r>
              <w:rPr>
                <w:rFonts w:ascii="Arial" w:cs="Arial" w:eastAsia="Arial" w:hAnsi="Arial"/>
                <w:sz w:val="16"/>
                <w:szCs w:val="16"/>
                <w:color w:val="0000EE"/>
              </w:rPr>
              <w:t>Proposal 2 – Ratification of the Selection of Our Independent Registered Public</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tcBorders>
              <w:bottom w:val="single" w:sz="8" w:color="E8F0F8"/>
            </w:tcBorders>
            <w:shd w:val="clear" w:color="auto" w:fill="E8F0F8"/>
          </w:tcPr>
          <w:p>
            <w:pPr>
              <w:spacing w:after="0"/>
              <w:rPr>
                <w:sz w:val="8"/>
                <w:szCs w:val="8"/>
                <w:color w:val="auto"/>
              </w:rPr>
            </w:pPr>
          </w:p>
        </w:tc>
        <w:tc>
          <w:tcPr>
            <w:tcW w:w="140" w:type="dxa"/>
            <w:vAlign w:val="bottom"/>
            <w:tcBorders>
              <w:bottom w:val="single" w:sz="8" w:color="E8F0F8"/>
            </w:tcBorders>
            <w:shd w:val="clear" w:color="auto" w:fill="E8F0F8"/>
          </w:tcPr>
          <w:p>
            <w:pPr>
              <w:spacing w:after="0"/>
              <w:rPr>
                <w:sz w:val="8"/>
                <w:szCs w:val="8"/>
                <w:color w:val="auto"/>
              </w:rPr>
            </w:pPr>
          </w:p>
        </w:tc>
        <w:tc>
          <w:tcPr>
            <w:tcW w:w="1040" w:type="dxa"/>
            <w:vAlign w:val="bottom"/>
            <w:tcBorders>
              <w:bottom w:val="single" w:sz="8" w:color="E8F0F8"/>
            </w:tcBorders>
            <w:shd w:val="clear" w:color="auto" w:fill="E8F0F8"/>
          </w:tcPr>
          <w:p>
            <w:pPr>
              <w:spacing w:after="0"/>
              <w:rPr>
                <w:sz w:val="8"/>
                <w:szCs w:val="8"/>
                <w:color w:val="auto"/>
              </w:rPr>
            </w:pPr>
          </w:p>
        </w:tc>
        <w:tc>
          <w:tcPr>
            <w:tcW w:w="40" w:type="dxa"/>
            <w:vAlign w:val="bottom"/>
            <w:tcBorders>
              <w:bottom w:val="single" w:sz="8" w:color="E8F0F8"/>
            </w:tcBorders>
            <w:shd w:val="clear" w:color="auto" w:fill="E8F0F8"/>
          </w:tcPr>
          <w:p>
            <w:pPr>
              <w:spacing w:after="0"/>
              <w:rPr>
                <w:sz w:val="8"/>
                <w:szCs w:val="8"/>
                <w:color w:val="auto"/>
              </w:rPr>
            </w:pPr>
          </w:p>
        </w:tc>
        <w:tc>
          <w:tcPr>
            <w:tcW w:w="900" w:type="dxa"/>
            <w:vAlign w:val="bottom"/>
            <w:tcBorders>
              <w:bottom w:val="single" w:sz="8" w:color="0000EE"/>
            </w:tcBorders>
            <w:shd w:val="clear" w:color="auto" w:fill="E8F0F8"/>
          </w:tcPr>
          <w:p>
            <w:pPr>
              <w:spacing w:after="0"/>
              <w:rPr>
                <w:sz w:val="8"/>
                <w:szCs w:val="8"/>
                <w:color w:val="auto"/>
              </w:rPr>
            </w:pPr>
          </w:p>
        </w:tc>
        <w:tc>
          <w:tcPr>
            <w:tcW w:w="60" w:type="dxa"/>
            <w:vAlign w:val="bottom"/>
            <w:tcBorders>
              <w:bottom w:val="single" w:sz="8" w:color="0000EE"/>
            </w:tcBorders>
            <w:shd w:val="clear" w:color="auto" w:fill="E8F0F8"/>
          </w:tcPr>
          <w:p>
            <w:pPr>
              <w:spacing w:after="0"/>
              <w:rPr>
                <w:sz w:val="8"/>
                <w:szCs w:val="8"/>
                <w:color w:val="auto"/>
              </w:rPr>
            </w:pPr>
          </w:p>
        </w:tc>
        <w:tc>
          <w:tcPr>
            <w:tcW w:w="320" w:type="dxa"/>
            <w:vAlign w:val="bottom"/>
            <w:tcBorders>
              <w:bottom w:val="single" w:sz="8" w:color="0000EE"/>
            </w:tcBorders>
            <w:shd w:val="clear" w:color="auto" w:fill="E8F0F8"/>
          </w:tcPr>
          <w:p>
            <w:pPr>
              <w:spacing w:after="0"/>
              <w:rPr>
                <w:sz w:val="8"/>
                <w:szCs w:val="8"/>
                <w:color w:val="auto"/>
              </w:rPr>
            </w:pPr>
          </w:p>
        </w:tc>
        <w:tc>
          <w:tcPr>
            <w:tcW w:w="300" w:type="dxa"/>
            <w:vAlign w:val="bottom"/>
            <w:tcBorders>
              <w:bottom w:val="single" w:sz="8" w:color="0000EE"/>
            </w:tcBorders>
            <w:shd w:val="clear" w:color="auto" w:fill="E8F0F8"/>
          </w:tcPr>
          <w:p>
            <w:pPr>
              <w:spacing w:after="0"/>
              <w:rPr>
                <w:sz w:val="8"/>
                <w:szCs w:val="8"/>
                <w:color w:val="auto"/>
              </w:rPr>
            </w:pPr>
          </w:p>
        </w:tc>
        <w:tc>
          <w:tcPr>
            <w:tcW w:w="320" w:type="dxa"/>
            <w:vAlign w:val="bottom"/>
            <w:tcBorders>
              <w:bottom w:val="single" w:sz="8" w:color="0000EE"/>
            </w:tcBorders>
            <w:shd w:val="clear" w:color="auto" w:fill="E8F0F8"/>
          </w:tcPr>
          <w:p>
            <w:pPr>
              <w:spacing w:after="0"/>
              <w:rPr>
                <w:sz w:val="8"/>
                <w:szCs w:val="8"/>
                <w:color w:val="auto"/>
              </w:rPr>
            </w:pPr>
          </w:p>
        </w:tc>
        <w:tc>
          <w:tcPr>
            <w:tcW w:w="240" w:type="dxa"/>
            <w:vAlign w:val="bottom"/>
            <w:tcBorders>
              <w:bottom w:val="single" w:sz="8" w:color="0000EE"/>
            </w:tcBorders>
            <w:shd w:val="clear" w:color="auto" w:fill="E8F0F8"/>
          </w:tcPr>
          <w:p>
            <w:pPr>
              <w:spacing w:after="0"/>
              <w:rPr>
                <w:sz w:val="8"/>
                <w:szCs w:val="8"/>
                <w:color w:val="auto"/>
              </w:rPr>
            </w:pPr>
          </w:p>
        </w:tc>
        <w:tc>
          <w:tcPr>
            <w:tcW w:w="40" w:type="dxa"/>
            <w:vAlign w:val="bottom"/>
            <w:tcBorders>
              <w:bottom w:val="single" w:sz="8" w:color="E8F0F8"/>
            </w:tcBorders>
            <w:shd w:val="clear" w:color="auto" w:fill="E8F0F8"/>
          </w:tcPr>
          <w:p>
            <w:pPr>
              <w:spacing w:after="0"/>
              <w:rPr>
                <w:sz w:val="8"/>
                <w:szCs w:val="8"/>
                <w:color w:val="auto"/>
              </w:rPr>
            </w:pPr>
          </w:p>
        </w:tc>
        <w:tc>
          <w:tcPr>
            <w:tcW w:w="140" w:type="dxa"/>
            <w:vAlign w:val="bottom"/>
            <w:tcBorders>
              <w:bottom w:val="single" w:sz="8" w:color="E8F0F8"/>
            </w:tcBorders>
            <w:shd w:val="clear" w:color="auto" w:fill="E8F0F8"/>
          </w:tcPr>
          <w:p>
            <w:pPr>
              <w:spacing w:after="0"/>
              <w:rPr>
                <w:sz w:val="8"/>
                <w:szCs w:val="8"/>
                <w:color w:val="auto"/>
              </w:rPr>
            </w:pPr>
          </w:p>
        </w:tc>
        <w:tc>
          <w:tcPr>
            <w:tcW w:w="20" w:type="dxa"/>
            <w:vAlign w:val="bottom"/>
            <w:tcBorders>
              <w:bottom w:val="single" w:sz="8" w:color="E8F0F8"/>
            </w:tcBorders>
            <w:shd w:val="clear" w:color="auto" w:fill="E8F0F8"/>
          </w:tcPr>
          <w:p>
            <w:pPr>
              <w:spacing w:after="0"/>
              <w:rPr>
                <w:sz w:val="8"/>
                <w:szCs w:val="8"/>
                <w:color w:val="auto"/>
              </w:rPr>
            </w:pPr>
          </w:p>
        </w:tc>
        <w:tc>
          <w:tcPr>
            <w:tcW w:w="220" w:type="dxa"/>
            <w:vAlign w:val="bottom"/>
            <w:tcBorders>
              <w:bottom w:val="single" w:sz="8" w:color="E8F0F8"/>
            </w:tcBorders>
            <w:shd w:val="clear" w:color="auto" w:fill="E8F0F8"/>
          </w:tcPr>
          <w:p>
            <w:pPr>
              <w:spacing w:after="0"/>
              <w:rPr>
                <w:sz w:val="8"/>
                <w:szCs w:val="8"/>
                <w:color w:val="auto"/>
              </w:rPr>
            </w:pPr>
          </w:p>
        </w:tc>
        <w:tc>
          <w:tcPr>
            <w:tcW w:w="520" w:type="dxa"/>
            <w:vAlign w:val="bottom"/>
            <w:tcBorders>
              <w:bottom w:val="single" w:sz="8" w:color="E8F0F8"/>
            </w:tcBorders>
            <w:shd w:val="clear" w:color="auto" w:fill="E8F0F8"/>
          </w:tcPr>
          <w:p>
            <w:pPr>
              <w:spacing w:after="0"/>
              <w:rPr>
                <w:sz w:val="8"/>
                <w:szCs w:val="8"/>
                <w:color w:val="auto"/>
              </w:rPr>
            </w:pPr>
          </w:p>
        </w:tc>
        <w:tc>
          <w:tcPr>
            <w:tcW w:w="280" w:type="dxa"/>
            <w:vAlign w:val="bottom"/>
          </w:tcPr>
          <w:p>
            <w:pPr>
              <w:spacing w:after="0"/>
              <w:rPr>
                <w:sz w:val="8"/>
                <w:szCs w:val="8"/>
                <w:color w:val="auto"/>
              </w:rPr>
            </w:pPr>
          </w:p>
        </w:tc>
        <w:tc>
          <w:tcPr>
            <w:tcW w:w="5720" w:type="dxa"/>
            <w:vAlign w:val="bottom"/>
            <w:gridSpan w:val="22"/>
            <w:vMerge w:val="restart"/>
          </w:tcPr>
          <w:p>
            <w:pPr>
              <w:spacing w:after="0"/>
              <w:rPr>
                <w:sz w:val="20"/>
                <w:szCs w:val="20"/>
                <w:color w:val="auto"/>
              </w:rPr>
            </w:pPr>
            <w:r>
              <w:rPr>
                <w:rFonts w:ascii="Arial" w:cs="Arial" w:eastAsia="Arial" w:hAnsi="Arial"/>
                <w:sz w:val="16"/>
                <w:szCs w:val="16"/>
                <w:color w:val="0000EE"/>
              </w:rPr>
              <w:t>Accounting Firm</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1A6DBB"/>
              </w:rPr>
              <w:t>28</w:t>
            </w:r>
          </w:p>
        </w:tc>
        <w:tc>
          <w:tcPr>
            <w:tcW w:w="0" w:type="dxa"/>
            <w:vAlign w:val="bottom"/>
          </w:tcPr>
          <w:p>
            <w:pPr>
              <w:spacing w:after="0"/>
              <w:rPr>
                <w:sz w:val="1"/>
                <w:szCs w:val="1"/>
                <w:color w:val="auto"/>
              </w:rPr>
            </w:pPr>
          </w:p>
        </w:tc>
      </w:tr>
      <w:tr>
        <w:trPr>
          <w:trHeight w:val="81"/>
        </w:trPr>
        <w:tc>
          <w:tcPr>
            <w:tcW w:w="120" w:type="dxa"/>
            <w:vAlign w:val="bottom"/>
            <w:shd w:val="clear" w:color="auto" w:fill="E8F0F8"/>
          </w:tcPr>
          <w:p>
            <w:pPr>
              <w:spacing w:after="0"/>
              <w:rPr>
                <w:sz w:val="7"/>
                <w:szCs w:val="7"/>
                <w:color w:val="auto"/>
              </w:rPr>
            </w:pPr>
          </w:p>
        </w:tc>
        <w:tc>
          <w:tcPr>
            <w:tcW w:w="140" w:type="dxa"/>
            <w:vAlign w:val="bottom"/>
            <w:shd w:val="clear" w:color="auto" w:fill="E8F0F8"/>
          </w:tcPr>
          <w:p>
            <w:pPr>
              <w:spacing w:after="0"/>
              <w:rPr>
                <w:sz w:val="7"/>
                <w:szCs w:val="7"/>
                <w:color w:val="auto"/>
              </w:rPr>
            </w:pPr>
          </w:p>
        </w:tc>
        <w:tc>
          <w:tcPr>
            <w:tcW w:w="1040" w:type="dxa"/>
            <w:vAlign w:val="bottom"/>
            <w:shd w:val="clear" w:color="auto" w:fill="E8F0F8"/>
          </w:tcPr>
          <w:p>
            <w:pPr>
              <w:spacing w:after="0"/>
              <w:rPr>
                <w:sz w:val="7"/>
                <w:szCs w:val="7"/>
                <w:color w:val="auto"/>
              </w:rPr>
            </w:pPr>
          </w:p>
        </w:tc>
        <w:tc>
          <w:tcPr>
            <w:tcW w:w="40" w:type="dxa"/>
            <w:vAlign w:val="bottom"/>
            <w:shd w:val="clear" w:color="auto" w:fill="E8F0F8"/>
          </w:tcPr>
          <w:p>
            <w:pPr>
              <w:spacing w:after="0"/>
              <w:rPr>
                <w:sz w:val="7"/>
                <w:szCs w:val="7"/>
                <w:color w:val="auto"/>
              </w:rPr>
            </w:pPr>
          </w:p>
        </w:tc>
        <w:tc>
          <w:tcPr>
            <w:tcW w:w="3080" w:type="dxa"/>
            <w:vAlign w:val="bottom"/>
            <w:gridSpan w:val="11"/>
            <w:vMerge w:val="restart"/>
            <w:shd w:val="clear" w:color="auto" w:fill="E8F0F8"/>
          </w:tcPr>
          <w:p>
            <w:pPr>
              <w:spacing w:after="0" w:line="296" w:lineRule="exact"/>
              <w:rPr>
                <w:sz w:val="20"/>
                <w:szCs w:val="20"/>
                <w:color w:val="auto"/>
              </w:rPr>
            </w:pPr>
            <w:r>
              <w:rPr>
                <w:rFonts w:ascii="Arial" w:cs="Arial" w:eastAsia="Arial" w:hAnsi="Arial"/>
                <w:sz w:val="29"/>
                <w:szCs w:val="29"/>
                <w:color w:val="0000EE"/>
              </w:rPr>
              <w:t>Matters</w:t>
            </w:r>
          </w:p>
        </w:tc>
        <w:tc>
          <w:tcPr>
            <w:tcW w:w="280" w:type="dxa"/>
            <w:vAlign w:val="bottom"/>
          </w:tcPr>
          <w:p>
            <w:pPr>
              <w:spacing w:after="0"/>
              <w:rPr>
                <w:sz w:val="7"/>
                <w:szCs w:val="7"/>
                <w:color w:val="auto"/>
              </w:rPr>
            </w:pPr>
          </w:p>
        </w:tc>
        <w:tc>
          <w:tcPr>
            <w:tcW w:w="5720" w:type="dxa"/>
            <w:vAlign w:val="bottom"/>
            <w:gridSpan w:val="2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40" w:type="dxa"/>
            <w:vAlign w:val="bottom"/>
            <w:shd w:val="clear" w:color="auto" w:fill="E8F0F8"/>
          </w:tcPr>
          <w:p>
            <w:pPr>
              <w:spacing w:after="0" w:line="20" w:lineRule="exact"/>
              <w:rPr>
                <w:sz w:val="1"/>
                <w:szCs w:val="1"/>
                <w:color w:val="auto"/>
              </w:rPr>
            </w:pPr>
          </w:p>
        </w:tc>
        <w:tc>
          <w:tcPr>
            <w:tcW w:w="104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3080" w:type="dxa"/>
            <w:vAlign w:val="bottom"/>
            <w:gridSpan w:val="11"/>
            <w:vMerge w:val="continue"/>
            <w:shd w:val="clear" w:color="auto" w:fill="E8F0F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0" w:type="dxa"/>
            <w:vAlign w:val="bottom"/>
            <w:shd w:val="clear" w:color="auto" w:fill="E8F0F8"/>
          </w:tcPr>
          <w:p>
            <w:pPr>
              <w:spacing w:after="0"/>
              <w:rPr>
                <w:sz w:val="18"/>
                <w:szCs w:val="18"/>
                <w:color w:val="auto"/>
              </w:rPr>
            </w:pPr>
          </w:p>
        </w:tc>
        <w:tc>
          <w:tcPr>
            <w:tcW w:w="140" w:type="dxa"/>
            <w:vAlign w:val="bottom"/>
            <w:shd w:val="clear" w:color="auto" w:fill="E8F0F8"/>
          </w:tcPr>
          <w:p>
            <w:pPr>
              <w:spacing w:after="0"/>
              <w:rPr>
                <w:sz w:val="18"/>
                <w:szCs w:val="18"/>
                <w:color w:val="auto"/>
              </w:rPr>
            </w:pPr>
          </w:p>
        </w:tc>
        <w:tc>
          <w:tcPr>
            <w:tcW w:w="1040" w:type="dxa"/>
            <w:vAlign w:val="bottom"/>
            <w:shd w:val="clear" w:color="auto" w:fill="E8F0F8"/>
          </w:tcPr>
          <w:p>
            <w:pPr>
              <w:spacing w:after="0"/>
              <w:rPr>
                <w:sz w:val="18"/>
                <w:szCs w:val="18"/>
                <w:color w:val="auto"/>
              </w:rPr>
            </w:pPr>
          </w:p>
        </w:tc>
        <w:tc>
          <w:tcPr>
            <w:tcW w:w="40" w:type="dxa"/>
            <w:vAlign w:val="bottom"/>
            <w:shd w:val="clear" w:color="auto" w:fill="E8F0F8"/>
          </w:tcPr>
          <w:p>
            <w:pPr>
              <w:spacing w:after="0"/>
              <w:rPr>
                <w:sz w:val="18"/>
                <w:szCs w:val="18"/>
                <w:color w:val="auto"/>
              </w:rPr>
            </w:pPr>
          </w:p>
        </w:tc>
        <w:tc>
          <w:tcPr>
            <w:tcW w:w="3080" w:type="dxa"/>
            <w:vAlign w:val="bottom"/>
            <w:gridSpan w:val="11"/>
            <w:vMerge w:val="continue"/>
            <w:shd w:val="clear" w:color="auto" w:fill="E8F0F8"/>
          </w:tcPr>
          <w:p>
            <w:pPr>
              <w:spacing w:after="0"/>
              <w:rPr>
                <w:sz w:val="18"/>
                <w:szCs w:val="18"/>
                <w:color w:val="auto"/>
              </w:rPr>
            </w:pPr>
          </w:p>
        </w:tc>
        <w:tc>
          <w:tcPr>
            <w:tcW w:w="280" w:type="dxa"/>
            <w:vAlign w:val="bottom"/>
          </w:tcPr>
          <w:p>
            <w:pPr>
              <w:spacing w:after="0"/>
              <w:rPr>
                <w:sz w:val="18"/>
                <w:szCs w:val="18"/>
                <w:color w:val="auto"/>
              </w:rPr>
            </w:pPr>
          </w:p>
        </w:tc>
        <w:tc>
          <w:tcPr>
            <w:tcW w:w="5720" w:type="dxa"/>
            <w:vAlign w:val="bottom"/>
            <w:gridSpan w:val="22"/>
          </w:tcPr>
          <w:p>
            <w:pPr>
              <w:spacing w:after="0"/>
              <w:rPr>
                <w:sz w:val="20"/>
                <w:szCs w:val="20"/>
                <w:color w:val="auto"/>
              </w:rPr>
            </w:pPr>
            <w:r>
              <w:rPr>
                <w:rFonts w:ascii="Arial" w:cs="Arial" w:eastAsia="Arial" w:hAnsi="Arial"/>
                <w:sz w:val="16"/>
                <w:szCs w:val="16"/>
                <w:color w:val="0000EE"/>
              </w:rPr>
              <w:t>Audit Committee Report</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5"/>
        </w:trPr>
        <w:tc>
          <w:tcPr>
            <w:tcW w:w="120" w:type="dxa"/>
            <w:vAlign w:val="bottom"/>
            <w:tcBorders>
              <w:top w:val="single" w:sz="8" w:color="E8F0F8"/>
              <w:bottom w:val="single" w:sz="8" w:color="E8F0F8"/>
            </w:tcBorders>
            <w:shd w:val="clear" w:color="auto" w:fill="E8F0F8"/>
          </w:tcPr>
          <w:p>
            <w:pPr>
              <w:spacing w:after="0"/>
              <w:rPr>
                <w:sz w:val="15"/>
                <w:szCs w:val="15"/>
                <w:color w:val="auto"/>
              </w:rPr>
            </w:pPr>
          </w:p>
        </w:tc>
        <w:tc>
          <w:tcPr>
            <w:tcW w:w="140" w:type="dxa"/>
            <w:vAlign w:val="bottom"/>
            <w:tcBorders>
              <w:top w:val="single" w:sz="8" w:color="E8F0F8"/>
              <w:bottom w:val="single" w:sz="8" w:color="E8F0F8"/>
            </w:tcBorders>
            <w:shd w:val="clear" w:color="auto" w:fill="E8F0F8"/>
          </w:tcPr>
          <w:p>
            <w:pPr>
              <w:spacing w:after="0"/>
              <w:rPr>
                <w:sz w:val="15"/>
                <w:szCs w:val="15"/>
                <w:color w:val="auto"/>
              </w:rPr>
            </w:pPr>
          </w:p>
        </w:tc>
        <w:tc>
          <w:tcPr>
            <w:tcW w:w="1040" w:type="dxa"/>
            <w:vAlign w:val="bottom"/>
            <w:tcBorders>
              <w:top w:val="single" w:sz="8" w:color="E8F0F8"/>
              <w:bottom w:val="single" w:sz="8" w:color="E8F0F8"/>
            </w:tcBorders>
            <w:shd w:val="clear" w:color="auto" w:fill="E8F0F8"/>
          </w:tcPr>
          <w:p>
            <w:pPr>
              <w:spacing w:after="0"/>
              <w:rPr>
                <w:sz w:val="15"/>
                <w:szCs w:val="15"/>
                <w:color w:val="auto"/>
              </w:rPr>
            </w:pPr>
          </w:p>
        </w:tc>
        <w:tc>
          <w:tcPr>
            <w:tcW w:w="40" w:type="dxa"/>
            <w:vAlign w:val="bottom"/>
            <w:tcBorders>
              <w:top w:val="single" w:sz="8" w:color="E8F0F8"/>
              <w:bottom w:val="single" w:sz="8" w:color="E8F0F8"/>
            </w:tcBorders>
            <w:shd w:val="clear" w:color="auto" w:fill="E8F0F8"/>
          </w:tcPr>
          <w:p>
            <w:pPr>
              <w:spacing w:after="0"/>
              <w:rPr>
                <w:sz w:val="15"/>
                <w:szCs w:val="15"/>
                <w:color w:val="auto"/>
              </w:rPr>
            </w:pPr>
          </w:p>
        </w:tc>
        <w:tc>
          <w:tcPr>
            <w:tcW w:w="900" w:type="dxa"/>
            <w:vAlign w:val="bottom"/>
            <w:tcBorders>
              <w:top w:val="single" w:sz="8" w:color="0000EE"/>
              <w:bottom w:val="single" w:sz="8" w:color="E8F0F8"/>
            </w:tcBorders>
            <w:shd w:val="clear" w:color="auto" w:fill="E8F0F8"/>
          </w:tcPr>
          <w:p>
            <w:pPr>
              <w:spacing w:after="0"/>
              <w:rPr>
                <w:sz w:val="15"/>
                <w:szCs w:val="15"/>
                <w:color w:val="auto"/>
              </w:rPr>
            </w:pPr>
          </w:p>
        </w:tc>
        <w:tc>
          <w:tcPr>
            <w:tcW w:w="60" w:type="dxa"/>
            <w:vAlign w:val="bottom"/>
            <w:tcBorders>
              <w:top w:val="single" w:sz="8" w:color="0000EE"/>
              <w:bottom w:val="single" w:sz="8" w:color="E8F0F8"/>
            </w:tcBorders>
            <w:shd w:val="clear" w:color="auto" w:fill="E8F0F8"/>
          </w:tcPr>
          <w:p>
            <w:pPr>
              <w:spacing w:after="0"/>
              <w:rPr>
                <w:sz w:val="15"/>
                <w:szCs w:val="15"/>
                <w:color w:val="auto"/>
              </w:rPr>
            </w:pPr>
          </w:p>
        </w:tc>
        <w:tc>
          <w:tcPr>
            <w:tcW w:w="320" w:type="dxa"/>
            <w:vAlign w:val="bottom"/>
            <w:tcBorders>
              <w:top w:val="single" w:sz="8" w:color="E8F0F8"/>
              <w:bottom w:val="single" w:sz="8" w:color="E8F0F8"/>
            </w:tcBorders>
            <w:shd w:val="clear" w:color="auto" w:fill="E8F0F8"/>
          </w:tcPr>
          <w:p>
            <w:pPr>
              <w:spacing w:after="0"/>
              <w:rPr>
                <w:sz w:val="15"/>
                <w:szCs w:val="15"/>
                <w:color w:val="auto"/>
              </w:rPr>
            </w:pPr>
          </w:p>
        </w:tc>
        <w:tc>
          <w:tcPr>
            <w:tcW w:w="300" w:type="dxa"/>
            <w:vAlign w:val="bottom"/>
            <w:tcBorders>
              <w:top w:val="single" w:sz="8" w:color="E8F0F8"/>
              <w:bottom w:val="single" w:sz="8" w:color="E8F0F8"/>
            </w:tcBorders>
            <w:shd w:val="clear" w:color="auto" w:fill="E8F0F8"/>
          </w:tcPr>
          <w:p>
            <w:pPr>
              <w:spacing w:after="0"/>
              <w:rPr>
                <w:sz w:val="15"/>
                <w:szCs w:val="15"/>
                <w:color w:val="auto"/>
              </w:rPr>
            </w:pPr>
          </w:p>
        </w:tc>
        <w:tc>
          <w:tcPr>
            <w:tcW w:w="320" w:type="dxa"/>
            <w:vAlign w:val="bottom"/>
            <w:tcBorders>
              <w:top w:val="single" w:sz="8" w:color="E8F0F8"/>
              <w:bottom w:val="single" w:sz="8" w:color="E8F0F8"/>
            </w:tcBorders>
            <w:shd w:val="clear" w:color="auto" w:fill="E8F0F8"/>
          </w:tcPr>
          <w:p>
            <w:pPr>
              <w:spacing w:after="0"/>
              <w:rPr>
                <w:sz w:val="15"/>
                <w:szCs w:val="15"/>
                <w:color w:val="auto"/>
              </w:rPr>
            </w:pPr>
          </w:p>
        </w:tc>
        <w:tc>
          <w:tcPr>
            <w:tcW w:w="240" w:type="dxa"/>
            <w:vAlign w:val="bottom"/>
            <w:tcBorders>
              <w:top w:val="single" w:sz="8" w:color="E8F0F8"/>
              <w:bottom w:val="single" w:sz="8" w:color="E8F0F8"/>
            </w:tcBorders>
            <w:shd w:val="clear" w:color="auto" w:fill="E8F0F8"/>
          </w:tcPr>
          <w:p>
            <w:pPr>
              <w:spacing w:after="0"/>
              <w:rPr>
                <w:sz w:val="15"/>
                <w:szCs w:val="15"/>
                <w:color w:val="auto"/>
              </w:rPr>
            </w:pPr>
          </w:p>
        </w:tc>
        <w:tc>
          <w:tcPr>
            <w:tcW w:w="40" w:type="dxa"/>
            <w:vAlign w:val="bottom"/>
            <w:tcBorders>
              <w:top w:val="single" w:sz="8" w:color="E8F0F8"/>
              <w:bottom w:val="single" w:sz="8" w:color="E8F0F8"/>
            </w:tcBorders>
            <w:shd w:val="clear" w:color="auto" w:fill="E8F0F8"/>
          </w:tcPr>
          <w:p>
            <w:pPr>
              <w:spacing w:after="0"/>
              <w:rPr>
                <w:sz w:val="15"/>
                <w:szCs w:val="15"/>
                <w:color w:val="auto"/>
              </w:rPr>
            </w:pPr>
          </w:p>
        </w:tc>
        <w:tc>
          <w:tcPr>
            <w:tcW w:w="140" w:type="dxa"/>
            <w:vAlign w:val="bottom"/>
            <w:tcBorders>
              <w:top w:val="single" w:sz="8" w:color="E8F0F8"/>
              <w:bottom w:val="single" w:sz="8" w:color="E8F0F8"/>
            </w:tcBorders>
            <w:shd w:val="clear" w:color="auto" w:fill="E8F0F8"/>
          </w:tcPr>
          <w:p>
            <w:pPr>
              <w:spacing w:after="0"/>
              <w:rPr>
                <w:sz w:val="15"/>
                <w:szCs w:val="15"/>
                <w:color w:val="auto"/>
              </w:rPr>
            </w:pPr>
          </w:p>
        </w:tc>
        <w:tc>
          <w:tcPr>
            <w:tcW w:w="20" w:type="dxa"/>
            <w:vAlign w:val="bottom"/>
            <w:tcBorders>
              <w:top w:val="single" w:sz="8" w:color="E8F0F8"/>
              <w:bottom w:val="single" w:sz="8" w:color="E8F0F8"/>
            </w:tcBorders>
            <w:shd w:val="clear" w:color="auto" w:fill="E8F0F8"/>
          </w:tcPr>
          <w:p>
            <w:pPr>
              <w:spacing w:after="0"/>
              <w:rPr>
                <w:sz w:val="15"/>
                <w:szCs w:val="15"/>
                <w:color w:val="auto"/>
              </w:rPr>
            </w:pPr>
          </w:p>
        </w:tc>
        <w:tc>
          <w:tcPr>
            <w:tcW w:w="220" w:type="dxa"/>
            <w:vAlign w:val="bottom"/>
            <w:tcBorders>
              <w:top w:val="single" w:sz="8" w:color="E8F0F8"/>
              <w:bottom w:val="single" w:sz="8" w:color="E8F0F8"/>
            </w:tcBorders>
            <w:shd w:val="clear" w:color="auto" w:fill="E8F0F8"/>
          </w:tcPr>
          <w:p>
            <w:pPr>
              <w:spacing w:after="0"/>
              <w:rPr>
                <w:sz w:val="15"/>
                <w:szCs w:val="15"/>
                <w:color w:val="auto"/>
              </w:rPr>
            </w:pPr>
          </w:p>
        </w:tc>
        <w:tc>
          <w:tcPr>
            <w:tcW w:w="520" w:type="dxa"/>
            <w:vAlign w:val="bottom"/>
            <w:tcBorders>
              <w:top w:val="single" w:sz="8" w:color="E8F0F8"/>
              <w:bottom w:val="single" w:sz="8" w:color="E8F0F8"/>
            </w:tcBorders>
            <w:shd w:val="clear" w:color="auto" w:fill="E8F0F8"/>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4"/>
          </w:tcPr>
          <w:p>
            <w:pPr>
              <w:spacing w:after="0" w:line="175" w:lineRule="exact"/>
              <w:rPr>
                <w:sz w:val="20"/>
                <w:szCs w:val="20"/>
                <w:color w:val="auto"/>
              </w:rPr>
            </w:pPr>
            <w:r>
              <w:rPr>
                <w:rFonts w:ascii="Arial" w:cs="Arial" w:eastAsia="Arial" w:hAnsi="Arial"/>
                <w:sz w:val="16"/>
                <w:szCs w:val="16"/>
                <w:color w:val="0000EE"/>
                <w:w w:val="99"/>
              </w:rPr>
              <w:t>Audit and Other Fees</w:t>
            </w:r>
          </w:p>
        </w:tc>
        <w:tc>
          <w:tcPr>
            <w:tcW w:w="180" w:type="dxa"/>
            <w:vAlign w:val="bottom"/>
            <w:tcBorders>
              <w:top w:val="single" w:sz="8" w:color="0000EE"/>
            </w:tcBorders>
            <w:gridSpan w:val="5"/>
          </w:tcPr>
          <w:p>
            <w:pPr>
              <w:spacing w:after="0"/>
              <w:rPr>
                <w:sz w:val="15"/>
                <w:szCs w:val="15"/>
                <w:color w:val="auto"/>
              </w:rPr>
            </w:pPr>
          </w:p>
        </w:tc>
        <w:tc>
          <w:tcPr>
            <w:tcW w:w="4000" w:type="dxa"/>
            <w:vAlign w:val="bottom"/>
            <w:gridSpan w:val="13"/>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12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10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9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320" w:type="dxa"/>
            <w:vAlign w:val="bottom"/>
            <w:shd w:val="clear" w:color="auto" w:fill="E8F0F8"/>
          </w:tcPr>
          <w:p>
            <w:pPr>
              <w:spacing w:after="0"/>
              <w:rPr>
                <w:sz w:val="17"/>
                <w:szCs w:val="17"/>
                <w:color w:val="auto"/>
              </w:rPr>
            </w:pPr>
          </w:p>
        </w:tc>
        <w:tc>
          <w:tcPr>
            <w:tcW w:w="240" w:type="dxa"/>
            <w:vAlign w:val="bottom"/>
            <w:shd w:val="clear" w:color="auto" w:fill="E8F0F8"/>
          </w:tcPr>
          <w:p>
            <w:pPr>
              <w:spacing w:after="0"/>
              <w:rPr>
                <w:sz w:val="17"/>
                <w:szCs w:val="17"/>
                <w:color w:val="auto"/>
              </w:rPr>
            </w:pPr>
          </w:p>
        </w:tc>
        <w:tc>
          <w:tcPr>
            <w:tcW w:w="40" w:type="dxa"/>
            <w:vAlign w:val="bottom"/>
            <w:shd w:val="clear" w:color="auto" w:fill="E8F0F8"/>
          </w:tcPr>
          <w:p>
            <w:pPr>
              <w:spacing w:after="0"/>
              <w:rPr>
                <w:sz w:val="17"/>
                <w:szCs w:val="17"/>
                <w:color w:val="auto"/>
              </w:rPr>
            </w:pPr>
          </w:p>
        </w:tc>
        <w:tc>
          <w:tcPr>
            <w:tcW w:w="140" w:type="dxa"/>
            <w:vAlign w:val="bottom"/>
            <w:shd w:val="clear" w:color="auto" w:fill="E8F0F8"/>
          </w:tcPr>
          <w:p>
            <w:pPr>
              <w:spacing w:after="0"/>
              <w:rPr>
                <w:sz w:val="17"/>
                <w:szCs w:val="17"/>
                <w:color w:val="auto"/>
              </w:rPr>
            </w:pPr>
          </w:p>
        </w:tc>
        <w:tc>
          <w:tcPr>
            <w:tcW w:w="20" w:type="dxa"/>
            <w:vAlign w:val="bottom"/>
            <w:shd w:val="clear" w:color="auto" w:fill="E8F0F8"/>
          </w:tcPr>
          <w:p>
            <w:pPr>
              <w:spacing w:after="0"/>
              <w:rPr>
                <w:sz w:val="17"/>
                <w:szCs w:val="17"/>
                <w:color w:val="auto"/>
              </w:rPr>
            </w:pPr>
          </w:p>
        </w:tc>
        <w:tc>
          <w:tcPr>
            <w:tcW w:w="220" w:type="dxa"/>
            <w:vAlign w:val="bottom"/>
            <w:shd w:val="clear" w:color="auto" w:fill="E8F0F8"/>
          </w:tcPr>
          <w:p>
            <w:pPr>
              <w:spacing w:after="0"/>
              <w:rPr>
                <w:sz w:val="17"/>
                <w:szCs w:val="17"/>
                <w:color w:val="auto"/>
              </w:rPr>
            </w:pPr>
          </w:p>
        </w:tc>
        <w:tc>
          <w:tcPr>
            <w:tcW w:w="520" w:type="dxa"/>
            <w:vAlign w:val="bottom"/>
            <w:shd w:val="clear" w:color="auto" w:fill="E8F0F8"/>
          </w:tcPr>
          <w:p>
            <w:pPr>
              <w:spacing w:after="0"/>
              <w:rPr>
                <w:sz w:val="17"/>
                <w:szCs w:val="17"/>
                <w:color w:val="auto"/>
              </w:rPr>
            </w:pPr>
          </w:p>
        </w:tc>
        <w:tc>
          <w:tcPr>
            <w:tcW w:w="280" w:type="dxa"/>
            <w:vAlign w:val="bottom"/>
          </w:tcPr>
          <w:p>
            <w:pPr>
              <w:spacing w:after="0"/>
              <w:rPr>
                <w:sz w:val="17"/>
                <w:szCs w:val="17"/>
                <w:color w:val="auto"/>
              </w:rPr>
            </w:pPr>
          </w:p>
        </w:tc>
        <w:tc>
          <w:tcPr>
            <w:tcW w:w="5720" w:type="dxa"/>
            <w:vAlign w:val="bottom"/>
            <w:gridSpan w:val="22"/>
          </w:tcPr>
          <w:p>
            <w:pPr>
              <w:spacing w:after="0"/>
              <w:rPr>
                <w:sz w:val="20"/>
                <w:szCs w:val="20"/>
                <w:color w:val="auto"/>
              </w:rPr>
            </w:pPr>
            <w:r>
              <w:rPr>
                <w:rFonts w:ascii="Arial" w:cs="Arial" w:eastAsia="Arial" w:hAnsi="Arial"/>
                <w:sz w:val="16"/>
                <w:szCs w:val="16"/>
                <w:color w:val="0000EE"/>
              </w:rPr>
              <w:t>Policy on Pre-Approval of Audit and Non-Audit Services</w:t>
            </w: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709"/>
        </w:trPr>
        <w:tc>
          <w:tcPr>
            <w:tcW w:w="120" w:type="dxa"/>
            <w:vAlign w:val="bottom"/>
            <w:tcBorders>
              <w:top w:val="single" w:sz="8" w:color="E8F0F8"/>
              <w:bottom w:val="single" w:sz="8" w:color="auto"/>
            </w:tcBorders>
            <w:shd w:val="clear" w:color="auto" w:fill="E8F0F8"/>
          </w:tcPr>
          <w:p>
            <w:pPr>
              <w:spacing w:after="0"/>
              <w:rPr>
                <w:sz w:val="24"/>
                <w:szCs w:val="24"/>
                <w:color w:val="auto"/>
              </w:rPr>
            </w:pPr>
          </w:p>
        </w:tc>
        <w:tc>
          <w:tcPr>
            <w:tcW w:w="140" w:type="dxa"/>
            <w:vAlign w:val="bottom"/>
            <w:tcBorders>
              <w:top w:val="single" w:sz="8" w:color="E8F0F8"/>
              <w:bottom w:val="single" w:sz="8" w:color="auto"/>
            </w:tcBorders>
            <w:shd w:val="clear" w:color="auto" w:fill="E8F0F8"/>
          </w:tcPr>
          <w:p>
            <w:pPr>
              <w:spacing w:after="0"/>
              <w:rPr>
                <w:sz w:val="24"/>
                <w:szCs w:val="24"/>
                <w:color w:val="auto"/>
              </w:rPr>
            </w:pPr>
          </w:p>
        </w:tc>
        <w:tc>
          <w:tcPr>
            <w:tcW w:w="1040" w:type="dxa"/>
            <w:vAlign w:val="bottom"/>
            <w:tcBorders>
              <w:top w:val="single" w:sz="8" w:color="E8F0F8"/>
              <w:bottom w:val="single" w:sz="8" w:color="auto"/>
            </w:tcBorders>
            <w:shd w:val="clear" w:color="auto" w:fill="E8F0F8"/>
          </w:tcPr>
          <w:p>
            <w:pPr>
              <w:spacing w:after="0"/>
              <w:rPr>
                <w:sz w:val="24"/>
                <w:szCs w:val="24"/>
                <w:color w:val="auto"/>
              </w:rPr>
            </w:pPr>
          </w:p>
        </w:tc>
        <w:tc>
          <w:tcPr>
            <w:tcW w:w="40" w:type="dxa"/>
            <w:vAlign w:val="bottom"/>
            <w:tcBorders>
              <w:top w:val="single" w:sz="8" w:color="E8F0F8"/>
              <w:bottom w:val="single" w:sz="8" w:color="auto"/>
            </w:tcBorders>
            <w:shd w:val="clear" w:color="auto" w:fill="E8F0F8"/>
          </w:tcPr>
          <w:p>
            <w:pPr>
              <w:spacing w:after="0"/>
              <w:rPr>
                <w:sz w:val="24"/>
                <w:szCs w:val="24"/>
                <w:color w:val="auto"/>
              </w:rPr>
            </w:pPr>
          </w:p>
        </w:tc>
        <w:tc>
          <w:tcPr>
            <w:tcW w:w="900" w:type="dxa"/>
            <w:vAlign w:val="bottom"/>
            <w:tcBorders>
              <w:top w:val="single" w:sz="8" w:color="E8F0F8"/>
              <w:bottom w:val="single" w:sz="8" w:color="auto"/>
            </w:tcBorders>
            <w:shd w:val="clear" w:color="auto" w:fill="E8F0F8"/>
          </w:tcPr>
          <w:p>
            <w:pPr>
              <w:spacing w:after="0"/>
              <w:rPr>
                <w:sz w:val="24"/>
                <w:szCs w:val="24"/>
                <w:color w:val="auto"/>
              </w:rPr>
            </w:pPr>
          </w:p>
        </w:tc>
        <w:tc>
          <w:tcPr>
            <w:tcW w:w="60" w:type="dxa"/>
            <w:vAlign w:val="bottom"/>
            <w:tcBorders>
              <w:top w:val="single" w:sz="8" w:color="E8F0F8"/>
              <w:bottom w:val="single" w:sz="8" w:color="auto"/>
            </w:tcBorders>
            <w:shd w:val="clear" w:color="auto" w:fill="E8F0F8"/>
          </w:tcPr>
          <w:p>
            <w:pPr>
              <w:spacing w:after="0"/>
              <w:rPr>
                <w:sz w:val="24"/>
                <w:szCs w:val="24"/>
                <w:color w:val="auto"/>
              </w:rPr>
            </w:pPr>
          </w:p>
        </w:tc>
        <w:tc>
          <w:tcPr>
            <w:tcW w:w="320" w:type="dxa"/>
            <w:vAlign w:val="bottom"/>
            <w:tcBorders>
              <w:top w:val="single" w:sz="8" w:color="E8F0F8"/>
              <w:bottom w:val="single" w:sz="8" w:color="auto"/>
            </w:tcBorders>
            <w:shd w:val="clear" w:color="auto" w:fill="E8F0F8"/>
          </w:tcPr>
          <w:p>
            <w:pPr>
              <w:spacing w:after="0"/>
              <w:rPr>
                <w:sz w:val="24"/>
                <w:szCs w:val="24"/>
                <w:color w:val="auto"/>
              </w:rPr>
            </w:pPr>
          </w:p>
        </w:tc>
        <w:tc>
          <w:tcPr>
            <w:tcW w:w="300" w:type="dxa"/>
            <w:vAlign w:val="bottom"/>
            <w:tcBorders>
              <w:top w:val="single" w:sz="8" w:color="E8F0F8"/>
              <w:bottom w:val="single" w:sz="8" w:color="auto"/>
            </w:tcBorders>
            <w:shd w:val="clear" w:color="auto" w:fill="E8F0F8"/>
          </w:tcPr>
          <w:p>
            <w:pPr>
              <w:spacing w:after="0"/>
              <w:rPr>
                <w:sz w:val="24"/>
                <w:szCs w:val="24"/>
                <w:color w:val="auto"/>
              </w:rPr>
            </w:pPr>
          </w:p>
        </w:tc>
        <w:tc>
          <w:tcPr>
            <w:tcW w:w="320" w:type="dxa"/>
            <w:vAlign w:val="bottom"/>
            <w:tcBorders>
              <w:top w:val="single" w:sz="8" w:color="E8F0F8"/>
              <w:bottom w:val="single" w:sz="8" w:color="auto"/>
            </w:tcBorders>
            <w:shd w:val="clear" w:color="auto" w:fill="E8F0F8"/>
          </w:tcPr>
          <w:p>
            <w:pPr>
              <w:spacing w:after="0"/>
              <w:rPr>
                <w:sz w:val="24"/>
                <w:szCs w:val="24"/>
                <w:color w:val="auto"/>
              </w:rPr>
            </w:pPr>
          </w:p>
        </w:tc>
        <w:tc>
          <w:tcPr>
            <w:tcW w:w="240" w:type="dxa"/>
            <w:vAlign w:val="bottom"/>
            <w:tcBorders>
              <w:top w:val="single" w:sz="8" w:color="E8F0F8"/>
              <w:bottom w:val="single" w:sz="8" w:color="auto"/>
            </w:tcBorders>
            <w:shd w:val="clear" w:color="auto" w:fill="E8F0F8"/>
          </w:tcPr>
          <w:p>
            <w:pPr>
              <w:spacing w:after="0"/>
              <w:rPr>
                <w:sz w:val="24"/>
                <w:szCs w:val="24"/>
                <w:color w:val="auto"/>
              </w:rPr>
            </w:pPr>
          </w:p>
        </w:tc>
        <w:tc>
          <w:tcPr>
            <w:tcW w:w="40" w:type="dxa"/>
            <w:vAlign w:val="bottom"/>
            <w:tcBorders>
              <w:top w:val="single" w:sz="8" w:color="E8F0F8"/>
              <w:bottom w:val="single" w:sz="8" w:color="auto"/>
            </w:tcBorders>
            <w:shd w:val="clear" w:color="auto" w:fill="E8F0F8"/>
          </w:tcPr>
          <w:p>
            <w:pPr>
              <w:spacing w:after="0"/>
              <w:rPr>
                <w:sz w:val="24"/>
                <w:szCs w:val="24"/>
                <w:color w:val="auto"/>
              </w:rPr>
            </w:pPr>
          </w:p>
        </w:tc>
        <w:tc>
          <w:tcPr>
            <w:tcW w:w="140" w:type="dxa"/>
            <w:vAlign w:val="bottom"/>
            <w:tcBorders>
              <w:top w:val="single" w:sz="8" w:color="E8F0F8"/>
              <w:bottom w:val="single" w:sz="8" w:color="auto"/>
            </w:tcBorders>
            <w:shd w:val="clear" w:color="auto" w:fill="E8F0F8"/>
          </w:tcPr>
          <w:p>
            <w:pPr>
              <w:spacing w:after="0"/>
              <w:rPr>
                <w:sz w:val="24"/>
                <w:szCs w:val="24"/>
                <w:color w:val="auto"/>
              </w:rPr>
            </w:pPr>
          </w:p>
        </w:tc>
        <w:tc>
          <w:tcPr>
            <w:tcW w:w="20" w:type="dxa"/>
            <w:vAlign w:val="bottom"/>
            <w:tcBorders>
              <w:top w:val="single" w:sz="8" w:color="E8F0F8"/>
              <w:bottom w:val="single" w:sz="8" w:color="auto"/>
            </w:tcBorders>
            <w:shd w:val="clear" w:color="auto" w:fill="E8F0F8"/>
          </w:tcPr>
          <w:p>
            <w:pPr>
              <w:spacing w:after="0"/>
              <w:rPr>
                <w:sz w:val="24"/>
                <w:szCs w:val="24"/>
                <w:color w:val="auto"/>
              </w:rPr>
            </w:pPr>
          </w:p>
        </w:tc>
        <w:tc>
          <w:tcPr>
            <w:tcW w:w="220" w:type="dxa"/>
            <w:vAlign w:val="bottom"/>
            <w:tcBorders>
              <w:top w:val="single" w:sz="8" w:color="E8F0F8"/>
              <w:bottom w:val="single" w:sz="8" w:color="auto"/>
            </w:tcBorders>
            <w:shd w:val="clear" w:color="auto" w:fill="E8F0F8"/>
          </w:tcPr>
          <w:p>
            <w:pPr>
              <w:spacing w:after="0"/>
              <w:rPr>
                <w:sz w:val="24"/>
                <w:szCs w:val="24"/>
                <w:color w:val="auto"/>
              </w:rPr>
            </w:pPr>
          </w:p>
        </w:tc>
        <w:tc>
          <w:tcPr>
            <w:tcW w:w="520" w:type="dxa"/>
            <w:vAlign w:val="bottom"/>
            <w:tcBorders>
              <w:top w:val="single" w:sz="8" w:color="E8F0F8"/>
              <w:bottom w:val="single" w:sz="8" w:color="auto"/>
            </w:tcBorders>
            <w:shd w:val="clear" w:color="auto" w:fill="E8F0F8"/>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1A6DBB"/>
          </w:tcPr>
          <w:p>
            <w:pPr>
              <w:spacing w:after="0"/>
              <w:rPr>
                <w:sz w:val="5"/>
                <w:szCs w:val="5"/>
                <w:color w:val="auto"/>
              </w:rPr>
            </w:pPr>
          </w:p>
        </w:tc>
        <w:tc>
          <w:tcPr>
            <w:tcW w:w="140" w:type="dxa"/>
            <w:vAlign w:val="bottom"/>
            <w:shd w:val="clear" w:color="auto" w:fill="1A6DBB"/>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4325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1968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2"/>
          <w:szCs w:val="12"/>
          <w:color w:val="1A6DBB"/>
        </w:rPr>
        <w:t>-i-</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Table of Contents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280" w:type="dxa"/>
            <w:vAlign w:val="bottom"/>
            <w:tcBorders>
              <w:top w:val="single" w:sz="8" w:color="1A6DBB"/>
              <w:bottom w:val="single" w:sz="8" w:color="1A6DBB"/>
            </w:tcBorders>
            <w:gridSpan w:val="2"/>
            <w:vMerge w:val="restart"/>
            <w:shd w:val="clear" w:color="auto" w:fill="E8F0F8"/>
          </w:tcPr>
          <w:p>
            <w:pPr>
              <w:jc w:val="right"/>
              <w:ind w:right="240"/>
              <w:spacing w:after="0" w:line="1484" w:lineRule="exact"/>
              <w:rPr>
                <w:sz w:val="20"/>
                <w:szCs w:val="20"/>
                <w:color w:val="auto"/>
              </w:rPr>
            </w:pPr>
            <w:r>
              <w:rPr>
                <w:rFonts w:ascii="Arial" w:cs="Arial" w:eastAsia="Arial" w:hAnsi="Arial"/>
                <w:sz w:val="144"/>
                <w:szCs w:val="144"/>
                <w:color w:val="1A6DBB"/>
              </w:rPr>
              <w:t>6</w:t>
            </w:r>
          </w:p>
        </w:tc>
        <w:tc>
          <w:tcPr>
            <w:tcW w:w="60" w:type="dxa"/>
            <w:vAlign w:val="bottom"/>
            <w:tcBorders>
              <w:top w:val="single" w:sz="8" w:color="1A6DBB"/>
              <w:bottom w:val="single" w:sz="8" w:color="E8F0F8"/>
            </w:tcBorders>
            <w:shd w:val="clear" w:color="auto" w:fill="E8F0F8"/>
          </w:tcPr>
          <w:p>
            <w:pPr>
              <w:spacing w:after="0"/>
              <w:rPr>
                <w:sz w:val="16"/>
                <w:szCs w:val="16"/>
                <w:color w:val="auto"/>
              </w:rPr>
            </w:pPr>
          </w:p>
        </w:tc>
        <w:tc>
          <w:tcPr>
            <w:tcW w:w="3080" w:type="dxa"/>
            <w:vAlign w:val="bottom"/>
            <w:tcBorders>
              <w:top w:val="single" w:sz="8" w:color="1A6DBB"/>
              <w:bottom w:val="single" w:sz="8" w:color="E8F0F8"/>
            </w:tcBorders>
            <w:gridSpan w:val="4"/>
            <w:shd w:val="clear" w:color="auto" w:fill="E8F0F8"/>
          </w:tcPr>
          <w:p>
            <w:pPr>
              <w:spacing w:after="0" w:line="182" w:lineRule="exact"/>
              <w:rPr>
                <w:sz w:val="20"/>
                <w:szCs w:val="20"/>
                <w:color w:val="auto"/>
              </w:rPr>
            </w:pPr>
            <w:r>
              <w:rPr>
                <w:rFonts w:ascii="Arial" w:cs="Arial" w:eastAsia="Arial" w:hAnsi="Arial"/>
                <w:sz w:val="21"/>
                <w:szCs w:val="21"/>
                <w:color w:val="0000EE"/>
              </w:rPr>
              <w:t>Executive</w:t>
            </w:r>
          </w:p>
        </w:tc>
        <w:tc>
          <w:tcPr>
            <w:tcW w:w="260" w:type="dxa"/>
            <w:vAlign w:val="bottom"/>
            <w:tcBorders>
              <w:top w:val="single" w:sz="8" w:color="1A6DBB"/>
            </w:tcBorders>
          </w:tcPr>
          <w:p>
            <w:pPr>
              <w:spacing w:after="0"/>
              <w:rPr>
                <w:sz w:val="16"/>
                <w:szCs w:val="16"/>
                <w:color w:val="auto"/>
              </w:rPr>
            </w:pPr>
          </w:p>
        </w:tc>
        <w:tc>
          <w:tcPr>
            <w:tcW w:w="4020" w:type="dxa"/>
            <w:vAlign w:val="bottom"/>
            <w:tcBorders>
              <w:top w:val="single" w:sz="8" w:color="1A6DBB"/>
              <w:bottom w:val="single" w:sz="8" w:color="0000EE"/>
            </w:tcBorders>
            <w:gridSpan w:val="33"/>
          </w:tcPr>
          <w:p>
            <w:pPr>
              <w:spacing w:after="0"/>
              <w:rPr>
                <w:sz w:val="20"/>
                <w:szCs w:val="20"/>
                <w:color w:val="auto"/>
              </w:rPr>
            </w:pPr>
            <w:r>
              <w:rPr>
                <w:rFonts w:ascii="Arial" w:cs="Arial" w:eastAsia="Arial" w:hAnsi="Arial"/>
                <w:sz w:val="16"/>
                <w:szCs w:val="16"/>
                <w:color w:val="0000EE"/>
              </w:rPr>
              <w:t>Proposal 3 – Advisory Vote on Executive Compensation</w:t>
            </w:r>
          </w:p>
        </w:tc>
        <w:tc>
          <w:tcPr>
            <w:tcW w:w="1720" w:type="dxa"/>
            <w:vAlign w:val="bottom"/>
            <w:tcBorders>
              <w:top w:val="single" w:sz="8" w:color="1A6DBB"/>
            </w:tcBorders>
            <w:gridSpan w:val="4"/>
          </w:tcPr>
          <w:p>
            <w:pPr>
              <w:spacing w:after="0"/>
              <w:rPr>
                <w:sz w:val="16"/>
                <w:szCs w:val="16"/>
                <w:color w:val="auto"/>
              </w:rPr>
            </w:pPr>
          </w:p>
        </w:tc>
        <w:tc>
          <w:tcPr>
            <w:tcW w:w="600" w:type="dxa"/>
            <w:vAlign w:val="bottom"/>
            <w:tcBorders>
              <w:top w:val="single" w:sz="8" w:color="1A6DBB"/>
            </w:tcBorders>
          </w:tcPr>
          <w:p>
            <w:pPr>
              <w:jc w:val="right"/>
              <w:spacing w:after="0"/>
              <w:rPr>
                <w:sz w:val="20"/>
                <w:szCs w:val="20"/>
                <w:color w:val="auto"/>
              </w:rPr>
            </w:pPr>
            <w:r>
              <w:rPr>
                <w:rFonts w:ascii="Arial" w:cs="Arial" w:eastAsia="Arial" w:hAnsi="Arial"/>
                <w:sz w:val="16"/>
                <w:szCs w:val="16"/>
                <w:color w:val="1A6DBB"/>
              </w:rPr>
              <w:t>31</w:t>
            </w:r>
          </w:p>
        </w:tc>
        <w:tc>
          <w:tcPr>
            <w:tcW w:w="0" w:type="dxa"/>
            <w:vAlign w:val="bottom"/>
          </w:tcPr>
          <w:p>
            <w:pPr>
              <w:spacing w:after="0"/>
              <w:rPr>
                <w:sz w:val="1"/>
                <w:szCs w:val="1"/>
                <w:color w:val="auto"/>
              </w:rPr>
            </w:pPr>
          </w:p>
        </w:tc>
      </w:tr>
      <w:tr>
        <w:trPr>
          <w:trHeight w:val="95"/>
        </w:trPr>
        <w:tc>
          <w:tcPr>
            <w:tcW w:w="1280" w:type="dxa"/>
            <w:vAlign w:val="bottom"/>
            <w:tcBorders>
              <w:bottom w:val="single" w:sz="8" w:color="1A6DBB"/>
            </w:tcBorders>
            <w:gridSpan w:val="2"/>
            <w:vMerge w:val="continue"/>
            <w:shd w:val="clear" w:color="auto" w:fill="E8F0F8"/>
          </w:tcPr>
          <w:p>
            <w:pPr>
              <w:spacing w:after="0"/>
              <w:rPr>
                <w:sz w:val="8"/>
                <w:szCs w:val="8"/>
                <w:color w:val="auto"/>
              </w:rPr>
            </w:pPr>
          </w:p>
        </w:tc>
        <w:tc>
          <w:tcPr>
            <w:tcW w:w="60" w:type="dxa"/>
            <w:vAlign w:val="bottom"/>
            <w:tcBorders>
              <w:bottom w:val="single" w:sz="8" w:color="E8F0F8"/>
            </w:tcBorders>
            <w:shd w:val="clear" w:color="auto" w:fill="E8F0F8"/>
          </w:tcPr>
          <w:p>
            <w:pPr>
              <w:spacing w:after="0"/>
              <w:rPr>
                <w:sz w:val="8"/>
                <w:szCs w:val="8"/>
                <w:color w:val="auto"/>
              </w:rPr>
            </w:pPr>
          </w:p>
        </w:tc>
        <w:tc>
          <w:tcPr>
            <w:tcW w:w="1240" w:type="dxa"/>
            <w:vAlign w:val="bottom"/>
            <w:tcBorders>
              <w:bottom w:val="single" w:sz="8" w:color="0000EE"/>
            </w:tcBorders>
            <w:shd w:val="clear" w:color="auto" w:fill="E8F0F8"/>
          </w:tcPr>
          <w:p>
            <w:pPr>
              <w:spacing w:after="0"/>
              <w:rPr>
                <w:sz w:val="8"/>
                <w:szCs w:val="8"/>
                <w:color w:val="auto"/>
              </w:rPr>
            </w:pPr>
          </w:p>
        </w:tc>
        <w:tc>
          <w:tcPr>
            <w:tcW w:w="1540" w:type="dxa"/>
            <w:vAlign w:val="bottom"/>
            <w:tcBorders>
              <w:bottom w:val="single" w:sz="8" w:color="E8F0F8"/>
            </w:tcBorders>
            <w:shd w:val="clear" w:color="auto" w:fill="E8F0F8"/>
          </w:tcPr>
          <w:p>
            <w:pPr>
              <w:spacing w:after="0"/>
              <w:rPr>
                <w:sz w:val="8"/>
                <w:szCs w:val="8"/>
                <w:color w:val="auto"/>
              </w:rPr>
            </w:pPr>
          </w:p>
        </w:tc>
        <w:tc>
          <w:tcPr>
            <w:tcW w:w="100" w:type="dxa"/>
            <w:vAlign w:val="bottom"/>
            <w:tcBorders>
              <w:bottom w:val="single" w:sz="8" w:color="E8F0F8"/>
            </w:tcBorders>
            <w:shd w:val="clear" w:color="auto" w:fill="E8F0F8"/>
          </w:tcPr>
          <w:p>
            <w:pPr>
              <w:spacing w:after="0"/>
              <w:rPr>
                <w:sz w:val="8"/>
                <w:szCs w:val="8"/>
                <w:color w:val="auto"/>
              </w:rPr>
            </w:pPr>
          </w:p>
        </w:tc>
        <w:tc>
          <w:tcPr>
            <w:tcW w:w="200" w:type="dxa"/>
            <w:vAlign w:val="bottom"/>
            <w:tcBorders>
              <w:bottom w:val="single" w:sz="8" w:color="E8F0F8"/>
            </w:tcBorders>
            <w:shd w:val="clear" w:color="auto" w:fill="E8F0F8"/>
          </w:tcPr>
          <w:p>
            <w:pPr>
              <w:spacing w:after="0"/>
              <w:rPr>
                <w:sz w:val="8"/>
                <w:szCs w:val="8"/>
                <w:color w:val="auto"/>
              </w:rPr>
            </w:pPr>
          </w:p>
        </w:tc>
        <w:tc>
          <w:tcPr>
            <w:tcW w:w="260" w:type="dxa"/>
            <w:vAlign w:val="bottom"/>
            <w:vMerge w:val="restart"/>
          </w:tcPr>
          <w:p>
            <w:pPr>
              <w:spacing w:after="0"/>
              <w:rPr>
                <w:sz w:val="8"/>
                <w:szCs w:val="8"/>
                <w:color w:val="auto"/>
              </w:rPr>
            </w:pPr>
          </w:p>
        </w:tc>
        <w:tc>
          <w:tcPr>
            <w:tcW w:w="2840" w:type="dxa"/>
            <w:vAlign w:val="bottom"/>
            <w:gridSpan w:val="21"/>
            <w:vMerge w:val="restart"/>
          </w:tcPr>
          <w:p>
            <w:pPr>
              <w:spacing w:after="0"/>
              <w:rPr>
                <w:sz w:val="20"/>
                <w:szCs w:val="20"/>
                <w:color w:val="auto"/>
              </w:rPr>
            </w:pPr>
            <w:r>
              <w:rPr>
                <w:rFonts w:ascii="Arial" w:cs="Arial" w:eastAsia="Arial" w:hAnsi="Arial"/>
                <w:sz w:val="16"/>
                <w:szCs w:val="16"/>
                <w:color w:val="0000EE"/>
              </w:rPr>
              <w:t>Compensation Discussion and Analysis</w:t>
            </w:r>
          </w:p>
        </w:tc>
        <w:tc>
          <w:tcPr>
            <w:tcW w:w="2900" w:type="dxa"/>
            <w:vAlign w:val="bottom"/>
            <w:gridSpan w:val="16"/>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81"/>
        </w:trPr>
        <w:tc>
          <w:tcPr>
            <w:tcW w:w="1280" w:type="dxa"/>
            <w:vAlign w:val="bottom"/>
            <w:tcBorders>
              <w:bottom w:val="single" w:sz="8" w:color="1A6DBB"/>
            </w:tcBorders>
            <w:gridSpan w:val="2"/>
            <w:vMerge w:val="continue"/>
            <w:shd w:val="clear" w:color="auto" w:fill="E8F0F8"/>
          </w:tcPr>
          <w:p>
            <w:pPr>
              <w:spacing w:after="0"/>
              <w:rPr>
                <w:sz w:val="7"/>
                <w:szCs w:val="7"/>
                <w:color w:val="auto"/>
              </w:rPr>
            </w:pPr>
          </w:p>
        </w:tc>
        <w:tc>
          <w:tcPr>
            <w:tcW w:w="60" w:type="dxa"/>
            <w:vAlign w:val="bottom"/>
            <w:tcBorders>
              <w:bottom w:val="single" w:sz="8" w:color="E8F0F8"/>
            </w:tcBorders>
            <w:shd w:val="clear" w:color="auto" w:fill="E8F0F8"/>
          </w:tcPr>
          <w:p>
            <w:pPr>
              <w:spacing w:after="0"/>
              <w:rPr>
                <w:sz w:val="7"/>
                <w:szCs w:val="7"/>
                <w:color w:val="auto"/>
              </w:rPr>
            </w:pPr>
          </w:p>
        </w:tc>
        <w:tc>
          <w:tcPr>
            <w:tcW w:w="3080" w:type="dxa"/>
            <w:vAlign w:val="bottom"/>
            <w:tcBorders>
              <w:bottom w:val="single" w:sz="8" w:color="E8F0F8"/>
            </w:tcBorders>
            <w:gridSpan w:val="4"/>
            <w:vMerge w:val="restart"/>
            <w:shd w:val="clear" w:color="auto" w:fill="E8F0F8"/>
          </w:tcPr>
          <w:p>
            <w:pPr>
              <w:spacing w:after="0" w:line="296" w:lineRule="exact"/>
              <w:rPr>
                <w:sz w:val="20"/>
                <w:szCs w:val="20"/>
                <w:color w:val="auto"/>
              </w:rPr>
            </w:pPr>
            <w:r>
              <w:rPr>
                <w:rFonts w:ascii="Arial" w:cs="Arial" w:eastAsia="Arial" w:hAnsi="Arial"/>
                <w:sz w:val="29"/>
                <w:szCs w:val="29"/>
                <w:color w:val="0000EE"/>
              </w:rPr>
              <w:t>Compensation Matters</w:t>
            </w:r>
          </w:p>
        </w:tc>
        <w:tc>
          <w:tcPr>
            <w:tcW w:w="260" w:type="dxa"/>
            <w:vAlign w:val="bottom"/>
            <w:vMerge w:val="continue"/>
          </w:tcPr>
          <w:p>
            <w:pPr>
              <w:spacing w:after="0"/>
              <w:rPr>
                <w:sz w:val="7"/>
                <w:szCs w:val="7"/>
                <w:color w:val="auto"/>
              </w:rPr>
            </w:pPr>
          </w:p>
        </w:tc>
        <w:tc>
          <w:tcPr>
            <w:tcW w:w="2840" w:type="dxa"/>
            <w:vAlign w:val="bottom"/>
            <w:tcBorders>
              <w:bottom w:val="single" w:sz="8" w:color="0000EE"/>
            </w:tcBorders>
            <w:gridSpan w:val="21"/>
            <w:vMerge w:val="continue"/>
          </w:tcPr>
          <w:p>
            <w:pPr>
              <w:spacing w:after="0"/>
              <w:rPr>
                <w:sz w:val="7"/>
                <w:szCs w:val="7"/>
                <w:color w:val="auto"/>
              </w:rPr>
            </w:pPr>
          </w:p>
        </w:tc>
        <w:tc>
          <w:tcPr>
            <w:tcW w:w="2900" w:type="dxa"/>
            <w:vAlign w:val="bottom"/>
            <w:gridSpan w:val="16"/>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80" w:type="dxa"/>
            <w:vAlign w:val="bottom"/>
            <w:gridSpan w:val="2"/>
            <w:vMerge w:val="continue"/>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3080" w:type="dxa"/>
            <w:vAlign w:val="bottom"/>
            <w:gridSpan w:val="4"/>
            <w:vMerge w:val="continue"/>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Executive Summary</w:t>
            </w: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1280" w:type="dxa"/>
            <w:vAlign w:val="bottom"/>
            <w:tcBorders>
              <w:bottom w:val="single" w:sz="8" w:color="1A6DBB"/>
            </w:tcBorders>
            <w:gridSpan w:val="2"/>
            <w:vMerge w:val="continue"/>
            <w:shd w:val="clear" w:color="auto" w:fill="E8F0F8"/>
          </w:tcPr>
          <w:p>
            <w:pPr>
              <w:spacing w:after="0" w:line="20" w:lineRule="exact"/>
              <w:rPr>
                <w:sz w:val="1"/>
                <w:szCs w:val="1"/>
                <w:color w:val="auto"/>
              </w:rPr>
            </w:pPr>
          </w:p>
        </w:tc>
        <w:tc>
          <w:tcPr>
            <w:tcW w:w="60" w:type="dxa"/>
            <w:vAlign w:val="bottom"/>
            <w:tcBorders>
              <w:bottom w:val="single" w:sz="8" w:color="E8F0F8"/>
            </w:tcBorders>
            <w:shd w:val="clear" w:color="auto" w:fill="E8F0F8"/>
          </w:tcPr>
          <w:p>
            <w:pPr>
              <w:spacing w:after="0" w:line="20" w:lineRule="exact"/>
              <w:rPr>
                <w:sz w:val="1"/>
                <w:szCs w:val="1"/>
                <w:color w:val="auto"/>
              </w:rPr>
            </w:pPr>
          </w:p>
        </w:tc>
        <w:tc>
          <w:tcPr>
            <w:tcW w:w="1240" w:type="dxa"/>
            <w:vAlign w:val="bottom"/>
            <w:tcBorders>
              <w:bottom w:val="single" w:sz="8" w:color="0000EE"/>
            </w:tcBorders>
            <w:shd w:val="clear" w:color="auto" w:fill="E8F0F8"/>
          </w:tcPr>
          <w:p>
            <w:pPr>
              <w:spacing w:after="0" w:line="20" w:lineRule="exact"/>
              <w:rPr>
                <w:sz w:val="1"/>
                <w:szCs w:val="1"/>
                <w:color w:val="auto"/>
              </w:rPr>
            </w:pPr>
          </w:p>
        </w:tc>
        <w:tc>
          <w:tcPr>
            <w:tcW w:w="1540" w:type="dxa"/>
            <w:vAlign w:val="bottom"/>
            <w:tcBorders>
              <w:bottom w:val="single" w:sz="8" w:color="0000EE"/>
            </w:tcBorders>
            <w:shd w:val="clear" w:color="auto" w:fill="E8F0F8"/>
          </w:tcPr>
          <w:p>
            <w:pPr>
              <w:spacing w:after="0" w:line="20" w:lineRule="exact"/>
              <w:rPr>
                <w:sz w:val="1"/>
                <w:szCs w:val="1"/>
                <w:color w:val="auto"/>
              </w:rPr>
            </w:pPr>
          </w:p>
        </w:tc>
        <w:tc>
          <w:tcPr>
            <w:tcW w:w="100" w:type="dxa"/>
            <w:vAlign w:val="bottom"/>
            <w:tcBorders>
              <w:bottom w:val="single" w:sz="8" w:color="0000EE"/>
            </w:tcBorders>
            <w:shd w:val="clear" w:color="auto" w:fill="E8F0F8"/>
          </w:tcPr>
          <w:p>
            <w:pPr>
              <w:spacing w:after="0" w:line="20" w:lineRule="exact"/>
              <w:rPr>
                <w:sz w:val="1"/>
                <w:szCs w:val="1"/>
                <w:color w:val="auto"/>
              </w:rPr>
            </w:pPr>
          </w:p>
        </w:tc>
        <w:tc>
          <w:tcPr>
            <w:tcW w:w="200" w:type="dxa"/>
            <w:vAlign w:val="bottom"/>
            <w:tcBorders>
              <w:bottom w:val="single" w:sz="8" w:color="E8F0F8"/>
            </w:tcBorders>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1A6DBB"/>
            </w:tcBorders>
            <w:gridSpan w:val="2"/>
            <w:vMerge w:val="continue"/>
            <w:shd w:val="clear" w:color="auto" w:fill="E8F0F8"/>
          </w:tcPr>
          <w:p>
            <w:pPr>
              <w:spacing w:after="0"/>
              <w:rPr>
                <w:sz w:val="15"/>
                <w:szCs w:val="15"/>
                <w:color w:val="auto"/>
              </w:rPr>
            </w:pPr>
          </w:p>
        </w:tc>
        <w:tc>
          <w:tcPr>
            <w:tcW w:w="60" w:type="dxa"/>
            <w:vAlign w:val="bottom"/>
            <w:tcBorders>
              <w:bottom w:val="single" w:sz="8" w:color="E8F0F8"/>
            </w:tcBorders>
            <w:shd w:val="clear" w:color="auto" w:fill="E8F0F8"/>
          </w:tcPr>
          <w:p>
            <w:pPr>
              <w:spacing w:after="0"/>
              <w:rPr>
                <w:sz w:val="15"/>
                <w:szCs w:val="15"/>
                <w:color w:val="auto"/>
              </w:rPr>
            </w:pPr>
          </w:p>
        </w:tc>
        <w:tc>
          <w:tcPr>
            <w:tcW w:w="1240" w:type="dxa"/>
            <w:vAlign w:val="bottom"/>
            <w:tcBorders>
              <w:bottom w:val="single" w:sz="8" w:color="E8F0F8"/>
            </w:tcBorders>
            <w:shd w:val="clear" w:color="auto" w:fill="E8F0F8"/>
          </w:tcPr>
          <w:p>
            <w:pPr>
              <w:spacing w:after="0"/>
              <w:rPr>
                <w:sz w:val="15"/>
                <w:szCs w:val="15"/>
                <w:color w:val="auto"/>
              </w:rPr>
            </w:pPr>
          </w:p>
        </w:tc>
        <w:tc>
          <w:tcPr>
            <w:tcW w:w="1540" w:type="dxa"/>
            <w:vAlign w:val="bottom"/>
            <w:tcBorders>
              <w:bottom w:val="single" w:sz="8" w:color="E8F0F8"/>
            </w:tcBorders>
            <w:shd w:val="clear" w:color="auto" w:fill="E8F0F8"/>
          </w:tcPr>
          <w:p>
            <w:pPr>
              <w:spacing w:after="0"/>
              <w:rPr>
                <w:sz w:val="15"/>
                <w:szCs w:val="15"/>
                <w:color w:val="auto"/>
              </w:rPr>
            </w:pPr>
          </w:p>
        </w:tc>
        <w:tc>
          <w:tcPr>
            <w:tcW w:w="100" w:type="dxa"/>
            <w:vAlign w:val="bottom"/>
            <w:tcBorders>
              <w:bottom w:val="single" w:sz="8" w:color="E8F0F8"/>
            </w:tcBorders>
            <w:shd w:val="clear" w:color="auto" w:fill="E8F0F8"/>
          </w:tcPr>
          <w:p>
            <w:pPr>
              <w:spacing w:after="0"/>
              <w:rPr>
                <w:sz w:val="15"/>
                <w:szCs w:val="15"/>
                <w:color w:val="auto"/>
              </w:rPr>
            </w:pPr>
          </w:p>
        </w:tc>
        <w:tc>
          <w:tcPr>
            <w:tcW w:w="200" w:type="dxa"/>
            <w:vAlign w:val="bottom"/>
            <w:tcBorders>
              <w:bottom w:val="single" w:sz="8" w:color="E8F0F8"/>
            </w:tcBorders>
            <w:shd w:val="clear" w:color="auto" w:fill="E8F0F8"/>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580" w:type="dxa"/>
            <w:vAlign w:val="bottom"/>
            <w:tcBorders>
              <w:bottom w:val="single" w:sz="8" w:color="0000EE"/>
            </w:tcBorders>
            <w:gridSpan w:val="36"/>
          </w:tcPr>
          <w:p>
            <w:pPr>
              <w:spacing w:after="0" w:line="175" w:lineRule="exact"/>
              <w:rPr>
                <w:sz w:val="20"/>
                <w:szCs w:val="20"/>
                <w:color w:val="auto"/>
              </w:rPr>
            </w:pPr>
            <w:r>
              <w:rPr>
                <w:rFonts w:ascii="Arial" w:cs="Arial" w:eastAsia="Arial" w:hAnsi="Arial"/>
                <w:sz w:val="16"/>
                <w:szCs w:val="16"/>
                <w:color w:val="0000EE"/>
              </w:rPr>
              <w:t>2021 Executive Compensation Programs and Pay-for-Performance Alignment</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1280" w:type="dxa"/>
            <w:vAlign w:val="bottom"/>
            <w:gridSpan w:val="2"/>
            <w:vMerge w:val="continue"/>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Roles and Responsibilities</w:t>
            </w: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1280" w:type="dxa"/>
            <w:vAlign w:val="bottom"/>
            <w:gridSpan w:val="2"/>
            <w:vMerge w:val="continue"/>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vMerge w:val="continue"/>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Executive Compensation Philosophy and Objectives</w:t>
            </w:r>
          </w:p>
        </w:tc>
        <w:tc>
          <w:tcPr>
            <w:tcW w:w="6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6"/>
        </w:trPr>
        <w:tc>
          <w:tcPr>
            <w:tcW w:w="1280" w:type="dxa"/>
            <w:vAlign w:val="bottom"/>
            <w:tcBorders>
              <w:top w:val="single" w:sz="8" w:color="1A6DBB"/>
              <w:bottom w:val="single" w:sz="8" w:color="E8F0F8"/>
            </w:tcBorders>
            <w:gridSpan w:val="2"/>
            <w:vMerge w:val="continue"/>
            <w:shd w:val="clear" w:color="auto" w:fill="E8F0F8"/>
          </w:tcPr>
          <w:p>
            <w:pPr>
              <w:spacing w:after="0"/>
              <w:rPr>
                <w:sz w:val="17"/>
                <w:szCs w:val="17"/>
                <w:color w:val="auto"/>
              </w:rPr>
            </w:pPr>
          </w:p>
        </w:tc>
        <w:tc>
          <w:tcPr>
            <w:tcW w:w="60" w:type="dxa"/>
            <w:vAlign w:val="bottom"/>
            <w:tcBorders>
              <w:top w:val="single" w:sz="8" w:color="E8F0F8"/>
              <w:bottom w:val="single" w:sz="8" w:color="E8F0F8"/>
            </w:tcBorders>
            <w:shd w:val="clear" w:color="auto" w:fill="E8F0F8"/>
          </w:tcPr>
          <w:p>
            <w:pPr>
              <w:spacing w:after="0"/>
              <w:rPr>
                <w:sz w:val="17"/>
                <w:szCs w:val="17"/>
                <w:color w:val="auto"/>
              </w:rPr>
            </w:pPr>
          </w:p>
        </w:tc>
        <w:tc>
          <w:tcPr>
            <w:tcW w:w="1240" w:type="dxa"/>
            <w:vAlign w:val="bottom"/>
            <w:tcBorders>
              <w:top w:val="single" w:sz="8" w:color="E8F0F8"/>
              <w:bottom w:val="single" w:sz="8" w:color="E8F0F8"/>
            </w:tcBorders>
            <w:shd w:val="clear" w:color="auto" w:fill="E8F0F8"/>
          </w:tcPr>
          <w:p>
            <w:pPr>
              <w:spacing w:after="0"/>
              <w:rPr>
                <w:sz w:val="17"/>
                <w:szCs w:val="17"/>
                <w:color w:val="auto"/>
              </w:rPr>
            </w:pPr>
          </w:p>
        </w:tc>
        <w:tc>
          <w:tcPr>
            <w:tcW w:w="1540" w:type="dxa"/>
            <w:vAlign w:val="bottom"/>
            <w:tcBorders>
              <w:top w:val="single" w:sz="8" w:color="E8F0F8"/>
              <w:bottom w:val="single" w:sz="8" w:color="E8F0F8"/>
            </w:tcBorders>
            <w:shd w:val="clear" w:color="auto" w:fill="E8F0F8"/>
          </w:tcPr>
          <w:p>
            <w:pPr>
              <w:spacing w:after="0"/>
              <w:rPr>
                <w:sz w:val="17"/>
                <w:szCs w:val="17"/>
                <w:color w:val="auto"/>
              </w:rPr>
            </w:pPr>
          </w:p>
        </w:tc>
        <w:tc>
          <w:tcPr>
            <w:tcW w:w="100" w:type="dxa"/>
            <w:vAlign w:val="bottom"/>
            <w:tcBorders>
              <w:top w:val="single" w:sz="8" w:color="E8F0F8"/>
              <w:bottom w:val="single" w:sz="8" w:color="E8F0F8"/>
            </w:tcBorders>
            <w:shd w:val="clear" w:color="auto" w:fill="E8F0F8"/>
          </w:tcPr>
          <w:p>
            <w:pPr>
              <w:spacing w:after="0"/>
              <w:rPr>
                <w:sz w:val="17"/>
                <w:szCs w:val="17"/>
                <w:color w:val="auto"/>
              </w:rPr>
            </w:pPr>
          </w:p>
        </w:tc>
        <w:tc>
          <w:tcPr>
            <w:tcW w:w="200" w:type="dxa"/>
            <w:vAlign w:val="bottom"/>
            <w:tcBorders>
              <w:top w:val="single" w:sz="8" w:color="E8F0F8"/>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7"/>
          </w:tcPr>
          <w:p>
            <w:pPr>
              <w:spacing w:after="0"/>
              <w:rPr>
                <w:sz w:val="20"/>
                <w:szCs w:val="20"/>
                <w:color w:val="auto"/>
              </w:rPr>
            </w:pPr>
            <w:r>
              <w:rPr>
                <w:rFonts w:ascii="Arial" w:cs="Arial" w:eastAsia="Arial" w:hAnsi="Arial"/>
                <w:sz w:val="16"/>
                <w:szCs w:val="16"/>
                <w:color w:val="0000EE"/>
              </w:rPr>
              <w:t>External Market Competitiveness and Peer Group</w:t>
            </w:r>
          </w:p>
        </w:tc>
        <w:tc>
          <w:tcPr>
            <w:tcW w:w="160" w:type="dxa"/>
            <w:vAlign w:val="bottom"/>
            <w:tcBorders>
              <w:top w:val="single" w:sz="8" w:color="0000EE"/>
            </w:tcBorders>
            <w:gridSpan w:val="2"/>
          </w:tcPr>
          <w:p>
            <w:pPr>
              <w:spacing w:after="0"/>
              <w:rPr>
                <w:sz w:val="17"/>
                <w:szCs w:val="17"/>
                <w:color w:val="auto"/>
              </w:rPr>
            </w:pPr>
          </w:p>
        </w:tc>
        <w:tc>
          <w:tcPr>
            <w:tcW w:w="1840" w:type="dxa"/>
            <w:vAlign w:val="bottom"/>
            <w:gridSpan w:val="7"/>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Compensation Elements</w:t>
            </w: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6"/>
        </w:trPr>
        <w:tc>
          <w:tcPr>
            <w:tcW w:w="280" w:type="dxa"/>
            <w:vAlign w:val="bottom"/>
            <w:tcBorders>
              <w:top w:val="single" w:sz="8" w:color="E8F0F8"/>
            </w:tcBorders>
            <w:shd w:val="clear" w:color="auto" w:fill="E8F0F8"/>
          </w:tcPr>
          <w:p>
            <w:pPr>
              <w:spacing w:after="0"/>
              <w:rPr>
                <w:sz w:val="17"/>
                <w:szCs w:val="17"/>
                <w:color w:val="auto"/>
              </w:rPr>
            </w:pPr>
          </w:p>
        </w:tc>
        <w:tc>
          <w:tcPr>
            <w:tcW w:w="1000" w:type="dxa"/>
            <w:vAlign w:val="bottom"/>
            <w:tcBorders>
              <w:top w:val="single" w:sz="8" w:color="E8F0F8"/>
            </w:tcBorders>
            <w:shd w:val="clear" w:color="auto" w:fill="E8F0F8"/>
          </w:tcPr>
          <w:p>
            <w:pPr>
              <w:spacing w:after="0"/>
              <w:rPr>
                <w:sz w:val="17"/>
                <w:szCs w:val="17"/>
                <w:color w:val="auto"/>
              </w:rPr>
            </w:pPr>
          </w:p>
        </w:tc>
        <w:tc>
          <w:tcPr>
            <w:tcW w:w="60" w:type="dxa"/>
            <w:vAlign w:val="bottom"/>
            <w:tcBorders>
              <w:top w:val="single" w:sz="8" w:color="E8F0F8"/>
            </w:tcBorders>
            <w:shd w:val="clear" w:color="auto" w:fill="E8F0F8"/>
          </w:tcPr>
          <w:p>
            <w:pPr>
              <w:spacing w:after="0"/>
              <w:rPr>
                <w:sz w:val="17"/>
                <w:szCs w:val="17"/>
                <w:color w:val="auto"/>
              </w:rPr>
            </w:pPr>
          </w:p>
        </w:tc>
        <w:tc>
          <w:tcPr>
            <w:tcW w:w="1240" w:type="dxa"/>
            <w:vAlign w:val="bottom"/>
            <w:tcBorders>
              <w:top w:val="single" w:sz="8" w:color="E8F0F8"/>
            </w:tcBorders>
            <w:shd w:val="clear" w:color="auto" w:fill="E8F0F8"/>
          </w:tcPr>
          <w:p>
            <w:pPr>
              <w:spacing w:after="0"/>
              <w:rPr>
                <w:sz w:val="17"/>
                <w:szCs w:val="17"/>
                <w:color w:val="auto"/>
              </w:rPr>
            </w:pPr>
          </w:p>
        </w:tc>
        <w:tc>
          <w:tcPr>
            <w:tcW w:w="1540" w:type="dxa"/>
            <w:vAlign w:val="bottom"/>
            <w:tcBorders>
              <w:top w:val="single" w:sz="8" w:color="E8F0F8"/>
            </w:tcBorders>
            <w:shd w:val="clear" w:color="auto" w:fill="E8F0F8"/>
          </w:tcPr>
          <w:p>
            <w:pPr>
              <w:spacing w:after="0"/>
              <w:rPr>
                <w:sz w:val="17"/>
                <w:szCs w:val="17"/>
                <w:color w:val="auto"/>
              </w:rPr>
            </w:pPr>
          </w:p>
        </w:tc>
        <w:tc>
          <w:tcPr>
            <w:tcW w:w="100" w:type="dxa"/>
            <w:vAlign w:val="bottom"/>
            <w:tcBorders>
              <w:top w:val="single" w:sz="8" w:color="E8F0F8"/>
            </w:tcBorders>
            <w:shd w:val="clear" w:color="auto" w:fill="E8F0F8"/>
          </w:tcPr>
          <w:p>
            <w:pPr>
              <w:spacing w:after="0"/>
              <w:rPr>
                <w:sz w:val="17"/>
                <w:szCs w:val="17"/>
                <w:color w:val="auto"/>
              </w:rPr>
            </w:pPr>
          </w:p>
        </w:tc>
        <w:tc>
          <w:tcPr>
            <w:tcW w:w="200" w:type="dxa"/>
            <w:vAlign w:val="bottom"/>
            <w:tcBorders>
              <w:top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0000EE"/>
              </w:rPr>
              <w:t>Compensation Mix</w:t>
            </w:r>
          </w:p>
        </w:tc>
        <w:tc>
          <w:tcPr>
            <w:tcW w:w="3820" w:type="dxa"/>
            <w:vAlign w:val="bottom"/>
            <w:gridSpan w:val="27"/>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80" w:type="dxa"/>
            <w:vAlign w:val="bottom"/>
            <w:shd w:val="clear" w:color="auto" w:fill="E8F0F8"/>
          </w:tcPr>
          <w:p>
            <w:pPr>
              <w:spacing w:after="0" w:line="20" w:lineRule="exact"/>
              <w:rPr>
                <w:sz w:val="1"/>
                <w:szCs w:val="1"/>
                <w:color w:val="auto"/>
              </w:rPr>
            </w:pPr>
          </w:p>
        </w:tc>
        <w:tc>
          <w:tcPr>
            <w:tcW w:w="10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Performance Goals and Target Setting Process</w:t>
            </w: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80" w:type="dxa"/>
            <w:vAlign w:val="bottom"/>
            <w:shd w:val="clear" w:color="auto" w:fill="E8F0F8"/>
          </w:tcPr>
          <w:p>
            <w:pPr>
              <w:spacing w:after="0" w:line="20" w:lineRule="exact"/>
              <w:rPr>
                <w:sz w:val="1"/>
                <w:szCs w:val="1"/>
                <w:color w:val="auto"/>
              </w:rPr>
            </w:pPr>
          </w:p>
        </w:tc>
        <w:tc>
          <w:tcPr>
            <w:tcW w:w="10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2021 Hiring and Transition-Related Compensation Decisions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Borders>
              <w:top w:val="single" w:sz="8" w:color="E8F0F8"/>
            </w:tcBorders>
            <w:shd w:val="clear" w:color="auto" w:fill="E8F0F8"/>
          </w:tcPr>
          <w:p>
            <w:pPr>
              <w:spacing w:after="0"/>
              <w:rPr>
                <w:sz w:val="17"/>
                <w:szCs w:val="17"/>
                <w:color w:val="auto"/>
              </w:rPr>
            </w:pPr>
          </w:p>
        </w:tc>
        <w:tc>
          <w:tcPr>
            <w:tcW w:w="1000" w:type="dxa"/>
            <w:vAlign w:val="bottom"/>
            <w:tcBorders>
              <w:top w:val="single" w:sz="8" w:color="E8F0F8"/>
            </w:tcBorders>
            <w:shd w:val="clear" w:color="auto" w:fill="E8F0F8"/>
          </w:tcPr>
          <w:p>
            <w:pPr>
              <w:spacing w:after="0"/>
              <w:rPr>
                <w:sz w:val="17"/>
                <w:szCs w:val="17"/>
                <w:color w:val="auto"/>
              </w:rPr>
            </w:pPr>
          </w:p>
        </w:tc>
        <w:tc>
          <w:tcPr>
            <w:tcW w:w="60" w:type="dxa"/>
            <w:vAlign w:val="bottom"/>
            <w:tcBorders>
              <w:top w:val="single" w:sz="8" w:color="E8F0F8"/>
            </w:tcBorders>
            <w:shd w:val="clear" w:color="auto" w:fill="E8F0F8"/>
          </w:tcPr>
          <w:p>
            <w:pPr>
              <w:spacing w:after="0"/>
              <w:rPr>
                <w:sz w:val="17"/>
                <w:szCs w:val="17"/>
                <w:color w:val="auto"/>
              </w:rPr>
            </w:pPr>
          </w:p>
        </w:tc>
        <w:tc>
          <w:tcPr>
            <w:tcW w:w="1240" w:type="dxa"/>
            <w:vAlign w:val="bottom"/>
            <w:tcBorders>
              <w:top w:val="single" w:sz="8" w:color="E8F0F8"/>
            </w:tcBorders>
            <w:shd w:val="clear" w:color="auto" w:fill="E8F0F8"/>
          </w:tcPr>
          <w:p>
            <w:pPr>
              <w:spacing w:after="0"/>
              <w:rPr>
                <w:sz w:val="17"/>
                <w:szCs w:val="17"/>
                <w:color w:val="auto"/>
              </w:rPr>
            </w:pPr>
          </w:p>
        </w:tc>
        <w:tc>
          <w:tcPr>
            <w:tcW w:w="1540" w:type="dxa"/>
            <w:vAlign w:val="bottom"/>
            <w:tcBorders>
              <w:top w:val="single" w:sz="8" w:color="E8F0F8"/>
            </w:tcBorders>
            <w:shd w:val="clear" w:color="auto" w:fill="E8F0F8"/>
          </w:tcPr>
          <w:p>
            <w:pPr>
              <w:spacing w:after="0"/>
              <w:rPr>
                <w:sz w:val="17"/>
                <w:szCs w:val="17"/>
                <w:color w:val="auto"/>
              </w:rPr>
            </w:pPr>
          </w:p>
        </w:tc>
        <w:tc>
          <w:tcPr>
            <w:tcW w:w="100" w:type="dxa"/>
            <w:vAlign w:val="bottom"/>
            <w:tcBorders>
              <w:top w:val="single" w:sz="8" w:color="E8F0F8"/>
            </w:tcBorders>
            <w:shd w:val="clear" w:color="auto" w:fill="E8F0F8"/>
          </w:tcPr>
          <w:p>
            <w:pPr>
              <w:spacing w:after="0"/>
              <w:rPr>
                <w:sz w:val="17"/>
                <w:szCs w:val="17"/>
                <w:color w:val="auto"/>
              </w:rPr>
            </w:pPr>
          </w:p>
        </w:tc>
        <w:tc>
          <w:tcPr>
            <w:tcW w:w="200" w:type="dxa"/>
            <w:vAlign w:val="bottom"/>
            <w:tcBorders>
              <w:top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top w:val="single" w:sz="8" w:color="0000EE"/>
            </w:tcBorders>
            <w:gridSpan w:val="35"/>
          </w:tcPr>
          <w:p>
            <w:pPr>
              <w:spacing w:after="0"/>
              <w:rPr>
                <w:sz w:val="20"/>
                <w:szCs w:val="20"/>
                <w:color w:val="auto"/>
              </w:rPr>
            </w:pPr>
            <w:r>
              <w:rPr>
                <w:rFonts w:ascii="Arial" w:cs="Arial" w:eastAsia="Arial" w:hAnsi="Arial"/>
                <w:sz w:val="16"/>
                <w:szCs w:val="16"/>
                <w:color w:val="0000EE"/>
              </w:rPr>
              <w:t>2021 Base Salary</w:t>
            </w:r>
          </w:p>
        </w:tc>
        <w:tc>
          <w:tcPr>
            <w:tcW w:w="1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80" w:type="dxa"/>
            <w:vAlign w:val="bottom"/>
            <w:shd w:val="clear" w:color="auto" w:fill="E8F0F8"/>
          </w:tcPr>
          <w:p>
            <w:pPr>
              <w:spacing w:after="0" w:line="20" w:lineRule="exact"/>
              <w:rPr>
                <w:sz w:val="1"/>
                <w:szCs w:val="1"/>
                <w:color w:val="auto"/>
              </w:rPr>
            </w:pPr>
          </w:p>
        </w:tc>
        <w:tc>
          <w:tcPr>
            <w:tcW w:w="10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rPr>
              <w:t>2021 Performance-Based Plans and Goal Setting</w:t>
            </w:r>
          </w:p>
        </w:tc>
        <w:tc>
          <w:tcPr>
            <w:tcW w:w="2020" w:type="dxa"/>
            <w:vAlign w:val="bottom"/>
            <w:gridSpan w:val="10"/>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9"/>
              </w:rPr>
              <w:t>Long-Term Incentives</w:t>
            </w:r>
          </w:p>
        </w:tc>
        <w:tc>
          <w:tcPr>
            <w:tcW w:w="4020" w:type="dxa"/>
            <w:vAlign w:val="bottom"/>
            <w:gridSpan w:val="29"/>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w w:val="99"/>
              </w:rPr>
              <w:t>Total Target Direct Compensation and Realizable Pay</w:t>
            </w:r>
          </w:p>
        </w:tc>
        <w:tc>
          <w:tcPr>
            <w:tcW w:w="1740" w:type="dxa"/>
            <w:vAlign w:val="bottom"/>
            <w:gridSpan w:val="5"/>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Retirement Plans</w:t>
            </w: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6"/>
        </w:trPr>
        <w:tc>
          <w:tcPr>
            <w:tcW w:w="280" w:type="dxa"/>
            <w:vAlign w:val="bottom"/>
            <w:tcBorders>
              <w:top w:val="single" w:sz="8" w:color="E8F0F8"/>
              <w:bottom w:val="single" w:sz="8" w:color="E8F0F8"/>
            </w:tcBorders>
            <w:shd w:val="clear" w:color="auto" w:fill="E8F0F8"/>
          </w:tcPr>
          <w:p>
            <w:pPr>
              <w:spacing w:after="0"/>
              <w:rPr>
                <w:sz w:val="17"/>
                <w:szCs w:val="17"/>
                <w:color w:val="auto"/>
              </w:rPr>
            </w:pPr>
          </w:p>
        </w:tc>
        <w:tc>
          <w:tcPr>
            <w:tcW w:w="1000" w:type="dxa"/>
            <w:vAlign w:val="bottom"/>
            <w:tcBorders>
              <w:top w:val="single" w:sz="8" w:color="E8F0F8"/>
              <w:bottom w:val="single" w:sz="8" w:color="E8F0F8"/>
            </w:tcBorders>
            <w:shd w:val="clear" w:color="auto" w:fill="E8F0F8"/>
          </w:tcPr>
          <w:p>
            <w:pPr>
              <w:spacing w:after="0"/>
              <w:rPr>
                <w:sz w:val="17"/>
                <w:szCs w:val="17"/>
                <w:color w:val="auto"/>
              </w:rPr>
            </w:pPr>
          </w:p>
        </w:tc>
        <w:tc>
          <w:tcPr>
            <w:tcW w:w="60" w:type="dxa"/>
            <w:vAlign w:val="bottom"/>
            <w:tcBorders>
              <w:top w:val="single" w:sz="8" w:color="E8F0F8"/>
              <w:bottom w:val="single" w:sz="8" w:color="E8F0F8"/>
            </w:tcBorders>
            <w:shd w:val="clear" w:color="auto" w:fill="E8F0F8"/>
          </w:tcPr>
          <w:p>
            <w:pPr>
              <w:spacing w:after="0"/>
              <w:rPr>
                <w:sz w:val="17"/>
                <w:szCs w:val="17"/>
                <w:color w:val="auto"/>
              </w:rPr>
            </w:pPr>
          </w:p>
        </w:tc>
        <w:tc>
          <w:tcPr>
            <w:tcW w:w="1240" w:type="dxa"/>
            <w:vAlign w:val="bottom"/>
            <w:tcBorders>
              <w:top w:val="single" w:sz="8" w:color="E8F0F8"/>
              <w:bottom w:val="single" w:sz="8" w:color="E8F0F8"/>
            </w:tcBorders>
            <w:shd w:val="clear" w:color="auto" w:fill="E8F0F8"/>
          </w:tcPr>
          <w:p>
            <w:pPr>
              <w:spacing w:after="0"/>
              <w:rPr>
                <w:sz w:val="17"/>
                <w:szCs w:val="17"/>
                <w:color w:val="auto"/>
              </w:rPr>
            </w:pPr>
          </w:p>
        </w:tc>
        <w:tc>
          <w:tcPr>
            <w:tcW w:w="1540" w:type="dxa"/>
            <w:vAlign w:val="bottom"/>
            <w:tcBorders>
              <w:top w:val="single" w:sz="8" w:color="E8F0F8"/>
              <w:bottom w:val="single" w:sz="8" w:color="E8F0F8"/>
            </w:tcBorders>
            <w:shd w:val="clear" w:color="auto" w:fill="E8F0F8"/>
          </w:tcPr>
          <w:p>
            <w:pPr>
              <w:spacing w:after="0"/>
              <w:rPr>
                <w:sz w:val="17"/>
                <w:szCs w:val="17"/>
                <w:color w:val="auto"/>
              </w:rPr>
            </w:pPr>
          </w:p>
        </w:tc>
        <w:tc>
          <w:tcPr>
            <w:tcW w:w="100" w:type="dxa"/>
            <w:vAlign w:val="bottom"/>
            <w:tcBorders>
              <w:top w:val="single" w:sz="8" w:color="E8F0F8"/>
              <w:bottom w:val="single" w:sz="8" w:color="E8F0F8"/>
            </w:tcBorders>
            <w:shd w:val="clear" w:color="auto" w:fill="E8F0F8"/>
          </w:tcPr>
          <w:p>
            <w:pPr>
              <w:spacing w:after="0"/>
              <w:rPr>
                <w:sz w:val="17"/>
                <w:szCs w:val="17"/>
                <w:color w:val="auto"/>
              </w:rPr>
            </w:pPr>
          </w:p>
        </w:tc>
        <w:tc>
          <w:tcPr>
            <w:tcW w:w="200" w:type="dxa"/>
            <w:vAlign w:val="bottom"/>
            <w:tcBorders>
              <w:top w:val="single" w:sz="8" w:color="E8F0F8"/>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9"/>
              </w:rPr>
              <w:t>Other Benefits</w:t>
            </w:r>
          </w:p>
        </w:tc>
        <w:tc>
          <w:tcPr>
            <w:tcW w:w="240" w:type="dxa"/>
            <w:vAlign w:val="bottom"/>
            <w:tcBorders>
              <w:top w:val="single" w:sz="8" w:color="0000EE"/>
            </w:tcBorders>
            <w:gridSpan w:val="2"/>
          </w:tcPr>
          <w:p>
            <w:pPr>
              <w:spacing w:after="0"/>
              <w:rPr>
                <w:sz w:val="17"/>
                <w:szCs w:val="17"/>
                <w:color w:val="auto"/>
              </w:rPr>
            </w:pPr>
          </w:p>
        </w:tc>
        <w:tc>
          <w:tcPr>
            <w:tcW w:w="4300" w:type="dxa"/>
            <w:vAlign w:val="bottom"/>
            <w:gridSpan w:val="31"/>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Post-Termination Compensation and Benefits</w:t>
            </w:r>
          </w:p>
        </w:tc>
        <w:tc>
          <w:tcPr>
            <w:tcW w:w="2320" w:type="dxa"/>
            <w:vAlign w:val="bottom"/>
            <w:gridSpan w:val="12"/>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Stock Ownership Guidelines</w:t>
            </w:r>
          </w:p>
        </w:tc>
        <w:tc>
          <w:tcPr>
            <w:tcW w:w="3540" w:type="dxa"/>
            <w:vAlign w:val="bottom"/>
            <w:gridSpan w:val="24"/>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Recoupment of Compensation</w:t>
            </w:r>
          </w:p>
        </w:tc>
        <w:tc>
          <w:tcPr>
            <w:tcW w:w="3380" w:type="dxa"/>
            <w:vAlign w:val="bottom"/>
            <w:gridSpan w:val="23"/>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Insider Trading, Hedging and Pledging Policy Prohibitions</w:t>
            </w: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280" w:type="dxa"/>
            <w:vAlign w:val="bottom"/>
            <w:tcBorders>
              <w:top w:val="single" w:sz="8" w:color="E8F0F8"/>
              <w:bottom w:val="single" w:sz="8" w:color="E8F0F8"/>
            </w:tcBorders>
            <w:shd w:val="clear" w:color="auto" w:fill="E8F0F8"/>
          </w:tcPr>
          <w:p>
            <w:pPr>
              <w:spacing w:after="0"/>
              <w:rPr>
                <w:sz w:val="17"/>
                <w:szCs w:val="17"/>
                <w:color w:val="auto"/>
              </w:rPr>
            </w:pPr>
          </w:p>
        </w:tc>
        <w:tc>
          <w:tcPr>
            <w:tcW w:w="1000" w:type="dxa"/>
            <w:vAlign w:val="bottom"/>
            <w:tcBorders>
              <w:top w:val="single" w:sz="8" w:color="E8F0F8"/>
              <w:bottom w:val="single" w:sz="8" w:color="E8F0F8"/>
            </w:tcBorders>
            <w:shd w:val="clear" w:color="auto" w:fill="E8F0F8"/>
          </w:tcPr>
          <w:p>
            <w:pPr>
              <w:spacing w:after="0"/>
              <w:rPr>
                <w:sz w:val="17"/>
                <w:szCs w:val="17"/>
                <w:color w:val="auto"/>
              </w:rPr>
            </w:pPr>
          </w:p>
        </w:tc>
        <w:tc>
          <w:tcPr>
            <w:tcW w:w="60" w:type="dxa"/>
            <w:vAlign w:val="bottom"/>
            <w:tcBorders>
              <w:top w:val="single" w:sz="8" w:color="E8F0F8"/>
              <w:bottom w:val="single" w:sz="8" w:color="E8F0F8"/>
            </w:tcBorders>
            <w:shd w:val="clear" w:color="auto" w:fill="E8F0F8"/>
          </w:tcPr>
          <w:p>
            <w:pPr>
              <w:spacing w:after="0"/>
              <w:rPr>
                <w:sz w:val="17"/>
                <w:szCs w:val="17"/>
                <w:color w:val="auto"/>
              </w:rPr>
            </w:pPr>
          </w:p>
        </w:tc>
        <w:tc>
          <w:tcPr>
            <w:tcW w:w="1240" w:type="dxa"/>
            <w:vAlign w:val="bottom"/>
            <w:tcBorders>
              <w:top w:val="single" w:sz="8" w:color="E8F0F8"/>
              <w:bottom w:val="single" w:sz="8" w:color="E8F0F8"/>
            </w:tcBorders>
            <w:shd w:val="clear" w:color="auto" w:fill="E8F0F8"/>
          </w:tcPr>
          <w:p>
            <w:pPr>
              <w:spacing w:after="0"/>
              <w:rPr>
                <w:sz w:val="17"/>
                <w:szCs w:val="17"/>
                <w:color w:val="auto"/>
              </w:rPr>
            </w:pPr>
          </w:p>
        </w:tc>
        <w:tc>
          <w:tcPr>
            <w:tcW w:w="1540" w:type="dxa"/>
            <w:vAlign w:val="bottom"/>
            <w:tcBorders>
              <w:top w:val="single" w:sz="8" w:color="E8F0F8"/>
              <w:bottom w:val="single" w:sz="8" w:color="E8F0F8"/>
            </w:tcBorders>
            <w:shd w:val="clear" w:color="auto" w:fill="E8F0F8"/>
          </w:tcPr>
          <w:p>
            <w:pPr>
              <w:spacing w:after="0"/>
              <w:rPr>
                <w:sz w:val="17"/>
                <w:szCs w:val="17"/>
                <w:color w:val="auto"/>
              </w:rPr>
            </w:pPr>
          </w:p>
        </w:tc>
        <w:tc>
          <w:tcPr>
            <w:tcW w:w="100" w:type="dxa"/>
            <w:vAlign w:val="bottom"/>
            <w:tcBorders>
              <w:top w:val="single" w:sz="8" w:color="E8F0F8"/>
              <w:bottom w:val="single" w:sz="8" w:color="E8F0F8"/>
            </w:tcBorders>
            <w:shd w:val="clear" w:color="auto" w:fill="E8F0F8"/>
          </w:tcPr>
          <w:p>
            <w:pPr>
              <w:spacing w:after="0"/>
              <w:rPr>
                <w:sz w:val="17"/>
                <w:szCs w:val="17"/>
                <w:color w:val="auto"/>
              </w:rPr>
            </w:pPr>
          </w:p>
        </w:tc>
        <w:tc>
          <w:tcPr>
            <w:tcW w:w="200" w:type="dxa"/>
            <w:vAlign w:val="bottom"/>
            <w:tcBorders>
              <w:top w:val="single" w:sz="8" w:color="E8F0F8"/>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6"/>
                <w:szCs w:val="16"/>
                <w:color w:val="0000EE"/>
              </w:rPr>
              <w:t>Tax-Deductibility of Compensation</w:t>
            </w:r>
          </w:p>
        </w:tc>
        <w:tc>
          <w:tcPr>
            <w:tcW w:w="1660" w:type="dxa"/>
            <w:vAlign w:val="bottom"/>
            <w:tcBorders>
              <w:top w:val="single" w:sz="8" w:color="0000EE"/>
            </w:tcBorders>
            <w:gridSpan w:val="17"/>
          </w:tcPr>
          <w:p>
            <w:pPr>
              <w:spacing w:after="0"/>
              <w:rPr>
                <w:sz w:val="17"/>
                <w:szCs w:val="17"/>
                <w:color w:val="auto"/>
              </w:rPr>
            </w:pPr>
          </w:p>
        </w:tc>
        <w:tc>
          <w:tcPr>
            <w:tcW w:w="1460" w:type="dxa"/>
            <w:vAlign w:val="bottom"/>
            <w:gridSpan w:val="3"/>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Compensation Committee Report</w:t>
            </w: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6"/>
        </w:trPr>
        <w:tc>
          <w:tcPr>
            <w:tcW w:w="280" w:type="dxa"/>
            <w:vAlign w:val="bottom"/>
            <w:tcBorders>
              <w:top w:val="single" w:sz="8" w:color="E8F0F8"/>
              <w:bottom w:val="single" w:sz="8" w:color="E8F0F8"/>
            </w:tcBorders>
            <w:shd w:val="clear" w:color="auto" w:fill="E8F0F8"/>
          </w:tcPr>
          <w:p>
            <w:pPr>
              <w:spacing w:after="0"/>
              <w:rPr>
                <w:sz w:val="17"/>
                <w:szCs w:val="17"/>
                <w:color w:val="auto"/>
              </w:rPr>
            </w:pPr>
          </w:p>
        </w:tc>
        <w:tc>
          <w:tcPr>
            <w:tcW w:w="1000" w:type="dxa"/>
            <w:vAlign w:val="bottom"/>
            <w:tcBorders>
              <w:top w:val="single" w:sz="8" w:color="E8F0F8"/>
              <w:bottom w:val="single" w:sz="8" w:color="E8F0F8"/>
            </w:tcBorders>
            <w:shd w:val="clear" w:color="auto" w:fill="E8F0F8"/>
          </w:tcPr>
          <w:p>
            <w:pPr>
              <w:spacing w:after="0"/>
              <w:rPr>
                <w:sz w:val="17"/>
                <w:szCs w:val="17"/>
                <w:color w:val="auto"/>
              </w:rPr>
            </w:pPr>
          </w:p>
        </w:tc>
        <w:tc>
          <w:tcPr>
            <w:tcW w:w="60" w:type="dxa"/>
            <w:vAlign w:val="bottom"/>
            <w:tcBorders>
              <w:top w:val="single" w:sz="8" w:color="E8F0F8"/>
              <w:bottom w:val="single" w:sz="8" w:color="E8F0F8"/>
            </w:tcBorders>
            <w:shd w:val="clear" w:color="auto" w:fill="E8F0F8"/>
          </w:tcPr>
          <w:p>
            <w:pPr>
              <w:spacing w:after="0"/>
              <w:rPr>
                <w:sz w:val="17"/>
                <w:szCs w:val="17"/>
                <w:color w:val="auto"/>
              </w:rPr>
            </w:pPr>
          </w:p>
        </w:tc>
        <w:tc>
          <w:tcPr>
            <w:tcW w:w="1240" w:type="dxa"/>
            <w:vAlign w:val="bottom"/>
            <w:tcBorders>
              <w:top w:val="single" w:sz="8" w:color="E8F0F8"/>
              <w:bottom w:val="single" w:sz="8" w:color="E8F0F8"/>
            </w:tcBorders>
            <w:shd w:val="clear" w:color="auto" w:fill="E8F0F8"/>
          </w:tcPr>
          <w:p>
            <w:pPr>
              <w:spacing w:after="0"/>
              <w:rPr>
                <w:sz w:val="17"/>
                <w:szCs w:val="17"/>
                <w:color w:val="auto"/>
              </w:rPr>
            </w:pPr>
          </w:p>
        </w:tc>
        <w:tc>
          <w:tcPr>
            <w:tcW w:w="1540" w:type="dxa"/>
            <w:vAlign w:val="bottom"/>
            <w:tcBorders>
              <w:top w:val="single" w:sz="8" w:color="E8F0F8"/>
              <w:bottom w:val="single" w:sz="8" w:color="E8F0F8"/>
            </w:tcBorders>
            <w:shd w:val="clear" w:color="auto" w:fill="E8F0F8"/>
          </w:tcPr>
          <w:p>
            <w:pPr>
              <w:spacing w:after="0"/>
              <w:rPr>
                <w:sz w:val="17"/>
                <w:szCs w:val="17"/>
                <w:color w:val="auto"/>
              </w:rPr>
            </w:pPr>
          </w:p>
        </w:tc>
        <w:tc>
          <w:tcPr>
            <w:tcW w:w="100" w:type="dxa"/>
            <w:vAlign w:val="bottom"/>
            <w:tcBorders>
              <w:top w:val="single" w:sz="8" w:color="E8F0F8"/>
              <w:bottom w:val="single" w:sz="8" w:color="E8F0F8"/>
            </w:tcBorders>
            <w:shd w:val="clear" w:color="auto" w:fill="E8F0F8"/>
          </w:tcPr>
          <w:p>
            <w:pPr>
              <w:spacing w:after="0"/>
              <w:rPr>
                <w:sz w:val="17"/>
                <w:szCs w:val="17"/>
                <w:color w:val="auto"/>
              </w:rPr>
            </w:pPr>
          </w:p>
        </w:tc>
        <w:tc>
          <w:tcPr>
            <w:tcW w:w="200" w:type="dxa"/>
            <w:vAlign w:val="bottom"/>
            <w:tcBorders>
              <w:top w:val="single" w:sz="8" w:color="E8F0F8"/>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color w:val="0000EE"/>
                <w:w w:val="99"/>
              </w:rPr>
              <w:t>Summary Compensation Table</w:t>
            </w:r>
          </w:p>
        </w:tc>
        <w:tc>
          <w:tcPr>
            <w:tcW w:w="180" w:type="dxa"/>
            <w:vAlign w:val="bottom"/>
            <w:tcBorders>
              <w:top w:val="single" w:sz="8" w:color="0000EE"/>
            </w:tcBorders>
          </w:tcPr>
          <w:p>
            <w:pPr>
              <w:spacing w:after="0"/>
              <w:rPr>
                <w:sz w:val="17"/>
                <w:szCs w:val="17"/>
                <w:color w:val="auto"/>
              </w:rPr>
            </w:pPr>
          </w:p>
        </w:tc>
        <w:tc>
          <w:tcPr>
            <w:tcW w:w="3180" w:type="dxa"/>
            <w:vAlign w:val="bottom"/>
            <w:gridSpan w:val="21"/>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2021 Grants of Plan-Based Awards</w:t>
            </w:r>
          </w:p>
        </w:tc>
        <w:tc>
          <w:tcPr>
            <w:tcW w:w="3040" w:type="dxa"/>
            <w:vAlign w:val="bottom"/>
            <w:gridSpan w:val="19"/>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Outstanding Equity Awards at 2021 Fiscal Year-End</w:t>
            </w:r>
          </w:p>
        </w:tc>
        <w:tc>
          <w:tcPr>
            <w:tcW w:w="6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6"/>
        </w:trPr>
        <w:tc>
          <w:tcPr>
            <w:tcW w:w="280" w:type="dxa"/>
            <w:vAlign w:val="bottom"/>
            <w:tcBorders>
              <w:top w:val="single" w:sz="8" w:color="E8F0F8"/>
              <w:bottom w:val="single" w:sz="8" w:color="E8F0F8"/>
            </w:tcBorders>
            <w:shd w:val="clear" w:color="auto" w:fill="E8F0F8"/>
          </w:tcPr>
          <w:p>
            <w:pPr>
              <w:spacing w:after="0"/>
              <w:rPr>
                <w:sz w:val="17"/>
                <w:szCs w:val="17"/>
                <w:color w:val="auto"/>
              </w:rPr>
            </w:pPr>
          </w:p>
        </w:tc>
        <w:tc>
          <w:tcPr>
            <w:tcW w:w="1000" w:type="dxa"/>
            <w:vAlign w:val="bottom"/>
            <w:tcBorders>
              <w:top w:val="single" w:sz="8" w:color="E8F0F8"/>
              <w:bottom w:val="single" w:sz="8" w:color="E8F0F8"/>
            </w:tcBorders>
            <w:shd w:val="clear" w:color="auto" w:fill="E8F0F8"/>
          </w:tcPr>
          <w:p>
            <w:pPr>
              <w:spacing w:after="0"/>
              <w:rPr>
                <w:sz w:val="17"/>
                <w:szCs w:val="17"/>
                <w:color w:val="auto"/>
              </w:rPr>
            </w:pPr>
          </w:p>
        </w:tc>
        <w:tc>
          <w:tcPr>
            <w:tcW w:w="60" w:type="dxa"/>
            <w:vAlign w:val="bottom"/>
            <w:tcBorders>
              <w:top w:val="single" w:sz="8" w:color="E8F0F8"/>
              <w:bottom w:val="single" w:sz="8" w:color="E8F0F8"/>
            </w:tcBorders>
            <w:shd w:val="clear" w:color="auto" w:fill="E8F0F8"/>
          </w:tcPr>
          <w:p>
            <w:pPr>
              <w:spacing w:after="0"/>
              <w:rPr>
                <w:sz w:val="17"/>
                <w:szCs w:val="17"/>
                <w:color w:val="auto"/>
              </w:rPr>
            </w:pPr>
          </w:p>
        </w:tc>
        <w:tc>
          <w:tcPr>
            <w:tcW w:w="1240" w:type="dxa"/>
            <w:vAlign w:val="bottom"/>
            <w:tcBorders>
              <w:top w:val="single" w:sz="8" w:color="E8F0F8"/>
              <w:bottom w:val="single" w:sz="8" w:color="E8F0F8"/>
            </w:tcBorders>
            <w:shd w:val="clear" w:color="auto" w:fill="E8F0F8"/>
          </w:tcPr>
          <w:p>
            <w:pPr>
              <w:spacing w:after="0"/>
              <w:rPr>
                <w:sz w:val="17"/>
                <w:szCs w:val="17"/>
                <w:color w:val="auto"/>
              </w:rPr>
            </w:pPr>
          </w:p>
        </w:tc>
        <w:tc>
          <w:tcPr>
            <w:tcW w:w="1540" w:type="dxa"/>
            <w:vAlign w:val="bottom"/>
            <w:tcBorders>
              <w:top w:val="single" w:sz="8" w:color="E8F0F8"/>
              <w:bottom w:val="single" w:sz="8" w:color="E8F0F8"/>
            </w:tcBorders>
            <w:shd w:val="clear" w:color="auto" w:fill="E8F0F8"/>
          </w:tcPr>
          <w:p>
            <w:pPr>
              <w:spacing w:after="0"/>
              <w:rPr>
                <w:sz w:val="17"/>
                <w:szCs w:val="17"/>
                <w:color w:val="auto"/>
              </w:rPr>
            </w:pPr>
          </w:p>
        </w:tc>
        <w:tc>
          <w:tcPr>
            <w:tcW w:w="100" w:type="dxa"/>
            <w:vAlign w:val="bottom"/>
            <w:tcBorders>
              <w:top w:val="single" w:sz="8" w:color="E8F0F8"/>
              <w:bottom w:val="single" w:sz="8" w:color="E8F0F8"/>
            </w:tcBorders>
            <w:shd w:val="clear" w:color="auto" w:fill="E8F0F8"/>
          </w:tcPr>
          <w:p>
            <w:pPr>
              <w:spacing w:after="0"/>
              <w:rPr>
                <w:sz w:val="17"/>
                <w:szCs w:val="17"/>
                <w:color w:val="auto"/>
              </w:rPr>
            </w:pPr>
          </w:p>
        </w:tc>
        <w:tc>
          <w:tcPr>
            <w:tcW w:w="200" w:type="dxa"/>
            <w:vAlign w:val="bottom"/>
            <w:tcBorders>
              <w:top w:val="single" w:sz="8" w:color="E8F0F8"/>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6"/>
                <w:szCs w:val="16"/>
                <w:color w:val="0000EE"/>
              </w:rPr>
              <w:t>2021 Option Exercises and Stock Vested</w:t>
            </w:r>
          </w:p>
        </w:tc>
        <w:tc>
          <w:tcPr>
            <w:tcW w:w="780" w:type="dxa"/>
            <w:vAlign w:val="bottom"/>
            <w:tcBorders>
              <w:top w:val="single" w:sz="8" w:color="0000EE"/>
            </w:tcBorders>
            <w:gridSpan w:val="6"/>
          </w:tcPr>
          <w:p>
            <w:pPr>
              <w:spacing w:after="0"/>
              <w:rPr>
                <w:sz w:val="17"/>
                <w:szCs w:val="17"/>
                <w:color w:val="auto"/>
              </w:rPr>
            </w:pPr>
          </w:p>
        </w:tc>
        <w:tc>
          <w:tcPr>
            <w:tcW w:w="1860" w:type="dxa"/>
            <w:vAlign w:val="bottom"/>
            <w:gridSpan w:val="8"/>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2021 Non-Qualified Deferred Compensation</w:t>
            </w:r>
          </w:p>
        </w:tc>
        <w:tc>
          <w:tcPr>
            <w:tcW w:w="6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80" w:type="dxa"/>
            <w:vAlign w:val="bottom"/>
            <w:shd w:val="clear" w:color="auto" w:fill="E8F0F8"/>
          </w:tcPr>
          <w:p>
            <w:pPr>
              <w:spacing w:after="0" w:line="20" w:lineRule="exact"/>
              <w:rPr>
                <w:sz w:val="1"/>
                <w:szCs w:val="1"/>
                <w:color w:val="auto"/>
              </w:rPr>
            </w:pPr>
          </w:p>
        </w:tc>
        <w:tc>
          <w:tcPr>
            <w:tcW w:w="100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Borders>
              <w:bottom w:val="single" w:sz="8" w:color="E8F0F8"/>
            </w:tcBorders>
            <w:shd w:val="clear" w:color="auto" w:fill="E8F0F8"/>
          </w:tcPr>
          <w:p>
            <w:pPr>
              <w:spacing w:after="0"/>
              <w:rPr>
                <w:sz w:val="17"/>
                <w:szCs w:val="17"/>
                <w:color w:val="auto"/>
              </w:rPr>
            </w:pPr>
          </w:p>
        </w:tc>
        <w:tc>
          <w:tcPr>
            <w:tcW w:w="1000" w:type="dxa"/>
            <w:vAlign w:val="bottom"/>
            <w:tcBorders>
              <w:bottom w:val="single" w:sz="8" w:color="E8F0F8"/>
            </w:tcBorders>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Borders>
              <w:bottom w:val="single" w:sz="8" w:color="0000EE"/>
            </w:tcBorders>
            <w:gridSpan w:val="34"/>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1320" w:type="dxa"/>
            <w:vAlign w:val="bottom"/>
            <w:gridSpan w:val="2"/>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CEO Pay Ratio</w:t>
            </w:r>
          </w:p>
        </w:tc>
        <w:tc>
          <w:tcPr>
            <w:tcW w:w="6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15"/>
        </w:trPr>
        <w:tc>
          <w:tcPr>
            <w:tcW w:w="280" w:type="dxa"/>
            <w:vAlign w:val="bottom"/>
            <w:tcBorders>
              <w:top w:val="single" w:sz="8" w:color="E8F0F8"/>
              <w:bottom w:val="single" w:sz="8" w:color="auto"/>
            </w:tcBorders>
            <w:shd w:val="clear" w:color="auto" w:fill="E8F0F8"/>
          </w:tcPr>
          <w:p>
            <w:pPr>
              <w:spacing w:after="0"/>
              <w:rPr>
                <w:sz w:val="10"/>
                <w:szCs w:val="10"/>
                <w:color w:val="auto"/>
              </w:rPr>
            </w:pPr>
          </w:p>
        </w:tc>
        <w:tc>
          <w:tcPr>
            <w:tcW w:w="1000" w:type="dxa"/>
            <w:vAlign w:val="bottom"/>
            <w:tcBorders>
              <w:top w:val="single" w:sz="8" w:color="E8F0F8"/>
              <w:bottom w:val="single" w:sz="8" w:color="auto"/>
            </w:tcBorders>
            <w:shd w:val="clear" w:color="auto" w:fill="E8F0F8"/>
          </w:tcPr>
          <w:p>
            <w:pPr>
              <w:spacing w:after="0"/>
              <w:rPr>
                <w:sz w:val="10"/>
                <w:szCs w:val="10"/>
                <w:color w:val="auto"/>
              </w:rPr>
            </w:pPr>
          </w:p>
        </w:tc>
        <w:tc>
          <w:tcPr>
            <w:tcW w:w="60" w:type="dxa"/>
            <w:vAlign w:val="bottom"/>
            <w:tcBorders>
              <w:top w:val="single" w:sz="8" w:color="E8F0F8"/>
              <w:bottom w:val="single" w:sz="8" w:color="auto"/>
            </w:tcBorders>
            <w:shd w:val="clear" w:color="auto" w:fill="E8F0F8"/>
          </w:tcPr>
          <w:p>
            <w:pPr>
              <w:spacing w:after="0"/>
              <w:rPr>
                <w:sz w:val="10"/>
                <w:szCs w:val="10"/>
                <w:color w:val="auto"/>
              </w:rPr>
            </w:pPr>
          </w:p>
        </w:tc>
        <w:tc>
          <w:tcPr>
            <w:tcW w:w="1240" w:type="dxa"/>
            <w:vAlign w:val="bottom"/>
            <w:tcBorders>
              <w:top w:val="single" w:sz="8" w:color="E8F0F8"/>
              <w:bottom w:val="single" w:sz="8" w:color="auto"/>
            </w:tcBorders>
            <w:shd w:val="clear" w:color="auto" w:fill="E8F0F8"/>
          </w:tcPr>
          <w:p>
            <w:pPr>
              <w:spacing w:after="0"/>
              <w:rPr>
                <w:sz w:val="10"/>
                <w:szCs w:val="10"/>
                <w:color w:val="auto"/>
              </w:rPr>
            </w:pPr>
          </w:p>
        </w:tc>
        <w:tc>
          <w:tcPr>
            <w:tcW w:w="1540" w:type="dxa"/>
            <w:vAlign w:val="bottom"/>
            <w:tcBorders>
              <w:top w:val="single" w:sz="8" w:color="E8F0F8"/>
              <w:bottom w:val="single" w:sz="8" w:color="auto"/>
            </w:tcBorders>
            <w:shd w:val="clear" w:color="auto" w:fill="E8F0F8"/>
          </w:tcPr>
          <w:p>
            <w:pPr>
              <w:spacing w:after="0"/>
              <w:rPr>
                <w:sz w:val="10"/>
                <w:szCs w:val="10"/>
                <w:color w:val="auto"/>
              </w:rPr>
            </w:pPr>
          </w:p>
        </w:tc>
        <w:tc>
          <w:tcPr>
            <w:tcW w:w="100" w:type="dxa"/>
            <w:vAlign w:val="bottom"/>
            <w:tcBorders>
              <w:top w:val="single" w:sz="8" w:color="E8F0F8"/>
              <w:bottom w:val="single" w:sz="8" w:color="auto"/>
            </w:tcBorders>
            <w:shd w:val="clear" w:color="auto" w:fill="E8F0F8"/>
          </w:tcPr>
          <w:p>
            <w:pPr>
              <w:spacing w:after="0"/>
              <w:rPr>
                <w:sz w:val="10"/>
                <w:szCs w:val="10"/>
                <w:color w:val="auto"/>
              </w:rPr>
            </w:pPr>
          </w:p>
        </w:tc>
        <w:tc>
          <w:tcPr>
            <w:tcW w:w="200" w:type="dxa"/>
            <w:vAlign w:val="bottom"/>
            <w:tcBorders>
              <w:top w:val="single" w:sz="8" w:color="E8F0F8"/>
              <w:bottom w:val="single" w:sz="8" w:color="auto"/>
            </w:tcBorders>
            <w:shd w:val="clear" w:color="auto" w:fill="E8F0F8"/>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top w:val="single" w:sz="8" w:color="0000EE"/>
              <w:bottom w:val="single" w:sz="8" w:color="auto"/>
            </w:tcBorders>
          </w:tcPr>
          <w:p>
            <w:pPr>
              <w:spacing w:after="0"/>
              <w:rPr>
                <w:sz w:val="10"/>
                <w:szCs w:val="10"/>
                <w:color w:val="auto"/>
              </w:rPr>
            </w:pPr>
          </w:p>
        </w:tc>
        <w:tc>
          <w:tcPr>
            <w:tcW w:w="500" w:type="dxa"/>
            <w:vAlign w:val="bottom"/>
            <w:tcBorders>
              <w:top w:val="single" w:sz="8" w:color="0000EE"/>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80" w:type="dxa"/>
            <w:vAlign w:val="bottom"/>
            <w:gridSpan w:val="2"/>
            <w:vMerge w:val="restart"/>
            <w:shd w:val="clear" w:color="auto" w:fill="E8F0F8"/>
          </w:tcPr>
          <w:p>
            <w:pPr>
              <w:jc w:val="right"/>
              <w:ind w:right="240"/>
              <w:spacing w:after="0" w:line="1463" w:lineRule="exact"/>
              <w:rPr>
                <w:sz w:val="20"/>
                <w:szCs w:val="20"/>
                <w:color w:val="auto"/>
              </w:rPr>
            </w:pPr>
            <w:r>
              <w:rPr>
                <w:rFonts w:ascii="Arial" w:cs="Arial" w:eastAsia="Arial" w:hAnsi="Arial"/>
                <w:sz w:val="144"/>
                <w:szCs w:val="144"/>
                <w:color w:val="1A6DBB"/>
              </w:rPr>
              <w:t>7</w:t>
            </w:r>
          </w:p>
        </w:tc>
        <w:tc>
          <w:tcPr>
            <w:tcW w:w="60" w:type="dxa"/>
            <w:vAlign w:val="bottom"/>
            <w:shd w:val="clear" w:color="auto" w:fill="E8F0F8"/>
          </w:tcPr>
          <w:p>
            <w:pPr>
              <w:spacing w:after="0"/>
              <w:rPr>
                <w:sz w:val="14"/>
                <w:szCs w:val="14"/>
                <w:color w:val="auto"/>
              </w:rPr>
            </w:pPr>
          </w:p>
        </w:tc>
        <w:tc>
          <w:tcPr>
            <w:tcW w:w="3080" w:type="dxa"/>
            <w:vAlign w:val="bottom"/>
            <w:gridSpan w:val="4"/>
            <w:shd w:val="clear" w:color="auto" w:fill="E8F0F8"/>
          </w:tcPr>
          <w:p>
            <w:pPr>
              <w:spacing w:after="0" w:line="162" w:lineRule="exact"/>
              <w:rPr>
                <w:sz w:val="20"/>
                <w:szCs w:val="20"/>
                <w:color w:val="auto"/>
              </w:rPr>
            </w:pPr>
            <w:r>
              <w:rPr>
                <w:rFonts w:ascii="Arial" w:cs="Arial" w:eastAsia="Arial" w:hAnsi="Arial"/>
                <w:sz w:val="17"/>
                <w:szCs w:val="17"/>
                <w:color w:val="0000EE"/>
              </w:rPr>
              <w:t>Additional Information</w:t>
            </w:r>
          </w:p>
        </w:tc>
        <w:tc>
          <w:tcPr>
            <w:tcW w:w="260" w:type="dxa"/>
            <w:vAlign w:val="bottom"/>
          </w:tcPr>
          <w:p>
            <w:pPr>
              <w:spacing w:after="0"/>
              <w:rPr>
                <w:sz w:val="14"/>
                <w:szCs w:val="14"/>
                <w:color w:val="auto"/>
              </w:rPr>
            </w:pPr>
          </w:p>
        </w:tc>
        <w:tc>
          <w:tcPr>
            <w:tcW w:w="5740" w:type="dxa"/>
            <w:vAlign w:val="bottom"/>
            <w:gridSpan w:val="37"/>
          </w:tcPr>
          <w:p>
            <w:pPr>
              <w:spacing w:after="0" w:line="169" w:lineRule="exact"/>
              <w:rPr>
                <w:sz w:val="20"/>
                <w:szCs w:val="20"/>
                <w:color w:val="auto"/>
              </w:rPr>
            </w:pPr>
            <w:r>
              <w:rPr>
                <w:rFonts w:ascii="Arial" w:cs="Arial" w:eastAsia="Arial" w:hAnsi="Arial"/>
                <w:sz w:val="16"/>
                <w:szCs w:val="16"/>
                <w:color w:val="0000EE"/>
              </w:rPr>
              <w:t>Certain Relationships and Related Person Transactions</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95"/>
        </w:trPr>
        <w:tc>
          <w:tcPr>
            <w:tcW w:w="1280" w:type="dxa"/>
            <w:vAlign w:val="bottom"/>
            <w:tcBorders>
              <w:top w:val="single" w:sz="8" w:color="E8F0F8"/>
              <w:bottom w:val="single" w:sz="8" w:color="E8F0F8"/>
            </w:tcBorders>
            <w:gridSpan w:val="2"/>
            <w:vMerge w:val="continue"/>
            <w:shd w:val="clear" w:color="auto" w:fill="E8F0F8"/>
          </w:tcPr>
          <w:p>
            <w:pPr>
              <w:spacing w:after="0"/>
              <w:rPr>
                <w:sz w:val="8"/>
                <w:szCs w:val="8"/>
                <w:color w:val="auto"/>
              </w:rPr>
            </w:pPr>
          </w:p>
        </w:tc>
        <w:tc>
          <w:tcPr>
            <w:tcW w:w="60" w:type="dxa"/>
            <w:vAlign w:val="bottom"/>
            <w:tcBorders>
              <w:top w:val="single" w:sz="8" w:color="E8F0F8"/>
              <w:bottom w:val="single" w:sz="8" w:color="E8F0F8"/>
            </w:tcBorders>
            <w:shd w:val="clear" w:color="auto" w:fill="E8F0F8"/>
          </w:tcPr>
          <w:p>
            <w:pPr>
              <w:spacing w:after="0"/>
              <w:rPr>
                <w:sz w:val="8"/>
                <w:szCs w:val="8"/>
                <w:color w:val="auto"/>
              </w:rPr>
            </w:pPr>
          </w:p>
        </w:tc>
        <w:tc>
          <w:tcPr>
            <w:tcW w:w="1240" w:type="dxa"/>
            <w:vAlign w:val="bottom"/>
            <w:tcBorders>
              <w:top w:val="single" w:sz="8" w:color="E8F0F8"/>
              <w:bottom w:val="single" w:sz="8" w:color="0000EE"/>
            </w:tcBorders>
            <w:shd w:val="clear" w:color="auto" w:fill="E8F0F8"/>
          </w:tcPr>
          <w:p>
            <w:pPr>
              <w:spacing w:after="0"/>
              <w:rPr>
                <w:sz w:val="8"/>
                <w:szCs w:val="8"/>
                <w:color w:val="auto"/>
              </w:rPr>
            </w:pPr>
          </w:p>
        </w:tc>
        <w:tc>
          <w:tcPr>
            <w:tcW w:w="1540" w:type="dxa"/>
            <w:vAlign w:val="bottom"/>
            <w:tcBorders>
              <w:top w:val="single" w:sz="8" w:color="E8F0F8"/>
              <w:bottom w:val="single" w:sz="8" w:color="0000EE"/>
            </w:tcBorders>
            <w:shd w:val="clear" w:color="auto" w:fill="E8F0F8"/>
          </w:tcPr>
          <w:p>
            <w:pPr>
              <w:spacing w:after="0"/>
              <w:rPr>
                <w:sz w:val="8"/>
                <w:szCs w:val="8"/>
                <w:color w:val="auto"/>
              </w:rPr>
            </w:pPr>
          </w:p>
        </w:tc>
        <w:tc>
          <w:tcPr>
            <w:tcW w:w="100" w:type="dxa"/>
            <w:vAlign w:val="bottom"/>
            <w:tcBorders>
              <w:top w:val="single" w:sz="8" w:color="E8F0F8"/>
              <w:bottom w:val="single" w:sz="8" w:color="E8F0F8"/>
            </w:tcBorders>
            <w:shd w:val="clear" w:color="auto" w:fill="E8F0F8"/>
          </w:tcPr>
          <w:p>
            <w:pPr>
              <w:spacing w:after="0"/>
              <w:rPr>
                <w:sz w:val="8"/>
                <w:szCs w:val="8"/>
                <w:color w:val="auto"/>
              </w:rPr>
            </w:pPr>
          </w:p>
        </w:tc>
        <w:tc>
          <w:tcPr>
            <w:tcW w:w="200" w:type="dxa"/>
            <w:vAlign w:val="bottom"/>
            <w:tcBorders>
              <w:top w:val="single" w:sz="8" w:color="E8F0F8"/>
              <w:bottom w:val="single" w:sz="8" w:color="E8F0F8"/>
            </w:tcBorders>
            <w:shd w:val="clear" w:color="auto" w:fill="E8F0F8"/>
          </w:tcPr>
          <w:p>
            <w:pPr>
              <w:spacing w:after="0"/>
              <w:rPr>
                <w:sz w:val="8"/>
                <w:szCs w:val="8"/>
                <w:color w:val="auto"/>
              </w:rPr>
            </w:pPr>
          </w:p>
        </w:tc>
        <w:tc>
          <w:tcPr>
            <w:tcW w:w="260" w:type="dxa"/>
            <w:vAlign w:val="bottom"/>
          </w:tcPr>
          <w:p>
            <w:pPr>
              <w:spacing w:after="0"/>
              <w:rPr>
                <w:sz w:val="8"/>
                <w:szCs w:val="8"/>
                <w:color w:val="auto"/>
              </w:rPr>
            </w:pPr>
          </w:p>
        </w:tc>
        <w:tc>
          <w:tcPr>
            <w:tcW w:w="3980" w:type="dxa"/>
            <w:vAlign w:val="bottom"/>
            <w:tcBorders>
              <w:top w:val="single" w:sz="8" w:color="0000EE"/>
              <w:bottom w:val="single" w:sz="8" w:color="0000EE"/>
            </w:tcBorders>
            <w:gridSpan w:val="31"/>
            <w:vMerge w:val="restart"/>
          </w:tcPr>
          <w:p>
            <w:pPr>
              <w:spacing w:after="0"/>
              <w:rPr>
                <w:sz w:val="20"/>
                <w:szCs w:val="20"/>
                <w:color w:val="auto"/>
              </w:rPr>
            </w:pPr>
            <w:r>
              <w:rPr>
                <w:rFonts w:ascii="Arial" w:cs="Arial" w:eastAsia="Arial" w:hAnsi="Arial"/>
                <w:sz w:val="16"/>
                <w:szCs w:val="16"/>
                <w:color w:val="0000EE"/>
              </w:rPr>
              <w:t>Equity Compensation Plan Information</w:t>
            </w:r>
          </w:p>
        </w:tc>
        <w:tc>
          <w:tcPr>
            <w:tcW w:w="1760" w:type="dxa"/>
            <w:vAlign w:val="bottom"/>
            <w:gridSpan w:val="6"/>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81"/>
        </w:trPr>
        <w:tc>
          <w:tcPr>
            <w:tcW w:w="1280" w:type="dxa"/>
            <w:vAlign w:val="bottom"/>
            <w:gridSpan w:val="2"/>
            <w:vMerge w:val="continue"/>
            <w:shd w:val="clear" w:color="auto" w:fill="E8F0F8"/>
          </w:tcPr>
          <w:p>
            <w:pPr>
              <w:spacing w:after="0"/>
              <w:rPr>
                <w:sz w:val="7"/>
                <w:szCs w:val="7"/>
                <w:color w:val="auto"/>
              </w:rPr>
            </w:pPr>
          </w:p>
        </w:tc>
        <w:tc>
          <w:tcPr>
            <w:tcW w:w="60" w:type="dxa"/>
            <w:vAlign w:val="bottom"/>
            <w:shd w:val="clear" w:color="auto" w:fill="E8F0F8"/>
          </w:tcPr>
          <w:p>
            <w:pPr>
              <w:spacing w:after="0"/>
              <w:rPr>
                <w:sz w:val="7"/>
                <w:szCs w:val="7"/>
                <w:color w:val="auto"/>
              </w:rPr>
            </w:pPr>
          </w:p>
        </w:tc>
        <w:tc>
          <w:tcPr>
            <w:tcW w:w="1240" w:type="dxa"/>
            <w:vAlign w:val="bottom"/>
            <w:shd w:val="clear" w:color="auto" w:fill="E8F0F8"/>
          </w:tcPr>
          <w:p>
            <w:pPr>
              <w:spacing w:after="0"/>
              <w:rPr>
                <w:sz w:val="7"/>
                <w:szCs w:val="7"/>
                <w:color w:val="auto"/>
              </w:rPr>
            </w:pPr>
          </w:p>
        </w:tc>
        <w:tc>
          <w:tcPr>
            <w:tcW w:w="1540" w:type="dxa"/>
            <w:vAlign w:val="bottom"/>
            <w:shd w:val="clear" w:color="auto" w:fill="E8F0F8"/>
          </w:tcPr>
          <w:p>
            <w:pPr>
              <w:spacing w:after="0"/>
              <w:rPr>
                <w:sz w:val="7"/>
                <w:szCs w:val="7"/>
                <w:color w:val="auto"/>
              </w:rPr>
            </w:pPr>
          </w:p>
        </w:tc>
        <w:tc>
          <w:tcPr>
            <w:tcW w:w="100" w:type="dxa"/>
            <w:vAlign w:val="bottom"/>
            <w:shd w:val="clear" w:color="auto" w:fill="E8F0F8"/>
          </w:tcPr>
          <w:p>
            <w:pPr>
              <w:spacing w:after="0"/>
              <w:rPr>
                <w:sz w:val="7"/>
                <w:szCs w:val="7"/>
                <w:color w:val="auto"/>
              </w:rPr>
            </w:pPr>
          </w:p>
        </w:tc>
        <w:tc>
          <w:tcPr>
            <w:tcW w:w="200" w:type="dxa"/>
            <w:vAlign w:val="bottom"/>
            <w:shd w:val="clear" w:color="auto" w:fill="E8F0F8"/>
          </w:tcPr>
          <w:p>
            <w:pPr>
              <w:spacing w:after="0"/>
              <w:rPr>
                <w:sz w:val="7"/>
                <w:szCs w:val="7"/>
                <w:color w:val="auto"/>
              </w:rPr>
            </w:pPr>
          </w:p>
        </w:tc>
        <w:tc>
          <w:tcPr>
            <w:tcW w:w="260" w:type="dxa"/>
            <w:vAlign w:val="bottom"/>
          </w:tcPr>
          <w:p>
            <w:pPr>
              <w:spacing w:after="0"/>
              <w:rPr>
                <w:sz w:val="7"/>
                <w:szCs w:val="7"/>
                <w:color w:val="auto"/>
              </w:rPr>
            </w:pPr>
          </w:p>
        </w:tc>
        <w:tc>
          <w:tcPr>
            <w:tcW w:w="3980" w:type="dxa"/>
            <w:vAlign w:val="bottom"/>
            <w:gridSpan w:val="31"/>
            <w:vMerge w:val="continue"/>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E8F0F8"/>
            </w:tcBorders>
            <w:gridSpan w:val="2"/>
            <w:vMerge w:val="continue"/>
            <w:shd w:val="clear" w:color="auto" w:fill="E8F0F8"/>
          </w:tcPr>
          <w:p>
            <w:pPr>
              <w:spacing w:after="0"/>
              <w:rPr>
                <w:sz w:val="17"/>
                <w:szCs w:val="17"/>
                <w:color w:val="auto"/>
              </w:rPr>
            </w:pPr>
          </w:p>
        </w:tc>
        <w:tc>
          <w:tcPr>
            <w:tcW w:w="60" w:type="dxa"/>
            <w:vAlign w:val="bottom"/>
            <w:tcBorders>
              <w:top w:val="single" w:sz="8" w:color="E8F0F8"/>
            </w:tcBorders>
            <w:shd w:val="clear" w:color="auto" w:fill="E8F0F8"/>
          </w:tcPr>
          <w:p>
            <w:pPr>
              <w:spacing w:after="0"/>
              <w:rPr>
                <w:sz w:val="17"/>
                <w:szCs w:val="17"/>
                <w:color w:val="auto"/>
              </w:rPr>
            </w:pPr>
          </w:p>
        </w:tc>
        <w:tc>
          <w:tcPr>
            <w:tcW w:w="1240" w:type="dxa"/>
            <w:vAlign w:val="bottom"/>
            <w:tcBorders>
              <w:top w:val="single" w:sz="8" w:color="E8F0F8"/>
            </w:tcBorders>
            <w:shd w:val="clear" w:color="auto" w:fill="E8F0F8"/>
          </w:tcPr>
          <w:p>
            <w:pPr>
              <w:spacing w:after="0"/>
              <w:rPr>
                <w:sz w:val="17"/>
                <w:szCs w:val="17"/>
                <w:color w:val="auto"/>
              </w:rPr>
            </w:pPr>
          </w:p>
        </w:tc>
        <w:tc>
          <w:tcPr>
            <w:tcW w:w="1540" w:type="dxa"/>
            <w:vAlign w:val="bottom"/>
            <w:tcBorders>
              <w:top w:val="single" w:sz="8" w:color="E8F0F8"/>
            </w:tcBorders>
            <w:shd w:val="clear" w:color="auto" w:fill="E8F0F8"/>
          </w:tcPr>
          <w:p>
            <w:pPr>
              <w:spacing w:after="0"/>
              <w:rPr>
                <w:sz w:val="17"/>
                <w:szCs w:val="17"/>
                <w:color w:val="auto"/>
              </w:rPr>
            </w:pPr>
          </w:p>
        </w:tc>
        <w:tc>
          <w:tcPr>
            <w:tcW w:w="100" w:type="dxa"/>
            <w:vAlign w:val="bottom"/>
            <w:tcBorders>
              <w:top w:val="single" w:sz="8" w:color="E8F0F8"/>
            </w:tcBorders>
            <w:shd w:val="clear" w:color="auto" w:fill="E8F0F8"/>
          </w:tcPr>
          <w:p>
            <w:pPr>
              <w:spacing w:after="0"/>
              <w:rPr>
                <w:sz w:val="17"/>
                <w:szCs w:val="17"/>
                <w:color w:val="auto"/>
              </w:rPr>
            </w:pPr>
          </w:p>
        </w:tc>
        <w:tc>
          <w:tcPr>
            <w:tcW w:w="200" w:type="dxa"/>
            <w:vAlign w:val="bottom"/>
            <w:tcBorders>
              <w:top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Borders>
              <w:top w:val="single" w:sz="8" w:color="0000EE"/>
            </w:tcBorders>
            <w:gridSpan w:val="20"/>
          </w:tcPr>
          <w:p>
            <w:pPr>
              <w:spacing w:after="0"/>
              <w:rPr>
                <w:sz w:val="20"/>
                <w:szCs w:val="20"/>
                <w:color w:val="auto"/>
              </w:rPr>
            </w:pPr>
            <w:r>
              <w:rPr>
                <w:rFonts w:ascii="Arial" w:cs="Arial" w:eastAsia="Arial" w:hAnsi="Arial"/>
                <w:sz w:val="16"/>
                <w:szCs w:val="16"/>
                <w:color w:val="0000EE"/>
              </w:rPr>
              <w:t>Miscellaneous</w:t>
            </w:r>
          </w:p>
        </w:tc>
        <w:tc>
          <w:tcPr>
            <w:tcW w:w="2980" w:type="dxa"/>
            <w:vAlign w:val="bottom"/>
            <w:gridSpan w:val="17"/>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1280" w:type="dxa"/>
            <w:vAlign w:val="bottom"/>
            <w:gridSpan w:val="2"/>
            <w:vMerge w:val="continue"/>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6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vMerge w:val="continue"/>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Stockholder Proposals</w:t>
            </w: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1280" w:type="dxa"/>
            <w:vAlign w:val="bottom"/>
            <w:gridSpan w:val="2"/>
            <w:vMerge w:val="continue"/>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1240" w:type="dxa"/>
            <w:vAlign w:val="bottom"/>
            <w:shd w:val="clear" w:color="auto" w:fill="E8F0F8"/>
          </w:tcPr>
          <w:p>
            <w:pPr>
              <w:spacing w:after="0" w:line="20" w:lineRule="exact"/>
              <w:rPr>
                <w:sz w:val="1"/>
                <w:szCs w:val="1"/>
                <w:color w:val="auto"/>
              </w:rPr>
            </w:pPr>
          </w:p>
        </w:tc>
        <w:tc>
          <w:tcPr>
            <w:tcW w:w="1540" w:type="dxa"/>
            <w:vAlign w:val="bottom"/>
            <w:shd w:val="clear" w:color="auto" w:fill="E8F0F8"/>
          </w:tcPr>
          <w:p>
            <w:pPr>
              <w:spacing w:after="0" w:line="20" w:lineRule="exact"/>
              <w:rPr>
                <w:sz w:val="1"/>
                <w:szCs w:val="1"/>
                <w:color w:val="auto"/>
              </w:rPr>
            </w:pPr>
          </w:p>
        </w:tc>
        <w:tc>
          <w:tcPr>
            <w:tcW w:w="100" w:type="dxa"/>
            <w:vAlign w:val="bottom"/>
            <w:shd w:val="clear" w:color="auto" w:fill="E8F0F8"/>
          </w:tcPr>
          <w:p>
            <w:pPr>
              <w:spacing w:after="0" w:line="20" w:lineRule="exact"/>
              <w:rPr>
                <w:sz w:val="1"/>
                <w:szCs w:val="1"/>
                <w:color w:val="auto"/>
              </w:rPr>
            </w:pPr>
          </w:p>
        </w:tc>
        <w:tc>
          <w:tcPr>
            <w:tcW w:w="200" w:type="dxa"/>
            <w:vAlign w:val="bottom"/>
            <w:shd w:val="clear" w:color="auto" w:fill="E8F0F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6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E8F0F8"/>
            </w:tcBorders>
            <w:gridSpan w:val="2"/>
            <w:vMerge w:val="continue"/>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Other Stockholder Communications</w:t>
            </w:r>
          </w:p>
        </w:tc>
        <w:tc>
          <w:tcPr>
            <w:tcW w:w="3020" w:type="dxa"/>
            <w:vAlign w:val="bottom"/>
            <w:gridSpan w:val="18"/>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E8F0F8"/>
            </w:tcBorders>
            <w:gridSpan w:val="2"/>
            <w:vMerge w:val="continue"/>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Incorporation by Reference</w:t>
            </w:r>
          </w:p>
        </w:tc>
        <w:tc>
          <w:tcPr>
            <w:tcW w:w="3620" w:type="dxa"/>
            <w:vAlign w:val="bottom"/>
            <w:gridSpan w:val="25"/>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E8F0F8"/>
            </w:tcBorders>
            <w:gridSpan w:val="2"/>
            <w:vMerge w:val="continue"/>
            <w:shd w:val="clear" w:color="auto" w:fill="E8F0F8"/>
          </w:tcPr>
          <w:p>
            <w:pPr>
              <w:spacing w:after="0"/>
              <w:rPr>
                <w:sz w:val="17"/>
                <w:szCs w:val="17"/>
                <w:color w:val="auto"/>
              </w:rPr>
            </w:pPr>
          </w:p>
        </w:tc>
        <w:tc>
          <w:tcPr>
            <w:tcW w:w="60" w:type="dxa"/>
            <w:vAlign w:val="bottom"/>
            <w:tcBorders>
              <w:bottom w:val="single" w:sz="8" w:color="E8F0F8"/>
            </w:tcBorders>
            <w:shd w:val="clear" w:color="auto" w:fill="E8F0F8"/>
          </w:tcPr>
          <w:p>
            <w:pPr>
              <w:spacing w:after="0"/>
              <w:rPr>
                <w:sz w:val="17"/>
                <w:szCs w:val="17"/>
                <w:color w:val="auto"/>
              </w:rPr>
            </w:pPr>
          </w:p>
        </w:tc>
        <w:tc>
          <w:tcPr>
            <w:tcW w:w="1240" w:type="dxa"/>
            <w:vAlign w:val="bottom"/>
            <w:tcBorders>
              <w:bottom w:val="single" w:sz="8" w:color="E8F0F8"/>
            </w:tcBorders>
            <w:shd w:val="clear" w:color="auto" w:fill="E8F0F8"/>
          </w:tcPr>
          <w:p>
            <w:pPr>
              <w:spacing w:after="0"/>
              <w:rPr>
                <w:sz w:val="17"/>
                <w:szCs w:val="17"/>
                <w:color w:val="auto"/>
              </w:rPr>
            </w:pPr>
          </w:p>
        </w:tc>
        <w:tc>
          <w:tcPr>
            <w:tcW w:w="1540" w:type="dxa"/>
            <w:vAlign w:val="bottom"/>
            <w:tcBorders>
              <w:bottom w:val="single" w:sz="8" w:color="E8F0F8"/>
            </w:tcBorders>
            <w:shd w:val="clear" w:color="auto" w:fill="E8F0F8"/>
          </w:tcPr>
          <w:p>
            <w:pPr>
              <w:spacing w:after="0"/>
              <w:rPr>
                <w:sz w:val="17"/>
                <w:szCs w:val="17"/>
                <w:color w:val="auto"/>
              </w:rPr>
            </w:pPr>
          </w:p>
        </w:tc>
        <w:tc>
          <w:tcPr>
            <w:tcW w:w="100" w:type="dxa"/>
            <w:vAlign w:val="bottom"/>
            <w:tcBorders>
              <w:bottom w:val="single" w:sz="8" w:color="E8F0F8"/>
            </w:tcBorders>
            <w:shd w:val="clear" w:color="auto" w:fill="E8F0F8"/>
          </w:tcPr>
          <w:p>
            <w:pPr>
              <w:spacing w:after="0"/>
              <w:rPr>
                <w:sz w:val="17"/>
                <w:szCs w:val="17"/>
                <w:color w:val="auto"/>
              </w:rPr>
            </w:pPr>
          </w:p>
        </w:tc>
        <w:tc>
          <w:tcPr>
            <w:tcW w:w="200" w:type="dxa"/>
            <w:vAlign w:val="bottom"/>
            <w:tcBorders>
              <w:bottom w:val="single" w:sz="8" w:color="E8F0F8"/>
            </w:tcBorders>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Copies of Annual Meeting Materials</w:t>
            </w:r>
          </w:p>
        </w:tc>
        <w:tc>
          <w:tcPr>
            <w:tcW w:w="3020" w:type="dxa"/>
            <w:vAlign w:val="bottom"/>
            <w:gridSpan w:val="18"/>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280" w:type="dxa"/>
            <w:vAlign w:val="bottom"/>
            <w:shd w:val="clear" w:color="auto" w:fill="E8F0F8"/>
          </w:tcPr>
          <w:p>
            <w:pPr>
              <w:spacing w:after="0"/>
              <w:rPr>
                <w:sz w:val="17"/>
                <w:szCs w:val="17"/>
                <w:color w:val="auto"/>
              </w:rPr>
            </w:pPr>
          </w:p>
        </w:tc>
        <w:tc>
          <w:tcPr>
            <w:tcW w:w="1000" w:type="dxa"/>
            <w:vAlign w:val="bottom"/>
            <w:shd w:val="clear" w:color="auto" w:fill="E8F0F8"/>
          </w:tcPr>
          <w:p>
            <w:pPr>
              <w:spacing w:after="0"/>
              <w:rPr>
                <w:sz w:val="17"/>
                <w:szCs w:val="17"/>
                <w:color w:val="auto"/>
              </w:rPr>
            </w:pPr>
          </w:p>
        </w:tc>
        <w:tc>
          <w:tcPr>
            <w:tcW w:w="60" w:type="dxa"/>
            <w:vAlign w:val="bottom"/>
            <w:shd w:val="clear" w:color="auto" w:fill="E8F0F8"/>
          </w:tcPr>
          <w:p>
            <w:pPr>
              <w:spacing w:after="0"/>
              <w:rPr>
                <w:sz w:val="17"/>
                <w:szCs w:val="17"/>
                <w:color w:val="auto"/>
              </w:rPr>
            </w:pPr>
          </w:p>
        </w:tc>
        <w:tc>
          <w:tcPr>
            <w:tcW w:w="1240" w:type="dxa"/>
            <w:vAlign w:val="bottom"/>
            <w:shd w:val="clear" w:color="auto" w:fill="E8F0F8"/>
          </w:tcPr>
          <w:p>
            <w:pPr>
              <w:spacing w:after="0"/>
              <w:rPr>
                <w:sz w:val="17"/>
                <w:szCs w:val="17"/>
                <w:color w:val="auto"/>
              </w:rPr>
            </w:pPr>
          </w:p>
        </w:tc>
        <w:tc>
          <w:tcPr>
            <w:tcW w:w="1540" w:type="dxa"/>
            <w:vAlign w:val="bottom"/>
            <w:shd w:val="clear" w:color="auto" w:fill="E8F0F8"/>
          </w:tcPr>
          <w:p>
            <w:pPr>
              <w:spacing w:after="0"/>
              <w:rPr>
                <w:sz w:val="17"/>
                <w:szCs w:val="17"/>
                <w:color w:val="auto"/>
              </w:rPr>
            </w:pPr>
          </w:p>
        </w:tc>
        <w:tc>
          <w:tcPr>
            <w:tcW w:w="100" w:type="dxa"/>
            <w:vAlign w:val="bottom"/>
            <w:shd w:val="clear" w:color="auto" w:fill="E8F0F8"/>
          </w:tcPr>
          <w:p>
            <w:pPr>
              <w:spacing w:after="0"/>
              <w:rPr>
                <w:sz w:val="17"/>
                <w:szCs w:val="17"/>
                <w:color w:val="auto"/>
              </w:rPr>
            </w:pPr>
          </w:p>
        </w:tc>
        <w:tc>
          <w:tcPr>
            <w:tcW w:w="200" w:type="dxa"/>
            <w:vAlign w:val="bottom"/>
            <w:shd w:val="clear" w:color="auto" w:fill="E8F0F8"/>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36"/>
          </w:tcPr>
          <w:p>
            <w:pPr>
              <w:spacing w:after="0"/>
              <w:rPr>
                <w:sz w:val="20"/>
                <w:szCs w:val="20"/>
                <w:color w:val="auto"/>
              </w:rPr>
            </w:pPr>
            <w:r>
              <w:rPr>
                <w:rFonts w:ascii="Arial" w:cs="Arial" w:eastAsia="Arial" w:hAnsi="Arial"/>
                <w:sz w:val="16"/>
                <w:szCs w:val="16"/>
                <w:color w:val="0000EE"/>
              </w:rPr>
              <w:t>Manner and Cost of Proxy Solicitation</w:t>
            </w: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15"/>
        </w:trPr>
        <w:tc>
          <w:tcPr>
            <w:tcW w:w="280" w:type="dxa"/>
            <w:vAlign w:val="bottom"/>
            <w:tcBorders>
              <w:top w:val="single" w:sz="8" w:color="E8F0F8"/>
              <w:bottom w:val="single" w:sz="8" w:color="auto"/>
            </w:tcBorders>
            <w:shd w:val="clear" w:color="auto" w:fill="E8F0F8"/>
          </w:tcPr>
          <w:p>
            <w:pPr>
              <w:spacing w:after="0"/>
              <w:rPr>
                <w:sz w:val="10"/>
                <w:szCs w:val="10"/>
                <w:color w:val="auto"/>
              </w:rPr>
            </w:pPr>
          </w:p>
        </w:tc>
        <w:tc>
          <w:tcPr>
            <w:tcW w:w="1000" w:type="dxa"/>
            <w:vAlign w:val="bottom"/>
            <w:tcBorders>
              <w:top w:val="single" w:sz="8" w:color="E8F0F8"/>
              <w:bottom w:val="single" w:sz="8" w:color="auto"/>
            </w:tcBorders>
            <w:shd w:val="clear" w:color="auto" w:fill="E8F0F8"/>
          </w:tcPr>
          <w:p>
            <w:pPr>
              <w:spacing w:after="0"/>
              <w:rPr>
                <w:sz w:val="10"/>
                <w:szCs w:val="10"/>
                <w:color w:val="auto"/>
              </w:rPr>
            </w:pPr>
          </w:p>
        </w:tc>
        <w:tc>
          <w:tcPr>
            <w:tcW w:w="60" w:type="dxa"/>
            <w:vAlign w:val="bottom"/>
            <w:tcBorders>
              <w:top w:val="single" w:sz="8" w:color="E8F0F8"/>
              <w:bottom w:val="single" w:sz="8" w:color="auto"/>
            </w:tcBorders>
            <w:shd w:val="clear" w:color="auto" w:fill="E8F0F8"/>
          </w:tcPr>
          <w:p>
            <w:pPr>
              <w:spacing w:after="0"/>
              <w:rPr>
                <w:sz w:val="10"/>
                <w:szCs w:val="10"/>
                <w:color w:val="auto"/>
              </w:rPr>
            </w:pPr>
          </w:p>
        </w:tc>
        <w:tc>
          <w:tcPr>
            <w:tcW w:w="1240" w:type="dxa"/>
            <w:vAlign w:val="bottom"/>
            <w:tcBorders>
              <w:top w:val="single" w:sz="8" w:color="E8F0F8"/>
              <w:bottom w:val="single" w:sz="8" w:color="auto"/>
            </w:tcBorders>
            <w:shd w:val="clear" w:color="auto" w:fill="E8F0F8"/>
          </w:tcPr>
          <w:p>
            <w:pPr>
              <w:spacing w:after="0"/>
              <w:rPr>
                <w:sz w:val="10"/>
                <w:szCs w:val="10"/>
                <w:color w:val="auto"/>
              </w:rPr>
            </w:pPr>
          </w:p>
        </w:tc>
        <w:tc>
          <w:tcPr>
            <w:tcW w:w="1540" w:type="dxa"/>
            <w:vAlign w:val="bottom"/>
            <w:tcBorders>
              <w:top w:val="single" w:sz="8" w:color="E8F0F8"/>
              <w:bottom w:val="single" w:sz="8" w:color="auto"/>
            </w:tcBorders>
            <w:shd w:val="clear" w:color="auto" w:fill="E8F0F8"/>
          </w:tcPr>
          <w:p>
            <w:pPr>
              <w:spacing w:after="0"/>
              <w:rPr>
                <w:sz w:val="10"/>
                <w:szCs w:val="10"/>
                <w:color w:val="auto"/>
              </w:rPr>
            </w:pPr>
          </w:p>
        </w:tc>
        <w:tc>
          <w:tcPr>
            <w:tcW w:w="100" w:type="dxa"/>
            <w:vAlign w:val="bottom"/>
            <w:tcBorders>
              <w:top w:val="single" w:sz="8" w:color="E8F0F8"/>
              <w:bottom w:val="single" w:sz="8" w:color="auto"/>
            </w:tcBorders>
            <w:shd w:val="clear" w:color="auto" w:fill="E8F0F8"/>
          </w:tcPr>
          <w:p>
            <w:pPr>
              <w:spacing w:after="0"/>
              <w:rPr>
                <w:sz w:val="10"/>
                <w:szCs w:val="10"/>
                <w:color w:val="auto"/>
              </w:rPr>
            </w:pPr>
          </w:p>
        </w:tc>
        <w:tc>
          <w:tcPr>
            <w:tcW w:w="200" w:type="dxa"/>
            <w:vAlign w:val="bottom"/>
            <w:tcBorders>
              <w:top w:val="single" w:sz="8" w:color="E8F0F8"/>
              <w:bottom w:val="single" w:sz="8" w:color="auto"/>
            </w:tcBorders>
            <w:shd w:val="clear" w:color="auto" w:fill="E8F0F8"/>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top w:val="single" w:sz="8" w:color="0000EE"/>
              <w:bottom w:val="single" w:sz="8" w:color="auto"/>
            </w:tcBorders>
          </w:tcPr>
          <w:p>
            <w:pPr>
              <w:spacing w:after="0"/>
              <w:rPr>
                <w:sz w:val="10"/>
                <w:szCs w:val="10"/>
                <w:color w:val="auto"/>
              </w:rPr>
            </w:pPr>
          </w:p>
        </w:tc>
        <w:tc>
          <w:tcPr>
            <w:tcW w:w="500" w:type="dxa"/>
            <w:vAlign w:val="bottom"/>
            <w:tcBorders>
              <w:top w:val="single" w:sz="8" w:color="0000EE"/>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jc w:val="right"/>
              <w:ind w:right="80"/>
              <w:spacing w:after="0" w:line="223" w:lineRule="exact"/>
              <w:rPr>
                <w:sz w:val="20"/>
                <w:szCs w:val="20"/>
                <w:color w:val="auto"/>
              </w:rPr>
            </w:pPr>
            <w:r>
              <w:rPr>
                <w:rFonts w:ascii="Arial" w:cs="Arial" w:eastAsia="Arial" w:hAnsi="Arial"/>
                <w:sz w:val="23"/>
                <w:szCs w:val="23"/>
                <w:color w:val="0000EE"/>
              </w:rPr>
              <w:t>Appendix A</w:t>
            </w:r>
          </w:p>
        </w:tc>
        <w:tc>
          <w:tcPr>
            <w:tcW w:w="9140" w:type="dxa"/>
            <w:vAlign w:val="bottom"/>
            <w:gridSpan w:val="43"/>
          </w:tcPr>
          <w:p>
            <w:pPr>
              <w:spacing w:after="0" w:line="223" w:lineRule="exact"/>
              <w:rPr>
                <w:sz w:val="20"/>
                <w:szCs w:val="20"/>
                <w:color w:val="auto"/>
              </w:rPr>
            </w:pPr>
            <w:r>
              <w:rPr>
                <w:rFonts w:ascii="Arial" w:cs="Arial" w:eastAsia="Arial" w:hAnsi="Arial"/>
                <w:sz w:val="23"/>
                <w:szCs w:val="23"/>
                <w:color w:val="0000EE"/>
              </w:rPr>
              <w:t>— GAAP to Non-GAAP Reconciliation</w:t>
            </w:r>
          </w:p>
        </w:tc>
        <w:tc>
          <w:tcPr>
            <w:tcW w:w="600" w:type="dxa"/>
            <w:vAlign w:val="bottom"/>
          </w:tcPr>
          <w:p>
            <w:pPr>
              <w:jc w:val="right"/>
              <w:spacing w:after="0" w:line="223" w:lineRule="exact"/>
              <w:rPr>
                <w:sz w:val="20"/>
                <w:szCs w:val="20"/>
                <w:color w:val="auto"/>
              </w:rPr>
            </w:pPr>
            <w:r>
              <w:rPr>
                <w:rFonts w:ascii="Arial" w:cs="Arial" w:eastAsia="Arial" w:hAnsi="Arial"/>
                <w:sz w:val="23"/>
                <w:szCs w:val="23"/>
                <w:b w:val="1"/>
                <w:bCs w:val="1"/>
                <w:color w:val="1A6DBB"/>
              </w:rPr>
              <w:t>A-1</w:t>
            </w:r>
          </w:p>
        </w:tc>
        <w:tc>
          <w:tcPr>
            <w:tcW w:w="0" w:type="dxa"/>
            <w:vAlign w:val="bottom"/>
          </w:tcPr>
          <w:p>
            <w:pPr>
              <w:spacing w:after="0"/>
              <w:rPr>
                <w:sz w:val="1"/>
                <w:szCs w:val="1"/>
                <w:color w:val="auto"/>
              </w:rPr>
            </w:pPr>
          </w:p>
        </w:tc>
      </w:tr>
      <w:tr>
        <w:trPr>
          <w:trHeight w:val="34"/>
        </w:trPr>
        <w:tc>
          <w:tcPr>
            <w:tcW w:w="280" w:type="dxa"/>
            <w:vAlign w:val="bottom"/>
            <w:tcBorders>
              <w:top w:val="single" w:sz="8" w:color="0000EE"/>
              <w:bottom w:val="single" w:sz="8" w:color="1A6DBB"/>
            </w:tcBorders>
          </w:tcPr>
          <w:p>
            <w:pPr>
              <w:spacing w:after="0"/>
              <w:rPr>
                <w:sz w:val="2"/>
                <w:szCs w:val="2"/>
                <w:color w:val="auto"/>
              </w:rPr>
            </w:pPr>
          </w:p>
        </w:tc>
        <w:tc>
          <w:tcPr>
            <w:tcW w:w="1000" w:type="dxa"/>
            <w:vAlign w:val="bottom"/>
            <w:tcBorders>
              <w:top w:val="single" w:sz="8" w:color="0000EE"/>
              <w:bottom w:val="single" w:sz="8" w:color="1A6DBB"/>
            </w:tcBorders>
          </w:tcPr>
          <w:p>
            <w:pPr>
              <w:spacing w:after="0"/>
              <w:rPr>
                <w:sz w:val="2"/>
                <w:szCs w:val="2"/>
                <w:color w:val="auto"/>
              </w:rPr>
            </w:pPr>
          </w:p>
        </w:tc>
        <w:tc>
          <w:tcPr>
            <w:tcW w:w="60" w:type="dxa"/>
            <w:vAlign w:val="bottom"/>
            <w:tcBorders>
              <w:top w:val="single" w:sz="8" w:color="0000EE"/>
              <w:bottom w:val="single" w:sz="8" w:color="1A6DBB"/>
            </w:tcBorders>
          </w:tcPr>
          <w:p>
            <w:pPr>
              <w:spacing w:after="0"/>
              <w:rPr>
                <w:sz w:val="2"/>
                <w:szCs w:val="2"/>
                <w:color w:val="auto"/>
              </w:rPr>
            </w:pPr>
          </w:p>
        </w:tc>
        <w:tc>
          <w:tcPr>
            <w:tcW w:w="1240" w:type="dxa"/>
            <w:vAlign w:val="bottom"/>
            <w:tcBorders>
              <w:top w:val="single" w:sz="8" w:color="0000EE"/>
              <w:bottom w:val="single" w:sz="8" w:color="1A6DBB"/>
            </w:tcBorders>
          </w:tcPr>
          <w:p>
            <w:pPr>
              <w:spacing w:after="0"/>
              <w:rPr>
                <w:sz w:val="2"/>
                <w:szCs w:val="2"/>
                <w:color w:val="auto"/>
              </w:rPr>
            </w:pPr>
          </w:p>
        </w:tc>
        <w:tc>
          <w:tcPr>
            <w:tcW w:w="1540" w:type="dxa"/>
            <w:vAlign w:val="bottom"/>
            <w:tcBorders>
              <w:top w:val="single" w:sz="8" w:color="0000EE"/>
              <w:bottom w:val="single" w:sz="8" w:color="1A6DBB"/>
            </w:tcBorders>
          </w:tcPr>
          <w:p>
            <w:pPr>
              <w:spacing w:after="0"/>
              <w:rPr>
                <w:sz w:val="2"/>
                <w:szCs w:val="2"/>
                <w:color w:val="auto"/>
              </w:rPr>
            </w:pPr>
          </w:p>
        </w:tc>
        <w:tc>
          <w:tcPr>
            <w:tcW w:w="100" w:type="dxa"/>
            <w:vAlign w:val="bottom"/>
            <w:tcBorders>
              <w:top w:val="single" w:sz="8" w:color="0000EE"/>
              <w:bottom w:val="single" w:sz="8" w:color="1A6DBB"/>
            </w:tcBorders>
          </w:tcPr>
          <w:p>
            <w:pPr>
              <w:spacing w:after="0"/>
              <w:rPr>
                <w:sz w:val="2"/>
                <w:szCs w:val="2"/>
                <w:color w:val="auto"/>
              </w:rPr>
            </w:pPr>
          </w:p>
        </w:tc>
        <w:tc>
          <w:tcPr>
            <w:tcW w:w="200" w:type="dxa"/>
            <w:vAlign w:val="bottom"/>
            <w:tcBorders>
              <w:top w:val="single" w:sz="8" w:color="0000EE"/>
              <w:bottom w:val="single" w:sz="8" w:color="1A6DBB"/>
            </w:tcBorders>
          </w:tcPr>
          <w:p>
            <w:pPr>
              <w:spacing w:after="0"/>
              <w:rPr>
                <w:sz w:val="2"/>
                <w:szCs w:val="2"/>
                <w:color w:val="auto"/>
              </w:rPr>
            </w:pPr>
          </w:p>
        </w:tc>
        <w:tc>
          <w:tcPr>
            <w:tcW w:w="260" w:type="dxa"/>
            <w:vAlign w:val="bottom"/>
            <w:tcBorders>
              <w:top w:val="single" w:sz="8" w:color="0000EE"/>
              <w:bottom w:val="single" w:sz="8" w:color="1A6DBB"/>
            </w:tcBorders>
          </w:tcPr>
          <w:p>
            <w:pPr>
              <w:spacing w:after="0"/>
              <w:rPr>
                <w:sz w:val="2"/>
                <w:szCs w:val="2"/>
                <w:color w:val="auto"/>
              </w:rPr>
            </w:pPr>
          </w:p>
        </w:tc>
        <w:tc>
          <w:tcPr>
            <w:tcW w:w="160" w:type="dxa"/>
            <w:vAlign w:val="bottom"/>
            <w:tcBorders>
              <w:top w:val="single" w:sz="8" w:color="0000EE"/>
              <w:bottom w:val="single" w:sz="8" w:color="1A6DBB"/>
            </w:tcBorders>
          </w:tcPr>
          <w:p>
            <w:pPr>
              <w:spacing w:after="0"/>
              <w:rPr>
                <w:sz w:val="2"/>
                <w:szCs w:val="2"/>
                <w:color w:val="auto"/>
              </w:rPr>
            </w:pPr>
          </w:p>
        </w:tc>
        <w:tc>
          <w:tcPr>
            <w:tcW w:w="360" w:type="dxa"/>
            <w:vAlign w:val="bottom"/>
            <w:tcBorders>
              <w:top w:val="single" w:sz="8" w:color="0000EE"/>
              <w:bottom w:val="single" w:sz="8" w:color="1A6DBB"/>
            </w:tcBorders>
          </w:tcPr>
          <w:p>
            <w:pPr>
              <w:spacing w:after="0"/>
              <w:rPr>
                <w:sz w:val="2"/>
                <w:szCs w:val="2"/>
                <w:color w:val="auto"/>
              </w:rPr>
            </w:pPr>
          </w:p>
        </w:tc>
        <w:tc>
          <w:tcPr>
            <w:tcW w:w="50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12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220" w:type="dxa"/>
            <w:vAlign w:val="bottom"/>
            <w:tcBorders>
              <w:bottom w:val="single" w:sz="8" w:color="1A6DBB"/>
            </w:tcBorders>
          </w:tcPr>
          <w:p>
            <w:pPr>
              <w:spacing w:after="0"/>
              <w:rPr>
                <w:sz w:val="2"/>
                <w:szCs w:val="2"/>
                <w:color w:val="auto"/>
              </w:rPr>
            </w:pPr>
          </w:p>
        </w:tc>
        <w:tc>
          <w:tcPr>
            <w:tcW w:w="220" w:type="dxa"/>
            <w:vAlign w:val="bottom"/>
            <w:tcBorders>
              <w:bottom w:val="single" w:sz="8" w:color="1A6DBB"/>
            </w:tcBorders>
          </w:tcPr>
          <w:p>
            <w:pPr>
              <w:spacing w:after="0"/>
              <w:rPr>
                <w:sz w:val="2"/>
                <w:szCs w:val="2"/>
                <w:color w:val="auto"/>
              </w:rPr>
            </w:pPr>
          </w:p>
        </w:tc>
        <w:tc>
          <w:tcPr>
            <w:tcW w:w="100" w:type="dxa"/>
            <w:vAlign w:val="bottom"/>
            <w:tcBorders>
              <w:bottom w:val="single" w:sz="8" w:color="1A6DBB"/>
            </w:tcBorders>
          </w:tcPr>
          <w:p>
            <w:pPr>
              <w:spacing w:after="0"/>
              <w:rPr>
                <w:sz w:val="2"/>
                <w:szCs w:val="2"/>
                <w:color w:val="auto"/>
              </w:rPr>
            </w:pPr>
          </w:p>
        </w:tc>
        <w:tc>
          <w:tcPr>
            <w:tcW w:w="12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6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1240" w:type="dxa"/>
            <w:vAlign w:val="bottom"/>
            <w:tcBorders>
              <w:bottom w:val="single" w:sz="8" w:color="1A6DBB"/>
            </w:tcBorders>
          </w:tcPr>
          <w:p>
            <w:pPr>
              <w:spacing w:after="0"/>
              <w:rPr>
                <w:sz w:val="2"/>
                <w:szCs w:val="2"/>
                <w:color w:val="auto"/>
              </w:rPr>
            </w:pPr>
          </w:p>
        </w:tc>
        <w:tc>
          <w:tcPr>
            <w:tcW w:w="600" w:type="dxa"/>
            <w:vAlign w:val="bottom"/>
            <w:tcBorders>
              <w:bottom w:val="single" w:sz="8" w:color="1A6DBB"/>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80" w:type="dxa"/>
            <w:vAlign w:val="bottom"/>
            <w:shd w:val="clear" w:color="auto" w:fill="1A6DBB"/>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5151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 cy="1968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2"/>
          <w:szCs w:val="12"/>
          <w:color w:val="1A6DBB"/>
        </w:rPr>
        <w:t>-ii-</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1A6DBB"/>
        </w:rPr>
        <w:t>This summary highlights important information you will find in this Proxy Statement. As it is only a summary, please review the complete Proxy Statement 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858000" cy="360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90" w:type="dxa"/>
        <w:tblCellMar>
          <w:top w:w="0" w:type="dxa"/>
          <w:left w:w="0" w:type="dxa"/>
          <w:bottom w:w="0" w:type="dxa"/>
          <w:right w:w="0" w:type="dxa"/>
        </w:tblCellMar>
      </w:tblPr>
      <w:tr>
        <w:trPr>
          <w:trHeight w:val="188"/>
        </w:trPr>
        <w:tc>
          <w:tcPr>
            <w:tcW w:w="1680" w:type="dxa"/>
            <w:vAlign w:val="bottom"/>
            <w:tcBorders>
              <w:top w:val="single" w:sz="8" w:color="auto"/>
              <w:left w:val="single" w:sz="8" w:color="auto"/>
            </w:tcBorders>
            <w:shd w:val="clear" w:color="auto" w:fill="E8F0F8"/>
          </w:tcPr>
          <w:p>
            <w:pPr>
              <w:ind w:left="160"/>
              <w:spacing w:after="0"/>
              <w:rPr>
                <w:sz w:val="20"/>
                <w:szCs w:val="20"/>
                <w:color w:val="auto"/>
              </w:rPr>
            </w:pPr>
            <w:r>
              <w:rPr>
                <w:rFonts w:ascii="Arial" w:cs="Arial" w:eastAsia="Arial" w:hAnsi="Arial"/>
                <w:sz w:val="16"/>
                <w:szCs w:val="16"/>
                <w:b w:val="1"/>
                <w:bCs w:val="1"/>
                <w:color w:val="auto"/>
              </w:rPr>
              <w:t>DATE:</w:t>
            </w:r>
          </w:p>
        </w:tc>
        <w:tc>
          <w:tcPr>
            <w:tcW w:w="9240" w:type="dxa"/>
            <w:vAlign w:val="bottom"/>
            <w:tcBorders>
              <w:top w:val="single" w:sz="8" w:color="auto"/>
              <w:right w:val="single" w:sz="8" w:color="auto"/>
            </w:tcBorders>
            <w:gridSpan w:val="3"/>
            <w:shd w:val="clear" w:color="auto" w:fill="E8F0F8"/>
          </w:tcPr>
          <w:p>
            <w:pPr>
              <w:ind w:left="280"/>
              <w:spacing w:after="0"/>
              <w:rPr>
                <w:sz w:val="20"/>
                <w:szCs w:val="20"/>
                <w:color w:val="auto"/>
              </w:rPr>
            </w:pPr>
            <w:r>
              <w:rPr>
                <w:rFonts w:ascii="Arial" w:cs="Arial" w:eastAsia="Arial" w:hAnsi="Arial"/>
                <w:sz w:val="16"/>
                <w:szCs w:val="16"/>
                <w:color w:val="auto"/>
              </w:rPr>
              <w:t>Wednesday, June 15, 2022</w:t>
            </w:r>
          </w:p>
        </w:tc>
      </w:tr>
      <w:tr>
        <w:trPr>
          <w:trHeight w:val="189"/>
        </w:trPr>
        <w:tc>
          <w:tcPr>
            <w:tcW w:w="1680" w:type="dxa"/>
            <w:vAlign w:val="bottom"/>
            <w:tcBorders>
              <w:left w:val="single" w:sz="8" w:color="auto"/>
            </w:tcBorders>
            <w:shd w:val="clear" w:color="auto" w:fill="E8F0F8"/>
          </w:tcPr>
          <w:p>
            <w:pPr>
              <w:ind w:left="160"/>
              <w:spacing w:after="0"/>
              <w:rPr>
                <w:sz w:val="20"/>
                <w:szCs w:val="20"/>
                <w:color w:val="auto"/>
              </w:rPr>
            </w:pPr>
            <w:r>
              <w:rPr>
                <w:rFonts w:ascii="Arial" w:cs="Arial" w:eastAsia="Arial" w:hAnsi="Arial"/>
                <w:sz w:val="16"/>
                <w:szCs w:val="16"/>
                <w:b w:val="1"/>
                <w:bCs w:val="1"/>
                <w:color w:val="auto"/>
              </w:rPr>
              <w:t>TIME:</w:t>
            </w:r>
          </w:p>
        </w:tc>
        <w:tc>
          <w:tcPr>
            <w:tcW w:w="9240" w:type="dxa"/>
            <w:vAlign w:val="bottom"/>
            <w:tcBorders>
              <w:right w:val="single" w:sz="8" w:color="auto"/>
            </w:tcBorders>
            <w:gridSpan w:val="3"/>
            <w:shd w:val="clear" w:color="auto" w:fill="E8F0F8"/>
          </w:tcPr>
          <w:p>
            <w:pPr>
              <w:ind w:left="280"/>
              <w:spacing w:after="0"/>
              <w:rPr>
                <w:sz w:val="20"/>
                <w:szCs w:val="20"/>
                <w:color w:val="auto"/>
              </w:rPr>
            </w:pPr>
            <w:r>
              <w:rPr>
                <w:rFonts w:ascii="Arial" w:cs="Arial" w:eastAsia="Arial" w:hAnsi="Arial"/>
                <w:sz w:val="16"/>
                <w:szCs w:val="16"/>
                <w:color w:val="auto"/>
              </w:rPr>
              <w:t>9:00 a.m. Eastern Time</w:t>
            </w:r>
          </w:p>
        </w:tc>
      </w:tr>
      <w:tr>
        <w:trPr>
          <w:trHeight w:val="163"/>
        </w:trPr>
        <w:tc>
          <w:tcPr>
            <w:tcW w:w="1680" w:type="dxa"/>
            <w:vAlign w:val="bottom"/>
            <w:tcBorders>
              <w:left w:val="single" w:sz="8" w:color="auto"/>
            </w:tcBorders>
            <w:shd w:val="clear" w:color="auto" w:fill="E8F0F8"/>
          </w:tcPr>
          <w:p>
            <w:pPr>
              <w:ind w:left="160"/>
              <w:spacing w:after="0" w:line="143" w:lineRule="exact"/>
              <w:rPr>
                <w:sz w:val="20"/>
                <w:szCs w:val="20"/>
                <w:color w:val="auto"/>
              </w:rPr>
            </w:pPr>
            <w:r>
              <w:rPr>
                <w:rFonts w:ascii="Arial" w:cs="Arial" w:eastAsia="Arial" w:hAnsi="Arial"/>
                <w:sz w:val="16"/>
                <w:szCs w:val="16"/>
                <w:b w:val="1"/>
                <w:bCs w:val="1"/>
                <w:color w:val="auto"/>
              </w:rPr>
              <w:t>LOCATION:</w:t>
            </w:r>
          </w:p>
        </w:tc>
        <w:tc>
          <w:tcPr>
            <w:tcW w:w="9240" w:type="dxa"/>
            <w:vAlign w:val="bottom"/>
            <w:tcBorders>
              <w:right w:val="single" w:sz="8" w:color="auto"/>
            </w:tcBorders>
            <w:gridSpan w:val="3"/>
            <w:shd w:val="clear" w:color="auto" w:fill="E8F0F8"/>
          </w:tcPr>
          <w:p>
            <w:pPr>
              <w:ind w:left="280"/>
              <w:spacing w:after="0" w:line="143" w:lineRule="exact"/>
              <w:rPr>
                <w:sz w:val="20"/>
                <w:szCs w:val="20"/>
                <w:color w:val="auto"/>
              </w:rPr>
            </w:pPr>
            <w:r>
              <w:rPr>
                <w:rFonts w:ascii="Arial" w:cs="Arial" w:eastAsia="Arial" w:hAnsi="Arial"/>
                <w:sz w:val="14"/>
                <w:szCs w:val="14"/>
                <w:color w:val="auto"/>
              </w:rPr>
              <w:t>Online only at www.virtualshareholdermeeting.com/BIIB2022</w:t>
            </w:r>
          </w:p>
        </w:tc>
      </w:tr>
      <w:tr>
        <w:trPr>
          <w:trHeight w:val="20"/>
        </w:trPr>
        <w:tc>
          <w:tcPr>
            <w:tcW w:w="1680" w:type="dxa"/>
            <w:vAlign w:val="bottom"/>
            <w:tcBorders>
              <w:left w:val="single" w:sz="8" w:color="auto"/>
            </w:tcBorders>
            <w:shd w:val="clear" w:color="auto" w:fill="E8F0F8"/>
          </w:tcPr>
          <w:p>
            <w:pPr>
              <w:spacing w:after="0" w:line="20" w:lineRule="exact"/>
              <w:rPr>
                <w:sz w:val="1"/>
                <w:szCs w:val="1"/>
                <w:color w:val="auto"/>
              </w:rPr>
            </w:pPr>
          </w:p>
        </w:tc>
        <w:tc>
          <w:tcPr>
            <w:tcW w:w="1200" w:type="dxa"/>
            <w:vAlign w:val="bottom"/>
            <w:shd w:val="clear" w:color="auto" w:fill="E8F0F8"/>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100" w:type="dxa"/>
            <w:vAlign w:val="bottom"/>
            <w:tcBorders>
              <w:right w:val="single" w:sz="8" w:color="auto"/>
            </w:tcBorders>
            <w:shd w:val="clear" w:color="auto" w:fill="E8F0F8"/>
          </w:tcPr>
          <w:p>
            <w:pPr>
              <w:spacing w:after="0" w:line="20" w:lineRule="exact"/>
              <w:rPr>
                <w:sz w:val="1"/>
                <w:szCs w:val="1"/>
                <w:color w:val="auto"/>
              </w:rPr>
            </w:pPr>
          </w:p>
        </w:tc>
      </w:tr>
      <w:tr>
        <w:trPr>
          <w:trHeight w:val="303"/>
        </w:trPr>
        <w:tc>
          <w:tcPr>
            <w:tcW w:w="1680" w:type="dxa"/>
            <w:vAlign w:val="bottom"/>
            <w:tcBorders>
              <w:left w:val="single" w:sz="8" w:color="auto"/>
            </w:tcBorders>
            <w:shd w:val="clear" w:color="auto" w:fill="E8F0F8"/>
          </w:tcPr>
          <w:p>
            <w:pPr>
              <w:spacing w:after="0"/>
              <w:rPr>
                <w:sz w:val="24"/>
                <w:szCs w:val="24"/>
                <w:color w:val="auto"/>
              </w:rPr>
            </w:pPr>
          </w:p>
        </w:tc>
        <w:tc>
          <w:tcPr>
            <w:tcW w:w="9240" w:type="dxa"/>
            <w:vAlign w:val="bottom"/>
            <w:tcBorders>
              <w:right w:val="single" w:sz="8" w:color="auto"/>
            </w:tcBorders>
            <w:gridSpan w:val="3"/>
            <w:shd w:val="clear" w:color="auto" w:fill="E8F0F8"/>
          </w:tcPr>
          <w:p>
            <w:pPr>
              <w:ind w:left="280"/>
              <w:spacing w:after="0"/>
              <w:rPr>
                <w:sz w:val="20"/>
                <w:szCs w:val="20"/>
                <w:color w:val="auto"/>
              </w:rPr>
            </w:pPr>
            <w:r>
              <w:rPr>
                <w:rFonts w:ascii="Arial" w:cs="Arial" w:eastAsia="Arial" w:hAnsi="Arial"/>
                <w:sz w:val="16"/>
                <w:szCs w:val="16"/>
                <w:b w:val="1"/>
                <w:bCs w:val="1"/>
                <w:color w:val="auto"/>
              </w:rPr>
              <w:t>You will not be able to attend the annual meeting in person.</w:t>
            </w:r>
          </w:p>
        </w:tc>
      </w:tr>
      <w:tr>
        <w:trPr>
          <w:trHeight w:val="217"/>
        </w:trPr>
        <w:tc>
          <w:tcPr>
            <w:tcW w:w="1680" w:type="dxa"/>
            <w:vAlign w:val="bottom"/>
            <w:tcBorders>
              <w:left w:val="single" w:sz="8" w:color="auto"/>
              <w:bottom w:val="single" w:sz="8" w:color="auto"/>
            </w:tcBorders>
            <w:shd w:val="clear" w:color="auto" w:fill="E8F0F8"/>
          </w:tcPr>
          <w:p>
            <w:pPr>
              <w:ind w:left="160"/>
              <w:spacing w:after="0"/>
              <w:rPr>
                <w:sz w:val="20"/>
                <w:szCs w:val="20"/>
                <w:color w:val="auto"/>
              </w:rPr>
            </w:pPr>
            <w:r>
              <w:rPr>
                <w:rFonts w:ascii="Arial" w:cs="Arial" w:eastAsia="Arial" w:hAnsi="Arial"/>
                <w:sz w:val="16"/>
                <w:szCs w:val="16"/>
                <w:b w:val="1"/>
                <w:bCs w:val="1"/>
                <w:color w:val="auto"/>
              </w:rPr>
              <w:t>RECORD DATE:</w:t>
            </w:r>
          </w:p>
        </w:tc>
        <w:tc>
          <w:tcPr>
            <w:tcW w:w="9240" w:type="dxa"/>
            <w:vAlign w:val="bottom"/>
            <w:tcBorders>
              <w:bottom w:val="single" w:sz="8" w:color="auto"/>
              <w:right w:val="single" w:sz="8" w:color="auto"/>
            </w:tcBorders>
            <w:gridSpan w:val="3"/>
            <w:shd w:val="clear" w:color="auto" w:fill="E8F0F8"/>
          </w:tcPr>
          <w:p>
            <w:pPr>
              <w:ind w:left="280"/>
              <w:spacing w:after="0"/>
              <w:rPr>
                <w:sz w:val="20"/>
                <w:szCs w:val="20"/>
                <w:color w:val="auto"/>
              </w:rPr>
            </w:pPr>
            <w:r>
              <w:rPr>
                <w:rFonts w:ascii="Arial" w:cs="Arial" w:eastAsia="Arial" w:hAnsi="Arial"/>
                <w:sz w:val="16"/>
                <w:szCs w:val="16"/>
                <w:color w:val="auto"/>
              </w:rPr>
              <w:t>April 21,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858000"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FFFFFF"/>
        </w:rPr>
        <w:t>Voting Matters and Vote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620" w:type="dxa"/>
            <w:vAlign w:val="bottom"/>
          </w:tcPr>
          <w:p>
            <w:pPr>
              <w:ind w:left="1160"/>
              <w:spacing w:after="0"/>
              <w:rPr>
                <w:sz w:val="20"/>
                <w:szCs w:val="20"/>
                <w:color w:val="auto"/>
              </w:rPr>
            </w:pPr>
            <w:r>
              <w:rPr>
                <w:rFonts w:ascii="Arial" w:cs="Arial" w:eastAsia="Arial" w:hAnsi="Arial"/>
                <w:sz w:val="14"/>
                <w:szCs w:val="14"/>
                <w:b w:val="1"/>
                <w:bCs w:val="1"/>
                <w:color w:val="auto"/>
              </w:rPr>
              <w:t>Board</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Page Number</w:t>
            </w:r>
          </w:p>
        </w:tc>
      </w:tr>
      <w:tr>
        <w:trPr>
          <w:trHeight w:val="176"/>
        </w:trPr>
        <w:tc>
          <w:tcPr>
            <w:tcW w:w="6960" w:type="dxa"/>
            <w:vAlign w:val="bottom"/>
          </w:tcPr>
          <w:p>
            <w:pPr>
              <w:spacing w:after="0"/>
              <w:rPr>
                <w:sz w:val="20"/>
                <w:szCs w:val="20"/>
                <w:color w:val="auto"/>
              </w:rPr>
            </w:pPr>
            <w:r>
              <w:rPr>
                <w:rFonts w:ascii="Arial" w:cs="Arial" w:eastAsia="Arial" w:hAnsi="Arial"/>
                <w:sz w:val="14"/>
                <w:szCs w:val="14"/>
                <w:b w:val="1"/>
                <w:bCs w:val="1"/>
                <w:color w:val="auto"/>
              </w:rPr>
              <w:t>Voting Matter</w:t>
            </w:r>
          </w:p>
        </w:tc>
        <w:tc>
          <w:tcPr>
            <w:tcW w:w="2620" w:type="dxa"/>
            <w:vAlign w:val="bottom"/>
          </w:tcPr>
          <w:p>
            <w:pPr>
              <w:ind w:left="1160"/>
              <w:spacing w:after="0"/>
              <w:rPr>
                <w:sz w:val="20"/>
                <w:szCs w:val="20"/>
                <w:color w:val="auto"/>
              </w:rPr>
            </w:pPr>
            <w:r>
              <w:rPr>
                <w:rFonts w:ascii="Arial" w:cs="Arial" w:eastAsia="Arial" w:hAnsi="Arial"/>
                <w:sz w:val="14"/>
                <w:szCs w:val="14"/>
                <w:b w:val="1"/>
                <w:bCs w:val="1"/>
                <w:color w:val="auto"/>
              </w:rPr>
              <w:t>Recommendation</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for more detail</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Item 1—Election of Directors</w:t>
            </w:r>
          </w:p>
        </w:tc>
        <w:tc>
          <w:tcPr>
            <w:tcW w:w="2620" w:type="dxa"/>
            <w:vAlign w:val="bottom"/>
          </w:tcPr>
          <w:p>
            <w:pPr>
              <w:ind w:left="1160"/>
              <w:spacing w:after="0"/>
              <w:rPr>
                <w:sz w:val="20"/>
                <w:szCs w:val="20"/>
                <w:color w:val="auto"/>
              </w:rPr>
            </w:pPr>
            <w:r>
              <w:rPr>
                <w:rFonts w:ascii="Arial" w:cs="Arial" w:eastAsia="Arial" w:hAnsi="Arial"/>
                <w:sz w:val="14"/>
                <w:szCs w:val="14"/>
                <w:color w:val="auto"/>
              </w:rPr>
              <w:t>FOR each nominee</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11</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Item 2—Ratification of the Selection of our Independent Registered Public Accounting Firm</w:t>
            </w:r>
          </w:p>
        </w:tc>
        <w:tc>
          <w:tcPr>
            <w:tcW w:w="2620" w:type="dxa"/>
            <w:vAlign w:val="bottom"/>
          </w:tcPr>
          <w:p>
            <w:pPr>
              <w:ind w:left="1160"/>
              <w:spacing w:after="0"/>
              <w:rPr>
                <w:sz w:val="20"/>
                <w:szCs w:val="20"/>
                <w:color w:val="auto"/>
              </w:rPr>
            </w:pPr>
            <w:r>
              <w:rPr>
                <w:rFonts w:ascii="Arial" w:cs="Arial" w:eastAsia="Arial" w:hAnsi="Arial"/>
                <w:sz w:val="14"/>
                <w:szCs w:val="14"/>
                <w:color w:val="auto"/>
              </w:rPr>
              <w:t>FOR</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28</w:t>
            </w:r>
          </w:p>
        </w:tc>
      </w:tr>
      <w:tr>
        <w:trPr>
          <w:trHeight w:val="190"/>
        </w:trPr>
        <w:tc>
          <w:tcPr>
            <w:tcW w:w="6960" w:type="dxa"/>
            <w:vAlign w:val="bottom"/>
          </w:tcPr>
          <w:p>
            <w:pPr>
              <w:spacing w:after="0"/>
              <w:rPr>
                <w:sz w:val="20"/>
                <w:szCs w:val="20"/>
                <w:color w:val="auto"/>
              </w:rPr>
            </w:pPr>
            <w:r>
              <w:rPr>
                <w:rFonts w:ascii="Arial" w:cs="Arial" w:eastAsia="Arial" w:hAnsi="Arial"/>
                <w:sz w:val="14"/>
                <w:szCs w:val="14"/>
                <w:color w:val="auto"/>
              </w:rPr>
              <w:t>Item 3—Advisory Vote on Executive Compensation</w:t>
            </w:r>
          </w:p>
        </w:tc>
        <w:tc>
          <w:tcPr>
            <w:tcW w:w="2620" w:type="dxa"/>
            <w:vAlign w:val="bottom"/>
          </w:tcPr>
          <w:p>
            <w:pPr>
              <w:ind w:left="1160"/>
              <w:spacing w:after="0"/>
              <w:rPr>
                <w:sz w:val="20"/>
                <w:szCs w:val="20"/>
                <w:color w:val="auto"/>
              </w:rPr>
            </w:pPr>
            <w:r>
              <w:rPr>
                <w:rFonts w:ascii="Arial" w:cs="Arial" w:eastAsia="Arial" w:hAnsi="Arial"/>
                <w:sz w:val="14"/>
                <w:szCs w:val="14"/>
                <w:color w:val="auto"/>
              </w:rPr>
              <w:t>FOR</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6858000" cy="360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FFFFFF"/>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3034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303466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3034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0760"/>
        <w:spacing w:after="0"/>
        <w:rPr>
          <w:sz w:val="20"/>
          <w:szCs w:val="20"/>
          <w:color w:val="auto"/>
        </w:rPr>
      </w:pPr>
      <w:r>
        <w:rPr>
          <w:rFonts w:ascii="Arial" w:cs="Arial" w:eastAsia="Arial" w:hAnsi="Arial"/>
          <w:sz w:val="12"/>
          <w:szCs w:val="12"/>
          <w:color w:val="1A6DBB"/>
        </w:rPr>
        <w:t>-iii-</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169545</wp:posOffset>
            </wp:positionV>
            <wp:extent cx="6858000" cy="360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FFFFFF"/>
        </w:rPr>
        <w:t>Highlights of 2021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Biogen is a global biopharmaceutical company focused on discovering, developing and delivering worldwide innovative therapies for people living with serious neurological and neurodegenerative diseases as well as related therapeutic adjacencies. We have a leading portfolio of medicines to treat MS, have introduced the first approved treatment for SMA and are providing the first and only approved treatment to address a defining pathology of Alzheimer’s disease. We also commercialize biosimilars of advanced biologics and focus on advancing our pipeline in neuroscience and specialized immunology. Lastly, we are focused on accelerating our efforts in digital health to support our commercial and pipeline programs while also creating opportunities for potential digital therapeutics. We support our drug discovery and development efforts through the commitment of significant resources to discovery, research and development programs and business development opportunities. For additional information, please see our 2021 Annual Report on Form 10-K.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Operating Performance Highlights</w:t>
      </w:r>
    </w:p>
    <w:p>
      <w:pPr>
        <w:spacing w:after="0" w:line="243"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Full year total revenue of $11.0 billion.</w:t>
      </w:r>
    </w:p>
    <w:p>
      <w:pPr>
        <w:spacing w:after="0" w:line="126" w:lineRule="exact"/>
        <w:rPr>
          <w:rFonts w:ascii="Arial" w:cs="Arial" w:eastAsia="Arial" w:hAnsi="Arial"/>
          <w:sz w:val="16"/>
          <w:szCs w:val="16"/>
          <w:color w:val="1A6DBB"/>
        </w:rPr>
      </w:pPr>
    </w:p>
    <w:p>
      <w:pPr>
        <w:ind w:left="440" w:right="80" w:hanging="324"/>
        <w:spacing w:after="0" w:line="286" w:lineRule="auto"/>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FDA granted accelerated approval for ADUHELM as the first and only Alzheimer’s disease treatment to address a defining pathology of the disease by reducing amyloid beta plaques in the brain.</w:t>
      </w:r>
    </w:p>
    <w:p>
      <w:pPr>
        <w:spacing w:after="0" w:line="61" w:lineRule="exact"/>
        <w:rPr>
          <w:rFonts w:ascii="Arial" w:cs="Arial" w:eastAsia="Arial" w:hAnsi="Arial"/>
          <w:sz w:val="16"/>
          <w:szCs w:val="16"/>
          <w:color w:val="1A6DBB"/>
        </w:rPr>
      </w:pPr>
    </w:p>
    <w:p>
      <w:pPr>
        <w:ind w:left="440" w:hanging="324"/>
        <w:spacing w:after="0"/>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The addition or advancement of 5 clinical programs to our pipeline, including in MS, Lupus, Alzheimer’s disease and biosimilars.</w:t>
      </w:r>
    </w:p>
    <w:p>
      <w:pPr>
        <w:spacing w:after="0" w:line="126" w:lineRule="exact"/>
        <w:rPr>
          <w:rFonts w:ascii="Arial" w:cs="Arial" w:eastAsia="Arial" w:hAnsi="Arial"/>
          <w:sz w:val="16"/>
          <w:szCs w:val="16"/>
          <w:color w:val="1A6DBB"/>
        </w:rPr>
      </w:pPr>
    </w:p>
    <w:p>
      <w:pPr>
        <w:ind w:left="440" w:right="480" w:hanging="324"/>
        <w:spacing w:after="0" w:line="286" w:lineRule="auto"/>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Continued development of approximately 30 clinical programs in our pipeline, 10 of which are in Phase 3 or filed, in areas such as Alzheimer’s disease, depression, MS, amyotrophic lateral sclerosis (ALS), stroke, Parkinson’s disease and other movement disorders.</w:t>
      </w:r>
    </w:p>
    <w:p>
      <w:pPr>
        <w:spacing w:after="0" w:line="61" w:lineRule="exact"/>
        <w:rPr>
          <w:rFonts w:ascii="Arial" w:cs="Arial" w:eastAsia="Arial" w:hAnsi="Arial"/>
          <w:sz w:val="16"/>
          <w:szCs w:val="16"/>
          <w:color w:val="1A6DBB"/>
        </w:rPr>
      </w:pPr>
    </w:p>
    <w:p>
      <w:pPr>
        <w:ind w:left="440" w:hanging="324"/>
        <w:spacing w:after="0"/>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Our collaborations with:</w:t>
      </w:r>
    </w:p>
    <w:p>
      <w:pPr>
        <w:spacing w:after="0" w:line="126" w:lineRule="exact"/>
        <w:rPr>
          <w:rFonts w:ascii="Arial" w:cs="Arial" w:eastAsia="Arial" w:hAnsi="Arial"/>
          <w:sz w:val="16"/>
          <w:szCs w:val="16"/>
          <w:color w:val="1A6DBB"/>
        </w:rPr>
      </w:pPr>
    </w:p>
    <w:p>
      <w:pPr>
        <w:ind w:left="760" w:right="40" w:hanging="320"/>
        <w:spacing w:after="0" w:line="286" w:lineRule="auto"/>
        <w:tabs>
          <w:tab w:leader="none" w:pos="760" w:val="left"/>
        </w:tabs>
        <w:numPr>
          <w:ilvl w:val="1"/>
          <w:numId w:val="7"/>
        </w:numPr>
        <w:rPr>
          <w:rFonts w:ascii="Arial" w:cs="Arial" w:eastAsia="Arial" w:hAnsi="Arial"/>
          <w:sz w:val="16"/>
          <w:szCs w:val="16"/>
          <w:color w:val="1A6DBB"/>
        </w:rPr>
      </w:pPr>
      <w:r>
        <w:rPr>
          <w:rFonts w:ascii="Arial" w:cs="Arial" w:eastAsia="Arial" w:hAnsi="Arial"/>
          <w:sz w:val="16"/>
          <w:szCs w:val="16"/>
          <w:color w:val="auto"/>
        </w:rPr>
        <w:t>InnoCare to develop and commercialize orelabrutinib, an oral small molecule Bruton’s tyrosine kinase inhibitor for the potential treatment of MS; and</w:t>
      </w:r>
    </w:p>
    <w:p>
      <w:pPr>
        <w:spacing w:after="0" w:line="61" w:lineRule="exact"/>
        <w:rPr>
          <w:rFonts w:ascii="Arial" w:cs="Arial" w:eastAsia="Arial" w:hAnsi="Arial"/>
          <w:sz w:val="16"/>
          <w:szCs w:val="16"/>
          <w:color w:val="1A6DBB"/>
        </w:rPr>
      </w:pPr>
    </w:p>
    <w:p>
      <w:pPr>
        <w:ind w:left="760" w:right="540" w:hanging="320"/>
        <w:spacing w:after="0" w:line="286" w:lineRule="auto"/>
        <w:tabs>
          <w:tab w:leader="none" w:pos="760" w:val="left"/>
        </w:tabs>
        <w:numPr>
          <w:ilvl w:val="1"/>
          <w:numId w:val="7"/>
        </w:numPr>
        <w:rPr>
          <w:rFonts w:ascii="Arial" w:cs="Arial" w:eastAsia="Arial" w:hAnsi="Arial"/>
          <w:sz w:val="16"/>
          <w:szCs w:val="16"/>
          <w:color w:val="1A6DBB"/>
        </w:rPr>
      </w:pPr>
      <w:r>
        <w:rPr>
          <w:rFonts w:ascii="Arial" w:cs="Arial" w:eastAsia="Arial" w:hAnsi="Arial"/>
          <w:sz w:val="16"/>
          <w:szCs w:val="16"/>
          <w:color w:val="auto"/>
        </w:rPr>
        <w:t>Bio-Thera Solutions, Ltd. to develop, manufacture and commercialize BAT1806, a Phase 3 clinical stage anti-interleukin-6 (IL-6) receptor monoclonal antibody that is a proposed biosimilar referencing ACTEMRA (tocilizumab).</w:t>
      </w:r>
    </w:p>
    <w:p>
      <w:pPr>
        <w:spacing w:after="0" w:line="61" w:lineRule="exact"/>
        <w:rPr>
          <w:rFonts w:ascii="Arial" w:cs="Arial" w:eastAsia="Arial" w:hAnsi="Arial"/>
          <w:sz w:val="16"/>
          <w:szCs w:val="16"/>
          <w:color w:val="1A6DBB"/>
        </w:rPr>
      </w:pPr>
    </w:p>
    <w:p>
      <w:pPr>
        <w:ind w:left="440" w:right="160" w:hanging="324"/>
        <w:spacing w:after="0" w:line="285" w:lineRule="auto"/>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 xml:space="preserve">We continued to expand our biosimilars business, with over approximately 240,000 patients on our three anti-TNF biosimilars in Europe as of December 31, 2021. We estimate that our anti-TNF biosimilars contributed approximately </w:t>
      </w:r>
      <w:r>
        <w:rPr>
          <w:rFonts w:ascii="Times New Roman" w:cs="Times New Roman" w:eastAsia="Times New Roman" w:hAnsi="Times New Roman"/>
          <w:sz w:val="16"/>
          <w:szCs w:val="16"/>
          <w:color w:val="auto"/>
        </w:rPr>
        <w:t>€</w:t>
      </w:r>
      <w:r>
        <w:rPr>
          <w:rFonts w:ascii="Arial" w:cs="Arial" w:eastAsia="Arial" w:hAnsi="Arial"/>
          <w:sz w:val="16"/>
          <w:szCs w:val="16"/>
          <w:color w:val="auto"/>
        </w:rPr>
        <w:t>2.6 billion of healthcare savings in 2021 across Europe.</w:t>
      </w:r>
    </w:p>
    <w:p>
      <w:pPr>
        <w:spacing w:after="0" w:line="75" w:lineRule="exact"/>
        <w:rPr>
          <w:rFonts w:ascii="Arial" w:cs="Arial" w:eastAsia="Arial" w:hAnsi="Arial"/>
          <w:sz w:val="16"/>
          <w:szCs w:val="16"/>
          <w:color w:val="1A6DBB"/>
        </w:rPr>
      </w:pPr>
    </w:p>
    <w:p>
      <w:pPr>
        <w:ind w:left="440" w:right="700" w:hanging="324"/>
        <w:spacing w:after="0" w:line="286" w:lineRule="auto"/>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Named the number one biotechnology company on the Dow Jones Sustainability World Index for the seventh time. Named in the top 5% of companies worldwide by JUST Capital.</w:t>
      </w:r>
    </w:p>
    <w:p>
      <w:pPr>
        <w:spacing w:after="0" w:line="61" w:lineRule="exact"/>
        <w:rPr>
          <w:rFonts w:ascii="Arial" w:cs="Arial" w:eastAsia="Arial" w:hAnsi="Arial"/>
          <w:sz w:val="16"/>
          <w:szCs w:val="16"/>
          <w:color w:val="1A6DBB"/>
        </w:rPr>
      </w:pPr>
    </w:p>
    <w:p>
      <w:pPr>
        <w:ind w:left="440" w:hanging="324"/>
        <w:spacing w:after="0"/>
        <w:tabs>
          <w:tab w:leader="none" w:pos="44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Repurchased approximately 6.0 million shares of our common stock at a total cost of approximately $1.8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59765"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9765" cy="196850"/>
                    </a:xfrm>
                    <a:prstGeom prst="rect">
                      <a:avLst/>
                    </a:prstGeom>
                    <a:noFill/>
                  </pic:spPr>
                </pic:pic>
              </a:graphicData>
            </a:graphic>
          </wp:anchor>
        </w:drawing>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1"/>
          <w:szCs w:val="11"/>
          <w:color w:val="1A6DBB"/>
        </w:rPr>
        <w:t>-iv-</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178435</wp:posOffset>
            </wp:positionV>
            <wp:extent cx="6858000" cy="360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FFFFFF"/>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Biogen Elements</w:t>
      </w:r>
    </w:p>
    <w:p>
      <w:pPr>
        <w:spacing w:after="0" w:line="10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 xml:space="preserve">Much like the periodic table of elements documents the building blocks of the universe around us, the </w:t>
      </w:r>
      <w:r>
        <w:rPr>
          <w:rFonts w:ascii="Arial" w:cs="Arial" w:eastAsia="Arial" w:hAnsi="Arial"/>
          <w:sz w:val="16"/>
          <w:szCs w:val="16"/>
          <w:b w:val="1"/>
          <w:bCs w:val="1"/>
          <w:color w:val="1A6DBB"/>
        </w:rPr>
        <w:t>Biogen Elements</w:t>
      </w:r>
      <w:r>
        <w:rPr>
          <w:rFonts w:ascii="Arial" w:cs="Arial" w:eastAsia="Arial" w:hAnsi="Arial"/>
          <w:sz w:val="16"/>
          <w:szCs w:val="16"/>
          <w:color w:val="auto"/>
        </w:rPr>
        <w:t xml:space="preserve"> give shape to our company’s culture and are embedded into all our people processes, including performance management, rewards and recognition, goal setting and development programs and activities. The Biogen Elements drive the behaviors, actions and decisions required to achieve our strategy and promote a unified approach to our individual jobs – strengthening our mission, informing our leadership, expanding our impact and fueling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61595</wp:posOffset>
            </wp:positionV>
            <wp:extent cx="3780155" cy="779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8015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 xml:space="preserve">As we remain focused on discovering, developing and delivering worldwide innovative therapies, we remain </w:t>
      </w:r>
      <w:r>
        <w:rPr>
          <w:rFonts w:ascii="Arial" w:cs="Arial" w:eastAsia="Arial" w:hAnsi="Arial"/>
          <w:sz w:val="16"/>
          <w:szCs w:val="16"/>
          <w:b w:val="1"/>
          <w:bCs w:val="1"/>
          <w:color w:val="1A6DBB"/>
        </w:rPr>
        <w:t>customer focused</w:t>
      </w:r>
      <w:r>
        <w:rPr>
          <w:rFonts w:ascii="Arial" w:cs="Arial" w:eastAsia="Arial" w:hAnsi="Arial"/>
          <w:sz w:val="16"/>
          <w:szCs w:val="16"/>
          <w:color w:val="auto"/>
        </w:rPr>
        <w:t xml:space="preserve">. We keep patients, payers and physicians front and center in our daily work and collaborate to solve critical scientific and business challenges. In doing so, we foster an </w:t>
      </w:r>
      <w:r>
        <w:rPr>
          <w:rFonts w:ascii="Arial" w:cs="Arial" w:eastAsia="Arial" w:hAnsi="Arial"/>
          <w:sz w:val="16"/>
          <w:szCs w:val="16"/>
          <w:b w:val="1"/>
          <w:bCs w:val="1"/>
          <w:color w:val="1A6DBB"/>
        </w:rPr>
        <w:t xml:space="preserve">inclusive </w:t>
      </w:r>
      <w:r>
        <w:rPr>
          <w:rFonts w:ascii="Arial" w:cs="Arial" w:eastAsia="Arial" w:hAnsi="Arial"/>
          <w:sz w:val="16"/>
          <w:szCs w:val="16"/>
          <w:color w:val="000000"/>
        </w:rPr>
        <w:t>community, both internally and externally. We work in partnership to break down siloes and encourage diverse perspectives and backgrounds</w:t>
      </w:r>
      <w:r>
        <w:rPr>
          <w:rFonts w:ascii="Arial" w:cs="Arial" w:eastAsia="Arial" w:hAnsi="Arial"/>
          <w:sz w:val="16"/>
          <w:szCs w:val="16"/>
          <w:b w:val="1"/>
          <w:bCs w:val="1"/>
          <w:color w:val="1A6DBB"/>
        </w:rPr>
        <w:t xml:space="preserve"> </w:t>
      </w:r>
      <w:r>
        <w:rPr>
          <w:rFonts w:ascii="Arial" w:cs="Arial" w:eastAsia="Arial" w:hAnsi="Arial"/>
          <w:sz w:val="16"/>
          <w:szCs w:val="16"/>
          <w:color w:val="000000"/>
        </w:rPr>
        <w:t>at all levels.</w:t>
      </w:r>
    </w:p>
    <w:p>
      <w:pPr>
        <w:spacing w:after="0" w:line="70"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1A6DBB"/>
        </w:rPr>
        <w:t>pioneering</w:t>
      </w:r>
      <w:r>
        <w:rPr>
          <w:rFonts w:ascii="Arial" w:cs="Arial" w:eastAsia="Arial" w:hAnsi="Arial"/>
          <w:sz w:val="16"/>
          <w:szCs w:val="16"/>
          <w:color w:val="auto"/>
        </w:rPr>
        <w:t xml:space="preserve"> spirit permeates our work. We challenge the status quo and experiment to create new possibilities. We are not afraid to take calculated risks and learn from failure. We are resilient and </w:t>
      </w:r>
      <w:r>
        <w:rPr>
          <w:rFonts w:ascii="Arial" w:cs="Arial" w:eastAsia="Arial" w:hAnsi="Arial"/>
          <w:sz w:val="16"/>
          <w:szCs w:val="16"/>
          <w:b w:val="1"/>
          <w:bCs w:val="1"/>
          <w:color w:val="1A6DBB"/>
        </w:rPr>
        <w:t>agile</w:t>
      </w:r>
      <w:r>
        <w:rPr>
          <w:rFonts w:ascii="Arial" w:cs="Arial" w:eastAsia="Arial" w:hAnsi="Arial"/>
          <w:sz w:val="16"/>
          <w:szCs w:val="16"/>
          <w:color w:val="auto"/>
        </w:rPr>
        <w:t>, adapting in response to internal changes and external disruptors, and developing solutions quickly to take advantage of emerging opportunities.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As pioneers and leaders, we hold ourselves </w:t>
      </w:r>
      <w:r>
        <w:rPr>
          <w:rFonts w:ascii="Arial" w:cs="Arial" w:eastAsia="Arial" w:hAnsi="Arial"/>
          <w:sz w:val="16"/>
          <w:szCs w:val="16"/>
          <w:b w:val="1"/>
          <w:bCs w:val="1"/>
          <w:color w:val="1A6DBB"/>
        </w:rPr>
        <w:t>accountable</w:t>
      </w:r>
      <w:r>
        <w:rPr>
          <w:rFonts w:ascii="Arial" w:cs="Arial" w:eastAsia="Arial" w:hAnsi="Arial"/>
          <w:sz w:val="16"/>
          <w:szCs w:val="16"/>
          <w:color w:val="auto"/>
        </w:rPr>
        <w:t xml:space="preserve"> for our work and results. We honor our commitments and we never compromise our integrity.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We sustain an </w:t>
      </w:r>
      <w:r>
        <w:rPr>
          <w:rFonts w:ascii="Arial" w:cs="Arial" w:eastAsia="Arial" w:hAnsi="Arial"/>
          <w:sz w:val="16"/>
          <w:szCs w:val="16"/>
          <w:b w:val="1"/>
          <w:bCs w:val="1"/>
          <w:color w:val="1A6DBB"/>
        </w:rPr>
        <w:t>ethical</w:t>
      </w:r>
      <w:r>
        <w:rPr>
          <w:rFonts w:ascii="Arial" w:cs="Arial" w:eastAsia="Arial" w:hAnsi="Arial"/>
          <w:sz w:val="16"/>
          <w:szCs w:val="16"/>
          <w:color w:val="auto"/>
        </w:rPr>
        <w:t xml:space="preserve"> environment of trust, honesty and transparency while ensuring appropriate confidentiality.</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Climate and Health</w:t>
      </w:r>
    </w:p>
    <w:p>
      <w:pPr>
        <w:spacing w:after="0" w:line="10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Beyond direct implications for Biogen’s business, we have a longstanding commitment to addressing key environmental and sustainability impacts and we aspire to be a catalyst for positive change. We have adopted strong corporate responsibility policies and work to reduce the operational impact on the environment resulting from our business, including carbon emissions and water use, and by increasing the environmental and social performance of our supply chain.</w:t>
      </w:r>
    </w:p>
    <w:p>
      <w:pPr>
        <w:spacing w:after="0" w:line="70"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 xml:space="preserve">In September 2020 we launched </w:t>
      </w:r>
      <w:r>
        <w:rPr>
          <w:rFonts w:ascii="Arial" w:cs="Arial" w:eastAsia="Arial" w:hAnsi="Arial"/>
          <w:sz w:val="16"/>
          <w:szCs w:val="16"/>
          <w:b w:val="1"/>
          <w:bCs w:val="1"/>
          <w:color w:val="1A6DBB"/>
        </w:rPr>
        <w:t>Healthy Climate, Healthy Lives</w:t>
      </w:r>
      <w:r>
        <w:rPr>
          <w:rFonts w:ascii="Arial" w:cs="Arial" w:eastAsia="Arial" w:hAnsi="Arial"/>
          <w:sz w:val="16"/>
          <w:szCs w:val="16"/>
          <w:color w:val="auto"/>
        </w:rPr>
        <w:t xml:space="preserve">, a $250 million, 20-year initiative to eliminate fossil fuels across our operations and collaborate with renowned institutions with the aim to improve health, especially for the world’s most vulnerable populations. This initiative is consistent with the aims of the Paris Agreement and keeping temperature rise to 1.5°C with its target to reduce absolute Scope 1 and 2 emissions by 55% by 2032 compared to 2019. We are the first </w:t>
      </w:r>
      <w:r>
        <w:rPr>
          <w:rFonts w:ascii="Arial" w:cs="Arial" w:eastAsia="Arial" w:hAnsi="Arial"/>
          <w:sz w:val="16"/>
          <w:szCs w:val="16"/>
          <w:i w:val="1"/>
          <w:iCs w:val="1"/>
          <w:color w:val="auto"/>
        </w:rPr>
        <w:t>Fortune 500</w:t>
      </w:r>
      <w:r>
        <w:rPr>
          <w:rFonts w:ascii="Arial" w:cs="Arial" w:eastAsia="Arial" w:hAnsi="Arial"/>
          <w:sz w:val="16"/>
          <w:szCs w:val="16"/>
          <w:color w:val="auto"/>
        </w:rPr>
        <w:t xml:space="preserve"> company to go beyond net zero to commit to become fossil fuel free across our operations by 2040. In September 2021 we issued our first progress report which details our efforts to go fossil fuel free, including engagement with our employees and suppliers, and ongoing collaborations with renowned institutions to improve health – especially for vulnerable populations most impacted by climate-related events.</w:t>
      </w:r>
    </w:p>
    <w:p>
      <w:pPr>
        <w:spacing w:after="0" w:line="73"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In addition, Biogen has conducted a climate-related scenario analysis and integrated climate into Biogen’s risk management process to help identify and manage climate-related risks and opportunities as indicated in our Carbon Disclosure Report. We support the Taskforce on Climate-related Financial Disclosure (TCFD). Our TCFD statement, our governance and approach to climate, can be found in our annual Year in Review.</w:t>
      </w:r>
    </w:p>
    <w:p>
      <w:pPr>
        <w:spacing w:after="0" w:line="63"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To achieve our Healthy Climate, Healthy Lives initiative, we embrace sustainable drug development, including green chemistry and reduced packaging, as an opportunity to improve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5151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510" cy="19685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1"/>
          <w:szCs w:val="11"/>
          <w:color w:val="1A6DBB"/>
        </w:rPr>
        <w:t>-v-</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2021 accomplishments include:</w:t>
      </w:r>
    </w:p>
    <w:p>
      <w:pPr>
        <w:spacing w:after="0" w:line="127"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Issued first progress report detailing our efforts to go fossil fuel free as part of our Healthy Climate, Healthy Lives initiative.</w:t>
      </w:r>
    </w:p>
    <w:p>
      <w:pPr>
        <w:spacing w:after="0" w:line="126" w:lineRule="exact"/>
        <w:rPr>
          <w:rFonts w:ascii="Arial" w:cs="Arial" w:eastAsia="Arial" w:hAnsi="Arial"/>
          <w:sz w:val="16"/>
          <w:szCs w:val="16"/>
          <w:color w:val="1A6DBB"/>
        </w:rPr>
      </w:pPr>
    </w:p>
    <w:p>
      <w:pPr>
        <w:ind w:left="440" w:right="260" w:hanging="324"/>
        <w:spacing w:after="0" w:line="286" w:lineRule="auto"/>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Named to the Dow Jones Sustainability World Index for the ninth year in a row, with the added distinction of being recognized as a biotech leader with the Gold Class Sustainability Award.</w:t>
      </w:r>
    </w:p>
    <w:p>
      <w:pPr>
        <w:spacing w:after="0" w:line="61" w:lineRule="exact"/>
        <w:rPr>
          <w:rFonts w:ascii="Arial" w:cs="Arial" w:eastAsia="Arial" w:hAnsi="Arial"/>
          <w:sz w:val="16"/>
          <w:szCs w:val="16"/>
          <w:color w:val="1A6DBB"/>
        </w:rPr>
      </w:pPr>
    </w:p>
    <w:p>
      <w:pPr>
        <w:ind w:left="440" w:hanging="324"/>
        <w:spacing w:after="0"/>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Helped launch Energize, a supplier climate action program with other climate-leading companies.</w:t>
      </w:r>
    </w:p>
    <w:p>
      <w:pPr>
        <w:spacing w:after="0" w:line="126" w:lineRule="exact"/>
        <w:rPr>
          <w:rFonts w:ascii="Arial" w:cs="Arial" w:eastAsia="Arial" w:hAnsi="Arial"/>
          <w:sz w:val="16"/>
          <w:szCs w:val="16"/>
          <w:color w:val="1A6DBB"/>
        </w:rPr>
      </w:pPr>
    </w:p>
    <w:p>
      <w:pPr>
        <w:ind w:left="440" w:hanging="324"/>
        <w:spacing w:after="0"/>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Continued matching 100% of our electricity usage with renewable electricity credits.</w:t>
      </w:r>
    </w:p>
    <w:p>
      <w:pPr>
        <w:spacing w:after="0" w:line="126" w:lineRule="exact"/>
        <w:rPr>
          <w:rFonts w:ascii="Arial" w:cs="Arial" w:eastAsia="Arial" w:hAnsi="Arial"/>
          <w:sz w:val="16"/>
          <w:szCs w:val="16"/>
          <w:color w:val="1A6DBB"/>
        </w:rPr>
      </w:pPr>
    </w:p>
    <w:p>
      <w:pPr>
        <w:ind w:left="440" w:hanging="324"/>
        <w:spacing w:after="0"/>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Expanded electric vehicle program to 12 countries.</w:t>
      </w:r>
    </w:p>
    <w:p>
      <w:pPr>
        <w:spacing w:after="0" w:line="126" w:lineRule="exact"/>
        <w:rPr>
          <w:rFonts w:ascii="Arial" w:cs="Arial" w:eastAsia="Arial" w:hAnsi="Arial"/>
          <w:sz w:val="16"/>
          <w:szCs w:val="16"/>
          <w:color w:val="1A6DBB"/>
        </w:rPr>
      </w:pPr>
    </w:p>
    <w:p>
      <w:pPr>
        <w:ind w:left="440" w:hanging="324"/>
        <w:spacing w:after="0"/>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Completed My Green Lab pilot program to help establish new green chemistry targets to drive innovation while reducing environmental impact.</w:t>
      </w:r>
    </w:p>
    <w:p>
      <w:pPr>
        <w:spacing w:after="0" w:line="126" w:lineRule="exact"/>
        <w:rPr>
          <w:rFonts w:ascii="Arial" w:cs="Arial" w:eastAsia="Arial" w:hAnsi="Arial"/>
          <w:sz w:val="16"/>
          <w:szCs w:val="16"/>
          <w:color w:val="1A6DBB"/>
        </w:rPr>
      </w:pPr>
    </w:p>
    <w:p>
      <w:pPr>
        <w:ind w:left="440" w:hanging="324"/>
        <w:spacing w:after="0" w:line="266" w:lineRule="auto"/>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Collaborated with the Harvard T.H. Chan School of Public Health on meta-analysis on the link between air pollution and dementia, and with the Chan School and Americares on a groundbreaking survey of 450-plus health clinic staff from 47 U.S. states and territories to garner real-world insights for a first-of-its-kind Climate Resilient Health Clinics Toolkit.</w:t>
      </w:r>
    </w:p>
    <w:p>
      <w:pPr>
        <w:spacing w:after="0" w:line="76" w:lineRule="exact"/>
        <w:rPr>
          <w:rFonts w:ascii="Arial" w:cs="Arial" w:eastAsia="Arial" w:hAnsi="Arial"/>
          <w:sz w:val="16"/>
          <w:szCs w:val="16"/>
          <w:color w:val="1A6DBB"/>
        </w:rPr>
      </w:pPr>
    </w:p>
    <w:p>
      <w:pPr>
        <w:ind w:left="440" w:right="420" w:hanging="324"/>
        <w:spacing w:after="0" w:line="286" w:lineRule="auto"/>
        <w:tabs>
          <w:tab w:leader="none" w:pos="44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Working with MIT to create a state-of-the-art integrated model of how various climate actions impact public health, a tool that will help decision-makers deliver the greatest public health benefits from climate action, particularly for vulnerable communities.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Diversity, Equity and Inclusion</w:t>
      </w:r>
    </w:p>
    <w:p>
      <w:pPr>
        <w:spacing w:after="0" w:line="108"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To advance our mission, we seek to engage the world’s brightest minds, and have long prioritized DE&amp;I not only as a moral imperative, but as a competitive strength. We have been unequivocal on where we stand in protecting the rights of all and seeking to ensure a more inclusive workplace.</w:t>
      </w:r>
    </w:p>
    <w:p>
      <w:pPr>
        <w:spacing w:after="0" w:line="4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 2020 it became clear that we needed to do more to promote our values both within our company and globally, driving us to enhance our DE&amp;I strategy and deepen our commitment. In 2021, we made progress on our four-part strategy:</w:t>
      </w:r>
    </w:p>
    <w:p>
      <w:pPr>
        <w:spacing w:after="0" w:line="61" w:lineRule="exact"/>
        <w:rPr>
          <w:sz w:val="20"/>
          <w:szCs w:val="20"/>
          <w:color w:val="auto"/>
        </w:rPr>
      </w:pPr>
    </w:p>
    <w:p>
      <w:pPr>
        <w:ind w:left="660" w:hanging="220"/>
        <w:spacing w:after="0"/>
        <w:tabs>
          <w:tab w:leader="none" w:pos="660" w:val="left"/>
        </w:tabs>
        <w:numPr>
          <w:ilvl w:val="0"/>
          <w:numId w:val="9"/>
        </w:numPr>
        <w:rPr>
          <w:rFonts w:ascii="Arial" w:cs="Arial" w:eastAsia="Arial" w:hAnsi="Arial"/>
          <w:sz w:val="16"/>
          <w:szCs w:val="16"/>
          <w:b w:val="1"/>
          <w:bCs w:val="1"/>
          <w:color w:val="1A6DBB"/>
        </w:rPr>
      </w:pPr>
      <w:r>
        <w:rPr>
          <w:rFonts w:ascii="Arial" w:cs="Arial" w:eastAsia="Arial" w:hAnsi="Arial"/>
          <w:sz w:val="16"/>
          <w:szCs w:val="16"/>
          <w:b w:val="1"/>
          <w:bCs w:val="1"/>
          <w:color w:val="1A6DBB"/>
        </w:rPr>
        <w:t>Build company-wide awareness, capability and urgency to foster and sustain a diverse and inclusive environment:</w:t>
      </w:r>
    </w:p>
    <w:p>
      <w:pPr>
        <w:spacing w:after="0" w:line="126" w:lineRule="exact"/>
        <w:rPr>
          <w:rFonts w:ascii="Arial" w:cs="Arial" w:eastAsia="Arial" w:hAnsi="Arial"/>
          <w:sz w:val="16"/>
          <w:szCs w:val="16"/>
          <w:b w:val="1"/>
          <w:bCs w:val="1"/>
          <w:color w:val="1A6DBB"/>
        </w:rPr>
      </w:pPr>
    </w:p>
    <w:p>
      <w:pPr>
        <w:ind w:left="1420" w:right="240" w:hanging="427"/>
        <w:spacing w:after="0" w:line="286" w:lineRule="auto"/>
        <w:tabs>
          <w:tab w:leader="none" w:pos="1420" w:val="left"/>
        </w:tabs>
        <w:numPr>
          <w:ilvl w:val="1"/>
          <w:numId w:val="9"/>
        </w:numPr>
        <w:rPr>
          <w:rFonts w:ascii="Arial" w:cs="Arial" w:eastAsia="Arial" w:hAnsi="Arial"/>
          <w:sz w:val="16"/>
          <w:szCs w:val="16"/>
          <w:color w:val="1A6DBB"/>
        </w:rPr>
      </w:pPr>
      <w:r>
        <w:rPr>
          <w:rFonts w:ascii="Arial" w:cs="Arial" w:eastAsia="Arial" w:hAnsi="Arial"/>
          <w:sz w:val="16"/>
          <w:szCs w:val="16"/>
          <w:color w:val="auto"/>
        </w:rPr>
        <w:t>We led from the top, increasing the diversity of our Board of Directors, sustaining visible and meaningful executive engagement and creating a cross-company governing body of employees known as the Diversity, Equity &amp; Inclusion Strategic Council.</w:t>
      </w:r>
    </w:p>
    <w:p>
      <w:pPr>
        <w:spacing w:after="0" w:line="61" w:lineRule="exact"/>
        <w:rPr>
          <w:rFonts w:ascii="Arial" w:cs="Arial" w:eastAsia="Arial" w:hAnsi="Arial"/>
          <w:sz w:val="16"/>
          <w:szCs w:val="16"/>
          <w:color w:val="1A6DBB"/>
        </w:rPr>
      </w:pPr>
    </w:p>
    <w:p>
      <w:pPr>
        <w:ind w:left="1420" w:right="120" w:hanging="427"/>
        <w:spacing w:after="0" w:line="259" w:lineRule="auto"/>
        <w:tabs>
          <w:tab w:leader="none" w:pos="1420" w:val="left"/>
        </w:tabs>
        <w:numPr>
          <w:ilvl w:val="1"/>
          <w:numId w:val="9"/>
        </w:numPr>
        <w:rPr>
          <w:rFonts w:ascii="Arial" w:cs="Arial" w:eastAsia="Arial" w:hAnsi="Arial"/>
          <w:sz w:val="16"/>
          <w:szCs w:val="16"/>
          <w:color w:val="1A6DBB"/>
        </w:rPr>
      </w:pPr>
      <w:r>
        <w:rPr>
          <w:rFonts w:ascii="Arial" w:cs="Arial" w:eastAsia="Arial" w:hAnsi="Arial"/>
          <w:sz w:val="16"/>
          <w:szCs w:val="16"/>
          <w:color w:val="auto"/>
        </w:rPr>
        <w:t>We seek to equip employees with the tools and resources to foster a diverse and inclusive environment. People managers and talent acquisition received inclusive recruiting and hiring training, which was translated into eight languages. We also created all-employee training modules, which includes sessions on confronting bias, building allyship and practical strategies for developing agility between fast and slow thinking.</w:t>
      </w:r>
    </w:p>
    <w:p>
      <w:pPr>
        <w:spacing w:after="0" w:line="83" w:lineRule="exact"/>
        <w:rPr>
          <w:rFonts w:ascii="Arial" w:cs="Arial" w:eastAsia="Arial" w:hAnsi="Arial"/>
          <w:sz w:val="16"/>
          <w:szCs w:val="16"/>
          <w:color w:val="1A6DBB"/>
        </w:rPr>
      </w:pPr>
    </w:p>
    <w:p>
      <w:pPr>
        <w:ind w:left="1420" w:hanging="427"/>
        <w:spacing w:after="0"/>
        <w:tabs>
          <w:tab w:leader="none" w:pos="1420" w:val="left"/>
        </w:tabs>
        <w:numPr>
          <w:ilvl w:val="1"/>
          <w:numId w:val="9"/>
        </w:numPr>
        <w:rPr>
          <w:rFonts w:ascii="Arial" w:cs="Arial" w:eastAsia="Arial" w:hAnsi="Arial"/>
          <w:sz w:val="16"/>
          <w:szCs w:val="16"/>
          <w:color w:val="1A6DBB"/>
        </w:rPr>
      </w:pPr>
      <w:r>
        <w:rPr>
          <w:rFonts w:ascii="Arial" w:cs="Arial" w:eastAsia="Arial" w:hAnsi="Arial"/>
          <w:sz w:val="16"/>
          <w:szCs w:val="16"/>
          <w:color w:val="auto"/>
        </w:rPr>
        <w:t>To also build capability and awareness, we hosted more than 60 DE&amp;I events and held Biogen’s first Week of Understanding.</w:t>
      </w:r>
    </w:p>
    <w:p>
      <w:pPr>
        <w:spacing w:after="0" w:line="126" w:lineRule="exact"/>
        <w:rPr>
          <w:rFonts w:ascii="Arial" w:cs="Arial" w:eastAsia="Arial" w:hAnsi="Arial"/>
          <w:sz w:val="16"/>
          <w:szCs w:val="16"/>
          <w:color w:val="1A6DBB"/>
        </w:rPr>
      </w:pPr>
    </w:p>
    <w:p>
      <w:pPr>
        <w:ind w:left="660" w:hanging="220"/>
        <w:spacing w:after="0"/>
        <w:tabs>
          <w:tab w:leader="none" w:pos="660" w:val="left"/>
        </w:tabs>
        <w:numPr>
          <w:ilvl w:val="0"/>
          <w:numId w:val="9"/>
        </w:numPr>
        <w:rPr>
          <w:rFonts w:ascii="Arial" w:cs="Arial" w:eastAsia="Arial" w:hAnsi="Arial"/>
          <w:sz w:val="16"/>
          <w:szCs w:val="16"/>
          <w:b w:val="1"/>
          <w:bCs w:val="1"/>
          <w:color w:val="1A6DBB"/>
        </w:rPr>
      </w:pPr>
      <w:r>
        <w:rPr>
          <w:rFonts w:ascii="Arial" w:cs="Arial" w:eastAsia="Arial" w:hAnsi="Arial"/>
          <w:sz w:val="16"/>
          <w:szCs w:val="16"/>
          <w:b w:val="1"/>
          <w:bCs w:val="1"/>
          <w:color w:val="1A6DBB"/>
        </w:rPr>
        <w:t>Work to build an intentional, high-performing, engaged, diverse and inclusive talent pipeline:</w:t>
      </w:r>
    </w:p>
    <w:p>
      <w:pPr>
        <w:spacing w:after="0" w:line="113" w:lineRule="exact"/>
        <w:rPr>
          <w:rFonts w:ascii="Arial" w:cs="Arial" w:eastAsia="Arial" w:hAnsi="Arial"/>
          <w:sz w:val="16"/>
          <w:szCs w:val="16"/>
          <w:b w:val="1"/>
          <w:bCs w:val="1"/>
          <w:color w:val="1A6DBB"/>
        </w:rPr>
      </w:pPr>
    </w:p>
    <w:p>
      <w:pPr>
        <w:ind w:left="660" w:right="400"/>
        <w:spacing w:after="0" w:line="286" w:lineRule="auto"/>
        <w:rPr>
          <w:rFonts w:ascii="Arial" w:cs="Arial" w:eastAsia="Arial" w:hAnsi="Arial"/>
          <w:sz w:val="16"/>
          <w:szCs w:val="16"/>
          <w:b w:val="1"/>
          <w:bCs w:val="1"/>
          <w:color w:val="1A6DBB"/>
        </w:rPr>
      </w:pPr>
      <w:r>
        <w:rPr>
          <w:rFonts w:ascii="Arial" w:cs="Arial" w:eastAsia="Arial" w:hAnsi="Arial"/>
          <w:sz w:val="16"/>
          <w:szCs w:val="16"/>
          <w:color w:val="auto"/>
        </w:rPr>
        <w:t>As of December 31, 2021, 48% of Biogen’s positions at director-level and above were held by women and 29% of manager-level-and-above positions were held by ethnic or racial minorities in the U.S.</w:t>
      </w:r>
    </w:p>
    <w:p>
      <w:pPr>
        <w:spacing w:after="0" w:line="61" w:lineRule="exact"/>
        <w:rPr>
          <w:rFonts w:ascii="Arial" w:cs="Arial" w:eastAsia="Arial" w:hAnsi="Arial"/>
          <w:sz w:val="16"/>
          <w:szCs w:val="16"/>
          <w:b w:val="1"/>
          <w:bCs w:val="1"/>
          <w:color w:val="1A6DBB"/>
        </w:rPr>
      </w:pPr>
    </w:p>
    <w:p>
      <w:pPr>
        <w:ind w:left="1420" w:right="120" w:hanging="427"/>
        <w:spacing w:after="0" w:line="266" w:lineRule="auto"/>
        <w:tabs>
          <w:tab w:leader="none" w:pos="1420" w:val="left"/>
        </w:tabs>
        <w:numPr>
          <w:ilvl w:val="1"/>
          <w:numId w:val="9"/>
        </w:numPr>
        <w:rPr>
          <w:rFonts w:ascii="Arial" w:cs="Arial" w:eastAsia="Arial" w:hAnsi="Arial"/>
          <w:sz w:val="16"/>
          <w:szCs w:val="16"/>
          <w:color w:val="1A6DBB"/>
        </w:rPr>
      </w:pPr>
      <w:r>
        <w:rPr>
          <w:rFonts w:ascii="Arial" w:cs="Arial" w:eastAsia="Arial" w:hAnsi="Arial"/>
          <w:sz w:val="16"/>
          <w:szCs w:val="16"/>
          <w:color w:val="auto"/>
        </w:rPr>
        <w:t>To inspire the next generation of scientists and to work to build a diverse pipeline of talent beyond our walls, we support a variety of programs for underrepresented students in science, technology, engineering and math (STEM), including announcing a Health Equity Fellowship Program with the Morehouse School of Medicine.</w:t>
      </w:r>
    </w:p>
    <w:p>
      <w:pPr>
        <w:spacing w:after="0" w:line="76" w:lineRule="exact"/>
        <w:rPr>
          <w:rFonts w:ascii="Arial" w:cs="Arial" w:eastAsia="Arial" w:hAnsi="Arial"/>
          <w:sz w:val="16"/>
          <w:szCs w:val="16"/>
          <w:color w:val="1A6DBB"/>
        </w:rPr>
      </w:pPr>
    </w:p>
    <w:p>
      <w:pPr>
        <w:ind w:left="1420" w:hanging="427"/>
        <w:spacing w:after="0"/>
        <w:tabs>
          <w:tab w:leader="none" w:pos="1420" w:val="left"/>
        </w:tabs>
        <w:numPr>
          <w:ilvl w:val="1"/>
          <w:numId w:val="9"/>
        </w:numPr>
        <w:rPr>
          <w:rFonts w:ascii="Arial" w:cs="Arial" w:eastAsia="Arial" w:hAnsi="Arial"/>
          <w:sz w:val="16"/>
          <w:szCs w:val="16"/>
          <w:color w:val="1A6DBB"/>
        </w:rPr>
      </w:pPr>
      <w:r>
        <w:rPr>
          <w:rFonts w:ascii="Arial" w:cs="Arial" w:eastAsia="Arial" w:hAnsi="Arial"/>
          <w:sz w:val="16"/>
          <w:szCs w:val="16"/>
          <w:color w:val="auto"/>
        </w:rPr>
        <w:t>Biogen’s Community Lab has served more than 61,000 students.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59765"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765" cy="196850"/>
                    </a:xfrm>
                    <a:prstGeom prst="rect">
                      <a:avLst/>
                    </a:prstGeom>
                    <a:noFill/>
                  </pic:spPr>
                </pic:pic>
              </a:graphicData>
            </a:graphic>
          </wp:anchor>
        </w:drawing>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1"/>
          <w:szCs w:val="11"/>
          <w:color w:val="1A6DBB"/>
        </w:rPr>
        <w:t>-vi-</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p>
      <w:pPr>
        <w:ind w:left="660" w:hanging="220"/>
        <w:spacing w:after="0"/>
        <w:tabs>
          <w:tab w:leader="none" w:pos="660" w:val="left"/>
        </w:tabs>
        <w:numPr>
          <w:ilvl w:val="0"/>
          <w:numId w:val="10"/>
        </w:numPr>
        <w:rPr>
          <w:rFonts w:ascii="Arial" w:cs="Arial" w:eastAsia="Arial" w:hAnsi="Arial"/>
          <w:sz w:val="16"/>
          <w:szCs w:val="16"/>
          <w:b w:val="1"/>
          <w:bCs w:val="1"/>
          <w:color w:val="1A6DBB"/>
        </w:rPr>
      </w:pPr>
      <w:r>
        <w:rPr>
          <w:rFonts w:ascii="Arial" w:cs="Arial" w:eastAsia="Arial" w:hAnsi="Arial"/>
          <w:sz w:val="16"/>
          <w:szCs w:val="16"/>
          <w:b w:val="1"/>
          <w:bCs w:val="1"/>
          <w:color w:val="1A6DBB"/>
        </w:rPr>
        <w:t>Work to improve health outcomes for underrepresented and underserved communities in the disease areas we treat:</w:t>
      </w:r>
    </w:p>
    <w:p>
      <w:pPr>
        <w:spacing w:after="0" w:line="113" w:lineRule="exact"/>
        <w:rPr>
          <w:rFonts w:ascii="Arial" w:cs="Arial" w:eastAsia="Arial" w:hAnsi="Arial"/>
          <w:sz w:val="16"/>
          <w:szCs w:val="16"/>
          <w:b w:val="1"/>
          <w:bCs w:val="1"/>
          <w:color w:val="1A6DBB"/>
        </w:rPr>
      </w:pPr>
    </w:p>
    <w:p>
      <w:pPr>
        <w:ind w:left="660" w:right="40"/>
        <w:spacing w:after="0" w:line="266" w:lineRule="auto"/>
        <w:rPr>
          <w:rFonts w:ascii="Arial" w:cs="Arial" w:eastAsia="Arial" w:hAnsi="Arial"/>
          <w:sz w:val="16"/>
          <w:szCs w:val="16"/>
          <w:b w:val="1"/>
          <w:bCs w:val="1"/>
          <w:color w:val="1A6DBB"/>
        </w:rPr>
      </w:pPr>
      <w:r>
        <w:rPr>
          <w:rFonts w:ascii="Arial" w:cs="Arial" w:eastAsia="Arial" w:hAnsi="Arial"/>
          <w:sz w:val="16"/>
          <w:szCs w:val="16"/>
          <w:color w:val="auto"/>
        </w:rPr>
        <w:t>We embedded health equity awareness and ambitious targets across the spectrum of our operational activities, touching everything from representation in trials to patient access to our therapies. We will continue to prioritize health equity in our programs including collecting more data from underserved and underrepresented populations to continue to build more cultural relevant and appropriate practices.</w:t>
      </w:r>
    </w:p>
    <w:p>
      <w:pPr>
        <w:spacing w:after="0" w:line="76" w:lineRule="exact"/>
        <w:rPr>
          <w:rFonts w:ascii="Arial" w:cs="Arial" w:eastAsia="Arial" w:hAnsi="Arial"/>
          <w:sz w:val="16"/>
          <w:szCs w:val="16"/>
          <w:b w:val="1"/>
          <w:bCs w:val="1"/>
          <w:color w:val="1A6DBB"/>
        </w:rPr>
      </w:pPr>
    </w:p>
    <w:p>
      <w:pPr>
        <w:ind w:left="1420" w:right="40" w:hanging="427"/>
        <w:spacing w:after="0" w:line="256" w:lineRule="auto"/>
        <w:tabs>
          <w:tab w:leader="none" w:pos="1420" w:val="left"/>
        </w:tabs>
        <w:numPr>
          <w:ilvl w:val="1"/>
          <w:numId w:val="10"/>
        </w:numPr>
        <w:rPr>
          <w:rFonts w:ascii="Arial" w:cs="Arial" w:eastAsia="Arial" w:hAnsi="Arial"/>
          <w:sz w:val="16"/>
          <w:szCs w:val="16"/>
          <w:color w:val="1A6DBB"/>
        </w:rPr>
      </w:pPr>
      <w:r>
        <w:rPr>
          <w:rFonts w:ascii="Arial" w:cs="Arial" w:eastAsia="Arial" w:hAnsi="Arial"/>
          <w:sz w:val="16"/>
          <w:szCs w:val="16"/>
          <w:color w:val="auto"/>
        </w:rPr>
        <w:t>When Biogen and Eisai launched ADUHELM, it included an equity plan, underscoring our commitment to seeking solutions to health inequities faced by underserved and underrepresented populations that are at higher risk for Alzheimer’s disease. In the Phase 4 post-marketing confirmatory ADUHELM study, ENVISION, we aim to enroll 18% of U.S. participants from Black/African American and Latino/Hispanic populations. We set a diversity goal in the observational Phase 4 ICARE Alzheimer’s disease trial to enroll at least 16% of the trial’s expected 6,000 participants from these communities.</w:t>
      </w:r>
    </w:p>
    <w:p>
      <w:pPr>
        <w:spacing w:after="0" w:line="85" w:lineRule="exact"/>
        <w:rPr>
          <w:rFonts w:ascii="Arial" w:cs="Arial" w:eastAsia="Arial" w:hAnsi="Arial"/>
          <w:sz w:val="16"/>
          <w:szCs w:val="16"/>
          <w:color w:val="1A6DBB"/>
        </w:rPr>
      </w:pPr>
    </w:p>
    <w:p>
      <w:pPr>
        <w:ind w:left="1420" w:right="200" w:hanging="427"/>
        <w:spacing w:after="0" w:line="259" w:lineRule="auto"/>
        <w:tabs>
          <w:tab w:leader="none" w:pos="1420" w:val="left"/>
        </w:tabs>
        <w:numPr>
          <w:ilvl w:val="1"/>
          <w:numId w:val="10"/>
        </w:numPr>
        <w:rPr>
          <w:rFonts w:ascii="Arial" w:cs="Arial" w:eastAsia="Arial" w:hAnsi="Arial"/>
          <w:sz w:val="16"/>
          <w:szCs w:val="16"/>
          <w:color w:val="1A6DBB"/>
        </w:rPr>
      </w:pPr>
      <w:r>
        <w:rPr>
          <w:rFonts w:ascii="Arial" w:cs="Arial" w:eastAsia="Arial" w:hAnsi="Arial"/>
          <w:sz w:val="16"/>
          <w:szCs w:val="16"/>
          <w:color w:val="auto"/>
        </w:rPr>
        <w:t>Collaborated with researchers to gather insights on barriers to clinical trial enrollment among underrepresented groups. Some patient barriers are concerns for safety and efficacy, and burdens of participation, such as cost. Provider barriers include low awareness of open clinical trials, lack of information on enrolling patients and biases related to patient referrals. These insights are being used to inform Biogen’s clinical development programs and address equity in study participation.</w:t>
      </w:r>
    </w:p>
    <w:p>
      <w:pPr>
        <w:spacing w:after="0" w:line="83" w:lineRule="exact"/>
        <w:rPr>
          <w:rFonts w:ascii="Arial" w:cs="Arial" w:eastAsia="Arial" w:hAnsi="Arial"/>
          <w:sz w:val="16"/>
          <w:szCs w:val="16"/>
          <w:color w:val="1A6DBB"/>
        </w:rPr>
      </w:pPr>
    </w:p>
    <w:p>
      <w:pPr>
        <w:ind w:left="1420" w:hanging="427"/>
        <w:spacing w:after="0" w:line="259" w:lineRule="auto"/>
        <w:tabs>
          <w:tab w:leader="none" w:pos="1420" w:val="left"/>
        </w:tabs>
        <w:numPr>
          <w:ilvl w:val="1"/>
          <w:numId w:val="10"/>
        </w:numPr>
        <w:rPr>
          <w:rFonts w:ascii="Arial" w:cs="Arial" w:eastAsia="Arial" w:hAnsi="Arial"/>
          <w:sz w:val="16"/>
          <w:szCs w:val="16"/>
          <w:color w:val="1A6DBB"/>
        </w:rPr>
      </w:pPr>
      <w:r>
        <w:rPr>
          <w:rFonts w:ascii="Arial" w:cs="Arial" w:eastAsia="Arial" w:hAnsi="Arial"/>
          <w:sz w:val="16"/>
          <w:szCs w:val="16"/>
          <w:color w:val="auto"/>
        </w:rPr>
        <w:t>For our Phase 3 study of BIIB059 in systemic lupus erythematosus (SLE) we set enrollment targets that reflect the prevalence of SLE in African American and Hispanic/Latino communities to achieve appropriate representation. Through partnerships with community-based Proximity Health Solutions and faith-based HEAL Collaborative, along with expert panelists of community leaders, healthcare professionals and patient advocates, we participated in events to educate communities about lupus and clinical trial research.</w:t>
      </w:r>
    </w:p>
    <w:p>
      <w:pPr>
        <w:spacing w:after="0" w:line="83" w:lineRule="exact"/>
        <w:rPr>
          <w:rFonts w:ascii="Arial" w:cs="Arial" w:eastAsia="Arial" w:hAnsi="Arial"/>
          <w:sz w:val="16"/>
          <w:szCs w:val="16"/>
          <w:color w:val="1A6DBB"/>
        </w:rPr>
      </w:pPr>
    </w:p>
    <w:p>
      <w:pPr>
        <w:ind w:left="660" w:hanging="220"/>
        <w:spacing w:after="0"/>
        <w:tabs>
          <w:tab w:leader="none" w:pos="660" w:val="left"/>
        </w:tabs>
        <w:numPr>
          <w:ilvl w:val="0"/>
          <w:numId w:val="10"/>
        </w:numPr>
        <w:rPr>
          <w:rFonts w:ascii="Arial" w:cs="Arial" w:eastAsia="Arial" w:hAnsi="Arial"/>
          <w:sz w:val="16"/>
          <w:szCs w:val="16"/>
          <w:b w:val="1"/>
          <w:bCs w:val="1"/>
          <w:color w:val="1A6DBB"/>
        </w:rPr>
      </w:pPr>
      <w:r>
        <w:rPr>
          <w:rFonts w:ascii="Arial" w:cs="Arial" w:eastAsia="Arial" w:hAnsi="Arial"/>
          <w:sz w:val="16"/>
          <w:szCs w:val="16"/>
          <w:b w:val="1"/>
          <w:bCs w:val="1"/>
          <w:color w:val="1A6DBB"/>
        </w:rPr>
        <w:t>Promote economic empowerment and expand sourcing with minority-owned businesses:</w:t>
      </w:r>
    </w:p>
    <w:p>
      <w:pPr>
        <w:spacing w:after="0" w:line="113" w:lineRule="exact"/>
        <w:rPr>
          <w:rFonts w:ascii="Arial" w:cs="Arial" w:eastAsia="Arial" w:hAnsi="Arial"/>
          <w:sz w:val="16"/>
          <w:szCs w:val="16"/>
          <w:b w:val="1"/>
          <w:bCs w:val="1"/>
          <w:color w:val="1A6DBB"/>
        </w:rPr>
      </w:pPr>
    </w:p>
    <w:p>
      <w:pPr>
        <w:ind w:left="660"/>
        <w:spacing w:after="0"/>
        <w:rPr>
          <w:rFonts w:ascii="Arial" w:cs="Arial" w:eastAsia="Arial" w:hAnsi="Arial"/>
          <w:sz w:val="16"/>
          <w:szCs w:val="16"/>
          <w:b w:val="1"/>
          <w:bCs w:val="1"/>
          <w:color w:val="1A6DBB"/>
        </w:rPr>
      </w:pPr>
      <w:r>
        <w:rPr>
          <w:rFonts w:ascii="Arial" w:cs="Arial" w:eastAsia="Arial" w:hAnsi="Arial"/>
          <w:sz w:val="16"/>
          <w:szCs w:val="16"/>
          <w:color w:val="auto"/>
        </w:rPr>
        <w:t>We surpassed our minority-owned business spend goal by $5.0 million, spending a total of $43.0 million.</w:t>
      </w:r>
    </w:p>
    <w:p>
      <w:pPr>
        <w:spacing w:after="0" w:line="113"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We will foster even greater awareness and capability in our organization through leadership accountability and transparency. To establish and progress this strategy, we will rely on a cross-company governing body of employees known as the Diversity, Equity &amp; Inclusion Strategic Council.</w:t>
      </w:r>
    </w:p>
    <w:p>
      <w:pPr>
        <w:spacing w:after="0" w:line="4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We are honored to be recognized as a company of choice. We scored 100% on the Disability Equality Index, which measures our policies and practices related to disability inclusion, for the fourth consecutive year. Additionally, for the eighth consecutive year, we were recognized as a Best Place to Work for LGBTQ+ Equality by the Human Rights Campaign, scoring 100% on their Corporate Equality Index. In 2021, we also signed onto the CEO Letter on Disability Inclusion from Disability:IN. As a testament to our efforts, we were ranked in the top five on Fortune/Refinitiv’s Measure Up ranking on DE&amp;I transparency and progress.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Commitment to Pay Equity</w:t>
      </w:r>
    </w:p>
    <w:p>
      <w:pPr>
        <w:spacing w:after="0" w:line="108"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Our promise to our workforce and society is that employees will receive equal pay for equal work at Biogen. To deliver, we conducted a Global Pay Equity Analysis, sharing the results with our employees in 2021. We found that 99.7% of employees were paid consistent with our compensation philosophy. For the remaining 0.3% of employees, we assessed their skill, level, experience and other factors, and made adjustments, as appropriate. Our approach validated that fairness and equity are embedded in our compensation practices.</w:t>
      </w:r>
    </w:p>
    <w:p>
      <w:pPr>
        <w:spacing w:after="0" w:line="70"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An external consultant helped us analyze comparable roles to evaluate whether gender impacted compensation and determined our compensation practices to be equitable. In the U.S., where the law permits the collection of race and ethnic data, we also included race and ethnicity in the analysis, consistent with our commitment to racial and ethnic equity. We will continue to hold ourselves accountable, regularly reviewing our compensation practices and analyzing the equity of compensation decisions, for individual employees and our workforce as a whole. If we identify employees with pay gaps, we review and take appropriate action to ensure fidelity between our stated philosophy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59765"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765" cy="196850"/>
                    </a:xfrm>
                    <a:prstGeom prst="rect">
                      <a:avLst/>
                    </a:prstGeom>
                    <a:noFill/>
                  </pic:spPr>
                </pic:pic>
              </a:graphicData>
            </a:graphic>
          </wp:anchor>
        </w:drawing>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1"/>
          <w:szCs w:val="11"/>
          <w:color w:val="1A6DBB"/>
        </w:rPr>
        <w:t>-vii-</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7"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We strive to pay employees equitably within a reasonable range, taking into consideration factors such as role, function, market data, internal equity, job location, relevant experience and individual, business unit and Company performance. In addition, we provide flexible benefits designed to meet the varied needs of our diverse global workforce so that they are inspired and equipped to thrive, performing their best on behalf of patients and stockholders each day.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Community Engagement</w:t>
      </w:r>
    </w:p>
    <w:p>
      <w:pPr>
        <w:spacing w:after="0" w:line="10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 xml:space="preserve">Our employees are not only passionate about how their work at Biogen may help improve lives, they are also engaged across a broad range of activities to be a positive presence wherever we operate. Our </w:t>
      </w:r>
      <w:r>
        <w:rPr>
          <w:rFonts w:ascii="Arial" w:cs="Arial" w:eastAsia="Arial" w:hAnsi="Arial"/>
          <w:sz w:val="16"/>
          <w:szCs w:val="16"/>
          <w:b w:val="1"/>
          <w:bCs w:val="1"/>
          <w:color w:val="1A6DBB"/>
        </w:rPr>
        <w:t>Care Deeply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1A6DBB"/>
        </w:rPr>
        <w:t>Every</w:t>
      </w:r>
      <w:r>
        <w:rPr>
          <w:rFonts w:ascii="Arial" w:cs="Arial" w:eastAsia="Arial" w:hAnsi="Arial"/>
          <w:sz w:val="16"/>
          <w:szCs w:val="16"/>
          <w:color w:val="auto"/>
        </w:rPr>
        <w:t xml:space="preserve"> </w:t>
      </w:r>
      <w:r>
        <w:rPr>
          <w:rFonts w:ascii="Arial" w:cs="Arial" w:eastAsia="Arial" w:hAnsi="Arial"/>
          <w:sz w:val="16"/>
          <w:szCs w:val="16"/>
          <w:b w:val="1"/>
          <w:bCs w:val="1"/>
          <w:color w:val="1A6DBB"/>
        </w:rPr>
        <w:t>Day</w:t>
      </w:r>
      <w:r>
        <w:rPr>
          <w:rFonts w:ascii="Arial" w:cs="Arial" w:eastAsia="Arial" w:hAnsi="Arial"/>
          <w:sz w:val="16"/>
          <w:szCs w:val="16"/>
          <w:color w:val="auto"/>
        </w:rPr>
        <w:t xml:space="preserve"> program – an ongoing volunteer program that runs through the whole year</w:t>
      </w:r>
    </w:p>
    <w:p>
      <w:pPr>
        <w:spacing w:after="0" w:line="1" w:lineRule="exact"/>
        <w:rPr>
          <w:sz w:val="20"/>
          <w:szCs w:val="20"/>
          <w:color w:val="auto"/>
        </w:rPr>
      </w:pPr>
    </w:p>
    <w:p>
      <w:pPr>
        <w:ind w:left="120" w:right="460"/>
        <w:spacing w:after="0" w:line="256" w:lineRule="auto"/>
        <w:rPr>
          <w:sz w:val="20"/>
          <w:szCs w:val="20"/>
          <w:color w:val="auto"/>
        </w:rPr>
      </w:pPr>
      <w:r>
        <w:rPr>
          <w:rFonts w:ascii="Arial" w:cs="Arial" w:eastAsia="Arial" w:hAnsi="Arial"/>
          <w:sz w:val="16"/>
          <w:szCs w:val="16"/>
          <w:color w:val="auto"/>
        </w:rPr>
        <w:t>– provides every Biogen employee with eight hours of volunteer time for in-person and virtual volunteer opportunities. To celebrate the 10-year anniversary of Care Deeply, employees came together to exceed our collective goal of 10,000 hours of volunteer work, logging nearly 14,500 hours across more than 20 countries, with 71% of Biogen sites participating.</w:t>
      </w:r>
    </w:p>
    <w:p>
      <w:pPr>
        <w:spacing w:after="0" w:line="70"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1A6DBB"/>
        </w:rPr>
        <w:t>Community Lab</w:t>
      </w:r>
      <w:r>
        <w:rPr>
          <w:rFonts w:ascii="Arial" w:cs="Arial" w:eastAsia="Arial" w:hAnsi="Arial"/>
          <w:sz w:val="16"/>
          <w:szCs w:val="16"/>
          <w:color w:val="auto"/>
        </w:rPr>
        <w:t xml:space="preserve"> is the longest-running, hands-on corporate science lab in the nation, serving as the model for a growing number of similar initiatives in the biotech community, and has two locations: Cambridge, Massachusetts and Research Triangle Park, North Carolina. The location at our headquarters in Cambridge opened in 2002 and the Research Triangle Park location opened in 2014. At our Community Labs, local middle and high school students engage in biotechnology experiments and interact with scientists and other biotech professionals in a state-of-the-art laboratory classroom. Since its inception, our Community Labs have engaged more than 61,000 students in hands-on learning to inspire their passion for science with priority focus on underrepresented students.</w:t>
      </w:r>
    </w:p>
    <w:p>
      <w:pPr>
        <w:spacing w:after="0" w:line="7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 xml:space="preserve">In 2020 as a result of the COVID-19 pandemic, we brought our Community Lab science learning program together with the Lemelson-MIT Program at the Massachusetts Institute of Technology (MIT) to launch the new online </w:t>
      </w:r>
      <w:r>
        <w:rPr>
          <w:rFonts w:ascii="Arial" w:cs="Arial" w:eastAsia="Arial" w:hAnsi="Arial"/>
          <w:sz w:val="16"/>
          <w:szCs w:val="16"/>
          <w:b w:val="1"/>
          <w:bCs w:val="1"/>
          <w:color w:val="1A6DBB"/>
        </w:rPr>
        <w:t>Biogen-MIT Biotech in Action</w:t>
      </w:r>
      <w:r>
        <w:rPr>
          <w:rFonts w:ascii="Arial" w:cs="Arial" w:eastAsia="Arial" w:hAnsi="Arial"/>
          <w:sz w:val="16"/>
          <w:szCs w:val="16"/>
          <w:color w:val="auto"/>
        </w:rPr>
        <w:t>. This virtual lab offered Massachusetts and North Carolina high school students a first-hand experience in biotechnology and provided the opportunity to learn directly from, and be mentored by, leading scientists at Biogen and MIT. Most of the students were from low-income households and groups historically underrepresented in science, technology, engineering and math (STEM). In 2021 building on the popularity and enhanced reach of the program, Biotech in Action expanded to 19 countries, with some of the programs including live translation in Spanish and Portuguese, along with increasing the numbers of sessions throughout the year. Since its launch, the program has reached over 1,000 students.</w:t>
      </w:r>
    </w:p>
    <w:p>
      <w:pPr>
        <w:spacing w:after="0" w:line="73"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We also worked with many leading institutions to bring scientific content and engaging experiences to students through an online hub called the Virtual Community Lab. Here students, parents and teachers around the world can access and experience free online resources, including tutorial videos of science experiments that can be done at home, plus other educational materials.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The Biogen Foundation</w:t>
      </w:r>
    </w:p>
    <w:p>
      <w:pPr>
        <w:spacing w:after="0" w:line="108"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auto"/>
        </w:rPr>
        <w:t>The Biogen Foundation is committed to serving humanity by training the next generation of diverse scientists and catalyzing more resilient, healthy and equitable communities. Across these areas, the Foundation prioritizes serving vulnerable populations in the regions in which Biogen operates. The Biogen Foundation is deeply committed to sparking a passion for science and discovery, strengthening efforts to make science education and science careers accessible to diverse populations, and supporting the social determinants of health. Most of all, we want young people to know that through science they have the ability to change the world and have the tools to be successful. To realize this goal, the Biogen Foundation principally supports nonprofit organizations that focus on caring deeply for neighbors in need, working fearlessly for health equity, and changing lives through science.</w:t>
      </w:r>
    </w:p>
    <w:p>
      <w:pPr>
        <w:spacing w:after="0" w:line="74" w:lineRule="exact"/>
        <w:rPr>
          <w:sz w:val="20"/>
          <w:szCs w:val="20"/>
          <w:color w:val="auto"/>
        </w:rPr>
      </w:pPr>
    </w:p>
    <w:p>
      <w:pPr>
        <w:ind w:left="120" w:right="800"/>
        <w:spacing w:after="0" w:line="286" w:lineRule="auto"/>
        <w:rPr>
          <w:sz w:val="20"/>
          <w:szCs w:val="20"/>
          <w:color w:val="auto"/>
        </w:rPr>
      </w:pPr>
      <w:r>
        <w:rPr>
          <w:rFonts w:ascii="Arial" w:cs="Arial" w:eastAsia="Arial" w:hAnsi="Arial"/>
          <w:sz w:val="16"/>
          <w:szCs w:val="16"/>
          <w:color w:val="auto"/>
        </w:rPr>
        <w:t>In 2021 the Biogen Foundation donated approximately $8.3 million to organizations around the world. This included $6.1 million in grants to 29 organizations.</w:t>
      </w:r>
    </w:p>
    <w:p>
      <w:pPr>
        <w:spacing w:after="0" w:line="48"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Biogen Foundation matched Biogen employee gifts to nonprofit organizations, up to $25,000 per employee, per year. The employee matching gift program contributed $2.2 million to causes ranging from disease research to camps for children with serious illnesses to disaster relief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59765"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765" cy="196850"/>
                    </a:xfrm>
                    <a:prstGeom prst="rect">
                      <a:avLst/>
                    </a:prstGeom>
                    <a:noFill/>
                  </pic:spPr>
                </pic:pic>
              </a:graphicData>
            </a:graphic>
          </wp:anchor>
        </w:drawing>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-viii-</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Our Pricing Principles</w:t>
      </w:r>
    </w:p>
    <w:p>
      <w:pPr>
        <w:spacing w:after="0" w:line="108"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6"/>
          <w:szCs w:val="16"/>
          <w:color w:val="auto"/>
        </w:rPr>
        <w:t>As a pioneer in neuroscience, we have the opportunity and responsibility to bring potentially transformative treatments to patients. Our patients remain at the center of everything we do as a company. We recognize that access and the price of our medicines are of concern to our patients, providers, payers and policy makers. We work collaboratively to help ensure that patients are not denied access to life-changing therapies and are guided by the following principles:</w:t>
      </w:r>
    </w:p>
    <w:p>
      <w:pPr>
        <w:spacing w:after="0" w:line="83" w:lineRule="exact"/>
        <w:rPr>
          <w:sz w:val="20"/>
          <w:szCs w:val="20"/>
          <w:color w:val="auto"/>
        </w:rPr>
      </w:pPr>
    </w:p>
    <w:p>
      <w:pPr>
        <w:ind w:left="440" w:right="220" w:hanging="324"/>
        <w:spacing w:after="0" w:line="286" w:lineRule="auto"/>
        <w:tabs>
          <w:tab w:leader="none" w:pos="440" w:val="left"/>
        </w:tabs>
        <w:numPr>
          <w:ilvl w:val="0"/>
          <w:numId w:val="12"/>
        </w:numPr>
        <w:rPr>
          <w:rFonts w:ascii="Arial" w:cs="Arial" w:eastAsia="Arial" w:hAnsi="Arial"/>
          <w:sz w:val="16"/>
          <w:szCs w:val="16"/>
          <w:color w:val="1A6DBB"/>
        </w:rPr>
      </w:pPr>
      <w:r>
        <w:rPr>
          <w:rFonts w:ascii="Arial" w:cs="Arial" w:eastAsia="Arial" w:hAnsi="Arial"/>
          <w:sz w:val="16"/>
          <w:szCs w:val="16"/>
          <w:b w:val="1"/>
          <w:bCs w:val="1"/>
          <w:color w:val="1A6DBB"/>
        </w:rPr>
        <w:t xml:space="preserve">Value to Patients: </w:t>
      </w:r>
      <w:r>
        <w:rPr>
          <w:rFonts w:ascii="Arial" w:cs="Arial" w:eastAsia="Arial" w:hAnsi="Arial"/>
          <w:sz w:val="16"/>
          <w:szCs w:val="16"/>
          <w:color w:val="000000"/>
        </w:rPr>
        <w:t>We assess the value our therapies bring to patients, including clinical outcomes, improvements in daily living and quality of life,</w:t>
      </w:r>
      <w:r>
        <w:rPr>
          <w:rFonts w:ascii="Arial" w:cs="Arial" w:eastAsia="Arial" w:hAnsi="Arial"/>
          <w:sz w:val="16"/>
          <w:szCs w:val="16"/>
          <w:b w:val="1"/>
          <w:bCs w:val="1"/>
          <w:color w:val="1A6DBB"/>
        </w:rPr>
        <w:t xml:space="preserve"> </w:t>
      </w:r>
      <w:r>
        <w:rPr>
          <w:rFonts w:ascii="Arial" w:cs="Arial" w:eastAsia="Arial" w:hAnsi="Arial"/>
          <w:sz w:val="16"/>
          <w:szCs w:val="16"/>
          <w:color w:val="000000"/>
        </w:rPr>
        <w:t>and the impact on unmet needs. We believe the prices of our medicines reflect their unique advancements in improving patient health.</w:t>
      </w:r>
    </w:p>
    <w:p>
      <w:pPr>
        <w:spacing w:after="0" w:line="61" w:lineRule="exact"/>
        <w:rPr>
          <w:rFonts w:ascii="Arial" w:cs="Arial" w:eastAsia="Arial" w:hAnsi="Arial"/>
          <w:sz w:val="16"/>
          <w:szCs w:val="16"/>
          <w:color w:val="1A6DBB"/>
        </w:rPr>
      </w:pPr>
    </w:p>
    <w:p>
      <w:pPr>
        <w:ind w:left="440" w:right="200" w:hanging="324"/>
        <w:spacing w:after="0" w:line="266" w:lineRule="auto"/>
        <w:tabs>
          <w:tab w:leader="none" w:pos="440" w:val="left"/>
        </w:tabs>
        <w:numPr>
          <w:ilvl w:val="0"/>
          <w:numId w:val="12"/>
        </w:numPr>
        <w:rPr>
          <w:rFonts w:ascii="Arial" w:cs="Arial" w:eastAsia="Arial" w:hAnsi="Arial"/>
          <w:sz w:val="16"/>
          <w:szCs w:val="16"/>
          <w:color w:val="1A6DBB"/>
        </w:rPr>
      </w:pPr>
      <w:r>
        <w:rPr>
          <w:rFonts w:ascii="Arial" w:cs="Arial" w:eastAsia="Arial" w:hAnsi="Arial"/>
          <w:sz w:val="16"/>
          <w:szCs w:val="16"/>
          <w:b w:val="1"/>
          <w:bCs w:val="1"/>
          <w:color w:val="1A6DBB"/>
        </w:rPr>
        <w:t xml:space="preserve">Present and Future Benefit to Society: </w:t>
      </w:r>
      <w:r>
        <w:rPr>
          <w:rFonts w:ascii="Arial" w:cs="Arial" w:eastAsia="Arial" w:hAnsi="Arial"/>
          <w:sz w:val="16"/>
          <w:szCs w:val="16"/>
          <w:color w:val="000000"/>
        </w:rPr>
        <w:t>In the near term, our benefit to society includes supporting people living with serious neurological and</w:t>
      </w:r>
      <w:r>
        <w:rPr>
          <w:rFonts w:ascii="Arial" w:cs="Arial" w:eastAsia="Arial" w:hAnsi="Arial"/>
          <w:sz w:val="16"/>
          <w:szCs w:val="16"/>
          <w:b w:val="1"/>
          <w:bCs w:val="1"/>
          <w:color w:val="1A6DBB"/>
        </w:rPr>
        <w:t xml:space="preserve"> </w:t>
      </w:r>
      <w:r>
        <w:rPr>
          <w:rFonts w:ascii="Arial" w:cs="Arial" w:eastAsia="Arial" w:hAnsi="Arial"/>
          <w:sz w:val="16"/>
          <w:szCs w:val="16"/>
          <w:color w:val="000000"/>
        </w:rPr>
        <w:t>neurodegenerative diseases while also reducing overall healthcare system costs. In the longer-term, we respect the social contract that allows free pricing of innovation followed by swift entry of biosimilars/generics after loss of exclusivity, which makes room for the next wave of innovation.</w:t>
      </w:r>
    </w:p>
    <w:p>
      <w:pPr>
        <w:spacing w:after="0" w:line="76" w:lineRule="exact"/>
        <w:rPr>
          <w:rFonts w:ascii="Arial" w:cs="Arial" w:eastAsia="Arial" w:hAnsi="Arial"/>
          <w:sz w:val="16"/>
          <w:szCs w:val="16"/>
          <w:color w:val="1A6DBB"/>
        </w:rPr>
      </w:pPr>
    </w:p>
    <w:p>
      <w:pPr>
        <w:ind w:left="440" w:right="220" w:hanging="324"/>
        <w:spacing w:after="0" w:line="286" w:lineRule="auto"/>
        <w:tabs>
          <w:tab w:leader="none" w:pos="440" w:val="left"/>
        </w:tabs>
        <w:numPr>
          <w:ilvl w:val="0"/>
          <w:numId w:val="12"/>
        </w:numPr>
        <w:rPr>
          <w:rFonts w:ascii="Arial" w:cs="Arial" w:eastAsia="Arial" w:hAnsi="Arial"/>
          <w:sz w:val="16"/>
          <w:szCs w:val="16"/>
          <w:color w:val="1A6DBB"/>
        </w:rPr>
      </w:pPr>
      <w:r>
        <w:rPr>
          <w:rFonts w:ascii="Arial" w:cs="Arial" w:eastAsia="Arial" w:hAnsi="Arial"/>
          <w:sz w:val="16"/>
          <w:szCs w:val="16"/>
          <w:b w:val="1"/>
          <w:bCs w:val="1"/>
          <w:color w:val="1A6DBB"/>
        </w:rPr>
        <w:t xml:space="preserve">Fulfilling our Commitment to Innovation: </w:t>
      </w:r>
      <w:r>
        <w:rPr>
          <w:rFonts w:ascii="Arial" w:cs="Arial" w:eastAsia="Arial" w:hAnsi="Arial"/>
          <w:sz w:val="16"/>
          <w:szCs w:val="16"/>
          <w:color w:val="000000"/>
        </w:rPr>
        <w:t>Continued innovation is our growth strategy. We rely on the sale of our medicines to drive our ongoing</w:t>
      </w:r>
      <w:r>
        <w:rPr>
          <w:rFonts w:ascii="Arial" w:cs="Arial" w:eastAsia="Arial" w:hAnsi="Arial"/>
          <w:sz w:val="16"/>
          <w:szCs w:val="16"/>
          <w:b w:val="1"/>
          <w:bCs w:val="1"/>
          <w:color w:val="1A6DBB"/>
        </w:rPr>
        <w:t xml:space="preserve"> </w:t>
      </w:r>
      <w:r>
        <w:rPr>
          <w:rFonts w:ascii="Arial" w:cs="Arial" w:eastAsia="Arial" w:hAnsi="Arial"/>
          <w:sz w:val="16"/>
          <w:szCs w:val="16"/>
          <w:color w:val="000000"/>
        </w:rPr>
        <w:t>research and clinical trials for new medicines in areas of high unmet medical need.</w:t>
      </w:r>
    </w:p>
    <w:p>
      <w:pPr>
        <w:spacing w:after="0" w:line="61" w:lineRule="exact"/>
        <w:rPr>
          <w:rFonts w:ascii="Arial" w:cs="Arial" w:eastAsia="Arial" w:hAnsi="Arial"/>
          <w:sz w:val="16"/>
          <w:szCs w:val="16"/>
          <w:color w:val="1A6DBB"/>
        </w:rPr>
      </w:pPr>
    </w:p>
    <w:p>
      <w:pPr>
        <w:ind w:left="440" w:hanging="324"/>
        <w:spacing w:after="0" w:line="286" w:lineRule="auto"/>
        <w:tabs>
          <w:tab w:leader="none" w:pos="440" w:val="left"/>
        </w:tabs>
        <w:numPr>
          <w:ilvl w:val="0"/>
          <w:numId w:val="12"/>
        </w:numPr>
        <w:rPr>
          <w:rFonts w:ascii="Arial" w:cs="Arial" w:eastAsia="Arial" w:hAnsi="Arial"/>
          <w:sz w:val="16"/>
          <w:szCs w:val="16"/>
          <w:color w:val="1A6DBB"/>
        </w:rPr>
      </w:pPr>
      <w:r>
        <w:rPr>
          <w:rFonts w:ascii="Arial" w:cs="Arial" w:eastAsia="Arial" w:hAnsi="Arial"/>
          <w:sz w:val="16"/>
          <w:szCs w:val="16"/>
          <w:b w:val="1"/>
          <w:bCs w:val="1"/>
          <w:color w:val="1A6DBB"/>
        </w:rPr>
        <w:t xml:space="preserve">Evolution toward Value Based Care: </w:t>
      </w:r>
      <w:r>
        <w:rPr>
          <w:rFonts w:ascii="Arial" w:cs="Arial" w:eastAsia="Arial" w:hAnsi="Arial"/>
          <w:sz w:val="16"/>
          <w:szCs w:val="16"/>
          <w:color w:val="000000"/>
        </w:rPr>
        <w:t>We believe in holistic value frameworks, with benefits to patients, providers and society. We seek value-based</w:t>
      </w:r>
      <w:r>
        <w:rPr>
          <w:rFonts w:ascii="Arial" w:cs="Arial" w:eastAsia="Arial" w:hAnsi="Arial"/>
          <w:sz w:val="16"/>
          <w:szCs w:val="16"/>
          <w:b w:val="1"/>
          <w:bCs w:val="1"/>
          <w:color w:val="1A6DBB"/>
        </w:rPr>
        <w:t xml:space="preserve"> </w:t>
      </w:r>
      <w:r>
        <w:rPr>
          <w:rFonts w:ascii="Arial" w:cs="Arial" w:eastAsia="Arial" w:hAnsi="Arial"/>
          <w:sz w:val="16"/>
          <w:szCs w:val="16"/>
          <w:color w:val="000000"/>
        </w:rPr>
        <w:t>agreements and partnerships which maximize the benefit of our therapies.</w:t>
      </w:r>
    </w:p>
    <w:p>
      <w:pPr>
        <w:spacing w:after="0" w:line="61" w:lineRule="exact"/>
        <w:rPr>
          <w:rFonts w:ascii="Arial" w:cs="Arial" w:eastAsia="Arial" w:hAnsi="Arial"/>
          <w:sz w:val="16"/>
          <w:szCs w:val="16"/>
          <w:color w:val="1A6DBB"/>
        </w:rPr>
      </w:pPr>
    </w:p>
    <w:p>
      <w:pPr>
        <w:ind w:left="440" w:right="200" w:hanging="324"/>
        <w:spacing w:after="0" w:line="266" w:lineRule="auto"/>
        <w:tabs>
          <w:tab w:leader="none" w:pos="440" w:val="left"/>
        </w:tabs>
        <w:numPr>
          <w:ilvl w:val="0"/>
          <w:numId w:val="12"/>
        </w:numPr>
        <w:rPr>
          <w:rFonts w:ascii="Arial" w:cs="Arial" w:eastAsia="Arial" w:hAnsi="Arial"/>
          <w:sz w:val="16"/>
          <w:szCs w:val="16"/>
          <w:color w:val="1A6DBB"/>
        </w:rPr>
      </w:pPr>
      <w:r>
        <w:rPr>
          <w:rFonts w:ascii="Arial" w:cs="Arial" w:eastAsia="Arial" w:hAnsi="Arial"/>
          <w:sz w:val="16"/>
          <w:szCs w:val="16"/>
          <w:b w:val="1"/>
          <w:bCs w:val="1"/>
          <w:color w:val="1A6DBB"/>
        </w:rPr>
        <w:t xml:space="preserve">Affordability &amp; Sustainability: </w:t>
      </w:r>
      <w:r>
        <w:rPr>
          <w:rFonts w:ascii="Arial" w:cs="Arial" w:eastAsia="Arial" w:hAnsi="Arial"/>
          <w:sz w:val="16"/>
          <w:szCs w:val="16"/>
          <w:color w:val="000000"/>
        </w:rPr>
        <w:t>It is the shared responsibility of all healthcare stakeholders to find solutions that ensure patients can afford new</w:t>
      </w:r>
      <w:r>
        <w:rPr>
          <w:rFonts w:ascii="Arial" w:cs="Arial" w:eastAsia="Arial" w:hAnsi="Arial"/>
          <w:sz w:val="16"/>
          <w:szCs w:val="16"/>
          <w:b w:val="1"/>
          <w:bCs w:val="1"/>
          <w:color w:val="1A6DBB"/>
        </w:rPr>
        <w:t xml:space="preserve"> </w:t>
      </w:r>
      <w:r>
        <w:rPr>
          <w:rFonts w:ascii="Arial" w:cs="Arial" w:eastAsia="Arial" w:hAnsi="Arial"/>
          <w:sz w:val="16"/>
          <w:szCs w:val="16"/>
          <w:color w:val="000000"/>
        </w:rPr>
        <w:t>innovations. Biogen partners with healthcare systems so patients can access our medicines in a sustainable way. And we remain flexible to enable affordability for patients across economic circumstances.</w:t>
      </w:r>
    </w:p>
    <w:p>
      <w:pPr>
        <w:spacing w:after="0" w:line="63"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 xml:space="preserve">A copy of our Pricing Principles is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“Guiding Principles” subsection of the “Who We Are” section of the website.</w:t>
      </w:r>
    </w:p>
    <w:p>
      <w:pPr>
        <w:spacing w:after="0" w:line="48"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We regularly review our pricing strategy and prioritize patient access to our therapies. Through value-based contracting designed to align the price of our therapies to the value they deliver to patients and to the respective healthcare systems. We also work with regulators, clinical researchers, ethicists, physicians and patient advocacy organizations and communities, among others, to determine how best to address requests for access to our investigational therapies in a manner that is consistent with our patient-focused values and compliant with regulatory standards and protocols. In appropriate situations, patients may have access to investigational therapies through Early Access Programs, single patient access or emergency use based on humanitarian or compassionate grounds.</w:t>
      </w:r>
    </w:p>
    <w:p>
      <w:pPr>
        <w:spacing w:after="0" w:line="74" w:lineRule="exact"/>
        <w:rPr>
          <w:sz w:val="20"/>
          <w:szCs w:val="20"/>
          <w:color w:val="auto"/>
        </w:rPr>
      </w:pPr>
    </w:p>
    <w:p>
      <w:pPr>
        <w:ind w:left="120" w:right="540"/>
        <w:spacing w:after="0" w:line="285" w:lineRule="auto"/>
        <w:rPr>
          <w:sz w:val="20"/>
          <w:szCs w:val="20"/>
          <w:color w:val="auto"/>
        </w:rPr>
      </w:pPr>
      <w:r>
        <w:rPr>
          <w:rFonts w:ascii="Arial" w:cs="Arial" w:eastAsia="Arial" w:hAnsi="Arial"/>
          <w:sz w:val="16"/>
          <w:szCs w:val="16"/>
          <w:color w:val="auto"/>
        </w:rPr>
        <w:t xml:space="preserve">We believe biosimilar products benefit patients and help reduce the costs of healthcare systems. We estimate that the anti-TNF biosimilars we sell provided healthcare savings of approximately </w:t>
      </w:r>
      <w:r>
        <w:rPr>
          <w:rFonts w:ascii="Times New Roman" w:cs="Times New Roman" w:eastAsia="Times New Roman" w:hAnsi="Times New Roman"/>
          <w:sz w:val="16"/>
          <w:szCs w:val="16"/>
          <w:color w:val="auto"/>
        </w:rPr>
        <w:t>€</w:t>
      </w:r>
      <w:r>
        <w:rPr>
          <w:rFonts w:ascii="Arial" w:cs="Arial" w:eastAsia="Arial" w:hAnsi="Arial"/>
          <w:sz w:val="16"/>
          <w:szCs w:val="16"/>
          <w:color w:val="auto"/>
        </w:rPr>
        <w:t>2.6 billion in 2021 in the markets where they are sold.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Year in Review Corporate Responsibility Report</w:t>
      </w:r>
    </w:p>
    <w:p>
      <w:pPr>
        <w:spacing w:after="0" w:line="108"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Biogen is committed to leadership actions across all aspects of ESG. Our Board of Directors has oversight of ESG matters and as an element of our commitment to corporate responsibility throughout the company, employees are required to complete annual training in ethics, as part of training on the Biogen Code of Business Conduct.</w:t>
      </w:r>
    </w:p>
    <w:p>
      <w:pPr>
        <w:spacing w:after="0" w:line="63"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 xml:space="preserve">For more information on our commitment to addressing environmental, social and governance aspects across our business, please see our report, </w:t>
      </w:r>
      <w:r>
        <w:rPr>
          <w:rFonts w:ascii="Arial" w:cs="Arial" w:eastAsia="Arial" w:hAnsi="Arial"/>
          <w:sz w:val="16"/>
          <w:szCs w:val="16"/>
          <w:b w:val="1"/>
          <w:bCs w:val="1"/>
          <w:color w:val="1A6DBB"/>
        </w:rPr>
        <w:t>Year</w:t>
      </w:r>
      <w:r>
        <w:rPr>
          <w:rFonts w:ascii="Arial" w:cs="Arial" w:eastAsia="Arial" w:hAnsi="Arial"/>
          <w:sz w:val="16"/>
          <w:szCs w:val="16"/>
          <w:color w:val="auto"/>
        </w:rPr>
        <w:t xml:space="preserve"> </w:t>
      </w:r>
      <w:r>
        <w:rPr>
          <w:rFonts w:ascii="Arial" w:cs="Arial" w:eastAsia="Arial" w:hAnsi="Arial"/>
          <w:sz w:val="16"/>
          <w:szCs w:val="16"/>
          <w:b w:val="1"/>
          <w:bCs w:val="1"/>
          <w:color w:val="1A6DBB"/>
        </w:rPr>
        <w:t>in Review: Our Commitment to Corporate Responsibility</w:t>
      </w:r>
      <w:r>
        <w:rPr>
          <w:rFonts w:ascii="Arial" w:cs="Arial" w:eastAsia="Arial" w:hAnsi="Arial"/>
          <w:sz w:val="16"/>
          <w:szCs w:val="16"/>
          <w:color w:val="000000"/>
        </w:rPr>
        <w:t>, which is posted on our website, www.biogen.com, under the “Corporate Responsibility”</w:t>
      </w:r>
      <w:r>
        <w:rPr>
          <w:rFonts w:ascii="Arial" w:cs="Arial" w:eastAsia="Arial" w:hAnsi="Arial"/>
          <w:sz w:val="16"/>
          <w:szCs w:val="16"/>
          <w:b w:val="1"/>
          <w:bCs w:val="1"/>
          <w:color w:val="1A6DBB"/>
        </w:rPr>
        <w:t xml:space="preserve"> </w:t>
      </w:r>
      <w:r>
        <w:rPr>
          <w:rFonts w:ascii="Arial" w:cs="Arial" w:eastAsia="Arial" w:hAnsi="Arial"/>
          <w:sz w:val="16"/>
          <w:szCs w:val="16"/>
          <w:color w:val="000000"/>
        </w:rPr>
        <w:t>section of the website. We believe these efforts reflect the best interests of our employees, our patients, our stockholders and various other stakeholders, including the communities in which we operate and serve.</w:t>
      </w:r>
    </w:p>
    <w:p>
      <w:pPr>
        <w:spacing w:after="0" w:line="70"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Furthermore, we are committed to transparent and clear disclosure of our policies and performance on a broad array of issues. Our Year in Review meets the Global Reporting Initiative framework and aligns with the Sustainability Accounting Standards Board, the Task Force on Climate-Related Financial Disclosures, the United Nations Global Compact Sustainable Development Goals and the World Economic Forum Stakeholder Capitalism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59765"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765" cy="19748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1"/>
          <w:szCs w:val="11"/>
          <w:color w:val="1A6DBB"/>
        </w:rPr>
        <w:t>-ix-</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178435</wp:posOffset>
            </wp:positionV>
            <wp:extent cx="6780530" cy="3600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80530" cy="3600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-142875</wp:posOffset>
            </wp:positionV>
            <wp:extent cx="6926580" cy="3600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6580" cy="3600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We are committed to the highest standards of ethics, business integrity and corporate governance, which we believe will ensure that our company is managed for the long-term benefit of our stockholders. Our governance practices are designed to establish and preserve accountability of our Board of Directors and management, provide a structure that allows our Board of Directors to set objectives and monitor performance, ensure the efficient use and accountability of resources and enhance stockholder value. Please see Part 2 – “Corporate Governance at Biogen” for more information.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Corporate Governance Highlights</w:t>
      </w:r>
    </w:p>
    <w:p>
      <w:pPr>
        <w:spacing w:after="0" w:line="136" w:lineRule="exact"/>
        <w:rPr>
          <w:sz w:val="20"/>
          <w:szCs w:val="20"/>
          <w:color w:val="auto"/>
        </w:rPr>
      </w:pPr>
    </w:p>
    <w:tbl>
      <w:tblPr>
        <w:tblLayout w:type="fixed"/>
        <w:tblInd w:w="130" w:type="dxa"/>
        <w:tblCellMar>
          <w:top w:w="0" w:type="dxa"/>
          <w:left w:w="0" w:type="dxa"/>
          <w:bottom w:w="0" w:type="dxa"/>
          <w:right w:w="0" w:type="dxa"/>
        </w:tblCellMar>
      </w:tblPr>
      <w:tr>
        <w:trPr>
          <w:trHeight w:val="275"/>
        </w:trPr>
        <w:tc>
          <w:tcPr>
            <w:tcW w:w="280" w:type="dxa"/>
            <w:vAlign w:val="bottom"/>
            <w:tcBorders>
              <w:left w:val="single" w:sz="8" w:color="1A6DBB"/>
              <w:right w:val="single" w:sz="8" w:color="1A6DBB"/>
            </w:tcBorders>
            <w:shd w:val="clear" w:color="auto" w:fill="1A6DBB"/>
          </w:tcPr>
          <w:p>
            <w:pPr>
              <w:spacing w:after="0"/>
              <w:rPr>
                <w:sz w:val="23"/>
                <w:szCs w:val="23"/>
                <w:color w:val="auto"/>
              </w:rPr>
            </w:pPr>
          </w:p>
        </w:tc>
        <w:tc>
          <w:tcPr>
            <w:tcW w:w="10140" w:type="dxa"/>
            <w:vAlign w:val="bottom"/>
            <w:shd w:val="clear" w:color="auto" w:fill="1A6DBB"/>
          </w:tcPr>
          <w:p>
            <w:pPr>
              <w:jc w:val="center"/>
              <w:ind w:left="168"/>
              <w:spacing w:after="0"/>
              <w:rPr>
                <w:sz w:val="20"/>
                <w:szCs w:val="20"/>
                <w:color w:val="auto"/>
              </w:rPr>
            </w:pPr>
            <w:r>
              <w:rPr>
                <w:rFonts w:ascii="Arial" w:cs="Arial" w:eastAsia="Arial" w:hAnsi="Arial"/>
                <w:sz w:val="14"/>
                <w:szCs w:val="14"/>
                <w:color w:val="FFFFFF"/>
              </w:rPr>
              <w:t>Board and Board Committees</w:t>
            </w:r>
          </w:p>
        </w:tc>
        <w:tc>
          <w:tcPr>
            <w:tcW w:w="600" w:type="dxa"/>
            <w:vAlign w:val="bottom"/>
            <w:shd w:val="clear" w:color="auto" w:fill="1A6DBB"/>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80" w:type="dxa"/>
            <w:vAlign w:val="bottom"/>
            <w:tcBorders>
              <w:left w:val="single" w:sz="8" w:color="1A6DBB"/>
              <w:right w:val="single" w:sz="8" w:color="1A6DBB"/>
            </w:tcBorders>
            <w:shd w:val="clear" w:color="auto" w:fill="1A6DBB"/>
          </w:tcPr>
          <w:p>
            <w:pPr>
              <w:spacing w:after="0"/>
              <w:rPr>
                <w:sz w:val="6"/>
                <w:szCs w:val="6"/>
                <w:color w:val="auto"/>
              </w:rPr>
            </w:pPr>
          </w:p>
        </w:tc>
        <w:tc>
          <w:tcPr>
            <w:tcW w:w="10140" w:type="dxa"/>
            <w:vAlign w:val="bottom"/>
            <w:shd w:val="clear" w:color="auto" w:fill="1A6DBB"/>
          </w:tcPr>
          <w:p>
            <w:pPr>
              <w:spacing w:after="0"/>
              <w:rPr>
                <w:sz w:val="6"/>
                <w:szCs w:val="6"/>
                <w:color w:val="auto"/>
              </w:rPr>
            </w:pPr>
          </w:p>
        </w:tc>
        <w:tc>
          <w:tcPr>
            <w:tcW w:w="600" w:type="dxa"/>
            <w:vAlign w:val="bottom"/>
            <w:shd w:val="clear" w:color="auto" w:fill="1A6DBB"/>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Number of Independent Director Nominees/Total Number of Director Nominees</w:t>
            </w:r>
          </w:p>
        </w:tc>
        <w:tc>
          <w:tcPr>
            <w:tcW w:w="60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Number of Female Director Nominees/Total Number of Director Nominees</w:t>
            </w:r>
          </w:p>
        </w:tc>
        <w:tc>
          <w:tcPr>
            <w:tcW w:w="60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Number of Director Nominees of International Origin/Total Number of Director Nominees</w:t>
            </w:r>
          </w:p>
        </w:tc>
        <w:tc>
          <w:tcPr>
            <w:tcW w:w="600" w:type="dxa"/>
            <w:vAlign w:val="bottom"/>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Number of Diverse Director Nominees/Total Number of Director Nominees</w:t>
            </w:r>
          </w:p>
        </w:tc>
        <w:tc>
          <w:tcPr>
            <w:tcW w:w="600" w:type="dxa"/>
            <w:vAlign w:val="bottom"/>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Average Age of Directors Standing for Election (as of April 21, 2022)</w:t>
            </w: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All Board Committees Consist of Independent Directors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Risk Oversight by Full Board and Committees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Active Board Oversight of Enterprise Risk Management</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Separate Independent Chairman and CEO</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Regular Executive Sessions of Independent Directors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Annual Anonymous Board and Committee Self-Evaluations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Annual Independent Director Evaluation of CEO</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Mandatory Retirement Age for Directors (75 years old)</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Director Education and Orientation</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Annual Equity Grant to Directors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Director Stockholder Engagement Initiative</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0" w:type="dxa"/>
            <w:vAlign w:val="bottom"/>
            <w:tcBorders>
              <w:left w:val="single" w:sz="8" w:color="1A6DBB"/>
              <w:bottom w:val="single" w:sz="8" w:color="1A6DBB"/>
              <w:right w:val="single" w:sz="8" w:color="1A6DBB"/>
            </w:tcBorders>
            <w:shd w:val="clear" w:color="auto" w:fill="1A6DBB"/>
          </w:tcPr>
          <w:p>
            <w:pPr>
              <w:spacing w:after="0"/>
              <w:rPr>
                <w:sz w:val="24"/>
                <w:szCs w:val="24"/>
                <w:color w:val="auto"/>
              </w:rPr>
            </w:pPr>
          </w:p>
        </w:tc>
        <w:tc>
          <w:tcPr>
            <w:tcW w:w="10140" w:type="dxa"/>
            <w:vAlign w:val="bottom"/>
            <w:tcBorders>
              <w:bottom w:val="single" w:sz="8" w:color="1A6DBB"/>
            </w:tcBorders>
            <w:shd w:val="clear" w:color="auto" w:fill="1A6DBB"/>
          </w:tcPr>
          <w:p>
            <w:pPr>
              <w:jc w:val="center"/>
              <w:ind w:left="188"/>
              <w:spacing w:after="0"/>
              <w:rPr>
                <w:sz w:val="20"/>
                <w:szCs w:val="20"/>
                <w:color w:val="auto"/>
              </w:rPr>
            </w:pPr>
            <w:r>
              <w:rPr>
                <w:rFonts w:ascii="Arial" w:cs="Arial" w:eastAsia="Arial" w:hAnsi="Arial"/>
                <w:sz w:val="14"/>
                <w:szCs w:val="14"/>
                <w:color w:val="FFFFFF"/>
              </w:rPr>
              <w:t>Stockholder Rights, Accountability and Other Governance Practices</w:t>
            </w:r>
          </w:p>
        </w:tc>
        <w:tc>
          <w:tcPr>
            <w:tcW w:w="600" w:type="dxa"/>
            <w:vAlign w:val="bottom"/>
            <w:tcBorders>
              <w:bottom w:val="single" w:sz="8" w:color="1A6DBB"/>
            </w:tcBorders>
            <w:shd w:val="clear" w:color="auto" w:fill="1A6DBB"/>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Annual Election of All Directors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Majority Voting for Directors and Resignation Policy</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One-Share, One-Vote Policy</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Proxy Access Bylaw (3% ownership, 3 years, nominees for up to 25% of our Board)</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Annual Advisory Stockholder Vote on Executive Compensation</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Stockholder Ability to Call Special Meetings (25% Threshold)</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Stockholder Ability to Act by Written Consent</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0420" w:type="dxa"/>
            <w:vAlign w:val="bottom"/>
            <w:gridSpan w:val="2"/>
          </w:tcPr>
          <w:p>
            <w:pPr>
              <w:ind w:left="60"/>
              <w:spacing w:after="0" w:line="160" w:lineRule="exact"/>
              <w:rPr>
                <w:sz w:val="20"/>
                <w:szCs w:val="20"/>
                <w:color w:val="auto"/>
              </w:rPr>
            </w:pPr>
            <w:r>
              <w:rPr>
                <w:rFonts w:ascii="Arial" w:cs="Arial" w:eastAsia="Arial" w:hAnsi="Arial"/>
                <w:sz w:val="14"/>
                <w:szCs w:val="14"/>
                <w:color w:val="auto"/>
              </w:rPr>
              <w:t>Anti-Overboarding Policy Limiting the Number of Other Public Company Boards on which our Directors May Serve (four for Non-Employee Directors and one for</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194"/>
        </w:trPr>
        <w:tc>
          <w:tcPr>
            <w:tcW w:w="10420" w:type="dxa"/>
            <w:vAlign w:val="bottom"/>
            <w:tcBorders>
              <w:bottom w:val="single" w:sz="8" w:color="1A6DBB"/>
            </w:tcBorders>
            <w:gridSpan w:val="2"/>
          </w:tcPr>
          <w:p>
            <w:pPr>
              <w:ind w:left="60"/>
              <w:spacing w:after="0"/>
              <w:rPr>
                <w:sz w:val="20"/>
                <w:szCs w:val="20"/>
                <w:color w:val="auto"/>
              </w:rPr>
            </w:pPr>
            <w:r>
              <w:rPr>
                <w:rFonts w:ascii="Arial" w:cs="Arial" w:eastAsia="Arial" w:hAnsi="Arial"/>
                <w:sz w:val="14"/>
                <w:szCs w:val="14"/>
                <w:color w:val="auto"/>
              </w:rPr>
              <w:t>the CEO)</w:t>
            </w:r>
          </w:p>
        </w:tc>
        <w:tc>
          <w:tcPr>
            <w:tcW w:w="600" w:type="dxa"/>
            <w:vAlign w:val="bottom"/>
            <w:tcBorders>
              <w:bottom w:val="single" w:sz="8" w:color="1A6DB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Stock Ownership Guidelines for Directors and Executives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Prohibition from Hedging and Pledging Securities or Otherwise Engaging in Derivative Transactions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2"/>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Compensation Recoupment in Equity and Annual Bonus Plans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Comprehensive Code of Business Conduct and Corporate Governance Principles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Related Person Transaction Policy and Conflicts of Interest and Outside Activities Policy with Oversight by the Corporate Governance Committee</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Active Board Engagement in Succession Planning of Executive Officers (which includes the CEO and all named executive officers)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Absence of a Stockholder Rights Plan (referred to as “Poison Pill”)</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Strong Commitment to Diversity, Environmental and Sustainability Matters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20" w:type="dxa"/>
            <w:vAlign w:val="bottom"/>
            <w:gridSpan w:val="2"/>
          </w:tcPr>
          <w:p>
            <w:pPr>
              <w:ind w:left="60"/>
              <w:spacing w:after="0"/>
              <w:rPr>
                <w:sz w:val="20"/>
                <w:szCs w:val="20"/>
                <w:color w:val="auto"/>
              </w:rPr>
            </w:pPr>
            <w:r>
              <w:rPr>
                <w:rFonts w:ascii="Arial" w:cs="Arial" w:eastAsia="Arial" w:hAnsi="Arial"/>
                <w:sz w:val="14"/>
                <w:szCs w:val="14"/>
                <w:color w:val="auto"/>
              </w:rPr>
              <w:t>Board Oversight and Disclosure on Website Related to Corporate Political Contributions and Expenditures</w:t>
            </w:r>
          </w:p>
        </w:tc>
        <w:tc>
          <w:tcPr>
            <w:tcW w:w="600" w:type="dxa"/>
            <w:vAlign w:val="bottom"/>
          </w:tcPr>
          <w:p>
            <w:pPr>
              <w:jc w:val="right"/>
              <w:spacing w:after="0"/>
              <w:rPr>
                <w:sz w:val="20"/>
                <w:szCs w:val="20"/>
                <w:color w:val="auto"/>
              </w:rPr>
            </w:pPr>
            <w:r>
              <w:rPr>
                <w:rFonts w:ascii="Arial" w:cs="Arial" w:eastAsia="Arial" w:hAnsi="Arial"/>
                <w:sz w:val="14"/>
                <w:szCs w:val="14"/>
                <w:color w:val="auto"/>
              </w:rPr>
              <w:t>Yes</w:t>
            </w:r>
          </w:p>
        </w:tc>
        <w:tc>
          <w:tcPr>
            <w:tcW w:w="0" w:type="dxa"/>
            <w:vAlign w:val="bottom"/>
          </w:tcPr>
          <w:p>
            <w:pPr>
              <w:spacing w:after="0"/>
              <w:rPr>
                <w:sz w:val="1"/>
                <w:szCs w:val="1"/>
                <w:color w:val="auto"/>
              </w:rPr>
            </w:pPr>
          </w:p>
        </w:tc>
      </w:tr>
      <w:tr>
        <w:trPr>
          <w:trHeight w:val="21"/>
        </w:trPr>
        <w:tc>
          <w:tcPr>
            <w:tcW w:w="280" w:type="dxa"/>
            <w:vAlign w:val="bottom"/>
            <w:tcBorders>
              <w:bottom w:val="single" w:sz="8" w:color="1A6DBB"/>
            </w:tcBorders>
          </w:tcPr>
          <w:p>
            <w:pPr>
              <w:spacing w:after="0" w:line="20" w:lineRule="exact"/>
              <w:rPr>
                <w:sz w:val="1"/>
                <w:szCs w:val="1"/>
                <w:color w:val="auto"/>
              </w:rPr>
            </w:pPr>
          </w:p>
        </w:tc>
        <w:tc>
          <w:tcPr>
            <w:tcW w:w="10140" w:type="dxa"/>
            <w:vAlign w:val="bottom"/>
            <w:tcBorders>
              <w:bottom w:val="single" w:sz="8" w:color="1A6DBB"/>
            </w:tcBorders>
          </w:tcPr>
          <w:p>
            <w:pPr>
              <w:spacing w:after="0" w:line="20" w:lineRule="exact"/>
              <w:rPr>
                <w:sz w:val="1"/>
                <w:szCs w:val="1"/>
                <w:color w:val="auto"/>
              </w:rPr>
            </w:pPr>
          </w:p>
        </w:tc>
        <w:tc>
          <w:tcPr>
            <w:tcW w:w="600" w:type="dxa"/>
            <w:vAlign w:val="bottom"/>
            <w:tcBorders>
              <w:bottom w:val="single" w:sz="8" w:color="1A6DB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10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80" w:type="dxa"/>
            <w:vAlign w:val="bottom"/>
            <w:tcBorders>
              <w:left w:val="single" w:sz="8" w:color="1A6DBB"/>
              <w:right w:val="single" w:sz="8" w:color="1A6DBB"/>
            </w:tcBorders>
          </w:tcPr>
          <w:p>
            <w:pPr>
              <w:ind w:left="80"/>
              <w:spacing w:after="0"/>
              <w:rPr>
                <w:sz w:val="20"/>
                <w:szCs w:val="20"/>
                <w:color w:val="auto"/>
              </w:rPr>
            </w:pPr>
            <w:r>
              <w:rPr>
                <w:rFonts w:ascii="Arial" w:cs="Arial" w:eastAsia="Arial" w:hAnsi="Arial"/>
                <w:sz w:val="12"/>
                <w:szCs w:val="12"/>
                <w:color w:val="1A6DBB"/>
              </w:rPr>
              <w:t>-x-</w:t>
            </w:r>
          </w:p>
        </w:tc>
        <w:tc>
          <w:tcPr>
            <w:tcW w:w="10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1A6DBB"/>
              <w:right w:val="single" w:sz="8" w:color="1A6DBB"/>
            </w:tcBorders>
          </w:tcPr>
          <w:p>
            <w:pPr>
              <w:spacing w:after="0"/>
              <w:rPr>
                <w:sz w:val="2"/>
                <w:szCs w:val="2"/>
                <w:color w:val="auto"/>
              </w:rPr>
            </w:pPr>
          </w:p>
        </w:tc>
        <w:tc>
          <w:tcPr>
            <w:tcW w:w="10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10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-196215</wp:posOffset>
            </wp:positionV>
            <wp:extent cx="41973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Director Stockholder Engagement Initiative</w:t>
      </w:r>
    </w:p>
    <w:p>
      <w:pPr>
        <w:spacing w:after="0" w:line="108"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We value the views of our stockholders and other stakeholders, and we solicit input throughout the year. During 2021 independent members of our Board of Directors met with several stockholders to discuss a variety of topics, including business strategy, capital allocation, corporate governance, executive compensation and our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858000"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FFFFFF"/>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Proposal 1 — Election of Directors</w:t>
      </w:r>
    </w:p>
    <w:p>
      <w:pPr>
        <w:spacing w:after="0" w:line="10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You are being asked to vote on the election of the following 11 nominees for director. All directors are elected annually by the affirmative vote of a majority of votes cast. Detailed information about each director’s background, skill sets and areas of expertise can be found beginning on page 11.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612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1160" w:type="dxa"/>
            <w:vAlign w:val="bottom"/>
            <w:shd w:val="clear" w:color="auto" w:fill="1A6DBB"/>
          </w:tcPr>
          <w:p>
            <w:pPr>
              <w:spacing w:after="0"/>
              <w:rPr>
                <w:sz w:val="14"/>
                <w:szCs w:val="14"/>
                <w:color w:val="auto"/>
              </w:rPr>
            </w:pPr>
          </w:p>
        </w:tc>
        <w:tc>
          <w:tcPr>
            <w:tcW w:w="2320" w:type="dxa"/>
            <w:vAlign w:val="bottom"/>
            <w:gridSpan w:val="3"/>
            <w:vMerge w:val="restart"/>
            <w:shd w:val="clear" w:color="auto" w:fill="1A6DBB"/>
          </w:tcPr>
          <w:p>
            <w:pPr>
              <w:jc w:val="center"/>
              <w:ind w:left="28"/>
              <w:spacing w:after="0"/>
              <w:rPr>
                <w:sz w:val="20"/>
                <w:szCs w:val="20"/>
                <w:color w:val="auto"/>
              </w:rPr>
            </w:pPr>
            <w:r>
              <w:rPr>
                <w:rFonts w:ascii="Arial" w:cs="Arial" w:eastAsia="Arial" w:hAnsi="Arial"/>
                <w:sz w:val="14"/>
                <w:szCs w:val="14"/>
                <w:color w:val="FFFFFF"/>
              </w:rPr>
              <w:t>Committee Memberships*</w:t>
            </w:r>
          </w:p>
        </w:tc>
        <w:tc>
          <w:tcPr>
            <w:tcW w:w="660" w:type="dxa"/>
            <w:vAlign w:val="bottom"/>
            <w:shd w:val="clear" w:color="auto" w:fill="1A6DBB"/>
          </w:tcPr>
          <w:p>
            <w:pPr>
              <w:ind w:left="200"/>
              <w:spacing w:after="0"/>
              <w:rPr>
                <w:sz w:val="20"/>
                <w:szCs w:val="20"/>
                <w:color w:val="auto"/>
              </w:rPr>
            </w:pPr>
            <w:r>
              <w:rPr>
                <w:rFonts w:ascii="Arial" w:cs="Arial" w:eastAsia="Arial" w:hAnsi="Arial"/>
                <w:sz w:val="14"/>
                <w:szCs w:val="14"/>
                <w:color w:val="FFFFFF"/>
              </w:rPr>
              <w:t>Other</w:t>
            </w:r>
          </w:p>
        </w:tc>
        <w:tc>
          <w:tcPr>
            <w:tcW w:w="0" w:type="dxa"/>
            <w:vAlign w:val="bottom"/>
          </w:tcPr>
          <w:p>
            <w:pPr>
              <w:spacing w:after="0"/>
              <w:rPr>
                <w:sz w:val="1"/>
                <w:szCs w:val="1"/>
                <w:color w:val="auto"/>
              </w:rPr>
            </w:pPr>
          </w:p>
        </w:tc>
      </w:tr>
      <w:tr>
        <w:trPr>
          <w:trHeight w:val="63"/>
        </w:trPr>
        <w:tc>
          <w:tcPr>
            <w:tcW w:w="6120" w:type="dxa"/>
            <w:vAlign w:val="bottom"/>
            <w:shd w:val="clear" w:color="auto" w:fill="1A6DBB"/>
          </w:tcPr>
          <w:p>
            <w:pPr>
              <w:spacing w:after="0"/>
              <w:rPr>
                <w:sz w:val="5"/>
                <w:szCs w:val="5"/>
                <w:color w:val="auto"/>
              </w:rPr>
            </w:pPr>
          </w:p>
        </w:tc>
        <w:tc>
          <w:tcPr>
            <w:tcW w:w="760" w:type="dxa"/>
            <w:vAlign w:val="bottom"/>
            <w:shd w:val="clear" w:color="auto" w:fill="1A6DBB"/>
          </w:tcPr>
          <w:p>
            <w:pPr>
              <w:spacing w:after="0"/>
              <w:rPr>
                <w:sz w:val="5"/>
                <w:szCs w:val="5"/>
                <w:color w:val="auto"/>
              </w:rPr>
            </w:pPr>
          </w:p>
        </w:tc>
        <w:tc>
          <w:tcPr>
            <w:tcW w:w="1160" w:type="dxa"/>
            <w:vAlign w:val="bottom"/>
            <w:shd w:val="clear" w:color="auto" w:fill="1A6DBB"/>
          </w:tcPr>
          <w:p>
            <w:pPr>
              <w:spacing w:after="0"/>
              <w:rPr>
                <w:sz w:val="5"/>
                <w:szCs w:val="5"/>
                <w:color w:val="auto"/>
              </w:rPr>
            </w:pPr>
          </w:p>
        </w:tc>
        <w:tc>
          <w:tcPr>
            <w:tcW w:w="2320" w:type="dxa"/>
            <w:vAlign w:val="bottom"/>
            <w:gridSpan w:val="3"/>
            <w:vMerge w:val="continue"/>
            <w:shd w:val="clear" w:color="auto" w:fill="1A6DBB"/>
          </w:tcPr>
          <w:p>
            <w:pPr>
              <w:spacing w:after="0"/>
              <w:rPr>
                <w:sz w:val="5"/>
                <w:szCs w:val="5"/>
                <w:color w:val="auto"/>
              </w:rPr>
            </w:pPr>
          </w:p>
        </w:tc>
        <w:tc>
          <w:tcPr>
            <w:tcW w:w="660" w:type="dxa"/>
            <w:vAlign w:val="bottom"/>
            <w:vMerge w:val="restart"/>
            <w:shd w:val="clear" w:color="auto" w:fill="1A6DBB"/>
          </w:tcPr>
          <w:p>
            <w:pPr>
              <w:ind w:left="180"/>
              <w:spacing w:after="0"/>
              <w:rPr>
                <w:sz w:val="20"/>
                <w:szCs w:val="20"/>
                <w:color w:val="auto"/>
              </w:rPr>
            </w:pPr>
            <w:r>
              <w:rPr>
                <w:rFonts w:ascii="Arial" w:cs="Arial" w:eastAsia="Arial" w:hAnsi="Arial"/>
                <w:sz w:val="14"/>
                <w:szCs w:val="14"/>
                <w:color w:val="FFFFFF"/>
              </w:rPr>
              <w:t>Public</w:t>
            </w:r>
          </w:p>
        </w:tc>
        <w:tc>
          <w:tcPr>
            <w:tcW w:w="0" w:type="dxa"/>
            <w:vAlign w:val="bottom"/>
          </w:tcPr>
          <w:p>
            <w:pPr>
              <w:spacing w:after="0"/>
              <w:rPr>
                <w:sz w:val="1"/>
                <w:szCs w:val="1"/>
                <w:color w:val="auto"/>
              </w:rPr>
            </w:pPr>
          </w:p>
        </w:tc>
      </w:tr>
      <w:tr>
        <w:trPr>
          <w:trHeight w:val="99"/>
        </w:trPr>
        <w:tc>
          <w:tcPr>
            <w:tcW w:w="6120" w:type="dxa"/>
            <w:vAlign w:val="bottom"/>
            <w:shd w:val="clear" w:color="auto" w:fill="1A6DBB"/>
          </w:tcPr>
          <w:p>
            <w:pPr>
              <w:spacing w:after="0"/>
              <w:rPr>
                <w:sz w:val="8"/>
                <w:szCs w:val="8"/>
                <w:color w:val="auto"/>
              </w:rPr>
            </w:pPr>
          </w:p>
        </w:tc>
        <w:tc>
          <w:tcPr>
            <w:tcW w:w="760" w:type="dxa"/>
            <w:vAlign w:val="bottom"/>
            <w:shd w:val="clear" w:color="auto" w:fill="1A6DBB"/>
          </w:tcPr>
          <w:p>
            <w:pPr>
              <w:spacing w:after="0"/>
              <w:rPr>
                <w:sz w:val="8"/>
                <w:szCs w:val="8"/>
                <w:color w:val="auto"/>
              </w:rPr>
            </w:pPr>
          </w:p>
        </w:tc>
        <w:tc>
          <w:tcPr>
            <w:tcW w:w="1160" w:type="dxa"/>
            <w:vAlign w:val="bottom"/>
            <w:shd w:val="clear" w:color="auto" w:fill="1A6DBB"/>
          </w:tcPr>
          <w:p>
            <w:pPr>
              <w:spacing w:after="0"/>
              <w:rPr>
                <w:sz w:val="8"/>
                <w:szCs w:val="8"/>
                <w:color w:val="auto"/>
              </w:rPr>
            </w:pPr>
          </w:p>
        </w:tc>
        <w:tc>
          <w:tcPr>
            <w:tcW w:w="640" w:type="dxa"/>
            <w:vAlign w:val="bottom"/>
            <w:shd w:val="clear" w:color="auto" w:fill="1A6DBB"/>
          </w:tcPr>
          <w:p>
            <w:pPr>
              <w:spacing w:after="0"/>
              <w:rPr>
                <w:sz w:val="8"/>
                <w:szCs w:val="8"/>
                <w:color w:val="auto"/>
              </w:rPr>
            </w:pPr>
          </w:p>
        </w:tc>
        <w:tc>
          <w:tcPr>
            <w:tcW w:w="1100" w:type="dxa"/>
            <w:vAlign w:val="bottom"/>
            <w:shd w:val="clear" w:color="auto" w:fill="1A6DBB"/>
          </w:tcPr>
          <w:p>
            <w:pPr>
              <w:spacing w:after="0"/>
              <w:rPr>
                <w:sz w:val="8"/>
                <w:szCs w:val="8"/>
                <w:color w:val="auto"/>
              </w:rPr>
            </w:pPr>
          </w:p>
        </w:tc>
        <w:tc>
          <w:tcPr>
            <w:tcW w:w="580" w:type="dxa"/>
            <w:vAlign w:val="bottom"/>
            <w:shd w:val="clear" w:color="auto" w:fill="1A6DBB"/>
          </w:tcPr>
          <w:p>
            <w:pPr>
              <w:spacing w:after="0"/>
              <w:rPr>
                <w:sz w:val="8"/>
                <w:szCs w:val="8"/>
                <w:color w:val="auto"/>
              </w:rPr>
            </w:pPr>
          </w:p>
        </w:tc>
        <w:tc>
          <w:tcPr>
            <w:tcW w:w="660" w:type="dxa"/>
            <w:vAlign w:val="bottom"/>
            <w:vMerge w:val="continue"/>
            <w:shd w:val="clear" w:color="auto" w:fill="1A6DBB"/>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120" w:type="dxa"/>
            <w:vAlign w:val="bottom"/>
            <w:tcBorders>
              <w:bottom w:val="single" w:sz="8" w:color="1A6DBB"/>
            </w:tcBorders>
            <w:shd w:val="clear" w:color="auto" w:fill="1A6DBB"/>
          </w:tcPr>
          <w:p>
            <w:pPr>
              <w:ind w:left="1940"/>
              <w:spacing w:after="0"/>
              <w:rPr>
                <w:sz w:val="20"/>
                <w:szCs w:val="20"/>
                <w:color w:val="auto"/>
              </w:rPr>
            </w:pPr>
            <w:r>
              <w:rPr>
                <w:rFonts w:ascii="Arial" w:cs="Arial" w:eastAsia="Arial" w:hAnsi="Arial"/>
                <w:sz w:val="14"/>
                <w:szCs w:val="14"/>
                <w:color w:val="FFFFFF"/>
              </w:rPr>
              <w:t>Name, Occupation and Experience</w:t>
            </w:r>
          </w:p>
        </w:tc>
        <w:tc>
          <w:tcPr>
            <w:tcW w:w="760" w:type="dxa"/>
            <w:vAlign w:val="bottom"/>
            <w:tcBorders>
              <w:bottom w:val="single" w:sz="8" w:color="1A6DBB"/>
            </w:tcBorders>
            <w:shd w:val="clear" w:color="auto" w:fill="1A6DBB"/>
          </w:tcPr>
          <w:p>
            <w:pPr>
              <w:jc w:val="center"/>
              <w:ind w:left="68"/>
              <w:spacing w:after="0"/>
              <w:rPr>
                <w:sz w:val="20"/>
                <w:szCs w:val="20"/>
                <w:color w:val="auto"/>
              </w:rPr>
            </w:pPr>
            <w:r>
              <w:rPr>
                <w:rFonts w:ascii="Arial" w:cs="Arial" w:eastAsia="Arial" w:hAnsi="Arial"/>
                <w:sz w:val="14"/>
                <w:szCs w:val="14"/>
                <w:color w:val="FFFFFF"/>
                <w:w w:val="98"/>
              </w:rPr>
              <w:t>Age*</w:t>
            </w:r>
          </w:p>
        </w:tc>
        <w:tc>
          <w:tcPr>
            <w:tcW w:w="116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Independent</w:t>
            </w:r>
          </w:p>
        </w:tc>
        <w:tc>
          <w:tcPr>
            <w:tcW w:w="640" w:type="dxa"/>
            <w:vAlign w:val="bottom"/>
            <w:tcBorders>
              <w:bottom w:val="single" w:sz="8" w:color="1A6DBB"/>
            </w:tcBorders>
            <w:shd w:val="clear" w:color="auto" w:fill="1A6DBB"/>
          </w:tcPr>
          <w:p>
            <w:pPr>
              <w:ind w:left="200"/>
              <w:spacing w:after="0"/>
              <w:rPr>
                <w:sz w:val="20"/>
                <w:szCs w:val="20"/>
                <w:color w:val="auto"/>
              </w:rPr>
            </w:pPr>
            <w:r>
              <w:rPr>
                <w:rFonts w:ascii="Arial" w:cs="Arial" w:eastAsia="Arial" w:hAnsi="Arial"/>
                <w:sz w:val="14"/>
                <w:szCs w:val="14"/>
                <w:color w:val="FFFFFF"/>
              </w:rPr>
              <w:t>AC</w:t>
            </w:r>
          </w:p>
        </w:tc>
        <w:tc>
          <w:tcPr>
            <w:tcW w:w="110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w w:val="99"/>
              </w:rPr>
              <w:t>C&amp;MDC**</w:t>
            </w:r>
          </w:p>
        </w:tc>
        <w:tc>
          <w:tcPr>
            <w:tcW w:w="580" w:type="dxa"/>
            <w:vAlign w:val="bottom"/>
            <w:tcBorders>
              <w:bottom w:val="single" w:sz="8" w:color="1A6DBB"/>
            </w:tcBorders>
            <w:shd w:val="clear" w:color="auto" w:fill="1A6DBB"/>
          </w:tcPr>
          <w:p>
            <w:pPr>
              <w:ind w:left="220"/>
              <w:spacing w:after="0"/>
              <w:rPr>
                <w:sz w:val="20"/>
                <w:szCs w:val="20"/>
                <w:color w:val="auto"/>
              </w:rPr>
            </w:pPr>
            <w:r>
              <w:rPr>
                <w:rFonts w:ascii="Arial" w:cs="Arial" w:eastAsia="Arial" w:hAnsi="Arial"/>
                <w:sz w:val="14"/>
                <w:szCs w:val="14"/>
                <w:color w:val="FFFFFF"/>
              </w:rPr>
              <w:t>CGC</w:t>
            </w:r>
          </w:p>
        </w:tc>
        <w:tc>
          <w:tcPr>
            <w:tcW w:w="660" w:type="dxa"/>
            <w:vAlign w:val="bottom"/>
            <w:tcBorders>
              <w:bottom w:val="single" w:sz="8" w:color="1A6DBB"/>
            </w:tcBorders>
            <w:shd w:val="clear" w:color="auto" w:fill="1A6DBB"/>
          </w:tcPr>
          <w:p>
            <w:pPr>
              <w:ind w:left="120"/>
              <w:spacing w:after="0"/>
              <w:rPr>
                <w:sz w:val="20"/>
                <w:szCs w:val="20"/>
                <w:color w:val="auto"/>
              </w:rPr>
            </w:pPr>
            <w:r>
              <w:rPr>
                <w:rFonts w:ascii="Arial" w:cs="Arial" w:eastAsia="Arial" w:hAnsi="Arial"/>
                <w:sz w:val="14"/>
                <w:szCs w:val="14"/>
                <w:color w:val="FFFFFF"/>
              </w:rPr>
              <w:t>Boards</w:t>
            </w:r>
          </w:p>
        </w:tc>
        <w:tc>
          <w:tcPr>
            <w:tcW w:w="0" w:type="dxa"/>
            <w:vAlign w:val="bottom"/>
          </w:tcPr>
          <w:p>
            <w:pPr>
              <w:spacing w:after="0"/>
              <w:rPr>
                <w:sz w:val="1"/>
                <w:szCs w:val="1"/>
                <w:color w:val="auto"/>
              </w:rPr>
            </w:pPr>
          </w:p>
        </w:tc>
      </w:tr>
      <w:tr>
        <w:trPr>
          <w:trHeight w:val="19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Alexander J. Denner, Ph.D.</w:t>
            </w: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60"/>
              <w:spacing w:after="0" w:line="135" w:lineRule="exact"/>
              <w:rPr>
                <w:sz w:val="20"/>
                <w:szCs w:val="20"/>
                <w:color w:val="auto"/>
              </w:rPr>
            </w:pPr>
            <w:r>
              <w:rPr>
                <w:rFonts w:ascii="Arial" w:cs="Arial" w:eastAsia="Arial" w:hAnsi="Arial"/>
                <w:sz w:val="13"/>
                <w:szCs w:val="13"/>
                <w:color w:val="auto"/>
              </w:rPr>
              <w:t>Founding Partner and Chief Investment Officer,</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52</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Sarissa Capital Management LP</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Caroline D. Dorsa</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60"/>
              <w:spacing w:after="0" w:line="135" w:lineRule="exact"/>
              <w:rPr>
                <w:sz w:val="20"/>
                <w:szCs w:val="20"/>
                <w:color w:val="auto"/>
              </w:rPr>
            </w:pPr>
            <w:r>
              <w:rPr>
                <w:rFonts w:ascii="Arial" w:cs="Arial" w:eastAsia="Arial" w:hAnsi="Arial"/>
                <w:sz w:val="13"/>
                <w:szCs w:val="13"/>
                <w:color w:val="auto"/>
              </w:rPr>
              <w:t>Retired Executive Vice President and Chief Financial Officer,</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62</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Public Service Enterprise Group Incorporated</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Maria C. Freire, Ph.D.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60"/>
              <w:spacing w:after="0" w:line="135" w:lineRule="exact"/>
              <w:rPr>
                <w:sz w:val="20"/>
                <w:szCs w:val="20"/>
                <w:color w:val="auto"/>
              </w:rPr>
            </w:pPr>
            <w:r>
              <w:rPr>
                <w:rFonts w:ascii="Arial" w:cs="Arial" w:eastAsia="Arial" w:hAnsi="Arial"/>
                <w:sz w:val="13"/>
                <w:szCs w:val="13"/>
                <w:color w:val="auto"/>
              </w:rPr>
              <w:t>Former President and Executive Director, Foundation for the National Institutes of</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67</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Health</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William A. Hawkins</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68</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Senior Advisor, EW Healthcare Partners</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William D. Jones</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66</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President and Chief Executive Officer, CityLink Investment Corp.</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Jesus B. Mantas</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53</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Global Managing Partner, IBM Global Services</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Richard C. Mulligan, Ph.D.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60"/>
              <w:spacing w:after="0" w:line="135" w:lineRule="exact"/>
              <w:rPr>
                <w:sz w:val="20"/>
                <w:szCs w:val="20"/>
                <w:color w:val="auto"/>
              </w:rPr>
            </w:pPr>
            <w:r>
              <w:rPr>
                <w:rFonts w:ascii="Arial" w:cs="Arial" w:eastAsia="Arial" w:hAnsi="Arial"/>
                <w:sz w:val="13"/>
                <w:szCs w:val="13"/>
                <w:color w:val="auto"/>
              </w:rPr>
              <w:t>Mallinckrodt Professor of Genetics, Emeritus, Harvard Medical School and</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67</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Head of SanaX and Executive Vice Chairman, Sana Biotechnology, Inc.</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Stelios Papadopoulos, Ph.D.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60"/>
              <w:spacing w:after="0" w:line="135" w:lineRule="exact"/>
              <w:rPr>
                <w:sz w:val="20"/>
                <w:szCs w:val="20"/>
                <w:color w:val="auto"/>
              </w:rPr>
            </w:pPr>
            <w:r>
              <w:rPr>
                <w:rFonts w:ascii="Arial" w:cs="Arial" w:eastAsia="Arial" w:hAnsi="Arial"/>
                <w:sz w:val="13"/>
                <w:szCs w:val="13"/>
                <w:color w:val="auto"/>
              </w:rPr>
              <w:t>Chairman, Biogen Inc., Chairman, Exelixis, Inc., Chairman, Regulus Therapeutics Inc.</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73</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and Chairman Eucrates Biomedical Acquisition Corp.</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Eric K. Rowinsky, M.D.</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65</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President and Executive Chairman, RGenix, Inc.</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Stephen A. Sherwin, M.D.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60"/>
              <w:spacing w:after="0" w:line="135" w:lineRule="exact"/>
              <w:rPr>
                <w:sz w:val="20"/>
                <w:szCs w:val="20"/>
                <w:color w:val="auto"/>
              </w:rPr>
            </w:pPr>
            <w:r>
              <w:rPr>
                <w:rFonts w:ascii="Arial" w:cs="Arial" w:eastAsia="Arial" w:hAnsi="Arial"/>
                <w:sz w:val="13"/>
                <w:szCs w:val="13"/>
                <w:color w:val="auto"/>
              </w:rPr>
              <w:t>Clinical Professor of Medicine, University of California, San Francisco and</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73</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Advisor to Life Sciences Companies</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120" w:type="dxa"/>
            <w:vAlign w:val="bottom"/>
            <w:tcBorders>
              <w:bottom w:val="single" w:sz="8" w:color="1A6DBB"/>
            </w:tcBorders>
          </w:tcPr>
          <w:p>
            <w:pPr>
              <w:spacing w:after="0"/>
              <w:rPr>
                <w:sz w:val="3"/>
                <w:szCs w:val="3"/>
                <w:color w:val="auto"/>
              </w:rPr>
            </w:pPr>
          </w:p>
        </w:tc>
        <w:tc>
          <w:tcPr>
            <w:tcW w:w="760" w:type="dxa"/>
            <w:vAlign w:val="bottom"/>
            <w:tcBorders>
              <w:bottom w:val="single" w:sz="8" w:color="1A6DBB"/>
            </w:tcBorders>
          </w:tcPr>
          <w:p>
            <w:pPr>
              <w:spacing w:after="0"/>
              <w:rPr>
                <w:sz w:val="3"/>
                <w:szCs w:val="3"/>
                <w:color w:val="auto"/>
              </w:rPr>
            </w:pPr>
          </w:p>
        </w:tc>
        <w:tc>
          <w:tcPr>
            <w:tcW w:w="1160" w:type="dxa"/>
            <w:vAlign w:val="bottom"/>
            <w:tcBorders>
              <w:bottom w:val="single" w:sz="8" w:color="1A6DBB"/>
            </w:tcBorders>
          </w:tcPr>
          <w:p>
            <w:pPr>
              <w:spacing w:after="0"/>
              <w:rPr>
                <w:sz w:val="3"/>
                <w:szCs w:val="3"/>
                <w:color w:val="auto"/>
              </w:rPr>
            </w:pPr>
          </w:p>
        </w:tc>
        <w:tc>
          <w:tcPr>
            <w:tcW w:w="640" w:type="dxa"/>
            <w:vAlign w:val="bottom"/>
            <w:tcBorders>
              <w:bottom w:val="single" w:sz="8" w:color="1A6DBB"/>
            </w:tcBorders>
          </w:tcPr>
          <w:p>
            <w:pPr>
              <w:spacing w:after="0"/>
              <w:rPr>
                <w:sz w:val="3"/>
                <w:szCs w:val="3"/>
                <w:color w:val="auto"/>
              </w:rPr>
            </w:pPr>
          </w:p>
        </w:tc>
        <w:tc>
          <w:tcPr>
            <w:tcW w:w="1100" w:type="dxa"/>
            <w:vAlign w:val="bottom"/>
            <w:tcBorders>
              <w:bottom w:val="single" w:sz="8" w:color="1A6DBB"/>
            </w:tcBorders>
          </w:tcPr>
          <w:p>
            <w:pPr>
              <w:spacing w:after="0"/>
              <w:rPr>
                <w:sz w:val="3"/>
                <w:szCs w:val="3"/>
                <w:color w:val="auto"/>
              </w:rPr>
            </w:pPr>
          </w:p>
        </w:tc>
        <w:tc>
          <w:tcPr>
            <w:tcW w:w="580" w:type="dxa"/>
            <w:vAlign w:val="bottom"/>
            <w:tcBorders>
              <w:bottom w:val="single" w:sz="8" w:color="1A6DBB"/>
            </w:tcBorders>
          </w:tcPr>
          <w:p>
            <w:pPr>
              <w:spacing w:after="0"/>
              <w:rPr>
                <w:sz w:val="3"/>
                <w:szCs w:val="3"/>
                <w:color w:val="auto"/>
              </w:rPr>
            </w:pPr>
          </w:p>
        </w:tc>
        <w:tc>
          <w:tcPr>
            <w:tcW w:w="660" w:type="dxa"/>
            <w:vAlign w:val="bottom"/>
            <w:tcBorders>
              <w:bottom w:val="single" w:sz="8" w:color="1A6DBB"/>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Michel Vounatsos</w:t>
            </w:r>
          </w:p>
        </w:tc>
        <w:tc>
          <w:tcPr>
            <w:tcW w:w="760" w:type="dxa"/>
            <w:vAlign w:val="bottom"/>
            <w:vMerge w:val="restart"/>
          </w:tcPr>
          <w:p>
            <w:pPr>
              <w:jc w:val="center"/>
              <w:ind w:left="88"/>
              <w:spacing w:after="0"/>
              <w:rPr>
                <w:sz w:val="20"/>
                <w:szCs w:val="20"/>
                <w:color w:val="auto"/>
              </w:rPr>
            </w:pPr>
            <w:r>
              <w:rPr>
                <w:rFonts w:ascii="Arial" w:cs="Arial" w:eastAsia="Arial" w:hAnsi="Arial"/>
                <w:sz w:val="14"/>
                <w:szCs w:val="14"/>
                <w:color w:val="auto"/>
              </w:rPr>
              <w:t>60</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6120" w:type="dxa"/>
            <w:vAlign w:val="bottom"/>
          </w:tcPr>
          <w:p>
            <w:pPr>
              <w:ind w:left="60"/>
              <w:spacing w:after="0"/>
              <w:rPr>
                <w:sz w:val="20"/>
                <w:szCs w:val="20"/>
                <w:color w:val="auto"/>
              </w:rPr>
            </w:pPr>
            <w:r>
              <w:rPr>
                <w:rFonts w:ascii="Arial" w:cs="Arial" w:eastAsia="Arial" w:hAnsi="Arial"/>
                <w:sz w:val="13"/>
                <w:szCs w:val="13"/>
                <w:color w:val="auto"/>
              </w:rPr>
              <w:t>Chief Executive Officer, Biogen Inc.</w:t>
            </w:r>
          </w:p>
        </w:tc>
        <w:tc>
          <w:tcPr>
            <w:tcW w:w="7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-3620135</wp:posOffset>
            </wp:positionV>
            <wp:extent cx="14147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147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-3234690</wp:posOffset>
            </wp:positionV>
            <wp:extent cx="7747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-2900045</wp:posOffset>
            </wp:positionV>
            <wp:extent cx="7747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-2900045</wp:posOffset>
            </wp:positionV>
            <wp:extent cx="7747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-2531745</wp:posOffset>
            </wp:positionV>
            <wp:extent cx="7683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-2265680</wp:posOffset>
            </wp:positionV>
            <wp:extent cx="7747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-2000250</wp:posOffset>
            </wp:positionV>
            <wp:extent cx="7683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-1734185</wp:posOffset>
            </wp:positionV>
            <wp:extent cx="7747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-1383030</wp:posOffset>
            </wp:positionV>
            <wp:extent cx="7683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-1031240</wp:posOffset>
            </wp:positionV>
            <wp:extent cx="774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-765810</wp:posOffset>
            </wp:positionV>
            <wp:extent cx="774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-414020</wp:posOffset>
            </wp:positionV>
            <wp:extent cx="7747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*Age and Committee memberships are as of April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160"/>
        <w:spacing w:after="0" w:line="231" w:lineRule="auto"/>
        <w:rPr>
          <w:sz w:val="20"/>
          <w:szCs w:val="20"/>
          <w:color w:val="auto"/>
        </w:rPr>
      </w:pPr>
      <w:r>
        <w:rPr>
          <w:rFonts w:ascii="Arial" w:cs="Arial" w:eastAsia="Arial" w:hAnsi="Arial"/>
          <w:sz w:val="13"/>
          <w:szCs w:val="13"/>
          <w:color w:val="auto"/>
        </w:rPr>
        <w:t>**Mr. Posner is retiring from our Board of Directors, effective as of the Annual Meeting. Following Mr. Posner’s retirement from our Board of Directors, Mr. Jones is expected to become the Chair of our Compensation and Management Development Committee.</w:t>
      </w:r>
    </w:p>
    <w:p>
      <w:pPr>
        <w:spacing w:after="0" w:line="11" w:lineRule="exact"/>
        <w:rPr>
          <w:sz w:val="20"/>
          <w:szCs w:val="20"/>
          <w:color w:val="auto"/>
        </w:rPr>
      </w:pPr>
    </w:p>
    <w:p>
      <w:pPr>
        <w:ind w:left="120"/>
        <w:spacing w:after="0"/>
        <w:tabs>
          <w:tab w:leader="none" w:pos="440" w:val="left"/>
          <w:tab w:leader="none" w:pos="2100" w:val="left"/>
          <w:tab w:leader="none" w:pos="2740" w:val="left"/>
          <w:tab w:leader="none" w:pos="7760" w:val="left"/>
          <w:tab w:leader="none" w:pos="8220" w:val="left"/>
        </w:tabs>
        <w:rPr>
          <w:sz w:val="20"/>
          <w:szCs w:val="20"/>
          <w:color w:val="auto"/>
        </w:rPr>
      </w:pPr>
      <w:r>
        <w:rPr>
          <w:rFonts w:ascii="Arial" w:cs="Arial" w:eastAsia="Arial" w:hAnsi="Arial"/>
          <w:sz w:val="13"/>
          <w:szCs w:val="13"/>
          <w:color w:val="auto"/>
        </w:rPr>
        <w:t>AC:</w:t>
        <w:tab/>
        <w:t>Audit Committee</w:t>
      </w:r>
      <w:r>
        <w:rPr>
          <w:sz w:val="20"/>
          <w:szCs w:val="20"/>
          <w:color w:val="auto"/>
        </w:rPr>
        <w:tab/>
      </w:r>
      <w:r>
        <w:rPr>
          <w:rFonts w:ascii="Arial" w:cs="Arial" w:eastAsia="Arial" w:hAnsi="Arial"/>
          <w:sz w:val="13"/>
          <w:szCs w:val="13"/>
          <w:color w:val="auto"/>
        </w:rPr>
        <w:t>C&amp;MDC:</w:t>
        <w:tab/>
        <w:t>Compensation and Management Development Committee</w:t>
      </w:r>
      <w:r>
        <w:rPr>
          <w:sz w:val="20"/>
          <w:szCs w:val="20"/>
          <w:color w:val="auto"/>
        </w:rPr>
        <w:tab/>
      </w:r>
      <w:r>
        <w:rPr>
          <w:rFonts w:ascii="Arial" w:cs="Arial" w:eastAsia="Arial" w:hAnsi="Arial"/>
          <w:sz w:val="13"/>
          <w:szCs w:val="13"/>
          <w:color w:val="auto"/>
        </w:rPr>
        <w:t>CGC:</w:t>
      </w:r>
      <w:r>
        <w:rPr>
          <w:sz w:val="20"/>
          <w:szCs w:val="20"/>
          <w:color w:val="auto"/>
        </w:rPr>
        <w:tab/>
      </w:r>
      <w:r>
        <w:rPr>
          <w:rFonts w:ascii="Arial" w:cs="Arial" w:eastAsia="Arial" w:hAnsi="Arial"/>
          <w:sz w:val="12"/>
          <w:szCs w:val="12"/>
          <w:color w:val="auto"/>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156210</wp:posOffset>
            </wp:positionV>
            <wp:extent cx="7747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156210</wp:posOffset>
            </wp:positionV>
            <wp:extent cx="7747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156210</wp:posOffset>
            </wp:positionV>
            <wp:extent cx="7747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298" w:lineRule="exact"/>
        <w:rPr>
          <w:sz w:val="20"/>
          <w:szCs w:val="20"/>
          <w:color w:val="auto"/>
        </w:rPr>
      </w:pPr>
    </w:p>
    <w:tbl>
      <w:tblPr>
        <w:tblLayout w:type="fixed"/>
        <w:tblInd w:w="13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280" w:type="dxa"/>
            <w:vAlign w:val="bottom"/>
          </w:tcPr>
          <w:p>
            <w:pPr>
              <w:ind w:left="1320"/>
              <w:spacing w:after="0"/>
              <w:rPr>
                <w:sz w:val="20"/>
                <w:szCs w:val="20"/>
                <w:color w:val="auto"/>
              </w:rPr>
            </w:pPr>
            <w:r>
              <w:rPr>
                <w:rFonts w:ascii="Arial" w:cs="Arial" w:eastAsia="Arial" w:hAnsi="Arial"/>
                <w:sz w:val="14"/>
                <w:szCs w:val="14"/>
                <w:color w:val="auto"/>
              </w:rPr>
              <w:t>Chair:</w:t>
            </w:r>
          </w:p>
        </w:tc>
        <w:tc>
          <w:tcPr>
            <w:tcW w:w="3520" w:type="dxa"/>
            <w:vAlign w:val="bottom"/>
          </w:tcPr>
          <w:p>
            <w:pPr>
              <w:ind w:left="1560"/>
              <w:spacing w:after="0"/>
              <w:rPr>
                <w:sz w:val="20"/>
                <w:szCs w:val="20"/>
                <w:color w:val="auto"/>
              </w:rPr>
            </w:pPr>
            <w:r>
              <w:rPr>
                <w:rFonts w:ascii="Arial" w:cs="Arial" w:eastAsia="Arial" w:hAnsi="Arial"/>
                <w:sz w:val="14"/>
                <w:szCs w:val="14"/>
                <w:color w:val="auto"/>
              </w:rPr>
              <w:t>Member:</w:t>
            </w:r>
          </w:p>
        </w:tc>
        <w:tc>
          <w:tcPr>
            <w:tcW w:w="2460" w:type="dxa"/>
            <w:vAlign w:val="bottom"/>
          </w:tcPr>
          <w:p>
            <w:pPr>
              <w:ind w:left="1400"/>
              <w:spacing w:after="0"/>
              <w:rPr>
                <w:sz w:val="20"/>
                <w:szCs w:val="20"/>
                <w:color w:val="auto"/>
              </w:rPr>
            </w:pPr>
            <w:r>
              <w:rPr>
                <w:rFonts w:ascii="Arial" w:cs="Arial" w:eastAsia="Arial" w:hAnsi="Arial"/>
                <w:sz w:val="14"/>
                <w:szCs w:val="14"/>
                <w:color w:val="auto"/>
                <w:w w:val="99"/>
              </w:rPr>
              <w:t>Financial Expert:</w:t>
            </w:r>
          </w:p>
        </w:tc>
      </w:tr>
      <w:tr>
        <w:trPr>
          <w:trHeight w:val="130"/>
        </w:trPr>
        <w:tc>
          <w:tcPr>
            <w:tcW w:w="3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61"/>
        </w:trPr>
        <w:tc>
          <w:tcPr>
            <w:tcW w:w="300" w:type="dxa"/>
            <w:vAlign w:val="bottom"/>
            <w:tcBorders>
              <w:left w:val="single" w:sz="8" w:color="1A6DBB"/>
              <w:right w:val="single" w:sz="8" w:color="1A6DBB"/>
            </w:tcBorders>
            <w:shd w:val="clear" w:color="auto" w:fill="1A6DBB"/>
          </w:tcPr>
          <w:p>
            <w:pPr>
              <w:spacing w:after="0"/>
              <w:rPr>
                <w:sz w:val="5"/>
                <w:szCs w:val="5"/>
                <w:color w:val="auto"/>
              </w:rPr>
            </w:pPr>
          </w:p>
        </w:tc>
        <w:tc>
          <w:tcPr>
            <w:tcW w:w="32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460" w:type="dxa"/>
            <w:vAlign w:val="bottom"/>
          </w:tcPr>
          <w:p>
            <w:pPr>
              <w:spacing w:after="0"/>
              <w:rPr>
                <w:sz w:val="5"/>
                <w:szCs w:val="5"/>
                <w:color w:val="auto"/>
              </w:rPr>
            </w:pPr>
          </w:p>
        </w:tc>
      </w:tr>
      <w:tr>
        <w:trPr>
          <w:trHeight w:val="164"/>
        </w:trPr>
        <w:tc>
          <w:tcPr>
            <w:tcW w:w="300" w:type="dxa"/>
            <w:vAlign w:val="bottom"/>
            <w:tcBorders>
              <w:left w:val="single" w:sz="8" w:color="1A6DBB"/>
              <w:right w:val="single" w:sz="8" w:color="1A6DBB"/>
            </w:tcBorders>
          </w:tcPr>
          <w:p>
            <w:pPr>
              <w:ind w:left="80"/>
              <w:spacing w:after="0"/>
              <w:rPr>
                <w:sz w:val="20"/>
                <w:szCs w:val="20"/>
                <w:color w:val="auto"/>
              </w:rPr>
            </w:pPr>
            <w:r>
              <w:rPr>
                <w:rFonts w:ascii="Arial" w:cs="Arial" w:eastAsia="Arial" w:hAnsi="Arial"/>
                <w:sz w:val="12"/>
                <w:szCs w:val="12"/>
                <w:color w:val="1A6DBB"/>
              </w:rPr>
              <w:t>-xi-</w:t>
            </w:r>
          </w:p>
        </w:tc>
        <w:tc>
          <w:tcPr>
            <w:tcW w:w="3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5"/>
        </w:trPr>
        <w:tc>
          <w:tcPr>
            <w:tcW w:w="300" w:type="dxa"/>
            <w:vAlign w:val="bottom"/>
            <w:tcBorders>
              <w:left w:val="single" w:sz="8" w:color="1A6DBB"/>
              <w:right w:val="single" w:sz="8" w:color="1A6DBB"/>
            </w:tcBorders>
          </w:tcPr>
          <w:p>
            <w:pPr>
              <w:spacing w:after="0"/>
              <w:rPr>
                <w:sz w:val="2"/>
                <w:szCs w:val="2"/>
                <w:color w:val="auto"/>
              </w:rPr>
            </w:pPr>
          </w:p>
        </w:tc>
        <w:tc>
          <w:tcPr>
            <w:tcW w:w="32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61"/>
        </w:trPr>
        <w:tc>
          <w:tcPr>
            <w:tcW w:w="300" w:type="dxa"/>
            <w:vAlign w:val="bottom"/>
            <w:tcBorders>
              <w:left w:val="single" w:sz="8" w:color="1A6DBB"/>
              <w:right w:val="single" w:sz="8" w:color="1A6DBB"/>
            </w:tcBorders>
            <w:shd w:val="clear" w:color="auto" w:fill="1A6DBB"/>
          </w:tcPr>
          <w:p>
            <w:pPr>
              <w:spacing w:after="0"/>
              <w:rPr>
                <w:sz w:val="5"/>
                <w:szCs w:val="5"/>
                <w:color w:val="auto"/>
              </w:rPr>
            </w:pPr>
          </w:p>
        </w:tc>
        <w:tc>
          <w:tcPr>
            <w:tcW w:w="32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24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-196215</wp:posOffset>
            </wp:positionV>
            <wp:extent cx="41973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9735" cy="13716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178435</wp:posOffset>
            </wp:positionV>
            <wp:extent cx="6858000" cy="3600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FFFFFF"/>
        </w:rPr>
        <w:t>Our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Proposal 2 – Ratification of Independent Registered Public Accounting Firm</w:t>
      </w:r>
    </w:p>
    <w:p>
      <w:pPr>
        <w:spacing w:after="0" w:line="10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You are being asked to vote to ratify the selection of PricewaterhouseCoopers LLP as our independent registered public accounting firm for the fiscal year ending December 31, 2022. Detailed information about this proposal can be found beginning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858000" cy="3600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FFFFFF"/>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Proposal 3 – Advisory Vote on Executive Compensation</w:t>
      </w:r>
    </w:p>
    <w:p>
      <w:pPr>
        <w:spacing w:after="0" w:line="10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Our Board of Directors recommends that stockholders vote to approve, on an advisory basis, the compensation paid to the Company’s named executive officers (NEOs) as described in this Proxy Statement (the “say-on-pay” vote). Detailed information about the compensation paid and awarded to our NEOs can be found beginning on page 31.</w:t>
      </w:r>
    </w:p>
    <w:p>
      <w:pPr>
        <w:spacing w:after="0" w:line="63"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Our executive compensation programs embody a pay-for-performance philosophy that supports our business strategy and aligns executive interests with those of our stockholders. Highlights of our executive compensation programs for 2021 and our executive compensation best practices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FFFFFF"/>
        </w:rPr>
        <w:t>Pay-for-Performance</w:t>
      </w:r>
    </w:p>
    <w:p>
      <w:pPr>
        <w:spacing w:after="0" w:line="123" w:lineRule="exact"/>
        <w:rPr>
          <w:sz w:val="20"/>
          <w:szCs w:val="20"/>
          <w:color w:val="auto"/>
        </w:rPr>
      </w:pPr>
    </w:p>
    <w:p>
      <w:pPr>
        <w:ind w:left="180" w:right="360"/>
        <w:spacing w:after="0" w:line="285" w:lineRule="auto"/>
        <w:rPr>
          <w:sz w:val="20"/>
          <w:szCs w:val="20"/>
          <w:color w:val="auto"/>
        </w:rPr>
      </w:pPr>
      <w:r>
        <w:rPr>
          <w:rFonts w:ascii="Arial" w:cs="Arial" w:eastAsia="Arial" w:hAnsi="Arial"/>
          <w:sz w:val="14"/>
          <w:szCs w:val="14"/>
          <w:color w:val="auto"/>
        </w:rPr>
        <w:t>Short- and long-term incentive compensation rewards financial, strategic and operational performance and the accomplishment of pre-established goals that are set to support our annual and/or long-range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3" w:lineRule="exact"/>
        <w:rPr>
          <w:sz w:val="20"/>
          <w:szCs w:val="20"/>
          <w:color w:val="auto"/>
        </w:rPr>
      </w:pPr>
    </w:p>
    <w:p>
      <w:pPr>
        <w:ind w:left="180" w:right="280"/>
        <w:spacing w:after="0" w:line="285" w:lineRule="auto"/>
        <w:rPr>
          <w:sz w:val="20"/>
          <w:szCs w:val="20"/>
          <w:color w:val="auto"/>
        </w:rPr>
      </w:pPr>
      <w:r>
        <w:rPr>
          <w:rFonts w:ascii="Arial" w:cs="Arial" w:eastAsia="Arial" w:hAnsi="Arial"/>
          <w:sz w:val="14"/>
          <w:szCs w:val="14"/>
          <w:color w:val="auto"/>
        </w:rPr>
        <w:t>Approximately 91% of the target compensation for Michel Vounatsos, our CEO, was performance-based and at-risk in 2021, creating strong alignment with the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3" w:lineRule="exact"/>
        <w:rPr>
          <w:sz w:val="20"/>
          <w:szCs w:val="20"/>
          <w:color w:val="auto"/>
        </w:rPr>
      </w:pPr>
    </w:p>
    <w:p>
      <w:pPr>
        <w:ind w:left="180" w:right="580"/>
        <w:spacing w:after="0" w:line="285" w:lineRule="auto"/>
        <w:rPr>
          <w:sz w:val="20"/>
          <w:szCs w:val="20"/>
          <w:color w:val="auto"/>
        </w:rPr>
      </w:pPr>
      <w:r>
        <w:rPr>
          <w:rFonts w:ascii="Arial" w:cs="Arial" w:eastAsia="Arial" w:hAnsi="Arial"/>
          <w:sz w:val="14"/>
          <w:szCs w:val="14"/>
          <w:color w:val="auto"/>
        </w:rPr>
        <w:t>Approximately 84% of the target compensation for our currently-employed NEOs (other than our CEO) was performance-based and at-risk in 2021, creating strong alignment with the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4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FFFFFF"/>
        </w:rPr>
        <w:t>Other Executive Compensation Best Practices</w:t>
      </w:r>
    </w:p>
    <w:p>
      <w:pPr>
        <w:spacing w:after="0" w:line="123" w:lineRule="exact"/>
        <w:rPr>
          <w:sz w:val="20"/>
          <w:szCs w:val="20"/>
          <w:color w:val="auto"/>
        </w:rPr>
      </w:pPr>
    </w:p>
    <w:p>
      <w:pPr>
        <w:ind w:left="180" w:right="420"/>
        <w:spacing w:after="0" w:line="285" w:lineRule="auto"/>
        <w:rPr>
          <w:sz w:val="20"/>
          <w:szCs w:val="20"/>
          <w:color w:val="auto"/>
        </w:rPr>
      </w:pPr>
      <w:r>
        <w:rPr>
          <w:rFonts w:ascii="Arial" w:cs="Arial" w:eastAsia="Arial" w:hAnsi="Arial"/>
          <w:sz w:val="14"/>
          <w:szCs w:val="14"/>
          <w:color w:val="auto"/>
        </w:rPr>
        <w:t>We provide competitive total pay opportunities designed to attract, retain and motivate our executives, after consideration of many factors, including comparative data from a carefully selected peer group and the broader market in which we compete for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3" w:lineRule="exact"/>
        <w:rPr>
          <w:sz w:val="20"/>
          <w:szCs w:val="20"/>
          <w:color w:val="auto"/>
        </w:rPr>
      </w:pPr>
    </w:p>
    <w:p>
      <w:pPr>
        <w:ind w:left="180" w:right="740"/>
        <w:spacing w:after="0" w:line="285" w:lineRule="auto"/>
        <w:rPr>
          <w:sz w:val="20"/>
          <w:szCs w:val="20"/>
          <w:color w:val="auto"/>
        </w:rPr>
      </w:pPr>
      <w:r>
        <w:rPr>
          <w:rFonts w:ascii="Arial" w:cs="Arial" w:eastAsia="Arial" w:hAnsi="Arial"/>
          <w:sz w:val="14"/>
          <w:szCs w:val="14"/>
          <w:color w:val="auto"/>
        </w:rPr>
        <w:t>An independent compensation consultant assists the Compensation and Management Development (C&amp;MD) Committee in evaluating and setting executive and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believe that our compensation programs do not encourage unnecessary and excessive risk taking, and risk assessments are conducted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under our annual bonus plan are performance-based and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Long-term incentive (LTI) awards are generally performance-based and subject to multi-year vesting periods that are designed to reward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3" w:lineRule="exact"/>
        <w:rPr>
          <w:sz w:val="20"/>
          <w:szCs w:val="20"/>
          <w:color w:val="auto"/>
        </w:rPr>
      </w:pPr>
    </w:p>
    <w:p>
      <w:pPr>
        <w:ind w:left="180" w:right="480"/>
        <w:spacing w:after="0" w:line="285" w:lineRule="auto"/>
        <w:rPr>
          <w:sz w:val="20"/>
          <w:szCs w:val="20"/>
          <w:color w:val="auto"/>
        </w:rPr>
      </w:pPr>
      <w:r>
        <w:rPr>
          <w:rFonts w:ascii="Arial" w:cs="Arial" w:eastAsia="Arial" w:hAnsi="Arial"/>
          <w:sz w:val="14"/>
          <w:szCs w:val="14"/>
          <w:color w:val="auto"/>
        </w:rPr>
        <w:t>While stock option awards are not currently part of our compensation programs, if granted, they would be granted at fair market value; we do not backdate or reprice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maintain robust stock ownership guidelines for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may be recouped/clawed back under our equity and annual bonus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double-trigger is required for accelerated equity award vesting upon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 executive officer is eligible to receive excise tax gross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do not offer additional special perquisites to our executive officers that are not offered to our broad employee base or senior management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143510</wp:posOffset>
            </wp:positionV>
            <wp:extent cx="659765"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9765" cy="196850"/>
                    </a:xfrm>
                    <a:prstGeom prst="rect">
                      <a:avLst/>
                    </a:prstGeom>
                    <a:noFill/>
                  </pic:spPr>
                </pic:pic>
              </a:graphicData>
            </a:graphic>
          </wp:anchor>
        </w:drawing>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1"/>
          <w:szCs w:val="11"/>
          <w:color w:val="1A6DBB"/>
        </w:rPr>
        <w:t>-xii-</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178435</wp:posOffset>
            </wp:positionV>
            <wp:extent cx="6858000" cy="360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FFFFFF"/>
        </w:rPr>
        <w:t>Note about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This Proxy Statement contains forward-looking statements, including statements relating to: our strategy and plans; potential of our commercial business and pipeline programs; capital allocation and investment strategy; clinical development programs, clinical trials and data readouts and presentations; risks and uncertainties associated with drug development and commercialization; regulatory discussions, submissions, filings and approvals and the timing thereof; the potential benefits, safety and efficacy of our products and investigational therapies; and the anticipated benefits and potential of investments, collaborations and business development activities. These forward-looking statements may be accompanied by such words as “aim,” “anticipate,” “believe,” “could,” “estimate,” “expect,” “forecast,” “goal,” “intend,” “may,” “plan,” “potential,” “possible,” “will,” “would” and other words and terms of similar meaning. You should not place undue reliance on these statements or the scientific data presented.</w:t>
      </w:r>
    </w:p>
    <w:p>
      <w:pPr>
        <w:spacing w:after="0" w:line="7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These statements involve risks and uncertainties that could cause actual results to differ materially from those reflected in such statements, including the risks and uncertainties that are described in the Risk Factors section of our most recent annual or quarterly report and in other reports we have filed with the U.S. Securities and Exchange Commission (SEC). These statements are based on our current beliefs and expectations and speak only as of the date of this Proxy Statement. We do not undertake any obligation to publicly update any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858000" cy="3600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00" cy="360045"/>
                    </a:xfrm>
                    <a:prstGeom prst="rect">
                      <a:avLst/>
                    </a:prstGeom>
                    <a:noFill/>
                  </pic:spPr>
                </pic:pic>
              </a:graphicData>
            </a:graphic>
          </wp:anchor>
        </w:drawing>
      </w: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FFFFFF"/>
        </w:rPr>
        <w:t>Note regarding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-142875</wp:posOffset>
            </wp:positionV>
            <wp:extent cx="6917690" cy="3600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17690" cy="3600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0" w:right="180"/>
        <w:spacing w:after="0" w:line="182" w:lineRule="auto"/>
        <w:rPr>
          <w:sz w:val="20"/>
          <w:szCs w:val="20"/>
          <w:color w:val="auto"/>
        </w:rPr>
      </w:pPr>
      <w:r>
        <w:rPr>
          <w:rFonts w:ascii="Arial" w:cs="Arial" w:eastAsia="Arial" w:hAnsi="Arial"/>
          <w:sz w:val="16"/>
          <w:szCs w:val="16"/>
          <w:color w:val="auto"/>
        </w:rPr>
        <w:t>PLEGRIDY</w:t>
      </w:r>
      <w:r>
        <w:rPr>
          <w:rFonts w:ascii="Arial" w:cs="Arial" w:eastAsia="Arial" w:hAnsi="Arial"/>
          <w:sz w:val="26"/>
          <w:szCs w:val="26"/>
          <w:color w:val="auto"/>
          <w:vertAlign w:val="superscript"/>
        </w:rPr>
        <w:t>®</w:t>
      </w:r>
      <w:r>
        <w:rPr>
          <w:rFonts w:ascii="Arial" w:cs="Arial" w:eastAsia="Arial" w:hAnsi="Arial"/>
          <w:sz w:val="16"/>
          <w:szCs w:val="16"/>
          <w:color w:val="auto"/>
        </w:rPr>
        <w:t>, RITUXAN</w:t>
      </w:r>
      <w:r>
        <w:rPr>
          <w:rFonts w:ascii="Arial" w:cs="Arial" w:eastAsia="Arial" w:hAnsi="Arial"/>
          <w:sz w:val="26"/>
          <w:szCs w:val="26"/>
          <w:color w:val="auto"/>
          <w:vertAlign w:val="superscript"/>
        </w:rPr>
        <w:t>®</w:t>
      </w:r>
      <w:r>
        <w:rPr>
          <w:rFonts w:ascii="Arial" w:cs="Arial" w:eastAsia="Arial" w:hAnsi="Arial"/>
          <w:sz w:val="16"/>
          <w:szCs w:val="16"/>
          <w:color w:val="auto"/>
        </w:rPr>
        <w:t>, SPINRAZA</w:t>
      </w:r>
      <w:r>
        <w:rPr>
          <w:rFonts w:ascii="Arial" w:cs="Arial" w:eastAsia="Arial" w:hAnsi="Arial"/>
          <w:sz w:val="26"/>
          <w:szCs w:val="26"/>
          <w:color w:val="auto"/>
          <w:vertAlign w:val="superscript"/>
        </w:rPr>
        <w:t>®</w:t>
      </w:r>
      <w:r>
        <w:rPr>
          <w:rFonts w:ascii="Arial" w:cs="Arial" w:eastAsia="Arial" w:hAnsi="Arial"/>
          <w:sz w:val="16"/>
          <w:szCs w:val="16"/>
          <w:color w:val="auto"/>
        </w:rPr>
        <w:t>, TECFIDERA</w:t>
      </w:r>
      <w:r>
        <w:rPr>
          <w:rFonts w:ascii="Arial" w:cs="Arial" w:eastAsia="Arial" w:hAnsi="Arial"/>
          <w:sz w:val="26"/>
          <w:szCs w:val="26"/>
          <w:color w:val="auto"/>
          <w:vertAlign w:val="superscript"/>
        </w:rPr>
        <w:t>®</w:t>
      </w:r>
      <w:r>
        <w:rPr>
          <w:rFonts w:ascii="Arial" w:cs="Arial" w:eastAsia="Arial" w:hAnsi="Arial"/>
          <w:sz w:val="16"/>
          <w:szCs w:val="16"/>
          <w:color w:val="auto"/>
        </w:rPr>
        <w:t>, TYSABRI</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VUMERITY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registered trademarks of Biogen. ADUHELM</w:t>
      </w:r>
      <w:r>
        <w:rPr>
          <w:rFonts w:ascii="Arial" w:cs="Arial" w:eastAsia="Arial" w:hAnsi="Arial"/>
          <w:sz w:val="26"/>
          <w:szCs w:val="26"/>
          <w:color w:val="auto"/>
          <w:vertAlign w:val="superscript"/>
        </w:rPr>
        <w:t>™</w:t>
      </w:r>
      <w:r>
        <w:rPr>
          <w:rFonts w:ascii="Arial" w:cs="Arial" w:eastAsia="Arial" w:hAnsi="Arial"/>
          <w:sz w:val="16"/>
          <w:szCs w:val="16"/>
          <w:color w:val="auto"/>
        </w:rPr>
        <w:t>, BENEPALI</w:t>
      </w:r>
      <w:r>
        <w:rPr>
          <w:rFonts w:ascii="Arial" w:cs="Arial" w:eastAsia="Arial" w:hAnsi="Arial"/>
          <w:sz w:val="26"/>
          <w:szCs w:val="26"/>
          <w:color w:val="auto"/>
          <w:vertAlign w:val="superscript"/>
        </w:rPr>
        <w:t>™</w:t>
      </w:r>
      <w:r>
        <w:rPr>
          <w:rFonts w:ascii="Arial" w:cs="Arial" w:eastAsia="Arial" w:hAnsi="Arial"/>
          <w:sz w:val="16"/>
          <w:szCs w:val="16"/>
          <w:color w:val="auto"/>
        </w:rPr>
        <w:t>, BYOOVIZ</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Healthy Climate, Healthy Lives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trademarks of Biogen. ACTEMRA</w:t>
      </w:r>
      <w:r>
        <w:rPr>
          <w:rFonts w:ascii="Arial" w:cs="Arial" w:eastAsia="Arial" w:hAnsi="Arial"/>
          <w:sz w:val="26"/>
          <w:szCs w:val="26"/>
          <w:color w:val="auto"/>
          <w:vertAlign w:val="superscript"/>
        </w:rPr>
        <w:t>®</w:t>
      </w:r>
      <w:r>
        <w:rPr>
          <w:rFonts w:ascii="Arial" w:cs="Arial" w:eastAsia="Arial" w:hAnsi="Arial"/>
          <w:sz w:val="16"/>
          <w:szCs w:val="16"/>
          <w:color w:val="auto"/>
        </w:rPr>
        <w:t>, EYLEA</w:t>
      </w:r>
      <w:r>
        <w:rPr>
          <w:rFonts w:ascii="Arial" w:cs="Arial" w:eastAsia="Arial" w:hAnsi="Arial"/>
          <w:sz w:val="26"/>
          <w:szCs w:val="26"/>
          <w:color w:val="auto"/>
          <w:vertAlign w:val="superscript"/>
        </w:rPr>
        <w:t>®</w:t>
      </w:r>
      <w:r>
        <w:rPr>
          <w:rFonts w:ascii="Arial" w:cs="Arial" w:eastAsia="Arial" w:hAnsi="Arial"/>
          <w:sz w:val="16"/>
          <w:szCs w:val="16"/>
          <w:color w:val="auto"/>
        </w:rPr>
        <w:t>, LUCENTIS</w:t>
      </w:r>
      <w:r>
        <w:rPr>
          <w:rFonts w:ascii="Arial" w:cs="Arial" w:eastAsia="Arial" w:hAnsi="Arial"/>
          <w:sz w:val="26"/>
          <w:szCs w:val="26"/>
          <w:color w:val="auto"/>
          <w:vertAlign w:val="superscript"/>
        </w:rPr>
        <w:t>®</w:t>
      </w:r>
      <w:r>
        <w:rPr>
          <w:rFonts w:ascii="Arial" w:cs="Arial" w:eastAsia="Arial" w:hAnsi="Arial"/>
          <w:sz w:val="16"/>
          <w:szCs w:val="16"/>
          <w:color w:val="auto"/>
        </w:rPr>
        <w:t>, OCREVUS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other trademarks referenced in this Proxy Statement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59765" cy="196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9765" cy="196850"/>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-xiii-</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90"/>
          <w:szCs w:val="90"/>
          <w:color w:val="1A6DBB"/>
        </w:rPr>
        <w:t xml:space="preserve">1 </w:t>
      </w:r>
      <w:r>
        <w:rPr>
          <w:rFonts w:ascii="Arial" w:cs="Arial" w:eastAsia="Arial" w:hAnsi="Arial"/>
          <w:sz w:val="41"/>
          <w:szCs w:val="41"/>
          <w:color w:val="1A6DBB"/>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-639445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Biogen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225 Binney Street</w:t>
      </w:r>
    </w:p>
    <w:p>
      <w:pPr>
        <w:ind w:left="120"/>
        <w:spacing w:after="0"/>
        <w:rPr>
          <w:sz w:val="20"/>
          <w:szCs w:val="20"/>
          <w:color w:val="auto"/>
        </w:rPr>
      </w:pPr>
      <w:r>
        <w:rPr>
          <w:rFonts w:ascii="Arial" w:cs="Arial" w:eastAsia="Arial" w:hAnsi="Arial"/>
          <w:sz w:val="18"/>
          <w:szCs w:val="18"/>
          <w:b w:val="1"/>
          <w:bCs w:val="1"/>
          <w:color w:val="1A6DBB"/>
        </w:rPr>
        <w:t>Cambridge, Massachusetts 02142</w:t>
      </w:r>
    </w:p>
    <w:p>
      <w:pPr>
        <w:spacing w:after="0" w:line="19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 Board of Directors of Biogen Inc. is soliciting your proxy to vote at our 2022 annual meeting of stockholders (Annual Meeting) to be held at 9:00 a.m. Eastern Time on Wednesday, June 15, 2022, for the purposes summarized in the accompanying Notice of 2022 Annual Meeting of Stockholders. Our 2021 Annual Report on Form 10-K is also available with this Proxy Statement.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References in this Proxy Statement to “Biogen” or the “Company,” “we,” “us” and “our” refer to 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3943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394335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What is the purpose of the Annual Meeting?</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At the Annual Meeting, stockholders will vote upon the matters that are summarized in the formal meeting notice. This Proxy Statement contains important information for you to consider when deciding how to vote on the matters before the Annual Meeting.</w:t>
      </w:r>
    </w:p>
    <w:p>
      <w:pPr>
        <w:spacing w:after="0" w:line="171" w:lineRule="exact"/>
        <w:rPr>
          <w:sz w:val="20"/>
          <w:szCs w:val="20"/>
          <w:color w:val="auto"/>
        </w:rPr>
      </w:pPr>
    </w:p>
    <w:p>
      <w:pPr>
        <w:sectPr>
          <w:pgSz w:w="11900" w:h="16838" w:orient="portrait"/>
          <w:cols w:equalWidth="0" w:num="2">
            <w:col w:w="3500" w:space="580"/>
            <w:col w:w="706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3960" w:type="dxa"/>
            <w:vAlign w:val="bottom"/>
          </w:tcPr>
          <w:p>
            <w:pPr>
              <w:spacing w:after="0"/>
              <w:rPr>
                <w:sz w:val="20"/>
                <w:szCs w:val="20"/>
                <w:color w:val="auto"/>
              </w:rPr>
            </w:pPr>
            <w:r>
              <w:rPr>
                <w:rFonts w:ascii="Arial" w:cs="Arial" w:eastAsia="Arial" w:hAnsi="Arial"/>
                <w:sz w:val="16"/>
                <w:szCs w:val="16"/>
                <w:b w:val="1"/>
                <w:bCs w:val="1"/>
                <w:i w:val="1"/>
                <w:iCs w:val="1"/>
                <w:color w:val="1A6DBB"/>
              </w:rPr>
              <w:t>Can I attend the Annual Meeting?</w:t>
            </w:r>
          </w:p>
        </w:tc>
        <w:tc>
          <w:tcPr>
            <w:tcW w:w="7060" w:type="dxa"/>
            <w:vAlign w:val="bottom"/>
            <w:gridSpan w:val="4"/>
          </w:tcPr>
          <w:p>
            <w:pPr>
              <w:spacing w:after="0"/>
              <w:rPr>
                <w:sz w:val="20"/>
                <w:szCs w:val="20"/>
                <w:color w:val="auto"/>
              </w:rPr>
            </w:pPr>
            <w:r>
              <w:rPr>
                <w:rFonts w:ascii="Arial" w:cs="Arial" w:eastAsia="Arial" w:hAnsi="Arial"/>
                <w:sz w:val="16"/>
                <w:szCs w:val="16"/>
                <w:color w:val="auto"/>
              </w:rPr>
              <w:t>We will be hosting the Annual Meeting virtually via the Internet.</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Any stockholder can listen to and participate in the Annual Meeting live via the Internet at</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7060" w:type="dxa"/>
            <w:vAlign w:val="bottom"/>
            <w:gridSpan w:val="4"/>
          </w:tcPr>
          <w:p>
            <w:pPr>
              <w:spacing w:after="0" w:line="176" w:lineRule="exact"/>
              <w:rPr>
                <w:sz w:val="20"/>
                <w:szCs w:val="20"/>
                <w:color w:val="auto"/>
              </w:rPr>
            </w:pPr>
            <w:r>
              <w:rPr>
                <w:rFonts w:ascii="Arial" w:cs="Arial" w:eastAsia="Arial" w:hAnsi="Arial"/>
                <w:sz w:val="16"/>
                <w:szCs w:val="16"/>
                <w:color w:val="auto"/>
              </w:rPr>
              <w:t>www.virtualshareholdermeeting.com/BIIB2022. Stockholders may vote and submit questions while</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60" w:type="dxa"/>
            <w:vAlign w:val="bottom"/>
          </w:tcPr>
          <w:p>
            <w:pPr>
              <w:spacing w:after="0"/>
              <w:rPr>
                <w:sz w:val="15"/>
                <w:szCs w:val="15"/>
                <w:color w:val="auto"/>
              </w:rPr>
            </w:pPr>
          </w:p>
        </w:tc>
        <w:tc>
          <w:tcPr>
            <w:tcW w:w="7060" w:type="dxa"/>
            <w:vAlign w:val="bottom"/>
            <w:gridSpan w:val="4"/>
          </w:tcPr>
          <w:p>
            <w:pPr>
              <w:spacing w:after="0" w:line="182" w:lineRule="exact"/>
              <w:rPr>
                <w:sz w:val="20"/>
                <w:szCs w:val="20"/>
                <w:color w:val="auto"/>
              </w:rPr>
            </w:pPr>
            <w:r>
              <w:rPr>
                <w:rFonts w:ascii="Arial" w:cs="Arial" w:eastAsia="Arial" w:hAnsi="Arial"/>
                <w:sz w:val="16"/>
                <w:szCs w:val="16"/>
                <w:color w:val="auto"/>
              </w:rPr>
              <w:t>connected to the Annual Meeting via the Internet. You will need the 16-digit control number</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included on your Notice of Internet Availability of Proxy Materials or your proxy card or voting</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instruction form in order to be able to vote your shares or submit questions via the Internet during</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the Annual Meeting.</w:t>
            </w:r>
          </w:p>
        </w:tc>
        <w:tc>
          <w:tcPr>
            <w:tcW w:w="0" w:type="dxa"/>
            <w:vAlign w:val="bottom"/>
          </w:tcPr>
          <w:p>
            <w:pPr>
              <w:spacing w:after="0"/>
              <w:rPr>
                <w:sz w:val="1"/>
                <w:szCs w:val="1"/>
                <w:color w:val="auto"/>
              </w:rPr>
            </w:pPr>
          </w:p>
        </w:tc>
      </w:tr>
      <w:tr>
        <w:trPr>
          <w:trHeight w:val="311"/>
        </w:trPr>
        <w:tc>
          <w:tcPr>
            <w:tcW w:w="396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You will not be able to attend the Annual Meeting in person.</w:t>
            </w:r>
          </w:p>
        </w:tc>
        <w:tc>
          <w:tcPr>
            <w:tcW w:w="0" w:type="dxa"/>
            <w:vAlign w:val="bottom"/>
          </w:tcPr>
          <w:p>
            <w:pPr>
              <w:spacing w:after="0"/>
              <w:rPr>
                <w:sz w:val="1"/>
                <w:szCs w:val="1"/>
                <w:color w:val="auto"/>
              </w:rPr>
            </w:pPr>
          </w:p>
        </w:tc>
      </w:tr>
      <w:tr>
        <w:trPr>
          <w:trHeight w:val="123"/>
        </w:trPr>
        <w:tc>
          <w:tcPr>
            <w:tcW w:w="3960" w:type="dxa"/>
            <w:vAlign w:val="bottom"/>
            <w:tcBorders>
              <w:bottom w:val="single" w:sz="8" w:color="1A6DBB"/>
            </w:tcBorders>
          </w:tcPr>
          <w:p>
            <w:pPr>
              <w:spacing w:after="0"/>
              <w:rPr>
                <w:sz w:val="10"/>
                <w:szCs w:val="10"/>
                <w:color w:val="auto"/>
              </w:rPr>
            </w:pPr>
          </w:p>
        </w:tc>
        <w:tc>
          <w:tcPr>
            <w:tcW w:w="2660" w:type="dxa"/>
            <w:vAlign w:val="bottom"/>
            <w:tcBorders>
              <w:bottom w:val="single" w:sz="8" w:color="1A6DBB"/>
            </w:tcBorders>
          </w:tcPr>
          <w:p>
            <w:pPr>
              <w:spacing w:after="0"/>
              <w:rPr>
                <w:sz w:val="10"/>
                <w:szCs w:val="10"/>
                <w:color w:val="auto"/>
              </w:rPr>
            </w:pPr>
          </w:p>
        </w:tc>
        <w:tc>
          <w:tcPr>
            <w:tcW w:w="660" w:type="dxa"/>
            <w:vAlign w:val="bottom"/>
            <w:tcBorders>
              <w:bottom w:val="single" w:sz="8" w:color="1A6DBB"/>
            </w:tcBorders>
          </w:tcPr>
          <w:p>
            <w:pPr>
              <w:spacing w:after="0"/>
              <w:rPr>
                <w:sz w:val="10"/>
                <w:szCs w:val="10"/>
                <w:color w:val="auto"/>
              </w:rPr>
            </w:pPr>
          </w:p>
        </w:tc>
        <w:tc>
          <w:tcPr>
            <w:tcW w:w="780" w:type="dxa"/>
            <w:vAlign w:val="bottom"/>
            <w:tcBorders>
              <w:bottom w:val="single" w:sz="8" w:color="1A6DBB"/>
            </w:tcBorders>
          </w:tcPr>
          <w:p>
            <w:pPr>
              <w:spacing w:after="0"/>
              <w:rPr>
                <w:sz w:val="10"/>
                <w:szCs w:val="10"/>
                <w:color w:val="auto"/>
              </w:rPr>
            </w:pPr>
          </w:p>
        </w:tc>
        <w:tc>
          <w:tcPr>
            <w:tcW w:w="2960" w:type="dxa"/>
            <w:vAlign w:val="bottom"/>
            <w:tcBorders>
              <w:bottom w:val="single" w:sz="8" w:color="1A6DBB"/>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6"/>
                <w:szCs w:val="16"/>
                <w:b w:val="1"/>
                <w:bCs w:val="1"/>
                <w:i w:val="1"/>
                <w:iCs w:val="1"/>
                <w:color w:val="1A6DBB"/>
              </w:rPr>
              <w:t>What do I need in order to be able to participate</w:t>
            </w:r>
          </w:p>
        </w:tc>
        <w:tc>
          <w:tcPr>
            <w:tcW w:w="7060" w:type="dxa"/>
            <w:vAlign w:val="bottom"/>
            <w:gridSpan w:val="4"/>
          </w:tcPr>
          <w:p>
            <w:pPr>
              <w:spacing w:after="0"/>
              <w:rPr>
                <w:sz w:val="20"/>
                <w:szCs w:val="20"/>
                <w:color w:val="auto"/>
              </w:rPr>
            </w:pPr>
            <w:r>
              <w:rPr>
                <w:rFonts w:ascii="Arial" w:cs="Arial" w:eastAsia="Arial" w:hAnsi="Arial"/>
                <w:sz w:val="16"/>
                <w:szCs w:val="16"/>
                <w:color w:val="auto"/>
              </w:rPr>
              <w:t>You will need the 16-digit control number included on your Notice of Internet Availability of Proxy</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b w:val="1"/>
                <w:bCs w:val="1"/>
                <w:i w:val="1"/>
                <w:iCs w:val="1"/>
                <w:color w:val="1A6DBB"/>
              </w:rPr>
              <w:t>in the Annual Meeting virtually via the Internet?</w:t>
            </w:r>
          </w:p>
        </w:tc>
        <w:tc>
          <w:tcPr>
            <w:tcW w:w="7060" w:type="dxa"/>
            <w:vAlign w:val="bottom"/>
            <w:gridSpan w:val="4"/>
          </w:tcPr>
          <w:p>
            <w:pPr>
              <w:spacing w:after="0"/>
              <w:rPr>
                <w:sz w:val="20"/>
                <w:szCs w:val="20"/>
                <w:color w:val="auto"/>
              </w:rPr>
            </w:pPr>
            <w:r>
              <w:rPr>
                <w:rFonts w:ascii="Arial" w:cs="Arial" w:eastAsia="Arial" w:hAnsi="Arial"/>
                <w:sz w:val="16"/>
                <w:szCs w:val="16"/>
                <w:color w:val="auto"/>
              </w:rPr>
              <w:t>Materials or your proxy card or voting instruction form in order to be able to vote your shares or</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submit questions via the Internet during the Annual Meeting. If you do not have your 16-digit</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control number, you will be able to listen to the meeting only — you will not be able to vote or</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submit questions during the meeting.</w:t>
            </w:r>
          </w:p>
        </w:tc>
        <w:tc>
          <w:tcPr>
            <w:tcW w:w="0" w:type="dxa"/>
            <w:vAlign w:val="bottom"/>
          </w:tcPr>
          <w:p>
            <w:pPr>
              <w:spacing w:after="0"/>
              <w:rPr>
                <w:sz w:val="1"/>
                <w:szCs w:val="1"/>
                <w:color w:val="auto"/>
              </w:rPr>
            </w:pPr>
          </w:p>
        </w:tc>
      </w:tr>
      <w:tr>
        <w:trPr>
          <w:trHeight w:val="123"/>
        </w:trPr>
        <w:tc>
          <w:tcPr>
            <w:tcW w:w="3960" w:type="dxa"/>
            <w:vAlign w:val="bottom"/>
            <w:tcBorders>
              <w:bottom w:val="single" w:sz="8" w:color="1A6DBB"/>
            </w:tcBorders>
          </w:tcPr>
          <w:p>
            <w:pPr>
              <w:spacing w:after="0"/>
              <w:rPr>
                <w:sz w:val="10"/>
                <w:szCs w:val="10"/>
                <w:color w:val="auto"/>
              </w:rPr>
            </w:pPr>
          </w:p>
        </w:tc>
        <w:tc>
          <w:tcPr>
            <w:tcW w:w="2660" w:type="dxa"/>
            <w:vAlign w:val="bottom"/>
            <w:tcBorders>
              <w:bottom w:val="single" w:sz="8" w:color="1A6DBB"/>
            </w:tcBorders>
          </w:tcPr>
          <w:p>
            <w:pPr>
              <w:spacing w:after="0"/>
              <w:rPr>
                <w:sz w:val="10"/>
                <w:szCs w:val="10"/>
                <w:color w:val="auto"/>
              </w:rPr>
            </w:pPr>
          </w:p>
        </w:tc>
        <w:tc>
          <w:tcPr>
            <w:tcW w:w="660" w:type="dxa"/>
            <w:vAlign w:val="bottom"/>
            <w:tcBorders>
              <w:bottom w:val="single" w:sz="8" w:color="1A6DBB"/>
            </w:tcBorders>
          </w:tcPr>
          <w:p>
            <w:pPr>
              <w:spacing w:after="0"/>
              <w:rPr>
                <w:sz w:val="10"/>
                <w:szCs w:val="10"/>
                <w:color w:val="auto"/>
              </w:rPr>
            </w:pPr>
          </w:p>
        </w:tc>
        <w:tc>
          <w:tcPr>
            <w:tcW w:w="780" w:type="dxa"/>
            <w:vAlign w:val="bottom"/>
            <w:tcBorders>
              <w:bottom w:val="single" w:sz="8" w:color="1A6DBB"/>
            </w:tcBorders>
          </w:tcPr>
          <w:p>
            <w:pPr>
              <w:spacing w:after="0"/>
              <w:rPr>
                <w:sz w:val="10"/>
                <w:szCs w:val="10"/>
                <w:color w:val="auto"/>
              </w:rPr>
            </w:pPr>
          </w:p>
        </w:tc>
        <w:tc>
          <w:tcPr>
            <w:tcW w:w="2960" w:type="dxa"/>
            <w:vAlign w:val="bottom"/>
            <w:tcBorders>
              <w:bottom w:val="single" w:sz="8" w:color="1A6DBB"/>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6"/>
                <w:szCs w:val="16"/>
                <w:b w:val="1"/>
                <w:bCs w:val="1"/>
                <w:i w:val="1"/>
                <w:iCs w:val="1"/>
                <w:color w:val="1A6DBB"/>
              </w:rPr>
              <w:t>Who can vote?</w:t>
            </w:r>
          </w:p>
        </w:tc>
        <w:tc>
          <w:tcPr>
            <w:tcW w:w="7060" w:type="dxa"/>
            <w:vAlign w:val="bottom"/>
            <w:gridSpan w:val="4"/>
          </w:tcPr>
          <w:p>
            <w:pPr>
              <w:spacing w:after="0"/>
              <w:rPr>
                <w:sz w:val="20"/>
                <w:szCs w:val="20"/>
                <w:color w:val="auto"/>
              </w:rPr>
            </w:pPr>
            <w:r>
              <w:rPr>
                <w:rFonts w:ascii="Arial" w:cs="Arial" w:eastAsia="Arial" w:hAnsi="Arial"/>
                <w:sz w:val="16"/>
                <w:szCs w:val="16"/>
                <w:color w:val="auto"/>
              </w:rPr>
              <w:t>Each share of our common stock that you own as of the close of business on the record date of</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April 21, 2022 (Record Date) entitles you to one vote on each matter to be voted upon at the</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Annual Meeting. As of the Record Date, 147,150,928 shares of our common stock were</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7060" w:type="dxa"/>
            <w:vAlign w:val="bottom"/>
            <w:gridSpan w:val="4"/>
          </w:tcPr>
          <w:p>
            <w:pPr>
              <w:spacing w:after="0"/>
              <w:rPr>
                <w:sz w:val="20"/>
                <w:szCs w:val="20"/>
                <w:color w:val="auto"/>
              </w:rPr>
            </w:pPr>
            <w:r>
              <w:rPr>
                <w:rFonts w:ascii="Arial" w:cs="Arial" w:eastAsia="Arial" w:hAnsi="Arial"/>
                <w:sz w:val="16"/>
                <w:szCs w:val="16"/>
                <w:color w:val="auto"/>
              </w:rPr>
              <w:t>outstanding and entitled to vote. We are making this Proxy Statement and other Annual Meeting</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7060" w:type="dxa"/>
            <w:vAlign w:val="bottom"/>
            <w:gridSpan w:val="4"/>
          </w:tcPr>
          <w:p>
            <w:pPr>
              <w:spacing w:after="0" w:line="176" w:lineRule="exact"/>
              <w:rPr>
                <w:sz w:val="20"/>
                <w:szCs w:val="20"/>
                <w:color w:val="auto"/>
              </w:rPr>
            </w:pPr>
            <w:r>
              <w:rPr>
                <w:rFonts w:ascii="Arial" w:cs="Arial" w:eastAsia="Arial" w:hAnsi="Arial"/>
                <w:sz w:val="16"/>
                <w:szCs w:val="16"/>
                <w:color w:val="auto"/>
              </w:rPr>
              <w:t>materials available on the Internet at www.proxyvote.com or, upon request, by sending printed</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960" w:type="dxa"/>
            <w:vAlign w:val="bottom"/>
            <w:vMerge w:val="restart"/>
          </w:tcPr>
          <w:p>
            <w:pPr>
              <w:spacing w:after="0"/>
              <w:rPr>
                <w:sz w:val="20"/>
                <w:szCs w:val="20"/>
                <w:color w:val="auto"/>
              </w:rPr>
            </w:pPr>
            <w:r>
              <w:rPr>
                <w:rFonts w:ascii="Arial" w:cs="Arial" w:eastAsia="Arial" w:hAnsi="Arial"/>
                <w:sz w:val="16"/>
                <w:szCs w:val="16"/>
                <w:color w:val="auto"/>
              </w:rPr>
              <w:t>all stockholders of record as of the</w:t>
            </w:r>
          </w:p>
        </w:tc>
        <w:tc>
          <w:tcPr>
            <w:tcW w:w="0" w:type="dxa"/>
            <w:vAlign w:val="bottom"/>
          </w:tcPr>
          <w:p>
            <w:pPr>
              <w:spacing w:after="0" w:line="20" w:lineRule="exact"/>
              <w:rPr>
                <w:sz w:val="1"/>
                <w:szCs w:val="1"/>
                <w:color w:val="auto"/>
              </w:rPr>
            </w:pPr>
          </w:p>
        </w:tc>
      </w:tr>
      <w:tr>
        <w:trPr>
          <w:trHeight w:val="198"/>
        </w:trPr>
        <w:tc>
          <w:tcPr>
            <w:tcW w:w="396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6"/>
                <w:szCs w:val="16"/>
                <w:color w:val="auto"/>
              </w:rPr>
              <w:t>versions of these materials on or about April 21, 2022, to</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4080" w:right="60"/>
        <w:spacing w:after="0" w:line="251" w:lineRule="auto"/>
        <w:rPr>
          <w:sz w:val="20"/>
          <w:szCs w:val="20"/>
          <w:color w:val="auto"/>
        </w:rPr>
      </w:pPr>
      <w:r>
        <w:rPr>
          <w:rFonts w:ascii="Arial" w:cs="Arial" w:eastAsia="Arial" w:hAnsi="Arial"/>
          <w:sz w:val="16"/>
          <w:szCs w:val="16"/>
          <w:color w:val="auto"/>
        </w:rPr>
        <w:t xml:space="preserve">Record Date. For ten days before the Annual Meeting, a list of stockholders entitled to vote will be available for inspection at our offices located at 225 Binney Street, Cambridge, Massachusetts 02142 and will also be available for examination during the Annual Meeting at </w:t>
      </w:r>
      <w:r>
        <w:rPr>
          <w:rFonts w:ascii="Arial" w:cs="Arial" w:eastAsia="Arial" w:hAnsi="Arial"/>
          <w:sz w:val="16"/>
          <w:szCs w:val="16"/>
          <w:u w:val="single" w:color="auto"/>
          <w:color w:val="auto"/>
        </w:rPr>
        <w:t>www.virtualshareholdermeeting.com/BIIB2022</w:t>
      </w:r>
      <w:r>
        <w:rPr>
          <w:rFonts w:ascii="Arial" w:cs="Arial" w:eastAsia="Arial" w:hAnsi="Arial"/>
          <w:sz w:val="16"/>
          <w:szCs w:val="16"/>
          <w:color w:val="auto"/>
        </w:rPr>
        <w:t>. If you would like to review the list, please call our Investor Relations department at (781) 464-2442.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 </w:t>
      </w:r>
      <w:r>
        <w:rPr>
          <w:sz w:val="1"/>
          <w:szCs w:val="1"/>
          <w:color w:val="auto"/>
        </w:rPr>
        <w:drawing>
          <wp:inline distT="0" distB="0" distL="0" distR="0">
            <wp:extent cx="38735" cy="1968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3"/>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130" w:type="dxa"/>
        <w:tblCellMar>
          <w:top w:w="0" w:type="dxa"/>
          <w:left w:w="0" w:type="dxa"/>
          <w:bottom w:w="0" w:type="dxa"/>
          <w:right w:w="0" w:type="dxa"/>
        </w:tblCellMar>
      </w:tblPr>
      <w:tr>
        <w:trPr>
          <w:trHeight w:val="289"/>
        </w:trPr>
        <w:tc>
          <w:tcPr>
            <w:tcW w:w="3860" w:type="dxa"/>
            <w:vAlign w:val="bottom"/>
            <w:tcBorders>
              <w:top w:val="single" w:sz="8" w:color="1A6DBB"/>
            </w:tcBorders>
            <w:gridSpan w:val="2"/>
          </w:tcPr>
          <w:p>
            <w:pPr>
              <w:spacing w:after="0"/>
              <w:rPr>
                <w:sz w:val="20"/>
                <w:szCs w:val="20"/>
                <w:color w:val="auto"/>
              </w:rPr>
            </w:pPr>
            <w:r>
              <w:rPr>
                <w:rFonts w:ascii="Arial" w:cs="Arial" w:eastAsia="Arial" w:hAnsi="Arial"/>
                <w:sz w:val="16"/>
                <w:szCs w:val="16"/>
                <w:b w:val="1"/>
                <w:bCs w:val="1"/>
                <w:i w:val="1"/>
                <w:iCs w:val="1"/>
                <w:color w:val="1A6DBB"/>
              </w:rPr>
              <w:t>What am I voting on at the Annual Meeting?</w:t>
            </w:r>
          </w:p>
        </w:tc>
        <w:tc>
          <w:tcPr>
            <w:tcW w:w="7160" w:type="dxa"/>
            <w:vAlign w:val="bottom"/>
            <w:tcBorders>
              <w:top w:val="single" w:sz="8" w:color="1A6DBB"/>
            </w:tcBorders>
            <w:shd w:val="clear" w:color="auto" w:fill="E8F0F8"/>
          </w:tcPr>
          <w:p>
            <w:pPr>
              <w:ind w:left="100"/>
              <w:spacing w:after="0"/>
              <w:rPr>
                <w:sz w:val="20"/>
                <w:szCs w:val="20"/>
                <w:color w:val="auto"/>
              </w:rPr>
            </w:pPr>
            <w:r>
              <w:rPr>
                <w:rFonts w:ascii="Arial" w:cs="Arial" w:eastAsia="Arial" w:hAnsi="Arial"/>
                <w:sz w:val="16"/>
                <w:szCs w:val="16"/>
                <w:color w:val="auto"/>
              </w:rPr>
              <w:t>Stockholders will be asked to vote on the following items at the Annual Meeting:</w:t>
            </w:r>
          </w:p>
        </w:tc>
      </w:tr>
      <w:tr>
        <w:trPr>
          <w:trHeight w:val="505"/>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 The election to our Board of Directors of the 11 director nominees (Proposal 1);</w:t>
            </w:r>
          </w:p>
        </w:tc>
      </w:tr>
      <w:tr>
        <w:trPr>
          <w:trHeight w:val="366"/>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 The ratification of the selection of PricewaterhouseCoopers LLP (PwC) as our independent</w:t>
            </w:r>
          </w:p>
        </w:tc>
      </w:tr>
      <w:tr>
        <w:trPr>
          <w:trHeight w:val="215"/>
        </w:trPr>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registered public accounting firm for the fiscal year ending December 31, 2022 (Proposal 2);</w:t>
            </w:r>
          </w:p>
        </w:tc>
      </w:tr>
      <w:tr>
        <w:trPr>
          <w:trHeight w:val="378"/>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 The advisory vote on executive compensation (Proposal 3); and</w:t>
            </w:r>
          </w:p>
        </w:tc>
      </w:tr>
      <w:tr>
        <w:trPr>
          <w:trHeight w:val="366"/>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 The transaction of such other business as may be properly brought before the meeting and any</w:t>
            </w:r>
          </w:p>
        </w:tc>
      </w:tr>
      <w:tr>
        <w:trPr>
          <w:trHeight w:val="215"/>
        </w:trPr>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adjournments or postponements.</w:t>
            </w:r>
          </w:p>
        </w:tc>
      </w:tr>
      <w:tr>
        <w:trPr>
          <w:trHeight w:val="124"/>
        </w:trPr>
        <w:tc>
          <w:tcPr>
            <w:tcW w:w="220" w:type="dxa"/>
            <w:vAlign w:val="bottom"/>
            <w:tcBorders>
              <w:bottom w:val="single" w:sz="8" w:color="1A6DBB"/>
            </w:tcBorders>
          </w:tcPr>
          <w:p>
            <w:pPr>
              <w:spacing w:after="0"/>
              <w:rPr>
                <w:sz w:val="10"/>
                <w:szCs w:val="10"/>
                <w:color w:val="auto"/>
              </w:rPr>
            </w:pPr>
          </w:p>
        </w:tc>
        <w:tc>
          <w:tcPr>
            <w:tcW w:w="3640" w:type="dxa"/>
            <w:vAlign w:val="bottom"/>
            <w:tcBorders>
              <w:bottom w:val="single" w:sz="8" w:color="1A6DBB"/>
            </w:tcBorders>
          </w:tcPr>
          <w:p>
            <w:pPr>
              <w:spacing w:after="0"/>
              <w:rPr>
                <w:sz w:val="10"/>
                <w:szCs w:val="10"/>
                <w:color w:val="auto"/>
              </w:rPr>
            </w:pPr>
          </w:p>
        </w:tc>
        <w:tc>
          <w:tcPr>
            <w:tcW w:w="7160" w:type="dxa"/>
            <w:vAlign w:val="bottom"/>
            <w:tcBorders>
              <w:bottom w:val="single" w:sz="8" w:color="1A6DBB"/>
            </w:tcBorders>
            <w:shd w:val="clear" w:color="auto" w:fill="E8F0F8"/>
          </w:tcPr>
          <w:p>
            <w:pPr>
              <w:spacing w:after="0"/>
              <w:rPr>
                <w:sz w:val="10"/>
                <w:szCs w:val="10"/>
                <w:color w:val="auto"/>
              </w:rPr>
            </w:pPr>
          </w:p>
        </w:tc>
      </w:tr>
      <w:tr>
        <w:trPr>
          <w:trHeight w:val="238"/>
        </w:trPr>
        <w:tc>
          <w:tcPr>
            <w:tcW w:w="38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What is the recommendation of our Board of</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Our Board of Directors recommends that you vote:</w:t>
            </w: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Directors on each of the matters scheduled to be</w:t>
            </w:r>
          </w:p>
        </w:tc>
        <w:tc>
          <w:tcPr>
            <w:tcW w:w="7160" w:type="dxa"/>
            <w:vAlign w:val="bottom"/>
            <w:shd w:val="clear" w:color="auto" w:fill="E8F0F8"/>
          </w:tcPr>
          <w:p>
            <w:pPr>
              <w:spacing w:after="0"/>
              <w:rPr>
                <w:sz w:val="16"/>
                <w:szCs w:val="16"/>
                <w:color w:val="auto"/>
              </w:rPr>
            </w:pPr>
          </w:p>
        </w:tc>
      </w:tr>
      <w:tr>
        <w:trPr>
          <w:trHeight w:val="234"/>
        </w:trPr>
        <w:tc>
          <w:tcPr>
            <w:tcW w:w="38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voted on at the Annual Meeting?</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w:t>
            </w:r>
            <w:r>
              <w:rPr>
                <w:rFonts w:ascii="Arial" w:cs="Arial" w:eastAsia="Arial" w:hAnsi="Arial"/>
                <w:sz w:val="16"/>
                <w:szCs w:val="16"/>
                <w:b w:val="1"/>
                <w:bCs w:val="1"/>
                <w:color w:val="000000"/>
              </w:rPr>
              <w:t>FOR</w:t>
            </w:r>
            <w:r>
              <w:rPr>
                <w:rFonts w:ascii="Arial" w:cs="Arial" w:eastAsia="Arial" w:hAnsi="Arial"/>
                <w:sz w:val="16"/>
                <w:szCs w:val="16"/>
                <w:color w:val="000000"/>
              </w:rPr>
              <w:t>” each of the director nominees (Proposal 1);</w:t>
            </w:r>
          </w:p>
        </w:tc>
      </w:tr>
      <w:tr>
        <w:trPr>
          <w:trHeight w:val="344"/>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w:t>
            </w:r>
            <w:r>
              <w:rPr>
                <w:rFonts w:ascii="Arial" w:cs="Arial" w:eastAsia="Arial" w:hAnsi="Arial"/>
                <w:sz w:val="16"/>
                <w:szCs w:val="16"/>
                <w:b w:val="1"/>
                <w:bCs w:val="1"/>
                <w:color w:val="000000"/>
              </w:rPr>
              <w:t>FOR</w:t>
            </w:r>
            <w:r>
              <w:rPr>
                <w:rFonts w:ascii="Arial" w:cs="Arial" w:eastAsia="Arial" w:hAnsi="Arial"/>
                <w:sz w:val="16"/>
                <w:szCs w:val="16"/>
                <w:color w:val="000000"/>
              </w:rPr>
              <w:t>” the ratification of the selection of PwC as our independent registered public accounting</w:t>
            </w:r>
          </w:p>
        </w:tc>
      </w:tr>
      <w:tr>
        <w:trPr>
          <w:trHeight w:val="215"/>
        </w:trPr>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firm for the fiscal year ending December 31, 2022 (Proposal 2); and</w:t>
            </w:r>
          </w:p>
        </w:tc>
      </w:tr>
      <w:tr>
        <w:trPr>
          <w:trHeight w:val="400"/>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 On an advisory basis, “</w:t>
            </w:r>
            <w:r>
              <w:rPr>
                <w:rFonts w:ascii="Arial" w:cs="Arial" w:eastAsia="Arial" w:hAnsi="Arial"/>
                <w:sz w:val="16"/>
                <w:szCs w:val="16"/>
                <w:b w:val="1"/>
                <w:bCs w:val="1"/>
                <w:color w:val="000000"/>
              </w:rPr>
              <w:t>FOR</w:t>
            </w:r>
            <w:r>
              <w:rPr>
                <w:rFonts w:ascii="Arial" w:cs="Arial" w:eastAsia="Arial" w:hAnsi="Arial"/>
                <w:sz w:val="16"/>
                <w:szCs w:val="16"/>
                <w:color w:val="000000"/>
              </w:rPr>
              <w:t>” the approval of our executive compensation (Proposal 3).</w:t>
            </w:r>
          </w:p>
        </w:tc>
      </w:tr>
      <w:tr>
        <w:trPr>
          <w:trHeight w:val="116"/>
        </w:trPr>
        <w:tc>
          <w:tcPr>
            <w:tcW w:w="220" w:type="dxa"/>
            <w:vAlign w:val="bottom"/>
            <w:tcBorders>
              <w:bottom w:val="single" w:sz="8" w:color="1A6DBB"/>
            </w:tcBorders>
          </w:tcPr>
          <w:p>
            <w:pPr>
              <w:spacing w:after="0"/>
              <w:rPr>
                <w:sz w:val="10"/>
                <w:szCs w:val="10"/>
                <w:color w:val="auto"/>
              </w:rPr>
            </w:pPr>
          </w:p>
        </w:tc>
        <w:tc>
          <w:tcPr>
            <w:tcW w:w="3640" w:type="dxa"/>
            <w:vAlign w:val="bottom"/>
            <w:tcBorders>
              <w:bottom w:val="single" w:sz="8" w:color="1A6DBB"/>
            </w:tcBorders>
          </w:tcPr>
          <w:p>
            <w:pPr>
              <w:spacing w:after="0"/>
              <w:rPr>
                <w:sz w:val="10"/>
                <w:szCs w:val="10"/>
                <w:color w:val="auto"/>
              </w:rPr>
            </w:pPr>
          </w:p>
        </w:tc>
        <w:tc>
          <w:tcPr>
            <w:tcW w:w="7160" w:type="dxa"/>
            <w:vAlign w:val="bottom"/>
            <w:tcBorders>
              <w:bottom w:val="single" w:sz="8" w:color="1A6DBB"/>
            </w:tcBorders>
            <w:shd w:val="clear" w:color="auto" w:fill="E8F0F8"/>
          </w:tcPr>
          <w:p>
            <w:pPr>
              <w:spacing w:after="0"/>
              <w:rPr>
                <w:sz w:val="10"/>
                <w:szCs w:val="10"/>
                <w:color w:val="auto"/>
              </w:rPr>
            </w:pPr>
          </w:p>
        </w:tc>
      </w:tr>
      <w:tr>
        <w:trPr>
          <w:trHeight w:val="290"/>
        </w:trPr>
        <w:tc>
          <w:tcPr>
            <w:tcW w:w="38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How do proxies work?</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Our Board of Directors is asking for your proxy authorizing the individuals named as proxies to</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vote your shares at the Annual Meeting in the manner you direct. You may abstain from voting on</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any matter. If you submit your proxy without specifying your voting instructions, we will vote your</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shares on the matters scheduled to be voted on at the Annual Meeting in accordance with our</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Board of Directors’ recommendations described above. As to any other matter that may properly</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come before the Annual Meeting or any adjournment or postponement, the individuals named as</w:t>
            </w:r>
          </w:p>
        </w:tc>
      </w:tr>
      <w:tr>
        <w:trPr>
          <w:trHeight w:val="215"/>
        </w:trPr>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proxies will vote your shares at the Annual Meeting in accordance with their best judgment.</w:t>
            </w:r>
          </w:p>
        </w:tc>
      </w:tr>
      <w:tr>
        <w:trPr>
          <w:trHeight w:val="285"/>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Shares represented by valid proxies received in time for the Annual Meeting and not revoked</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before the Annual Meeting will be voted at the Annual Meeting. You can revoke your proxy and</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change your vote in the manner described below (under the heading “Can I revoke or change my</w:t>
            </w:r>
          </w:p>
        </w:tc>
      </w:tr>
      <w:tr>
        <w:trPr>
          <w:trHeight w:val="189"/>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vote after I submit my proxy?”). If your shares are held through a bank, broker or other nominee,</w:t>
            </w:r>
          </w:p>
        </w:tc>
      </w:tr>
      <w:tr>
        <w:trPr>
          <w:trHeight w:val="215"/>
        </w:trPr>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please follow the instructions that you were provided by your bank, broker or other nominee.</w:t>
            </w:r>
          </w:p>
        </w:tc>
      </w:tr>
      <w:tr>
        <w:trPr>
          <w:trHeight w:val="123"/>
        </w:trPr>
        <w:tc>
          <w:tcPr>
            <w:tcW w:w="220" w:type="dxa"/>
            <w:vAlign w:val="bottom"/>
            <w:tcBorders>
              <w:bottom w:val="single" w:sz="8" w:color="1A6DBB"/>
            </w:tcBorders>
          </w:tcPr>
          <w:p>
            <w:pPr>
              <w:spacing w:after="0"/>
              <w:rPr>
                <w:sz w:val="10"/>
                <w:szCs w:val="10"/>
                <w:color w:val="auto"/>
              </w:rPr>
            </w:pPr>
          </w:p>
        </w:tc>
        <w:tc>
          <w:tcPr>
            <w:tcW w:w="3640" w:type="dxa"/>
            <w:vAlign w:val="bottom"/>
            <w:tcBorders>
              <w:bottom w:val="single" w:sz="8" w:color="1A6DBB"/>
            </w:tcBorders>
          </w:tcPr>
          <w:p>
            <w:pPr>
              <w:spacing w:after="0"/>
              <w:rPr>
                <w:sz w:val="10"/>
                <w:szCs w:val="10"/>
                <w:color w:val="auto"/>
              </w:rPr>
            </w:pPr>
          </w:p>
        </w:tc>
        <w:tc>
          <w:tcPr>
            <w:tcW w:w="7160" w:type="dxa"/>
            <w:vAlign w:val="bottom"/>
            <w:tcBorders>
              <w:bottom w:val="single" w:sz="8" w:color="1A6DBB"/>
            </w:tcBorders>
            <w:shd w:val="clear" w:color="auto" w:fill="E8F0F8"/>
          </w:tcPr>
          <w:p>
            <w:pPr>
              <w:spacing w:after="0"/>
              <w:rPr>
                <w:sz w:val="10"/>
                <w:szCs w:val="10"/>
                <w:color w:val="auto"/>
              </w:rPr>
            </w:pPr>
          </w:p>
        </w:tc>
      </w:tr>
      <w:tr>
        <w:trPr>
          <w:trHeight w:val="142"/>
        </w:trPr>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160" w:type="dxa"/>
            <w:vAlign w:val="bottom"/>
          </w:tcPr>
          <w:p>
            <w:pPr>
              <w:spacing w:after="0"/>
              <w:rPr>
                <w:sz w:val="12"/>
                <w:szCs w:val="12"/>
                <w:color w:val="auto"/>
              </w:rPr>
            </w:pPr>
          </w:p>
        </w:tc>
      </w:tr>
      <w:tr>
        <w:trPr>
          <w:trHeight w:val="61"/>
        </w:trPr>
        <w:tc>
          <w:tcPr>
            <w:tcW w:w="220" w:type="dxa"/>
            <w:vAlign w:val="bottom"/>
            <w:tcBorders>
              <w:left w:val="single" w:sz="8" w:color="1A6DBB"/>
              <w:right w:val="single" w:sz="8" w:color="1A6DBB"/>
            </w:tcBorders>
            <w:shd w:val="clear" w:color="auto" w:fill="1A6DBB"/>
          </w:tcPr>
          <w:p>
            <w:pPr>
              <w:spacing w:after="0"/>
              <w:rPr>
                <w:sz w:val="5"/>
                <w:szCs w:val="5"/>
                <w:color w:val="auto"/>
              </w:rPr>
            </w:pPr>
          </w:p>
        </w:tc>
        <w:tc>
          <w:tcPr>
            <w:tcW w:w="3640" w:type="dxa"/>
            <w:vAlign w:val="bottom"/>
          </w:tcPr>
          <w:p>
            <w:pPr>
              <w:spacing w:after="0"/>
              <w:rPr>
                <w:sz w:val="5"/>
                <w:szCs w:val="5"/>
                <w:color w:val="auto"/>
              </w:rPr>
            </w:pPr>
          </w:p>
        </w:tc>
        <w:tc>
          <w:tcPr>
            <w:tcW w:w="7160" w:type="dxa"/>
            <w:vAlign w:val="bottom"/>
          </w:tcPr>
          <w:p>
            <w:pPr>
              <w:spacing w:after="0"/>
              <w:rPr>
                <w:sz w:val="5"/>
                <w:szCs w:val="5"/>
                <w:color w:val="auto"/>
              </w:rPr>
            </w:pPr>
          </w:p>
        </w:tc>
      </w:tr>
      <w:tr>
        <w:trPr>
          <w:trHeight w:val="164"/>
        </w:trPr>
        <w:tc>
          <w:tcPr>
            <w:tcW w:w="220" w:type="dxa"/>
            <w:vAlign w:val="bottom"/>
            <w:tcBorders>
              <w:left w:val="single" w:sz="8" w:color="1A6DBB"/>
              <w:right w:val="single" w:sz="8" w:color="1A6DBB"/>
            </w:tcBorders>
          </w:tcPr>
          <w:p>
            <w:pPr>
              <w:ind w:left="60"/>
              <w:spacing w:after="0"/>
              <w:rPr>
                <w:sz w:val="20"/>
                <w:szCs w:val="20"/>
                <w:color w:val="auto"/>
              </w:rPr>
            </w:pPr>
            <w:r>
              <w:rPr>
                <w:rFonts w:ascii="Arial" w:cs="Arial" w:eastAsia="Arial" w:hAnsi="Arial"/>
                <w:sz w:val="12"/>
                <w:szCs w:val="12"/>
                <w:color w:val="1A6DBB"/>
              </w:rPr>
              <w:t>2</w:t>
            </w:r>
          </w:p>
        </w:tc>
        <w:tc>
          <w:tcPr>
            <w:tcW w:w="3640" w:type="dxa"/>
            <w:vAlign w:val="bottom"/>
          </w:tcPr>
          <w:p>
            <w:pPr>
              <w:spacing w:after="0"/>
              <w:rPr>
                <w:sz w:val="14"/>
                <w:szCs w:val="14"/>
                <w:color w:val="auto"/>
              </w:rPr>
            </w:pPr>
          </w:p>
        </w:tc>
        <w:tc>
          <w:tcPr>
            <w:tcW w:w="7160" w:type="dxa"/>
            <w:vAlign w:val="bottom"/>
          </w:tcPr>
          <w:p>
            <w:pPr>
              <w:spacing w:after="0"/>
              <w:rPr>
                <w:sz w:val="14"/>
                <w:szCs w:val="14"/>
                <w:color w:val="auto"/>
              </w:rPr>
            </w:pPr>
          </w:p>
        </w:tc>
      </w:tr>
      <w:tr>
        <w:trPr>
          <w:trHeight w:val="25"/>
        </w:trPr>
        <w:tc>
          <w:tcPr>
            <w:tcW w:w="220" w:type="dxa"/>
            <w:vAlign w:val="bottom"/>
            <w:tcBorders>
              <w:left w:val="single" w:sz="8" w:color="1A6DBB"/>
              <w:right w:val="single" w:sz="8" w:color="1A6DBB"/>
            </w:tcBorders>
          </w:tcPr>
          <w:p>
            <w:pPr>
              <w:spacing w:after="0"/>
              <w:rPr>
                <w:sz w:val="2"/>
                <w:szCs w:val="2"/>
                <w:color w:val="auto"/>
              </w:rPr>
            </w:pPr>
          </w:p>
        </w:tc>
        <w:tc>
          <w:tcPr>
            <w:tcW w:w="364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61"/>
        </w:trPr>
        <w:tc>
          <w:tcPr>
            <w:tcW w:w="220" w:type="dxa"/>
            <w:vAlign w:val="bottom"/>
            <w:tcBorders>
              <w:left w:val="single" w:sz="8" w:color="1A6DBB"/>
              <w:right w:val="single" w:sz="8" w:color="1A6DBB"/>
            </w:tcBorders>
            <w:shd w:val="clear" w:color="auto" w:fill="1A6DBB"/>
          </w:tcPr>
          <w:p>
            <w:pPr>
              <w:spacing w:after="0"/>
              <w:rPr>
                <w:sz w:val="5"/>
                <w:szCs w:val="5"/>
                <w:color w:val="auto"/>
              </w:rPr>
            </w:pPr>
          </w:p>
        </w:tc>
        <w:tc>
          <w:tcPr>
            <w:tcW w:w="3640" w:type="dxa"/>
            <w:vAlign w:val="bottom"/>
          </w:tcPr>
          <w:p>
            <w:pPr>
              <w:spacing w:after="0"/>
              <w:rPr>
                <w:sz w:val="5"/>
                <w:szCs w:val="5"/>
                <w:color w:val="auto"/>
              </w:rPr>
            </w:pPr>
          </w:p>
        </w:tc>
        <w:tc>
          <w:tcPr>
            <w:tcW w:w="7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-4439920</wp:posOffset>
            </wp:positionV>
            <wp:extent cx="4474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-4362450</wp:posOffset>
            </wp:positionV>
            <wp:extent cx="4474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-4114165</wp:posOffset>
            </wp:positionV>
            <wp:extent cx="44748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-3754120</wp:posOffset>
            </wp:positionV>
            <wp:extent cx="4474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-3505200</wp:posOffset>
            </wp:positionV>
            <wp:extent cx="4474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-2879725</wp:posOffset>
            </wp:positionV>
            <wp:extent cx="4474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-2639695</wp:posOffset>
            </wp:positionV>
            <wp:extent cx="44748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-2270760</wp:posOffset>
            </wp:positionV>
            <wp:extent cx="4474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-196215</wp:posOffset>
            </wp:positionV>
            <wp:extent cx="41973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4"/>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5340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80" w:right="300" w:hanging="3968"/>
        <w:spacing w:after="0" w:line="286" w:lineRule="auto"/>
        <w:tabs>
          <w:tab w:leader="none" w:pos="4060" w:val="left"/>
        </w:tabs>
        <w:rPr>
          <w:sz w:val="20"/>
          <w:szCs w:val="20"/>
          <w:color w:val="auto"/>
        </w:rPr>
      </w:pPr>
      <w:r>
        <w:rPr>
          <w:rFonts w:ascii="Arial" w:cs="Arial" w:eastAsia="Arial" w:hAnsi="Arial"/>
          <w:sz w:val="16"/>
          <w:szCs w:val="16"/>
          <w:b w:val="1"/>
          <w:bCs w:val="1"/>
          <w:i w:val="1"/>
          <w:iCs w:val="1"/>
          <w:color w:val="1A6DBB"/>
        </w:rPr>
        <w:t>How do I vote and what are the voting deadlines?</w:t>
      </w:r>
      <w:r>
        <w:rPr>
          <w:sz w:val="20"/>
          <w:szCs w:val="20"/>
          <w:color w:val="auto"/>
        </w:rPr>
        <w:tab/>
      </w: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a stockholder of record, there are several ways for you to</w:t>
      </w:r>
      <w:r>
        <w:rPr>
          <w:rFonts w:ascii="Arial" w:cs="Arial" w:eastAsia="Arial" w:hAnsi="Arial"/>
          <w:sz w:val="16"/>
          <w:szCs w:val="16"/>
          <w:b w:val="1"/>
          <w:bCs w:val="1"/>
          <w:color w:val="1A6DBB"/>
        </w:rPr>
        <w:t xml:space="preserve"> </w:t>
      </w:r>
      <w:r>
        <w:rPr>
          <w:rFonts w:ascii="Arial" w:cs="Arial" w:eastAsia="Arial" w:hAnsi="Arial"/>
          <w:sz w:val="16"/>
          <w:szCs w:val="16"/>
          <w:color w:val="000000"/>
        </w:rPr>
        <w:t>vote your shares.</w:t>
      </w:r>
    </w:p>
    <w:p>
      <w:pPr>
        <w:spacing w:after="0" w:line="142" w:lineRule="exact"/>
        <w:rPr>
          <w:sz w:val="20"/>
          <w:szCs w:val="20"/>
          <w:color w:val="auto"/>
        </w:rPr>
      </w:pPr>
    </w:p>
    <w:p>
      <w:pPr>
        <w:ind w:left="4620" w:right="80" w:firstLine="50"/>
        <w:spacing w:after="0" w:line="256" w:lineRule="auto"/>
        <w:rPr>
          <w:sz w:val="20"/>
          <w:szCs w:val="20"/>
          <w:color w:val="auto"/>
        </w:rPr>
      </w:pPr>
      <w:r>
        <w:rPr>
          <w:rFonts w:ascii="Arial" w:cs="Arial" w:eastAsia="Arial" w:hAnsi="Arial"/>
          <w:sz w:val="16"/>
          <w:szCs w:val="16"/>
          <w:b w:val="1"/>
          <w:bCs w:val="1"/>
          <w:color w:val="7F7F7F"/>
        </w:rPr>
        <w:t xml:space="preserve">By Internet. </w:t>
      </w:r>
      <w:r>
        <w:rPr>
          <w:rFonts w:ascii="Arial" w:cs="Arial" w:eastAsia="Arial" w:hAnsi="Arial"/>
          <w:sz w:val="16"/>
          <w:szCs w:val="16"/>
          <w:color w:val="7F7F7F"/>
        </w:rPr>
        <w:t>You may vote at</w:t>
      </w:r>
      <w:r>
        <w:rPr>
          <w:rFonts w:ascii="Arial" w:cs="Arial" w:eastAsia="Arial" w:hAnsi="Arial"/>
          <w:sz w:val="16"/>
          <w:szCs w:val="16"/>
          <w:b w:val="1"/>
          <w:bCs w:val="1"/>
          <w:color w:val="7F7F7F"/>
        </w:rPr>
        <w:t xml:space="preserve"> </w:t>
      </w:r>
      <w:r>
        <w:rPr>
          <w:rFonts w:ascii="Arial" w:cs="Arial" w:eastAsia="Arial" w:hAnsi="Arial"/>
          <w:sz w:val="16"/>
          <w:szCs w:val="16"/>
          <w:b w:val="1"/>
          <w:bCs w:val="1"/>
          <w:i w:val="1"/>
          <w:iCs w:val="1"/>
          <w:u w:val="single" w:color="auto"/>
          <w:color w:val="7F7F7F"/>
        </w:rPr>
        <w:t>www.proxyvote.com</w:t>
      </w:r>
      <w:r>
        <w:rPr>
          <w:rFonts w:ascii="Arial" w:cs="Arial" w:eastAsia="Arial" w:hAnsi="Arial"/>
          <w:sz w:val="16"/>
          <w:szCs w:val="16"/>
          <w:color w:val="7F7F7F"/>
        </w:rPr>
        <w:t>, 24 hours a day, seven days a week.</w:t>
      </w:r>
      <w:r>
        <w:rPr>
          <w:rFonts w:ascii="Arial" w:cs="Arial" w:eastAsia="Arial" w:hAnsi="Arial"/>
          <w:sz w:val="16"/>
          <w:szCs w:val="16"/>
          <w:b w:val="1"/>
          <w:bCs w:val="1"/>
          <w:color w:val="7F7F7F"/>
        </w:rPr>
        <w:t xml:space="preserve"> </w:t>
      </w:r>
      <w:r>
        <w:rPr>
          <w:rFonts w:ascii="Arial" w:cs="Arial" w:eastAsia="Arial" w:hAnsi="Arial"/>
          <w:sz w:val="16"/>
          <w:szCs w:val="16"/>
          <w:color w:val="7F7F7F"/>
        </w:rPr>
        <w:t xml:space="preserve">You will need the 16-digit control number included on your Notice of Internet Availability of Proxy Materials or, if you received a printed copy of the proxy materials, on your proxy card or voting instruction form. Votes submitted through </w:t>
      </w:r>
      <w:r>
        <w:rPr>
          <w:rFonts w:ascii="Arial" w:cs="Arial" w:eastAsia="Arial" w:hAnsi="Arial"/>
          <w:sz w:val="16"/>
          <w:szCs w:val="16"/>
          <w:b w:val="1"/>
          <w:bCs w:val="1"/>
          <w:i w:val="1"/>
          <w:iCs w:val="1"/>
          <w:u w:val="single" w:color="auto"/>
          <w:color w:val="7F7F7F"/>
        </w:rPr>
        <w:t>www.proxyvote.com</w:t>
      </w:r>
      <w:r>
        <w:rPr>
          <w:rFonts w:ascii="Arial" w:cs="Arial" w:eastAsia="Arial" w:hAnsi="Arial"/>
          <w:sz w:val="16"/>
          <w:szCs w:val="16"/>
          <w:color w:val="7F7F7F"/>
        </w:rPr>
        <w:t xml:space="preserve"> must be received by 11:59 p.m. Eastern Time on June 14, 2022.</w:t>
      </w:r>
    </w:p>
    <w:p>
      <w:pPr>
        <w:spacing w:after="0" w:line="166" w:lineRule="exact"/>
        <w:rPr>
          <w:sz w:val="20"/>
          <w:szCs w:val="20"/>
          <w:color w:val="auto"/>
        </w:rPr>
      </w:pPr>
    </w:p>
    <w:p>
      <w:pPr>
        <w:ind w:left="4620" w:firstLine="50"/>
        <w:spacing w:after="0" w:line="256" w:lineRule="auto"/>
        <w:rPr>
          <w:sz w:val="20"/>
          <w:szCs w:val="20"/>
          <w:color w:val="auto"/>
        </w:rPr>
      </w:pPr>
      <w:r>
        <w:rPr>
          <w:rFonts w:ascii="Arial" w:cs="Arial" w:eastAsia="Arial" w:hAnsi="Arial"/>
          <w:sz w:val="16"/>
          <w:szCs w:val="16"/>
          <w:b w:val="1"/>
          <w:bCs w:val="1"/>
          <w:color w:val="7F7F7F"/>
        </w:rPr>
        <w:t xml:space="preserve">By Telephone. </w:t>
      </w:r>
      <w:r>
        <w:rPr>
          <w:rFonts w:ascii="Arial" w:cs="Arial" w:eastAsia="Arial" w:hAnsi="Arial"/>
          <w:sz w:val="16"/>
          <w:szCs w:val="16"/>
          <w:color w:val="7F7F7F"/>
        </w:rPr>
        <w:t>You may vote using a touch-tone telephone by calling</w:t>
      </w:r>
      <w:r>
        <w:rPr>
          <w:rFonts w:ascii="Arial" w:cs="Arial" w:eastAsia="Arial" w:hAnsi="Arial"/>
          <w:sz w:val="16"/>
          <w:szCs w:val="16"/>
          <w:b w:val="1"/>
          <w:bCs w:val="1"/>
          <w:color w:val="7F7F7F"/>
        </w:rPr>
        <w:t xml:space="preserve"> 1-800-690-6903</w:t>
      </w:r>
      <w:r>
        <w:rPr>
          <w:rFonts w:ascii="Arial" w:cs="Arial" w:eastAsia="Arial" w:hAnsi="Arial"/>
          <w:sz w:val="16"/>
          <w:szCs w:val="16"/>
          <w:color w:val="7F7F7F"/>
        </w:rPr>
        <w:t>, 24</w:t>
      </w:r>
      <w:r>
        <w:rPr>
          <w:rFonts w:ascii="Arial" w:cs="Arial" w:eastAsia="Arial" w:hAnsi="Arial"/>
          <w:sz w:val="16"/>
          <w:szCs w:val="16"/>
          <w:b w:val="1"/>
          <w:bCs w:val="1"/>
          <w:color w:val="7F7F7F"/>
        </w:rPr>
        <w:t xml:space="preserve"> </w:t>
      </w:r>
      <w:r>
        <w:rPr>
          <w:rFonts w:ascii="Arial" w:cs="Arial" w:eastAsia="Arial" w:hAnsi="Arial"/>
          <w:sz w:val="16"/>
          <w:szCs w:val="16"/>
          <w:color w:val="7F7F7F"/>
        </w:rPr>
        <w:t>hours a day, seven days a week. You will need the 16-digit control number included on your Notice of Internet Availability of Proxy Materials or, if you received a printed copy of the proxy materials, on your proxy card or voting instruction form. Votes submitted by telephone must be received by 11:59 p.m. Eastern Time on June 14, 2022.</w:t>
      </w:r>
    </w:p>
    <w:p>
      <w:pPr>
        <w:spacing w:after="0" w:line="166" w:lineRule="exact"/>
        <w:rPr>
          <w:sz w:val="20"/>
          <w:szCs w:val="20"/>
          <w:color w:val="auto"/>
        </w:rPr>
      </w:pPr>
    </w:p>
    <w:p>
      <w:pPr>
        <w:ind w:left="4620" w:right="20" w:firstLine="50"/>
        <w:spacing w:after="0" w:line="256" w:lineRule="auto"/>
        <w:rPr>
          <w:sz w:val="20"/>
          <w:szCs w:val="20"/>
          <w:color w:val="auto"/>
        </w:rPr>
      </w:pPr>
      <w:r>
        <w:rPr>
          <w:rFonts w:ascii="Arial" w:cs="Arial" w:eastAsia="Arial" w:hAnsi="Arial"/>
          <w:sz w:val="16"/>
          <w:szCs w:val="16"/>
          <w:b w:val="1"/>
          <w:bCs w:val="1"/>
          <w:color w:val="7F7F7F"/>
        </w:rPr>
        <w:t xml:space="preserve">By Mail. </w:t>
      </w:r>
      <w:r>
        <w:rPr>
          <w:rFonts w:ascii="Arial" w:cs="Arial" w:eastAsia="Arial" w:hAnsi="Arial"/>
          <w:sz w:val="16"/>
          <w:szCs w:val="16"/>
          <w:color w:val="7F7F7F"/>
        </w:rPr>
        <w:t>If you received printed proxy materials, you may submit your vote by completing,</w:t>
      </w:r>
      <w:r>
        <w:rPr>
          <w:rFonts w:ascii="Arial" w:cs="Arial" w:eastAsia="Arial" w:hAnsi="Arial"/>
          <w:sz w:val="16"/>
          <w:szCs w:val="16"/>
          <w:b w:val="1"/>
          <w:bCs w:val="1"/>
          <w:color w:val="7F7F7F"/>
        </w:rPr>
        <w:t xml:space="preserve"> </w:t>
      </w:r>
      <w:r>
        <w:rPr>
          <w:rFonts w:ascii="Arial" w:cs="Arial" w:eastAsia="Arial" w:hAnsi="Arial"/>
          <w:sz w:val="16"/>
          <w:szCs w:val="16"/>
          <w:color w:val="7F7F7F"/>
        </w:rPr>
        <w:t>signing and dating each proxy card or voting instruction form received and returning it in the prepaid envelope. Sign your name exactly as it appears on the proxy card or voting instruction form. Proxy cards or voting instruction form submitted by mail must be received no later than June 14, 2022, to be voted at the Annual Meeting.</w:t>
      </w:r>
    </w:p>
    <w:p>
      <w:pPr>
        <w:spacing w:after="0" w:line="166" w:lineRule="exact"/>
        <w:rPr>
          <w:sz w:val="20"/>
          <w:szCs w:val="20"/>
          <w:color w:val="auto"/>
        </w:rPr>
      </w:pPr>
    </w:p>
    <w:p>
      <w:pPr>
        <w:ind w:left="4620" w:right="20" w:firstLine="50"/>
        <w:spacing w:after="0" w:line="256" w:lineRule="auto"/>
        <w:rPr>
          <w:sz w:val="20"/>
          <w:szCs w:val="20"/>
          <w:color w:val="auto"/>
        </w:rPr>
      </w:pPr>
      <w:r>
        <w:rPr>
          <w:rFonts w:ascii="Arial" w:cs="Arial" w:eastAsia="Arial" w:hAnsi="Arial"/>
          <w:sz w:val="16"/>
          <w:szCs w:val="16"/>
          <w:b w:val="1"/>
          <w:bCs w:val="1"/>
          <w:color w:val="7F7F7F"/>
        </w:rPr>
        <w:t xml:space="preserve">During the Annual Meeting. </w:t>
      </w:r>
      <w:r>
        <w:rPr>
          <w:rFonts w:ascii="Arial" w:cs="Arial" w:eastAsia="Arial" w:hAnsi="Arial"/>
          <w:sz w:val="16"/>
          <w:szCs w:val="16"/>
          <w:color w:val="7F7F7F"/>
        </w:rPr>
        <w:t>You may vote during the Annual Meeting by going to</w:t>
      </w:r>
      <w:r>
        <w:rPr>
          <w:rFonts w:ascii="Arial" w:cs="Arial" w:eastAsia="Arial" w:hAnsi="Arial"/>
          <w:sz w:val="16"/>
          <w:szCs w:val="16"/>
          <w:b w:val="1"/>
          <w:bCs w:val="1"/>
          <w:color w:val="7F7F7F"/>
        </w:rPr>
        <w:t xml:space="preserve"> </w:t>
      </w:r>
      <w:r>
        <w:rPr>
          <w:rFonts w:ascii="Arial" w:cs="Arial" w:eastAsia="Arial" w:hAnsi="Arial"/>
          <w:sz w:val="16"/>
          <w:szCs w:val="16"/>
          <w:u w:val="single" w:color="auto"/>
          <w:color w:val="7F7F7F"/>
        </w:rPr>
        <w:t>www.virtualshareholdermeeting.com/BIIB2022</w:t>
      </w:r>
      <w:r>
        <w:rPr>
          <w:rFonts w:ascii="Arial" w:cs="Arial" w:eastAsia="Arial" w:hAnsi="Arial"/>
          <w:sz w:val="16"/>
          <w:szCs w:val="16"/>
          <w:color w:val="7F7F7F"/>
        </w:rPr>
        <w:t xml:space="preserve"> . You will need the 16-digit control number included on your Notice of Internet Availability of Proxy Materials or, if you received a printed copy of the proxy materials, on your proxy card or voting instruction form to be able to vote during the Annual Meeting.</w:t>
      </w:r>
    </w:p>
    <w:p>
      <w:pPr>
        <w:spacing w:after="0" w:line="85" w:lineRule="exact"/>
        <w:rPr>
          <w:sz w:val="20"/>
          <w:szCs w:val="20"/>
          <w:color w:val="auto"/>
        </w:rPr>
      </w:pPr>
    </w:p>
    <w:p>
      <w:pPr>
        <w:ind w:left="4080"/>
        <w:spacing w:after="0" w:line="263" w:lineRule="auto"/>
        <w:rPr>
          <w:sz w:val="20"/>
          <w:szCs w:val="20"/>
          <w:color w:val="auto"/>
        </w:rPr>
      </w:pPr>
      <w:r>
        <w:rPr>
          <w:rFonts w:ascii="Arial" w:cs="Arial" w:eastAsia="Arial" w:hAnsi="Arial"/>
          <w:sz w:val="16"/>
          <w:szCs w:val="16"/>
          <w:color w:val="auto"/>
        </w:rPr>
        <w:t xml:space="preserve">If you vote via the Internet or by telephone before the Annual Meeting, your electronic vote authorizes the named proxies in the same manner as if you signed, dated and returned your proxy card or voting instruction form. </w:t>
      </w:r>
      <w:r>
        <w:rPr>
          <w:rFonts w:ascii="Arial" w:cs="Arial" w:eastAsia="Arial" w:hAnsi="Arial"/>
          <w:sz w:val="16"/>
          <w:szCs w:val="16"/>
          <w:b w:val="1"/>
          <w:bCs w:val="1"/>
          <w:color w:val="auto"/>
        </w:rPr>
        <w:t>If you vote via the Internet or by telephone before the Annual</w:t>
      </w:r>
      <w:r>
        <w:rPr>
          <w:rFonts w:ascii="Arial" w:cs="Arial" w:eastAsia="Arial" w:hAnsi="Arial"/>
          <w:sz w:val="16"/>
          <w:szCs w:val="16"/>
          <w:color w:val="auto"/>
        </w:rPr>
        <w:t xml:space="preserve"> </w:t>
      </w:r>
      <w:r>
        <w:rPr>
          <w:rFonts w:ascii="Arial" w:cs="Arial" w:eastAsia="Arial" w:hAnsi="Arial"/>
          <w:sz w:val="16"/>
          <w:szCs w:val="16"/>
          <w:b w:val="1"/>
          <w:bCs w:val="1"/>
          <w:color w:val="auto"/>
        </w:rPr>
        <w:t>Meeting, do not return your proxy card.</w:t>
      </w:r>
    </w:p>
    <w:p>
      <w:pPr>
        <w:spacing w:after="0" w:line="85" w:lineRule="exact"/>
        <w:rPr>
          <w:sz w:val="20"/>
          <w:szCs w:val="20"/>
          <w:color w:val="auto"/>
        </w:rPr>
      </w:pPr>
    </w:p>
    <w:p>
      <w:pPr>
        <w:ind w:left="4080"/>
        <w:spacing w:after="0" w:line="252" w:lineRule="auto"/>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b w:val="1"/>
          <w:bCs w:val="1"/>
          <w:i w:val="1"/>
          <w:iCs w:val="1"/>
          <w:color w:val="000000"/>
        </w:rPr>
        <w:t>If your shares are held in a brokerage account in your broker’s name,</w:t>
      </w:r>
      <w:r>
        <w:rPr>
          <w:rFonts w:ascii="Arial" w:cs="Arial" w:eastAsia="Arial" w:hAnsi="Arial"/>
          <w:sz w:val="16"/>
          <w:szCs w:val="16"/>
          <w:b w:val="1"/>
          <w:bCs w:val="1"/>
          <w:color w:val="1A6DBB"/>
        </w:rPr>
        <w:t xml:space="preserve"> </w:t>
      </w:r>
      <w:r>
        <w:rPr>
          <w:rFonts w:ascii="Arial" w:cs="Arial" w:eastAsia="Arial" w:hAnsi="Arial"/>
          <w:sz w:val="16"/>
          <w:szCs w:val="16"/>
          <w:b w:val="1"/>
          <w:bCs w:val="1"/>
          <w:i w:val="1"/>
          <w:iCs w:val="1"/>
          <w:color w:val="000000"/>
        </w:rPr>
        <w:t xml:space="preserve">then you are the beneficial owner of shares held in “street name.” </w:t>
      </w:r>
      <w:r>
        <w:rPr>
          <w:rFonts w:ascii="Arial" w:cs="Arial" w:eastAsia="Arial" w:hAnsi="Arial"/>
          <w:sz w:val="16"/>
          <w:szCs w:val="16"/>
          <w:color w:val="000000"/>
        </w:rPr>
        <w:t>If you are a beneficial</w:t>
      </w:r>
      <w:r>
        <w:rPr>
          <w:rFonts w:ascii="Arial" w:cs="Arial" w:eastAsia="Arial" w:hAnsi="Arial"/>
          <w:sz w:val="16"/>
          <w:szCs w:val="16"/>
          <w:b w:val="1"/>
          <w:bCs w:val="1"/>
          <w:i w:val="1"/>
          <w:iCs w:val="1"/>
          <w:color w:val="000000"/>
        </w:rPr>
        <w:t xml:space="preserve"> </w:t>
      </w:r>
      <w:r>
        <w:rPr>
          <w:rFonts w:ascii="Arial" w:cs="Arial" w:eastAsia="Arial" w:hAnsi="Arial"/>
          <w:sz w:val="16"/>
          <w:szCs w:val="16"/>
          <w:color w:val="000000"/>
        </w:rPr>
        <w:t xml:space="preserve">owner of your shares, you should have received a Notice of Internet Availability of Proxy Materials or voting instructions from the bank, broker or other nominee holding your shares. You should follow the instructions in the Notice of Internet Availability of Proxy Materials or voting instructions provided by your bank, broker or other nominee in order to instruct your bank, broker or other nominee on how to vote your shares. The availability of telephone and Internet voting will depend on the voting process of the bank, broker or other nominee. </w:t>
      </w:r>
      <w:r>
        <w:rPr>
          <w:rFonts w:ascii="Arial" w:cs="Arial" w:eastAsia="Arial" w:hAnsi="Arial"/>
          <w:sz w:val="16"/>
          <w:szCs w:val="16"/>
          <w:b w:val="1"/>
          <w:bCs w:val="1"/>
          <w:color w:val="000000"/>
        </w:rPr>
        <w:t>Shares held beneficially may not be</w:t>
      </w:r>
      <w:r>
        <w:rPr>
          <w:rFonts w:ascii="Arial" w:cs="Arial" w:eastAsia="Arial" w:hAnsi="Arial"/>
          <w:sz w:val="16"/>
          <w:szCs w:val="16"/>
          <w:color w:val="000000"/>
        </w:rPr>
        <w:t xml:space="preserve"> </w:t>
      </w:r>
      <w:r>
        <w:rPr>
          <w:rFonts w:ascii="Arial" w:cs="Arial" w:eastAsia="Arial" w:hAnsi="Arial"/>
          <w:sz w:val="16"/>
          <w:szCs w:val="16"/>
          <w:b w:val="1"/>
          <w:bCs w:val="1"/>
          <w:color w:val="000000"/>
        </w:rPr>
        <w:t>voted during the Annual Meeting; instead a beneficial holder must instruct their bank, broker or other nominee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 </w:t>
      </w:r>
      <w:r>
        <w:rPr>
          <w:sz w:val="1"/>
          <w:szCs w:val="1"/>
          <w:color w:val="auto"/>
        </w:rPr>
        <w:drawing>
          <wp:inline distT="0" distB="0" distL="0" distR="0">
            <wp:extent cx="38735" cy="1968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5"/>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3860" w:type="dxa"/>
            <w:vAlign w:val="bottom"/>
            <w:tcBorders>
              <w:top w:val="single" w:sz="8" w:color="1A6DBB"/>
            </w:tcBorders>
          </w:tcPr>
          <w:p>
            <w:pPr>
              <w:spacing w:after="0"/>
              <w:rPr>
                <w:sz w:val="20"/>
                <w:szCs w:val="20"/>
                <w:color w:val="auto"/>
              </w:rPr>
            </w:pPr>
            <w:r>
              <w:rPr>
                <w:rFonts w:ascii="Arial" w:cs="Arial" w:eastAsia="Arial" w:hAnsi="Arial"/>
                <w:sz w:val="16"/>
                <w:szCs w:val="16"/>
                <w:b w:val="1"/>
                <w:bCs w:val="1"/>
                <w:i w:val="1"/>
                <w:iCs w:val="1"/>
                <w:color w:val="1A6DBB"/>
              </w:rPr>
              <w:t>Can I revoke or change my vote after I submit</w:t>
            </w:r>
          </w:p>
        </w:tc>
        <w:tc>
          <w:tcPr>
            <w:tcW w:w="7160" w:type="dxa"/>
            <w:vAlign w:val="bottom"/>
            <w:tcBorders>
              <w:top w:val="single" w:sz="8" w:color="1A6DBB"/>
            </w:tcBorders>
            <w:shd w:val="clear" w:color="auto" w:fill="E8F0F8"/>
          </w:tcPr>
          <w:p>
            <w:pPr>
              <w:ind w:left="100"/>
              <w:spacing w:after="0"/>
              <w:rPr>
                <w:sz w:val="20"/>
                <w:szCs w:val="20"/>
                <w:color w:val="auto"/>
              </w:rPr>
            </w:pP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a stockholder of record, you may revoke or change your vote</w:t>
            </w:r>
          </w:p>
        </w:tc>
      </w:t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i w:val="1"/>
                <w:iCs w:val="1"/>
                <w:color w:val="1A6DBB"/>
              </w:rPr>
              <w:t>my proxy?</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at any time before the final vote at the Annual Meeting by:</w:t>
            </w:r>
          </w:p>
        </w:tc>
      </w:tr>
      <w:tr>
        <w:trPr>
          <w:trHeight w:val="35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 signing and returning a new proxy card or voting instruction form with a later date, to be</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received no later than June 14, 2022;</w:t>
            </w:r>
          </w:p>
        </w:tc>
      </w:tr>
      <w:tr>
        <w:trPr>
          <w:trHeight w:val="352"/>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 submitting a later-dated vote by telephone or via the Internet — only your latest telephone or</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Internet proxy received by 11:59 p.m. Eastern Time on June 14, 2022, will be counted;</w:t>
            </w:r>
          </w:p>
        </w:tc>
      </w:tr>
      <w:tr>
        <w:trPr>
          <w:trHeight w:val="392"/>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 participating in the Annual Meeting virtually via the Internet and voting again; or</w:t>
            </w:r>
          </w:p>
        </w:tc>
      </w:tr>
      <w:tr>
        <w:trPr>
          <w:trHeight w:val="366"/>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 delivering a written revocation to our Secretary at Biogen Inc., 225 Binney Street, Cambridge,</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320"/>
              <w:spacing w:after="0"/>
              <w:rPr>
                <w:sz w:val="20"/>
                <w:szCs w:val="20"/>
                <w:color w:val="auto"/>
              </w:rPr>
            </w:pPr>
            <w:r>
              <w:rPr>
                <w:rFonts w:ascii="Arial" w:cs="Arial" w:eastAsia="Arial" w:hAnsi="Arial"/>
                <w:sz w:val="16"/>
                <w:szCs w:val="16"/>
                <w:color w:val="auto"/>
              </w:rPr>
              <w:t>Massachusetts 02142, to be received no later than June 14, 2022.</w:t>
            </w:r>
          </w:p>
        </w:tc>
      </w:tr>
      <w:tr>
        <w:trPr>
          <w:trHeight w:val="378"/>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Only your latest vote, in whatever form, will be counted.</w:t>
            </w:r>
          </w:p>
        </w:tc>
      </w:tr>
      <w:tr>
        <w:trPr>
          <w:trHeight w:val="366"/>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color w:val="000000"/>
              </w:rPr>
              <w:t>If you are a beneficial owner of your shares, you must contact the bank,</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broker or other nominee holding your shares and follow their instructions for revoking or changing</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your vote.</w:t>
            </w:r>
          </w:p>
        </w:tc>
      </w:tr>
      <w:tr>
        <w:trPr>
          <w:trHeight w:val="124"/>
        </w:trPr>
        <w:tc>
          <w:tcPr>
            <w:tcW w:w="3860" w:type="dxa"/>
            <w:vAlign w:val="bottom"/>
            <w:tcBorders>
              <w:bottom w:val="single" w:sz="8" w:color="1A6DBB"/>
            </w:tcBorders>
          </w:tcPr>
          <w:p>
            <w:pPr>
              <w:spacing w:after="0"/>
              <w:rPr>
                <w:sz w:val="10"/>
                <w:szCs w:val="10"/>
                <w:color w:val="auto"/>
              </w:rPr>
            </w:pPr>
          </w:p>
        </w:tc>
        <w:tc>
          <w:tcPr>
            <w:tcW w:w="7160" w:type="dxa"/>
            <w:vAlign w:val="bottom"/>
            <w:tcBorders>
              <w:bottom w:val="single" w:sz="8" w:color="1A6DBB"/>
            </w:tcBorders>
            <w:shd w:val="clear" w:color="auto" w:fill="E8F0F8"/>
          </w:tcPr>
          <w:p>
            <w:pPr>
              <w:spacing w:after="0"/>
              <w:rPr>
                <w:sz w:val="10"/>
                <w:szCs w:val="10"/>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6"/>
                <w:szCs w:val="16"/>
                <w:b w:val="1"/>
                <w:bCs w:val="1"/>
                <w:i w:val="1"/>
                <w:iCs w:val="1"/>
                <w:color w:val="1A6DBB"/>
              </w:rPr>
              <w:t>Will my shares be counted if I do not vote?</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the stockholder of record and you do not vote before the</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Annual Meeting by proxy card or voting instruction form, telephone or via the Internet, or during</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the Annual Meeting virtually via the Internet, your shares will not be voted at the Annual Meeting.</w:t>
            </w:r>
          </w:p>
        </w:tc>
      </w:tr>
      <w:tr>
        <w:trPr>
          <w:trHeight w:val="285"/>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color w:val="000000"/>
              </w:rPr>
              <w:t>If you are the beneficial owner of shares, your bank, broker or other nominee,</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as the record holder of the shares, is required to vote those shares in accordance with your</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instructions. If no voting instructions are provided, these record holders can vote your shares only</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on discretionary, or routine, matters and not on non-discretionary, or non-routine, matters.</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Uninstructed shares whose votes cannot be counted on non-routine matters result in what are</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commonly referred to as “broker non-votes.”</w:t>
            </w:r>
          </w:p>
        </w:tc>
      </w:tr>
      <w:tr>
        <w:trPr>
          <w:trHeight w:val="285"/>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The proposal to ratify the selection of our independent registered public accounting firm is a</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routine matter and the other proposals are non-routine matters. If you do not give your broker</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voting instructions, your broker (1) will be entitled to vote your shares on the proposal to ratify the</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selection of our independent registered public accounting firm and (2) will not be entitled to vote</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your shares on the other proposals. We urge you to provide instructions to your bank, broker or</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other nominee so that your votes may be counted on all of these important matters.</w:t>
            </w:r>
          </w:p>
        </w:tc>
      </w:tr>
      <w:tr>
        <w:trPr>
          <w:trHeight w:val="285"/>
        </w:trPr>
        <w:tc>
          <w:tcPr>
            <w:tcW w:w="3860" w:type="dxa"/>
            <w:vAlign w:val="bottom"/>
          </w:tcPr>
          <w:p>
            <w:pPr>
              <w:spacing w:after="0"/>
              <w:rPr>
                <w:sz w:val="24"/>
                <w:szCs w:val="24"/>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You should vote your shares by telephone or by Internet according to the instructions provided by</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your bank, broker or other nominee or by signing, dating and returning a printed voting instruction</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form to your bank, broker or other nominee to ensure that your shares are voted on your behalf.</w:t>
            </w:r>
          </w:p>
        </w:tc>
      </w:tr>
      <w:tr>
        <w:trPr>
          <w:trHeight w:val="123"/>
        </w:trPr>
        <w:tc>
          <w:tcPr>
            <w:tcW w:w="3860" w:type="dxa"/>
            <w:vAlign w:val="bottom"/>
            <w:tcBorders>
              <w:bottom w:val="single" w:sz="8" w:color="1A6DBB"/>
            </w:tcBorders>
          </w:tcPr>
          <w:p>
            <w:pPr>
              <w:spacing w:after="0"/>
              <w:rPr>
                <w:sz w:val="10"/>
                <w:szCs w:val="10"/>
                <w:color w:val="auto"/>
              </w:rPr>
            </w:pPr>
          </w:p>
        </w:tc>
        <w:tc>
          <w:tcPr>
            <w:tcW w:w="7160" w:type="dxa"/>
            <w:vAlign w:val="bottom"/>
            <w:tcBorders>
              <w:bottom w:val="single" w:sz="8" w:color="1A6DBB"/>
            </w:tcBorders>
            <w:shd w:val="clear" w:color="auto" w:fill="E8F0F8"/>
          </w:tcPr>
          <w:p>
            <w:pPr>
              <w:spacing w:after="0"/>
              <w:rPr>
                <w:sz w:val="10"/>
                <w:szCs w:val="10"/>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6"/>
                <w:szCs w:val="16"/>
                <w:b w:val="1"/>
                <w:bCs w:val="1"/>
                <w:i w:val="1"/>
                <w:iCs w:val="1"/>
                <w:color w:val="1A6DBB"/>
              </w:rPr>
              <w:t>How many shares must be present to hold the</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A majority of our issued and outstanding shares of common stock as of the Record Date must be</w:t>
            </w:r>
          </w:p>
        </w:tc>
      </w:tr>
      <w:tr>
        <w:trPr>
          <w:trHeight w:val="189"/>
        </w:trPr>
        <w:tc>
          <w:tcPr>
            <w:tcW w:w="3860" w:type="dxa"/>
            <w:vAlign w:val="bottom"/>
          </w:tcPr>
          <w:p>
            <w:pPr>
              <w:spacing w:after="0"/>
              <w:rPr>
                <w:sz w:val="20"/>
                <w:szCs w:val="20"/>
                <w:color w:val="auto"/>
              </w:rPr>
            </w:pPr>
            <w:r>
              <w:rPr>
                <w:rFonts w:ascii="Arial" w:cs="Arial" w:eastAsia="Arial" w:hAnsi="Arial"/>
                <w:sz w:val="16"/>
                <w:szCs w:val="16"/>
                <w:b w:val="1"/>
                <w:bCs w:val="1"/>
                <w:i w:val="1"/>
                <w:iCs w:val="1"/>
                <w:color w:val="1A6DBB"/>
              </w:rPr>
              <w:t>Annual Meeting?</w:t>
            </w: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present at the Annual Meeting to hold the Annual Meeting and conduct business. This is called a</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quorum. Shares voted in the manner described above (under the heading “How do I vote and</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what are the voting deadlines?”) will be counted as present at the Annual Meeting. Shares that are</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present and entitled to vote on one or more of the matters to be voted upon are counted as</w:t>
            </w:r>
          </w:p>
        </w:tc>
      </w:tr>
      <w:tr>
        <w:trPr>
          <w:trHeight w:val="189"/>
        </w:trPr>
        <w:tc>
          <w:tcPr>
            <w:tcW w:w="3860" w:type="dxa"/>
            <w:vAlign w:val="bottom"/>
          </w:tcPr>
          <w:p>
            <w:pPr>
              <w:spacing w:after="0"/>
              <w:rPr>
                <w:sz w:val="16"/>
                <w:szCs w:val="16"/>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present for establishing a quorum. If a quorum is not present, we expect that the Annual Meeting</w:t>
            </w:r>
          </w:p>
        </w:tc>
      </w:tr>
      <w:tr>
        <w:trPr>
          <w:trHeight w:val="215"/>
        </w:trPr>
        <w:tc>
          <w:tcPr>
            <w:tcW w:w="3860" w:type="dxa"/>
            <w:vAlign w:val="bottom"/>
          </w:tcPr>
          <w:p>
            <w:pPr>
              <w:spacing w:after="0"/>
              <w:rPr>
                <w:sz w:val="18"/>
                <w:szCs w:val="18"/>
                <w:color w:val="auto"/>
              </w:rPr>
            </w:pPr>
          </w:p>
        </w:tc>
        <w:tc>
          <w:tcPr>
            <w:tcW w:w="7160" w:type="dxa"/>
            <w:vAlign w:val="bottom"/>
            <w:shd w:val="clear" w:color="auto" w:fill="E8F0F8"/>
          </w:tcPr>
          <w:p>
            <w:pPr>
              <w:ind w:left="100"/>
              <w:spacing w:after="0"/>
              <w:rPr>
                <w:sz w:val="20"/>
                <w:szCs w:val="20"/>
                <w:color w:val="auto"/>
              </w:rPr>
            </w:pPr>
            <w:r>
              <w:rPr>
                <w:rFonts w:ascii="Arial" w:cs="Arial" w:eastAsia="Arial" w:hAnsi="Arial"/>
                <w:sz w:val="16"/>
                <w:szCs w:val="16"/>
                <w:color w:val="auto"/>
              </w:rPr>
              <w:t>will be adjourned until we obtain a quorum.</w:t>
            </w:r>
          </w:p>
        </w:tc>
      </w:tr>
      <w:tr>
        <w:trPr>
          <w:trHeight w:val="245"/>
        </w:trPr>
        <w:tc>
          <w:tcPr>
            <w:tcW w:w="3860" w:type="dxa"/>
            <w:vAlign w:val="bottom"/>
            <w:tcBorders>
              <w:bottom w:val="single" w:sz="8" w:color="1A6DBB"/>
            </w:tcBorders>
          </w:tcPr>
          <w:p>
            <w:pPr>
              <w:spacing w:after="0"/>
              <w:rPr>
                <w:sz w:val="21"/>
                <w:szCs w:val="21"/>
                <w:color w:val="auto"/>
              </w:rPr>
            </w:pPr>
          </w:p>
        </w:tc>
        <w:tc>
          <w:tcPr>
            <w:tcW w:w="7160" w:type="dxa"/>
            <w:vAlign w:val="bottom"/>
            <w:tcBorders>
              <w:bottom w:val="single" w:sz="8" w:color="1A6DBB"/>
            </w:tcBorders>
            <w:shd w:val="clear" w:color="auto" w:fill="E8F0F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-5699760</wp:posOffset>
            </wp:positionV>
            <wp:extent cx="44748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-5339715</wp:posOffset>
            </wp:positionV>
            <wp:extent cx="4474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-4971415</wp:posOffset>
            </wp:positionV>
            <wp:extent cx="44748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-4722495</wp:posOffset>
            </wp:positionV>
            <wp:extent cx="44748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-4362450</wp:posOffset>
            </wp:positionV>
            <wp:extent cx="4474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-4114165</wp:posOffset>
            </wp:positionV>
            <wp:extent cx="44748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 </w:t>
      </w:r>
      <w:r>
        <w:rPr>
          <w:sz w:val="1"/>
          <w:szCs w:val="1"/>
          <w:color w:val="auto"/>
        </w:rPr>
        <w:drawing>
          <wp:inline distT="0" distB="0" distL="0" distR="0">
            <wp:extent cx="38735" cy="1968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7"/>
          <w:szCs w:val="87"/>
          <w:color w:val="1A6DBB"/>
        </w:rPr>
        <w:t xml:space="preserve">1 </w:t>
      </w:r>
      <w:r>
        <w:rPr>
          <w:rFonts w:ascii="Arial" w:cs="Arial" w:eastAsia="Arial" w:hAnsi="Arial"/>
          <w:sz w:val="40"/>
          <w:szCs w:val="40"/>
          <w:color w:val="1A6DBB"/>
        </w:rPr>
        <w:t>General Information About the Meeting</w:t>
      </w:r>
      <w:r>
        <w:rPr>
          <w:rFonts w:ascii="Arial" w:cs="Arial" w:eastAsia="Arial" w:hAnsi="Arial"/>
          <w:sz w:val="87"/>
          <w:szCs w:val="87"/>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-617220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3282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328295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364" w:lineRule="exact"/>
        <w:rPr>
          <w:sz w:val="20"/>
          <w:szCs w:val="20"/>
          <w:color w:val="auto"/>
        </w:rPr>
      </w:pPr>
    </w:p>
    <w:p>
      <w:pPr>
        <w:jc w:val="both"/>
        <w:ind w:left="120" w:right="420"/>
        <w:spacing w:after="0" w:line="294" w:lineRule="auto"/>
        <w:rPr>
          <w:sz w:val="20"/>
          <w:szCs w:val="20"/>
          <w:color w:val="auto"/>
        </w:rPr>
      </w:pPr>
      <w:r>
        <w:rPr>
          <w:rFonts w:ascii="Arial" w:cs="Arial" w:eastAsia="Arial" w:hAnsi="Arial"/>
          <w:sz w:val="16"/>
          <w:szCs w:val="16"/>
          <w:b w:val="1"/>
          <w:bCs w:val="1"/>
          <w:i w:val="1"/>
          <w:iCs w:val="1"/>
          <w:color w:val="1A6DBB"/>
        </w:rPr>
        <w:t>What vote is required to approve each proposal and how are votes counted?</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right="20" w:hanging="214"/>
        <w:spacing w:after="0" w:line="254"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w:t>
      </w:r>
      <w:r>
        <w:rPr>
          <w:rFonts w:ascii="Arial" w:cs="Arial" w:eastAsia="Arial" w:hAnsi="Arial"/>
          <w:sz w:val="16"/>
          <w:szCs w:val="16"/>
          <w:b w:val="1"/>
          <w:bCs w:val="1"/>
          <w:i w:val="1"/>
          <w:iCs w:val="1"/>
          <w:color w:val="000000"/>
        </w:rPr>
        <w:t>Proposal 1: Election of Directors:</w:t>
      </w:r>
      <w:r>
        <w:rPr>
          <w:rFonts w:ascii="Arial" w:cs="Arial" w:eastAsia="Arial" w:hAnsi="Arial"/>
          <w:sz w:val="16"/>
          <w:szCs w:val="16"/>
          <w:color w:val="1A6DBB"/>
        </w:rPr>
        <w:t xml:space="preserve"> </w:t>
      </w:r>
      <w:r>
        <w:rPr>
          <w:rFonts w:ascii="Arial" w:cs="Arial" w:eastAsia="Arial" w:hAnsi="Arial"/>
          <w:sz w:val="16"/>
          <w:szCs w:val="16"/>
          <w:color w:val="000000"/>
        </w:rPr>
        <w:t>Directors are elected by a majority vote of the votes cast in</w:t>
      </w:r>
      <w:r>
        <w:rPr>
          <w:rFonts w:ascii="Arial" w:cs="Arial" w:eastAsia="Arial" w:hAnsi="Arial"/>
          <w:sz w:val="16"/>
          <w:szCs w:val="16"/>
          <w:color w:val="1A6DBB"/>
        </w:rPr>
        <w:t xml:space="preserve"> </w:t>
      </w:r>
      <w:r>
        <w:rPr>
          <w:rFonts w:ascii="Arial" w:cs="Arial" w:eastAsia="Arial" w:hAnsi="Arial"/>
          <w:sz w:val="16"/>
          <w:szCs w:val="16"/>
          <w:color w:val="000000"/>
        </w:rPr>
        <w:t>uncontested elections — that is, a director will be elected if more votes are cast for that director’s election than against that director — and by a plurality of votes cast in contested elections — that is, the directors receiving the highest number of “For” votes will be elected. Abstentions and broker non-votes, if any, are not counted for purposes of electing directors and will have no effect on the results of this vote.</w:t>
      </w:r>
    </w:p>
    <w:p>
      <w:pPr>
        <w:spacing w:after="0" w:line="168" w:lineRule="exact"/>
        <w:rPr>
          <w:sz w:val="20"/>
          <w:szCs w:val="20"/>
          <w:color w:val="auto"/>
        </w:rPr>
      </w:pPr>
    </w:p>
    <w:p>
      <w:pPr>
        <w:ind w:hanging="214"/>
        <w:spacing w:after="0" w:line="252"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w:t>
      </w:r>
      <w:r>
        <w:rPr>
          <w:rFonts w:ascii="Arial" w:cs="Arial" w:eastAsia="Arial" w:hAnsi="Arial"/>
          <w:sz w:val="16"/>
          <w:szCs w:val="16"/>
          <w:b w:val="1"/>
          <w:bCs w:val="1"/>
          <w:i w:val="1"/>
          <w:iCs w:val="1"/>
          <w:color w:val="000000"/>
        </w:rPr>
        <w:t>Proposal 2: Ratification of the Selection of our Independent Registered Public</w:t>
      </w:r>
      <w:r>
        <w:rPr>
          <w:rFonts w:ascii="Arial" w:cs="Arial" w:eastAsia="Arial" w:hAnsi="Arial"/>
          <w:sz w:val="16"/>
          <w:szCs w:val="16"/>
          <w:color w:val="1A6DBB"/>
        </w:rPr>
        <w:t xml:space="preserve"> </w:t>
      </w:r>
      <w:r>
        <w:rPr>
          <w:rFonts w:ascii="Arial" w:cs="Arial" w:eastAsia="Arial" w:hAnsi="Arial"/>
          <w:sz w:val="16"/>
          <w:szCs w:val="16"/>
          <w:b w:val="1"/>
          <w:bCs w:val="1"/>
          <w:i w:val="1"/>
          <w:iCs w:val="1"/>
          <w:color w:val="000000"/>
        </w:rPr>
        <w:t xml:space="preserve">Accounting Firm: </w:t>
      </w:r>
      <w:r>
        <w:rPr>
          <w:rFonts w:ascii="Arial" w:cs="Arial" w:eastAsia="Arial" w:hAnsi="Arial"/>
          <w:sz w:val="16"/>
          <w:szCs w:val="16"/>
          <w:color w:val="000000"/>
        </w:rPr>
        <w:t>The affirmative vote of a majority of shares present in person or</w:t>
      </w:r>
      <w:r>
        <w:rPr>
          <w:rFonts w:ascii="Arial" w:cs="Arial" w:eastAsia="Arial" w:hAnsi="Arial"/>
          <w:sz w:val="16"/>
          <w:szCs w:val="16"/>
          <w:b w:val="1"/>
          <w:bCs w:val="1"/>
          <w:i w:val="1"/>
          <w:iCs w:val="1"/>
          <w:color w:val="000000"/>
        </w:rPr>
        <w:t xml:space="preserve"> </w:t>
      </w:r>
      <w:r>
        <w:rPr>
          <w:rFonts w:ascii="Arial" w:cs="Arial" w:eastAsia="Arial" w:hAnsi="Arial"/>
          <w:sz w:val="16"/>
          <w:szCs w:val="16"/>
          <w:color w:val="000000"/>
        </w:rPr>
        <w:t>represented by proxy and having voting power at the Annual Meeting is required to ratify the selection of PwC as our independent registered public accounting firm for the fiscal year ending December 31, 2022. Abstentions will have the effect of votes against this proposal. Brokers generally have discretionary authority to vote on the ratification of the selection of our independent registered public accounting firm, thus we do not expect any broker non-votes on this proposal.</w:t>
      </w:r>
    </w:p>
    <w:p>
      <w:pPr>
        <w:spacing w:after="0" w:line="349" w:lineRule="exact"/>
        <w:rPr>
          <w:sz w:val="20"/>
          <w:szCs w:val="20"/>
          <w:color w:val="auto"/>
        </w:rPr>
      </w:pPr>
    </w:p>
    <w:p>
      <w:pPr>
        <w:ind w:right="20" w:hanging="214"/>
        <w:spacing w:after="0" w:line="251"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w:t>
      </w:r>
      <w:r>
        <w:rPr>
          <w:rFonts w:ascii="Arial" w:cs="Arial" w:eastAsia="Arial" w:hAnsi="Arial"/>
          <w:sz w:val="16"/>
          <w:szCs w:val="16"/>
          <w:b w:val="1"/>
          <w:bCs w:val="1"/>
          <w:i w:val="1"/>
          <w:iCs w:val="1"/>
          <w:color w:val="000000"/>
        </w:rPr>
        <w:t>Proposal 3: Advisory Vote on Executive Compensation:</w:t>
      </w:r>
      <w:r>
        <w:rPr>
          <w:rFonts w:ascii="Arial" w:cs="Arial" w:eastAsia="Arial" w:hAnsi="Arial"/>
          <w:sz w:val="16"/>
          <w:szCs w:val="16"/>
          <w:color w:val="1A6DBB"/>
        </w:rPr>
        <w:t xml:space="preserve"> </w:t>
      </w:r>
      <w:r>
        <w:rPr>
          <w:rFonts w:ascii="Arial" w:cs="Arial" w:eastAsia="Arial" w:hAnsi="Arial"/>
          <w:sz w:val="16"/>
          <w:szCs w:val="16"/>
          <w:color w:val="000000"/>
        </w:rPr>
        <w:t>Because this proposal asks for a</w:t>
      </w:r>
      <w:r>
        <w:rPr>
          <w:rFonts w:ascii="Arial" w:cs="Arial" w:eastAsia="Arial" w:hAnsi="Arial"/>
          <w:sz w:val="16"/>
          <w:szCs w:val="16"/>
          <w:color w:val="1A6DBB"/>
        </w:rPr>
        <w:t xml:space="preserve"> </w:t>
      </w:r>
      <w:r>
        <w:rPr>
          <w:rFonts w:ascii="Arial" w:cs="Arial" w:eastAsia="Arial" w:hAnsi="Arial"/>
          <w:sz w:val="16"/>
          <w:szCs w:val="16"/>
          <w:color w:val="000000"/>
        </w:rPr>
        <w:t>non-binding, advisory vote, there is no “required vote” that would constitute approval. We value the opinions expressed by our stockholders in this advisory vote, and the Compensation and Management Development Committee of our Board of Directors (sometimes referred to in this Proxy Statement as our “C&amp;MD Committee”), which is responsible for overseeing and administering our executive compensation programs, will consider the outcome of this vote when designing our compensation programs and making future compensation decisions for our named executive officers. Abstentions and broker non-votes, if any, will not have any effect on the results of those deliberations.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83820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6820"/>
          </w:cols>
          <w:pgMar w:left="320" w:top="455" w:right="559" w:bottom="1440" w:gutter="0" w:footer="0" w:header="0"/>
          <w:type w:val="continuous"/>
        </w:sectPr>
      </w:pPr>
    </w:p>
    <w:p>
      <w:pPr>
        <w:spacing w:after="0" w:line="81" w:lineRule="exact"/>
        <w:rPr>
          <w:sz w:val="20"/>
          <w:szCs w:val="20"/>
          <w:color w:val="auto"/>
        </w:rPr>
      </w:pPr>
    </w:p>
    <w:p>
      <w:pPr>
        <w:ind w:left="180"/>
        <w:spacing w:after="0"/>
        <w:rPr>
          <w:sz w:val="20"/>
          <w:szCs w:val="20"/>
          <w:color w:val="auto"/>
        </w:rPr>
      </w:pPr>
      <w:r>
        <w:rPr>
          <w:rFonts w:ascii="Arial" w:cs="Arial" w:eastAsia="Arial" w:hAnsi="Arial"/>
          <w:sz w:val="6"/>
          <w:szCs w:val="6"/>
          <w:color w:val="1A6DBB"/>
        </w:rPr>
        <w:t xml:space="preserve">5 </w:t>
      </w:r>
      <w:r>
        <w:rPr>
          <w:sz w:val="1"/>
          <w:szCs w:val="1"/>
          <w:color w:val="auto"/>
        </w:rPr>
        <w:drawing>
          <wp:inline distT="0" distB="0" distL="0" distR="0">
            <wp:extent cx="38735" cy="1968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7"/>
          <w:szCs w:val="87"/>
          <w:color w:val="1A6DBB"/>
        </w:rPr>
        <w:t xml:space="preserve">1 </w:t>
      </w:r>
      <w:r>
        <w:rPr>
          <w:rFonts w:ascii="Arial" w:cs="Arial" w:eastAsia="Arial" w:hAnsi="Arial"/>
          <w:sz w:val="40"/>
          <w:szCs w:val="40"/>
          <w:color w:val="1A6DBB"/>
        </w:rPr>
        <w:t>General Information About the Meeting</w:t>
      </w:r>
      <w:r>
        <w:rPr>
          <w:rFonts w:ascii="Arial" w:cs="Arial" w:eastAsia="Arial" w:hAnsi="Arial"/>
          <w:sz w:val="87"/>
          <w:szCs w:val="87"/>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-617220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4200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42005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91"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i w:val="1"/>
          <w:iCs w:val="1"/>
          <w:color w:val="1A6DBB"/>
        </w:rPr>
        <w:t>Are there other matters to be voted on at the Annual Meeting?</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do not know of any other matters that may come before the Annual Meeting. If any other matters are properly presented at the Annual Meeting, your proxy authorizes the individuals named as proxies to vote, or otherwise act, in accordance with their best judgment.</w:t>
      </w:r>
    </w:p>
    <w:p>
      <w:pPr>
        <w:spacing w:after="0" w:line="200" w:lineRule="exact"/>
        <w:rPr>
          <w:sz w:val="20"/>
          <w:szCs w:val="20"/>
          <w:color w:val="auto"/>
        </w:rPr>
      </w:pPr>
    </w:p>
    <w:p>
      <w:pPr>
        <w:sectPr>
          <w:pgSz w:w="11900" w:h="16838" w:orient="portrait"/>
          <w:cols w:equalWidth="0" w:num="2">
            <w:col w:w="3540" w:space="460"/>
            <w:col w:w="7140"/>
          </w:cols>
          <w:pgMar w:left="320" w:top="455" w:right="439" w:bottom="1440" w:gutter="0" w:footer="0" w:header="0"/>
          <w:type w:val="continuous"/>
        </w:sectPr>
      </w:pPr>
    </w:p>
    <w:p>
      <w:pPr>
        <w:spacing w:after="0" w:line="54" w:lineRule="exact"/>
        <w:rPr>
          <w:sz w:val="20"/>
          <w:szCs w:val="20"/>
          <w:color w:val="auto"/>
        </w:rPr>
      </w:pPr>
    </w:p>
    <w:p>
      <w:pPr>
        <w:ind w:left="120"/>
        <w:spacing w:after="0" w:line="262" w:lineRule="auto"/>
        <w:rPr>
          <w:sz w:val="20"/>
          <w:szCs w:val="20"/>
          <w:color w:val="auto"/>
        </w:rPr>
      </w:pPr>
      <w:r>
        <w:rPr>
          <w:rFonts w:ascii="Arial" w:cs="Arial" w:eastAsia="Arial" w:hAnsi="Arial"/>
          <w:sz w:val="16"/>
          <w:szCs w:val="16"/>
          <w:b w:val="1"/>
          <w:bCs w:val="1"/>
          <w:i w:val="1"/>
          <w:iCs w:val="1"/>
          <w:color w:val="1A6DBB"/>
        </w:rPr>
        <w:t>Why did I receive a one-page notice in the mail regarding the Internet availability of proxy materials instead of a full set of proxy materials?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have elected to provide access to our proxy materials on the Internet, consistent with the rules of the SEC. Accordingly, in most instances we are mailing a Notice of Internet Availability of Proxy Materials to our stockholders. You can access our proxy materials on the website referred to in the Notice of Internet Availability of Proxy Materials or you may request printed versions of our proxy materials for the Annual Meeting. In addition, you may request to receive proxy materials in printed form by mail or electronically by email on an ongoing basis.</w:t>
      </w:r>
    </w:p>
    <w:p>
      <w:pPr>
        <w:spacing w:after="0" w:line="128" w:lineRule="exact"/>
        <w:rPr>
          <w:sz w:val="20"/>
          <w:szCs w:val="20"/>
          <w:color w:val="auto"/>
        </w:rPr>
      </w:pPr>
    </w:p>
    <w:p>
      <w:pPr>
        <w:sectPr>
          <w:pgSz w:w="11900" w:h="16838" w:orient="portrait"/>
          <w:cols w:equalWidth="0" w:num="2">
            <w:col w:w="3700" w:space="300"/>
            <w:col w:w="71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1A6DBB"/>
              </w:rPr>
              <w:t>What does it mean if I receive more than one</w:t>
            </w:r>
          </w:p>
        </w:tc>
        <w:tc>
          <w:tcPr>
            <w:tcW w:w="7360" w:type="dxa"/>
            <w:vAlign w:val="bottom"/>
          </w:tcPr>
          <w:p>
            <w:pPr>
              <w:ind w:left="220"/>
              <w:spacing w:after="0"/>
              <w:rPr>
                <w:sz w:val="20"/>
                <w:szCs w:val="20"/>
                <w:color w:val="auto"/>
              </w:rPr>
            </w:pPr>
            <w:r>
              <w:rPr>
                <w:rFonts w:ascii="Arial" w:cs="Arial" w:eastAsia="Arial" w:hAnsi="Arial"/>
                <w:sz w:val="16"/>
                <w:szCs w:val="16"/>
                <w:color w:val="auto"/>
              </w:rPr>
              <w:t>If you hold your shares in more than one account, you may receive a separate Notice of Internet</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1A6DBB"/>
              </w:rPr>
              <w:t>notice regarding the Internet availability of</w:t>
            </w:r>
          </w:p>
        </w:tc>
        <w:tc>
          <w:tcPr>
            <w:tcW w:w="7360" w:type="dxa"/>
            <w:vAlign w:val="bottom"/>
          </w:tcPr>
          <w:p>
            <w:pPr>
              <w:ind w:left="220"/>
              <w:spacing w:after="0"/>
              <w:rPr>
                <w:sz w:val="20"/>
                <w:szCs w:val="20"/>
                <w:color w:val="auto"/>
              </w:rPr>
            </w:pPr>
            <w:r>
              <w:rPr>
                <w:rFonts w:ascii="Arial" w:cs="Arial" w:eastAsia="Arial" w:hAnsi="Arial"/>
                <w:sz w:val="16"/>
                <w:szCs w:val="16"/>
                <w:color w:val="auto"/>
              </w:rPr>
              <w:t>Availability of Proxy Materials or a separate set of printed proxy materials, including a separate</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1A6DBB"/>
              </w:rPr>
              <w:t>proxy materials or more than one set of</w:t>
            </w:r>
          </w:p>
        </w:tc>
        <w:tc>
          <w:tcPr>
            <w:tcW w:w="7360" w:type="dxa"/>
            <w:vAlign w:val="bottom"/>
          </w:tcPr>
          <w:p>
            <w:pPr>
              <w:ind w:left="220"/>
              <w:spacing w:after="0"/>
              <w:rPr>
                <w:sz w:val="20"/>
                <w:szCs w:val="20"/>
                <w:color w:val="auto"/>
              </w:rPr>
            </w:pPr>
            <w:r>
              <w:rPr>
                <w:rFonts w:ascii="Arial" w:cs="Arial" w:eastAsia="Arial" w:hAnsi="Arial"/>
                <w:sz w:val="16"/>
                <w:szCs w:val="16"/>
                <w:color w:val="auto"/>
              </w:rPr>
              <w:t>proxy card or voting instruction form, for each account. To ensure that all of your shares are voted,</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1A6DBB"/>
              </w:rPr>
              <w:t>printed proxy materials?</w:t>
            </w:r>
          </w:p>
        </w:tc>
        <w:tc>
          <w:tcPr>
            <w:tcW w:w="7360" w:type="dxa"/>
            <w:vAlign w:val="bottom"/>
          </w:tcPr>
          <w:p>
            <w:pPr>
              <w:ind w:left="220"/>
              <w:spacing w:after="0"/>
              <w:rPr>
                <w:sz w:val="20"/>
                <w:szCs w:val="20"/>
                <w:color w:val="auto"/>
              </w:rPr>
            </w:pPr>
            <w:r>
              <w:rPr>
                <w:rFonts w:ascii="Arial" w:cs="Arial" w:eastAsia="Arial" w:hAnsi="Arial"/>
                <w:sz w:val="16"/>
                <w:szCs w:val="16"/>
                <w:color w:val="auto"/>
              </w:rPr>
              <w:t>please vote by telephone or by Internet or sign, date and return a proxy card or voting instruction</w:t>
            </w:r>
          </w:p>
        </w:tc>
      </w:tr>
      <w:tr>
        <w:trPr>
          <w:trHeight w:val="215"/>
        </w:trPr>
        <w:tc>
          <w:tcPr>
            <w:tcW w:w="3660" w:type="dxa"/>
            <w:vAlign w:val="bottom"/>
          </w:tcPr>
          <w:p>
            <w:pPr>
              <w:spacing w:after="0"/>
              <w:rPr>
                <w:sz w:val="18"/>
                <w:szCs w:val="18"/>
                <w:color w:val="auto"/>
              </w:rPr>
            </w:pPr>
          </w:p>
        </w:tc>
        <w:tc>
          <w:tcPr>
            <w:tcW w:w="7360" w:type="dxa"/>
            <w:vAlign w:val="bottom"/>
          </w:tcPr>
          <w:p>
            <w:pPr>
              <w:ind w:left="220"/>
              <w:spacing w:after="0"/>
              <w:rPr>
                <w:sz w:val="20"/>
                <w:szCs w:val="20"/>
                <w:color w:val="auto"/>
              </w:rPr>
            </w:pPr>
            <w:r>
              <w:rPr>
                <w:rFonts w:ascii="Arial" w:cs="Arial" w:eastAsia="Arial" w:hAnsi="Arial"/>
                <w:sz w:val="16"/>
                <w:szCs w:val="16"/>
                <w:color w:val="auto"/>
              </w:rPr>
              <w:t>form for each account.</w:t>
            </w:r>
          </w:p>
        </w:tc>
      </w:tr>
      <w:tr>
        <w:trPr>
          <w:trHeight w:val="70"/>
        </w:trPr>
        <w:tc>
          <w:tcPr>
            <w:tcW w:w="3660" w:type="dxa"/>
            <w:vAlign w:val="bottom"/>
            <w:tcBorders>
              <w:bottom w:val="single" w:sz="8" w:color="1A6DBB"/>
            </w:tcBorders>
          </w:tcPr>
          <w:p>
            <w:pPr>
              <w:spacing w:after="0"/>
              <w:rPr>
                <w:sz w:val="6"/>
                <w:szCs w:val="6"/>
                <w:color w:val="auto"/>
              </w:rPr>
            </w:pPr>
          </w:p>
        </w:tc>
        <w:tc>
          <w:tcPr>
            <w:tcW w:w="7360" w:type="dxa"/>
            <w:vAlign w:val="bottom"/>
            <w:tcBorders>
              <w:bottom w:val="single" w:sz="8" w:color="1A6DBB"/>
            </w:tcBorders>
          </w:tcPr>
          <w:p>
            <w:pPr>
              <w:spacing w:after="0"/>
              <w:rPr>
                <w:sz w:val="6"/>
                <w:szCs w:val="6"/>
                <w:color w:val="auto"/>
              </w:rPr>
            </w:pPr>
          </w:p>
        </w:tc>
      </w:tr>
      <w:tr>
        <w:trPr>
          <w:trHeight w:val="236"/>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1A6DBB"/>
              </w:rPr>
              <w:t>Where do I find the voting results of the</w:t>
            </w:r>
          </w:p>
        </w:tc>
        <w:tc>
          <w:tcPr>
            <w:tcW w:w="7360" w:type="dxa"/>
            <w:vAlign w:val="bottom"/>
          </w:tcPr>
          <w:p>
            <w:pPr>
              <w:ind w:left="220"/>
              <w:spacing w:after="0"/>
              <w:rPr>
                <w:sz w:val="20"/>
                <w:szCs w:val="20"/>
                <w:color w:val="auto"/>
              </w:rPr>
            </w:pPr>
            <w:r>
              <w:rPr>
                <w:rFonts w:ascii="Arial" w:cs="Arial" w:eastAsia="Arial" w:hAnsi="Arial"/>
                <w:sz w:val="16"/>
                <w:szCs w:val="16"/>
                <w:color w:val="auto"/>
              </w:rPr>
              <w:t>We will publish the voting results of the Annual Meeting in a Current Report on Form 8-K filed with</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1A6DBB"/>
              </w:rPr>
              <w:t>Annual Meeting?</w:t>
            </w:r>
          </w:p>
        </w:tc>
        <w:tc>
          <w:tcPr>
            <w:tcW w:w="7360" w:type="dxa"/>
            <w:vAlign w:val="bottom"/>
          </w:tcPr>
          <w:p>
            <w:pPr>
              <w:ind w:left="220"/>
              <w:spacing w:after="0"/>
              <w:rPr>
                <w:sz w:val="20"/>
                <w:szCs w:val="20"/>
                <w:color w:val="auto"/>
              </w:rPr>
            </w:pPr>
            <w:r>
              <w:rPr>
                <w:rFonts w:ascii="Arial" w:cs="Arial" w:eastAsia="Arial" w:hAnsi="Arial"/>
                <w:sz w:val="16"/>
                <w:szCs w:val="16"/>
                <w:color w:val="auto"/>
              </w:rPr>
              <w:t>the SEC within four business days after the end of the Annual Meeting. You may request a copy of</w:t>
            </w:r>
          </w:p>
        </w:tc>
      </w:tr>
      <w:tr>
        <w:trPr>
          <w:trHeight w:val="189"/>
        </w:trPr>
        <w:tc>
          <w:tcPr>
            <w:tcW w:w="3660" w:type="dxa"/>
            <w:vAlign w:val="bottom"/>
          </w:tcPr>
          <w:p>
            <w:pPr>
              <w:spacing w:after="0"/>
              <w:rPr>
                <w:sz w:val="16"/>
                <w:szCs w:val="16"/>
                <w:color w:val="auto"/>
              </w:rPr>
            </w:pPr>
          </w:p>
        </w:tc>
        <w:tc>
          <w:tcPr>
            <w:tcW w:w="7360" w:type="dxa"/>
            <w:vAlign w:val="bottom"/>
          </w:tcPr>
          <w:p>
            <w:pPr>
              <w:ind w:left="220"/>
              <w:spacing w:after="0"/>
              <w:rPr>
                <w:sz w:val="20"/>
                <w:szCs w:val="20"/>
                <w:color w:val="auto"/>
              </w:rPr>
            </w:pPr>
            <w:r>
              <w:rPr>
                <w:rFonts w:ascii="Arial" w:cs="Arial" w:eastAsia="Arial" w:hAnsi="Arial"/>
                <w:sz w:val="16"/>
                <w:szCs w:val="16"/>
                <w:color w:val="auto"/>
              </w:rPr>
              <w:t>this Form 8-K by contacting Investor Relations, Biogen Inc., 225 Binney Street, Cambridge,</w:t>
            </w:r>
          </w:p>
        </w:tc>
      </w:tr>
      <w:tr>
        <w:trPr>
          <w:trHeight w:val="189"/>
        </w:trPr>
        <w:tc>
          <w:tcPr>
            <w:tcW w:w="3660" w:type="dxa"/>
            <w:vAlign w:val="bottom"/>
          </w:tcPr>
          <w:p>
            <w:pPr>
              <w:spacing w:after="0"/>
              <w:rPr>
                <w:sz w:val="16"/>
                <w:szCs w:val="16"/>
                <w:color w:val="auto"/>
              </w:rPr>
            </w:pPr>
          </w:p>
        </w:tc>
        <w:tc>
          <w:tcPr>
            <w:tcW w:w="7360" w:type="dxa"/>
            <w:vAlign w:val="bottom"/>
          </w:tcPr>
          <w:p>
            <w:pPr>
              <w:ind w:left="220"/>
              <w:spacing w:after="0"/>
              <w:rPr>
                <w:sz w:val="20"/>
                <w:szCs w:val="20"/>
                <w:color w:val="auto"/>
              </w:rPr>
            </w:pPr>
            <w:r>
              <w:rPr>
                <w:rFonts w:ascii="Arial" w:cs="Arial" w:eastAsia="Arial" w:hAnsi="Arial"/>
                <w:sz w:val="16"/>
                <w:szCs w:val="16"/>
                <w:color w:val="auto"/>
              </w:rPr>
              <w:t>Massachusetts 02142, (781) 464-2442. You will also be able to find a copy of this Form 8-K on the</w:t>
            </w:r>
          </w:p>
        </w:tc>
      </w:tr>
      <w:tr>
        <w:trPr>
          <w:trHeight w:val="189"/>
        </w:trPr>
        <w:tc>
          <w:tcPr>
            <w:tcW w:w="3660" w:type="dxa"/>
            <w:vAlign w:val="bottom"/>
          </w:tcPr>
          <w:p>
            <w:pPr>
              <w:spacing w:after="0"/>
              <w:rPr>
                <w:sz w:val="16"/>
                <w:szCs w:val="16"/>
                <w:color w:val="auto"/>
              </w:rPr>
            </w:pPr>
          </w:p>
        </w:tc>
        <w:tc>
          <w:tcPr>
            <w:tcW w:w="7360" w:type="dxa"/>
            <w:vAlign w:val="bottom"/>
          </w:tcPr>
          <w:p>
            <w:pPr>
              <w:ind w:left="220"/>
              <w:spacing w:after="0"/>
              <w:rPr>
                <w:sz w:val="20"/>
                <w:szCs w:val="20"/>
                <w:color w:val="auto"/>
              </w:rPr>
            </w:pPr>
            <w:r>
              <w:rPr>
                <w:rFonts w:ascii="Arial" w:cs="Arial" w:eastAsia="Arial" w:hAnsi="Arial"/>
                <w:sz w:val="16"/>
                <w:szCs w:val="16"/>
                <w:color w:val="auto"/>
              </w:rPr>
              <w:t xml:space="preserve">Internet through the SEC’s electronic data system, called EDGAR,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on our</w:t>
            </w:r>
          </w:p>
        </w:tc>
      </w:tr>
      <w:tr>
        <w:trPr>
          <w:trHeight w:val="189"/>
        </w:trPr>
        <w:tc>
          <w:tcPr>
            <w:tcW w:w="3660" w:type="dxa"/>
            <w:vAlign w:val="bottom"/>
          </w:tcPr>
          <w:p>
            <w:pPr>
              <w:spacing w:after="0"/>
              <w:rPr>
                <w:sz w:val="16"/>
                <w:szCs w:val="16"/>
                <w:color w:val="auto"/>
              </w:rPr>
            </w:pPr>
          </w:p>
        </w:tc>
        <w:tc>
          <w:tcPr>
            <w:tcW w:w="7360" w:type="dxa"/>
            <w:vAlign w:val="bottom"/>
          </w:tcPr>
          <w:p>
            <w:pPr>
              <w:ind w:left="220"/>
              <w:spacing w:after="0"/>
              <w:rPr>
                <w:sz w:val="20"/>
                <w:szCs w:val="20"/>
                <w:color w:val="auto"/>
              </w:rPr>
            </w:pPr>
            <w:r>
              <w:rPr>
                <w:rFonts w:ascii="Arial" w:cs="Arial" w:eastAsia="Arial" w:hAnsi="Arial"/>
                <w:sz w:val="16"/>
                <w:szCs w:val="16"/>
                <w:color w:val="auto"/>
              </w:rPr>
              <w:t xml:space="preserve">website, </w:t>
            </w:r>
            <w:r>
              <w:rPr>
                <w:rFonts w:ascii="Arial" w:cs="Arial" w:eastAsia="Arial" w:hAnsi="Arial"/>
                <w:sz w:val="16"/>
                <w:szCs w:val="16"/>
                <w:i w:val="1"/>
                <w:iCs w:val="1"/>
                <w:color w:val="auto"/>
              </w:rPr>
              <w:t>www.biogen.com,</w:t>
            </w:r>
            <w:r>
              <w:rPr>
                <w:rFonts w:ascii="Arial" w:cs="Arial" w:eastAsia="Arial" w:hAnsi="Arial"/>
                <w:sz w:val="16"/>
                <w:szCs w:val="16"/>
                <w:color w:val="auto"/>
              </w:rPr>
              <w:t xml:space="preserve"> under the “Financials” subsection of the “Investors” section of the</w:t>
            </w:r>
          </w:p>
        </w:tc>
      </w:tr>
      <w:tr>
        <w:trPr>
          <w:trHeight w:val="215"/>
        </w:trPr>
        <w:tc>
          <w:tcPr>
            <w:tcW w:w="3660" w:type="dxa"/>
            <w:vAlign w:val="bottom"/>
          </w:tcPr>
          <w:p>
            <w:pPr>
              <w:spacing w:after="0"/>
              <w:rPr>
                <w:sz w:val="18"/>
                <w:szCs w:val="18"/>
                <w:color w:val="auto"/>
              </w:rPr>
            </w:pPr>
          </w:p>
        </w:tc>
        <w:tc>
          <w:tcPr>
            <w:tcW w:w="7360" w:type="dxa"/>
            <w:vAlign w:val="bottom"/>
          </w:tcPr>
          <w:p>
            <w:pPr>
              <w:ind w:left="220"/>
              <w:spacing w:after="0"/>
              <w:rPr>
                <w:sz w:val="20"/>
                <w:szCs w:val="20"/>
                <w:color w:val="auto"/>
              </w:rPr>
            </w:pPr>
            <w:r>
              <w:rPr>
                <w:rFonts w:ascii="Arial" w:cs="Arial" w:eastAsia="Arial" w:hAnsi="Arial"/>
                <w:sz w:val="16"/>
                <w:szCs w:val="16"/>
                <w:color w:val="auto"/>
              </w:rPr>
              <w:t>website</w:t>
            </w:r>
            <w:r>
              <w:rPr>
                <w:rFonts w:ascii="Arial" w:cs="Arial" w:eastAsia="Arial" w:hAnsi="Arial"/>
                <w:sz w:val="16"/>
                <w:szCs w:val="16"/>
                <w:i w:val="1"/>
                <w:iCs w:val="1"/>
                <w:color w:val="auto"/>
              </w:rPr>
              <w:t>.</w:t>
            </w:r>
          </w:p>
        </w:tc>
      </w:tr>
    </w:tbl>
    <w:p>
      <w:pPr>
        <w:spacing w:after="0" w:line="136"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Who should I call if I have any questions?</w:t>
      </w:r>
    </w:p>
    <w:p>
      <w:pPr>
        <w:spacing w:after="0" w:line="20" w:lineRule="exact"/>
        <w:rPr>
          <w:sz w:val="20"/>
          <w:szCs w:val="20"/>
          <w:color w:val="auto"/>
        </w:rPr>
      </w:pPr>
      <w:r>
        <w:rPr>
          <w:sz w:val="20"/>
          <w:szCs w:val="20"/>
          <w:color w:val="auto"/>
        </w:rPr>
        <w:br w:type="column"/>
      </w:r>
    </w:p>
    <w:p>
      <w:pPr>
        <w:ind w:right="340"/>
        <w:spacing w:after="0" w:line="266" w:lineRule="auto"/>
        <w:rPr>
          <w:sz w:val="20"/>
          <w:szCs w:val="20"/>
          <w:color w:val="auto"/>
        </w:rPr>
      </w:pPr>
      <w:r>
        <w:rPr>
          <w:rFonts w:ascii="Arial" w:cs="Arial" w:eastAsia="Arial" w:hAnsi="Arial"/>
          <w:sz w:val="16"/>
          <w:szCs w:val="16"/>
          <w:color w:val="auto"/>
        </w:rPr>
        <w:t>If you have any questions or require any assistance with voting your shares, please contact the bank, broker or other nominee holding your shares, or our Investor Relations department at (781) 464-2442.</w:t>
      </w:r>
    </w:p>
    <w:p>
      <w:pPr>
        <w:spacing w:after="0" w:line="117" w:lineRule="exact"/>
        <w:rPr>
          <w:sz w:val="20"/>
          <w:szCs w:val="20"/>
          <w:color w:val="auto"/>
        </w:rPr>
      </w:pPr>
    </w:p>
    <w:p>
      <w:pPr>
        <w:sectPr>
          <w:pgSz w:w="11900" w:h="16838" w:orient="portrait"/>
          <w:cols w:equalWidth="0" w:num="2">
            <w:col w:w="3340" w:space="660"/>
            <w:col w:w="7140"/>
          </w:cols>
          <w:pgMar w:left="320" w:top="455" w:right="439" w:bottom="1440" w:gutter="0" w:footer="0" w:header="0"/>
          <w:type w:val="continuous"/>
        </w:sectPr>
      </w:pPr>
    </w:p>
    <w:p>
      <w:pPr>
        <w:spacing w:after="0" w:line="2" w:lineRule="exact"/>
        <w:rPr>
          <w:sz w:val="20"/>
          <w:szCs w:val="20"/>
          <w:color w:val="auto"/>
        </w:rPr>
      </w:pPr>
    </w:p>
    <w:p>
      <w:pPr>
        <w:jc w:val="both"/>
        <w:ind w:left="120"/>
        <w:spacing w:after="0" w:line="270" w:lineRule="auto"/>
        <w:rPr>
          <w:sz w:val="20"/>
          <w:szCs w:val="20"/>
          <w:color w:val="auto"/>
        </w:rPr>
      </w:pPr>
      <w:r>
        <w:rPr>
          <w:rFonts w:ascii="Arial" w:cs="Arial" w:eastAsia="Arial" w:hAnsi="Arial"/>
          <w:sz w:val="16"/>
          <w:szCs w:val="16"/>
          <w:b w:val="1"/>
          <w:bCs w:val="1"/>
          <w:i w:val="1"/>
          <w:iCs w:val="1"/>
          <w:color w:val="1A6DBB"/>
        </w:rPr>
        <w:t>Who do I contact if I experience technical difficulties trying to access or during the Annual Meeting?</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6"/>
          <w:szCs w:val="16"/>
          <w:color w:val="auto"/>
        </w:rPr>
        <w:t>If you have technical difficulties when accessing the Annual Meeting, there will be technicians available to assist you. If you encounter any technical difficulties accessing the virtual meeting during the check-in or meeting time, please call the technical support number that will be posted on the Annual Meeting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44450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00"/>
            <w:col w:w="7140"/>
          </w:cols>
          <w:pgMar w:left="320" w:top="455" w:right="439"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Arial" w:cs="Arial" w:eastAsia="Arial" w:hAnsi="Arial"/>
          <w:sz w:val="6"/>
          <w:szCs w:val="6"/>
          <w:color w:val="1A6DBB"/>
        </w:rPr>
        <w:t xml:space="preserve">6 </w:t>
      </w:r>
      <w:r>
        <w:rPr>
          <w:sz w:val="1"/>
          <w:szCs w:val="1"/>
          <w:color w:val="auto"/>
        </w:rPr>
        <w:drawing>
          <wp:inline distT="0" distB="0" distL="0" distR="0">
            <wp:extent cx="38735" cy="1968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8"/>
          <w:szCs w:val="88"/>
          <w:color w:val="1A6DBB"/>
        </w:rPr>
        <w:t xml:space="preserve">2 </w:t>
      </w:r>
      <w:r>
        <w:rPr>
          <w:rFonts w:ascii="Arial" w:cs="Arial" w:eastAsia="Arial" w:hAnsi="Arial"/>
          <w:sz w:val="40"/>
          <w:szCs w:val="40"/>
          <w:color w:val="1A6DBB"/>
        </w:rPr>
        <w:t>Corporate Governance at Biogen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-624840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Corporate Governance Practices</w:t>
      </w:r>
    </w:p>
    <w:p>
      <w:pPr>
        <w:spacing w:after="0" w:line="10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are committed to the highest standards of ethics, business integrity and corporate governance, which we believe will ensure that our company is managed for the long-term benefit of our stockholders. Our governance practices are designed to establish and preserve accountability of our Board of Directors and management, provide a structure that allows our Board of Directors to set objectives and monitor performance, ensure the efficient use and accountability of resources and enhance stockholder value. A description of our corporate governance highlights is set forth in the “Proxy Statement Summary” above.</w:t>
      </w:r>
    </w:p>
    <w:p>
      <w:pPr>
        <w:spacing w:after="0" w:line="77"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We believe that our Board of Directors’ primary functions are to appoint, evaluate and hold accountable management, oversee key strategic, operational and compliance risks and ensure optimal capital allocation such that long-term stockholder value is maximized.</w:t>
      </w:r>
    </w:p>
    <w:p>
      <w:pPr>
        <w:spacing w:after="0" w:line="70" w:lineRule="exact"/>
        <w:rPr>
          <w:sz w:val="20"/>
          <w:szCs w:val="20"/>
          <w:color w:val="auto"/>
        </w:rPr>
      </w:pPr>
    </w:p>
    <w:p>
      <w:pPr>
        <w:ind w:left="120" w:right="300"/>
        <w:spacing w:after="0" w:line="254" w:lineRule="auto"/>
        <w:rPr>
          <w:sz w:val="20"/>
          <w:szCs w:val="20"/>
          <w:color w:val="auto"/>
        </w:rPr>
      </w:pPr>
      <w:r>
        <w:rPr>
          <w:rFonts w:ascii="Arial" w:cs="Arial" w:eastAsia="Arial" w:hAnsi="Arial"/>
          <w:sz w:val="16"/>
          <w:szCs w:val="16"/>
          <w:color w:val="auto"/>
        </w:rPr>
        <w:t>We believe part of effective corporate governance includes active engagement with our stockholders. We value the views of our stockholders and other stakeholders, and we communicate with them regularly and solicit input on a number of topics such as business strategy, capital allocation, corporate governance, executive compensation and our ESG initiatives.</w:t>
      </w:r>
    </w:p>
    <w:p>
      <w:pPr>
        <w:spacing w:after="0" w:line="87" w:lineRule="exact"/>
        <w:rPr>
          <w:sz w:val="20"/>
          <w:szCs w:val="20"/>
          <w:color w:val="auto"/>
        </w:rPr>
      </w:pPr>
    </w:p>
    <w:p>
      <w:pPr>
        <w:ind w:left="380" w:right="20" w:hanging="264"/>
        <w:spacing w:after="0" w:line="250" w:lineRule="auto"/>
        <w:tabs>
          <w:tab w:leader="none" w:pos="380" w:val="left"/>
        </w:tabs>
        <w:numPr>
          <w:ilvl w:val="0"/>
          <w:numId w:val="16"/>
        </w:numPr>
        <w:rPr>
          <w:rFonts w:ascii="Arial" w:cs="Arial" w:eastAsia="Arial" w:hAnsi="Arial"/>
          <w:sz w:val="16"/>
          <w:szCs w:val="16"/>
          <w:color w:val="1A6DBB"/>
        </w:rPr>
      </w:pPr>
      <w:r>
        <w:rPr>
          <w:rFonts w:ascii="Arial" w:cs="Arial" w:eastAsia="Arial" w:hAnsi="Arial"/>
          <w:sz w:val="16"/>
          <w:szCs w:val="16"/>
          <w:i w:val="1"/>
          <w:iCs w:val="1"/>
          <w:color w:val="427F3D"/>
        </w:rPr>
        <w:t xml:space="preserve">Director Stockholder Engagement Initiative. </w:t>
      </w:r>
      <w:r>
        <w:rPr>
          <w:rFonts w:ascii="Arial" w:cs="Arial" w:eastAsia="Arial" w:hAnsi="Arial"/>
          <w:sz w:val="16"/>
          <w:szCs w:val="16"/>
          <w:color w:val="000000"/>
        </w:rPr>
        <w:t>Our Corporate</w:t>
      </w:r>
      <w:r>
        <w:rPr>
          <w:rFonts w:ascii="Arial" w:cs="Arial" w:eastAsia="Arial" w:hAnsi="Arial"/>
          <w:sz w:val="16"/>
          <w:szCs w:val="16"/>
          <w:i w:val="1"/>
          <w:iCs w:val="1"/>
          <w:color w:val="427F3D"/>
        </w:rPr>
        <w:t xml:space="preserve"> </w:t>
      </w:r>
      <w:r>
        <w:rPr>
          <w:rFonts w:ascii="Arial" w:cs="Arial" w:eastAsia="Arial" w:hAnsi="Arial"/>
          <w:sz w:val="16"/>
          <w:szCs w:val="16"/>
          <w:color w:val="000000"/>
        </w:rPr>
        <w:t>Governance Committee leads our Board of Directors’ efforts on director stockholder engagement and directs discussions with stockholders to the appropriate Board and committee members. During 2021 independent members of our Board of Directors met with several stockholders to discuss a variety of issues, including business strategy, capital allocation, corporate governance, executive compensation and our ESG initiatives. We remain committed to investing time with our stockholders to increase transparency and better understand our stockholder base and their perspectives.</w:t>
      </w:r>
    </w:p>
    <w:p>
      <w:pPr>
        <w:spacing w:after="0" w:line="94" w:lineRule="exact"/>
        <w:rPr>
          <w:rFonts w:ascii="Arial" w:cs="Arial" w:eastAsia="Arial" w:hAnsi="Arial"/>
          <w:sz w:val="16"/>
          <w:szCs w:val="16"/>
          <w:color w:val="1A6DBB"/>
        </w:rPr>
      </w:pPr>
    </w:p>
    <w:p>
      <w:pPr>
        <w:ind w:left="380" w:right="100" w:hanging="264"/>
        <w:spacing w:after="0" w:line="250" w:lineRule="auto"/>
        <w:tabs>
          <w:tab w:leader="none" w:pos="380" w:val="left"/>
        </w:tabs>
        <w:numPr>
          <w:ilvl w:val="0"/>
          <w:numId w:val="16"/>
        </w:numPr>
        <w:rPr>
          <w:rFonts w:ascii="Arial" w:cs="Arial" w:eastAsia="Arial" w:hAnsi="Arial"/>
          <w:sz w:val="16"/>
          <w:szCs w:val="16"/>
          <w:color w:val="1A6DBB"/>
        </w:rPr>
      </w:pPr>
      <w:r>
        <w:rPr>
          <w:rFonts w:ascii="Arial" w:cs="Arial" w:eastAsia="Arial" w:hAnsi="Arial"/>
          <w:sz w:val="16"/>
          <w:szCs w:val="16"/>
          <w:i w:val="1"/>
          <w:iCs w:val="1"/>
          <w:color w:val="427F3D"/>
        </w:rPr>
        <w:t xml:space="preserve">Corporate Responsibility. </w:t>
      </w:r>
      <w:r>
        <w:rPr>
          <w:rFonts w:ascii="Arial" w:cs="Arial" w:eastAsia="Arial" w:hAnsi="Arial"/>
          <w:sz w:val="16"/>
          <w:szCs w:val="16"/>
          <w:color w:val="000000"/>
        </w:rPr>
        <w:t>Our passion for developing medicines that</w:t>
      </w:r>
      <w:r>
        <w:rPr>
          <w:rFonts w:ascii="Arial" w:cs="Arial" w:eastAsia="Arial" w:hAnsi="Arial"/>
          <w:sz w:val="16"/>
          <w:szCs w:val="16"/>
          <w:i w:val="1"/>
          <w:iCs w:val="1"/>
          <w:color w:val="427F3D"/>
        </w:rPr>
        <w:t xml:space="preserve"> </w:t>
      </w:r>
      <w:r>
        <w:rPr>
          <w:rFonts w:ascii="Arial" w:cs="Arial" w:eastAsia="Arial" w:hAnsi="Arial"/>
          <w:sz w:val="16"/>
          <w:szCs w:val="16"/>
          <w:color w:val="000000"/>
        </w:rPr>
        <w:t xml:space="preserve">make a meaningful difference in patients’ lives is reflected in our commitment to corporate social responsibility and stewardship, including environmental sustainability, DE&amp;I, STEM education and other key initiatives. Our Year in Review: Our Commitment to Corporate Responsibility is posted on our website, </w:t>
      </w:r>
      <w:r>
        <w:rPr>
          <w:rFonts w:ascii="Arial" w:cs="Arial" w:eastAsia="Arial" w:hAnsi="Arial"/>
          <w:sz w:val="16"/>
          <w:szCs w:val="16"/>
          <w:i w:val="1"/>
          <w:iCs w:val="1"/>
          <w:color w:val="000000"/>
        </w:rPr>
        <w:t>www.biogen.com</w:t>
      </w:r>
      <w:r>
        <w:rPr>
          <w:rFonts w:ascii="Arial" w:cs="Arial" w:eastAsia="Arial" w:hAnsi="Arial"/>
          <w:sz w:val="16"/>
          <w:szCs w:val="16"/>
          <w:color w:val="000000"/>
        </w:rPr>
        <w:t>, under the “Corporate Responsibility” section of the website. We believe these efforts reflect the best interests of our patients, our stockholders and various other stakeholders, including communities in which we operate and serve. Our citizenship and</w:t>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7 </w:t>
      </w:r>
      <w:r>
        <w:rPr>
          <w:sz w:val="1"/>
          <w:szCs w:val="1"/>
          <w:color w:val="auto"/>
        </w:rPr>
        <w:drawing>
          <wp:inline distT="0" distB="0" distL="0" distR="0">
            <wp:extent cx="38735" cy="1968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66" w:right="140"/>
        <w:spacing w:after="0" w:line="259" w:lineRule="auto"/>
        <w:rPr>
          <w:sz w:val="20"/>
          <w:szCs w:val="20"/>
          <w:color w:val="auto"/>
        </w:rPr>
      </w:pPr>
      <w:r>
        <w:rPr>
          <w:rFonts w:ascii="Arial" w:cs="Arial" w:eastAsia="Arial" w:hAnsi="Arial"/>
          <w:sz w:val="16"/>
          <w:szCs w:val="16"/>
          <w:color w:val="auto"/>
        </w:rPr>
        <w:t>sustainability commitments and performance have been recognized over the years, including the most recent acknowledgements noted in the executive summary section under “Compensation Discussion and Analysis” below.</w:t>
      </w:r>
    </w:p>
    <w:p>
      <w:pPr>
        <w:spacing w:after="0" w:line="28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1A6DBB"/>
        </w:rPr>
        <w:t>Director Independence</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1A6DBB"/>
        </w:rPr>
        <w:t>Board of Directors</w:t>
      </w:r>
    </w:p>
    <w:p>
      <w:pPr>
        <w:spacing w:after="0" w:line="111" w:lineRule="exact"/>
        <w:rPr>
          <w:sz w:val="20"/>
          <w:szCs w:val="20"/>
          <w:color w:val="auto"/>
        </w:rPr>
      </w:pPr>
    </w:p>
    <w:p>
      <w:pPr>
        <w:jc w:val="both"/>
        <w:ind w:left="6"/>
        <w:spacing w:after="0" w:line="266" w:lineRule="auto"/>
        <w:rPr>
          <w:sz w:val="20"/>
          <w:szCs w:val="20"/>
          <w:color w:val="auto"/>
        </w:rPr>
      </w:pPr>
      <w:r>
        <w:rPr>
          <w:rFonts w:ascii="Arial" w:cs="Arial" w:eastAsia="Arial" w:hAnsi="Arial"/>
          <w:sz w:val="16"/>
          <w:szCs w:val="16"/>
          <w:color w:val="auto"/>
        </w:rPr>
        <w:t>All of our directors and nominees for director, other than Michel Vounatsos, our Chief Executive Officer, satisfy the independence requirements of The Nasdaq Stock Market (Nasdaq).</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1A6DBB"/>
        </w:rPr>
        <w:t>Committees</w:t>
      </w:r>
    </w:p>
    <w:p>
      <w:pPr>
        <w:spacing w:after="0" w:line="125" w:lineRule="exact"/>
        <w:rPr>
          <w:sz w:val="20"/>
          <w:szCs w:val="20"/>
          <w:color w:val="auto"/>
        </w:rPr>
      </w:pPr>
    </w:p>
    <w:p>
      <w:pPr>
        <w:ind w:left="266" w:right="800" w:hanging="266"/>
        <w:spacing w:after="0" w:line="286" w:lineRule="auto"/>
        <w:tabs>
          <w:tab w:leader="none" w:pos="266" w:val="left"/>
        </w:tabs>
        <w:numPr>
          <w:ilvl w:val="0"/>
          <w:numId w:val="17"/>
        </w:numPr>
        <w:rPr>
          <w:rFonts w:ascii="Arial" w:cs="Arial" w:eastAsia="Arial" w:hAnsi="Arial"/>
          <w:sz w:val="16"/>
          <w:szCs w:val="16"/>
          <w:color w:val="1A6DBB"/>
        </w:rPr>
      </w:pPr>
      <w:r>
        <w:rPr>
          <w:rFonts w:ascii="Arial" w:cs="Arial" w:eastAsia="Arial" w:hAnsi="Arial"/>
          <w:sz w:val="16"/>
          <w:szCs w:val="16"/>
          <w:color w:val="auto"/>
        </w:rPr>
        <w:t>All members of the committees of our Board of Directors are independent directors, as defined by Nasdaq rules.</w:t>
      </w:r>
    </w:p>
    <w:p>
      <w:pPr>
        <w:spacing w:after="0" w:line="61" w:lineRule="exact"/>
        <w:rPr>
          <w:rFonts w:ascii="Arial" w:cs="Arial" w:eastAsia="Arial" w:hAnsi="Arial"/>
          <w:sz w:val="16"/>
          <w:szCs w:val="16"/>
          <w:color w:val="1A6DBB"/>
        </w:rPr>
      </w:pPr>
    </w:p>
    <w:p>
      <w:pPr>
        <w:ind w:left="266" w:right="400" w:hanging="266"/>
        <w:spacing w:after="0" w:line="266" w:lineRule="auto"/>
        <w:tabs>
          <w:tab w:leader="none" w:pos="266" w:val="left"/>
        </w:tabs>
        <w:numPr>
          <w:ilvl w:val="0"/>
          <w:numId w:val="17"/>
        </w:numPr>
        <w:rPr>
          <w:rFonts w:ascii="Arial" w:cs="Arial" w:eastAsia="Arial" w:hAnsi="Arial"/>
          <w:sz w:val="16"/>
          <w:szCs w:val="16"/>
          <w:color w:val="1A6DBB"/>
        </w:rPr>
      </w:pPr>
      <w:r>
        <w:rPr>
          <w:rFonts w:ascii="Arial" w:cs="Arial" w:eastAsia="Arial" w:hAnsi="Arial"/>
          <w:sz w:val="16"/>
          <w:szCs w:val="16"/>
          <w:color w:val="auto"/>
        </w:rPr>
        <w:t>All members of our Audit Committee meet the additional SEC and Nasdaq independence and experience requirements applicable specifically to audit committee members.</w:t>
      </w:r>
    </w:p>
    <w:p>
      <w:pPr>
        <w:spacing w:after="0" w:line="76" w:lineRule="exact"/>
        <w:rPr>
          <w:rFonts w:ascii="Arial" w:cs="Arial" w:eastAsia="Arial" w:hAnsi="Arial"/>
          <w:sz w:val="16"/>
          <w:szCs w:val="16"/>
          <w:color w:val="1A6DBB"/>
        </w:rPr>
      </w:pPr>
    </w:p>
    <w:p>
      <w:pPr>
        <w:ind w:left="266" w:right="100" w:hanging="266"/>
        <w:spacing w:after="0" w:line="254" w:lineRule="auto"/>
        <w:tabs>
          <w:tab w:leader="none" w:pos="266" w:val="left"/>
        </w:tabs>
        <w:numPr>
          <w:ilvl w:val="0"/>
          <w:numId w:val="17"/>
        </w:numPr>
        <w:rPr>
          <w:rFonts w:ascii="Arial" w:cs="Arial" w:eastAsia="Arial" w:hAnsi="Arial"/>
          <w:sz w:val="16"/>
          <w:szCs w:val="16"/>
          <w:color w:val="1A6DBB"/>
        </w:rPr>
      </w:pPr>
      <w:r>
        <w:rPr>
          <w:rFonts w:ascii="Arial" w:cs="Arial" w:eastAsia="Arial" w:hAnsi="Arial"/>
          <w:sz w:val="16"/>
          <w:szCs w:val="16"/>
          <w:color w:val="auto"/>
        </w:rPr>
        <w:t>All members of our C&amp;MD Committee are non-employee directors within the meaning of the rules under Section 16 of the Securities Exchange Act of 1934, as amended (Exchange Act), and our Board of Directors has affirmatively determined that the members of our C&amp;MD Committee satisfy the additional Nasdaq independence requirements specifically applicable to compensation committee members.</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1A6DBB"/>
        </w:rPr>
        <w:t>Leadership Structure</w:t>
      </w:r>
    </w:p>
    <w:p>
      <w:pPr>
        <w:spacing w:after="0" w:line="111" w:lineRule="exact"/>
        <w:rPr>
          <w:sz w:val="20"/>
          <w:szCs w:val="20"/>
          <w:color w:val="auto"/>
        </w:rPr>
      </w:pPr>
    </w:p>
    <w:p>
      <w:pPr>
        <w:ind w:left="6" w:right="240"/>
        <w:spacing w:after="0" w:line="259" w:lineRule="auto"/>
        <w:rPr>
          <w:sz w:val="20"/>
          <w:szCs w:val="20"/>
          <w:color w:val="auto"/>
        </w:rPr>
      </w:pPr>
      <w:r>
        <w:rPr>
          <w:rFonts w:ascii="Arial" w:cs="Arial" w:eastAsia="Arial" w:hAnsi="Arial"/>
          <w:sz w:val="16"/>
          <w:szCs w:val="16"/>
          <w:color w:val="auto"/>
        </w:rPr>
        <w:t>We separate the roles of Chairman of the Board of Directors and Chief Executive Officer. Stelios Papadopoulos, an independent director, is the Chairman of our Board of Directors. Among other responsibilities, our Chairman:</w:t>
      </w:r>
    </w:p>
    <w:p>
      <w:pPr>
        <w:spacing w:after="0" w:line="83" w:lineRule="exact"/>
        <w:rPr>
          <w:sz w:val="20"/>
          <w:szCs w:val="20"/>
          <w:color w:val="auto"/>
        </w:rPr>
      </w:pPr>
    </w:p>
    <w:p>
      <w:pPr>
        <w:ind w:left="266" w:right="180" w:hanging="266"/>
        <w:spacing w:after="0" w:line="286" w:lineRule="auto"/>
        <w:tabs>
          <w:tab w:leader="none" w:pos="266"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presides at meetings of our Board of Directors, executive sessions of our independent directors and our annual meetings of stockholders;</w:t>
      </w:r>
    </w:p>
    <w:p>
      <w:pPr>
        <w:spacing w:after="0" w:line="61" w:lineRule="exact"/>
        <w:rPr>
          <w:rFonts w:ascii="Arial" w:cs="Arial" w:eastAsia="Arial" w:hAnsi="Arial"/>
          <w:sz w:val="16"/>
          <w:szCs w:val="16"/>
          <w:color w:val="1A6DBB"/>
        </w:rPr>
      </w:pPr>
    </w:p>
    <w:p>
      <w:pPr>
        <w:ind w:left="266" w:right="100" w:hanging="266"/>
        <w:spacing w:after="0" w:line="286" w:lineRule="auto"/>
        <w:tabs>
          <w:tab w:leader="none" w:pos="266"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reviews and assists in setting the agenda and schedule for our Board of Directors meetings in collaboration with our Chief Executive Officer;</w:t>
      </w:r>
    </w:p>
    <w:p>
      <w:pPr>
        <w:spacing w:after="0" w:line="61" w:lineRule="exact"/>
        <w:rPr>
          <w:rFonts w:ascii="Arial" w:cs="Arial" w:eastAsia="Arial" w:hAnsi="Arial"/>
          <w:sz w:val="16"/>
          <w:szCs w:val="16"/>
          <w:color w:val="1A6DBB"/>
        </w:rPr>
      </w:pPr>
    </w:p>
    <w:p>
      <w:pPr>
        <w:ind w:left="266" w:right="340" w:hanging="266"/>
        <w:spacing w:after="0" w:line="286" w:lineRule="auto"/>
        <w:tabs>
          <w:tab w:leader="none" w:pos="266"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advises the committee chairs in fulfilling their responsibilities to our Board of Directors;</w:t>
      </w:r>
    </w:p>
    <w:p>
      <w:pPr>
        <w:spacing w:after="0" w:line="61" w:lineRule="exact"/>
        <w:rPr>
          <w:rFonts w:ascii="Arial" w:cs="Arial" w:eastAsia="Arial" w:hAnsi="Arial"/>
          <w:sz w:val="16"/>
          <w:szCs w:val="16"/>
          <w:color w:val="1A6DBB"/>
        </w:rPr>
      </w:pPr>
    </w:p>
    <w:p>
      <w:pPr>
        <w:ind w:left="266" w:right="280" w:hanging="266"/>
        <w:spacing w:after="0" w:line="286" w:lineRule="auto"/>
        <w:tabs>
          <w:tab w:leader="none" w:pos="266"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recommends to our Board of Directors the retention of any advisors who report directly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262255</wp:posOffset>
            </wp:positionV>
            <wp:extent cx="10287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80" w:space="354"/>
            <w:col w:w="5366"/>
          </w:cols>
          <w:pgMar w:left="320" w:top="455" w:right="4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9"/>
        </w:numPr>
        <w:rPr>
          <w:rFonts w:ascii="Arial" w:cs="Arial" w:eastAsia="Arial" w:hAnsi="Arial"/>
          <w:sz w:val="90"/>
          <w:szCs w:val="90"/>
          <w:color w:val="1A6DBB"/>
        </w:rPr>
      </w:pPr>
      <w:r>
        <w:rPr>
          <w:rFonts w:ascii="Arial" w:cs="Arial" w:eastAsia="Arial" w:hAnsi="Arial"/>
          <w:sz w:val="41"/>
          <w:szCs w:val="41"/>
          <w:color w:val="1A6DBB"/>
        </w:rPr>
        <w:t xml:space="preserve">Corporate Governance at Biogen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440" w:type="dxa"/>
            <w:vAlign w:val="bottom"/>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serves as a liaison for stockholder communications with our Board of</w:t>
            </w:r>
          </w:p>
        </w:tc>
        <w:tc>
          <w:tcPr>
            <w:tcW w:w="5560" w:type="dxa"/>
            <w:vAlign w:val="bottom"/>
          </w:tcPr>
          <w:p>
            <w:pPr>
              <w:ind w:left="440"/>
              <w:spacing w:after="0"/>
              <w:rPr>
                <w:sz w:val="20"/>
                <w:szCs w:val="20"/>
                <w:color w:val="auto"/>
              </w:rPr>
            </w:pPr>
            <w:r>
              <w:rPr>
                <w:rFonts w:ascii="Arial" w:cs="Arial" w:eastAsia="Arial" w:hAnsi="Arial"/>
                <w:sz w:val="16"/>
                <w:szCs w:val="16"/>
                <w:color w:val="auto"/>
              </w:rPr>
              <w:t>nominate directors for consideration at an annual meeting. To nominate</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Directors;</w:t>
            </w:r>
          </w:p>
        </w:tc>
        <w:tc>
          <w:tcPr>
            <w:tcW w:w="5560" w:type="dxa"/>
            <w:vAlign w:val="bottom"/>
          </w:tcPr>
          <w:p>
            <w:pPr>
              <w:ind w:left="440"/>
              <w:spacing w:after="0"/>
              <w:rPr>
                <w:sz w:val="20"/>
                <w:szCs w:val="20"/>
                <w:color w:val="auto"/>
              </w:rPr>
            </w:pPr>
            <w:r>
              <w:rPr>
                <w:rFonts w:ascii="Arial" w:cs="Arial" w:eastAsia="Arial" w:hAnsi="Arial"/>
                <w:sz w:val="16"/>
                <w:szCs w:val="16"/>
                <w:color w:val="auto"/>
              </w:rPr>
              <w:t>a director for consideration at an annual meeting, a nominating</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leads the process of evaluating our Chief Executive Officer; and</w:t>
            </w:r>
          </w:p>
        </w:tc>
        <w:tc>
          <w:tcPr>
            <w:tcW w:w="5560" w:type="dxa"/>
            <w:vAlign w:val="bottom"/>
          </w:tcPr>
          <w:p>
            <w:pPr>
              <w:ind w:left="440"/>
              <w:spacing w:after="0"/>
              <w:rPr>
                <w:sz w:val="20"/>
                <w:szCs w:val="20"/>
                <w:color w:val="auto"/>
              </w:rPr>
            </w:pPr>
            <w:r>
              <w:rPr>
                <w:rFonts w:ascii="Arial" w:cs="Arial" w:eastAsia="Arial" w:hAnsi="Arial"/>
                <w:sz w:val="16"/>
                <w:szCs w:val="16"/>
                <w:color w:val="auto"/>
              </w:rPr>
              <w:t>stockholder must provide the information required by our Bylaws and</w:t>
            </w:r>
          </w:p>
        </w:tc>
        <w:tc>
          <w:tcPr>
            <w:tcW w:w="0" w:type="dxa"/>
            <w:vAlign w:val="bottom"/>
          </w:tcPr>
          <w:p>
            <w:pPr>
              <w:spacing w:after="0"/>
              <w:rPr>
                <w:sz w:val="1"/>
                <w:szCs w:val="1"/>
                <w:color w:val="auto"/>
              </w:rPr>
            </w:pPr>
          </w:p>
        </w:tc>
      </w:tr>
      <w:tr>
        <w:trPr>
          <w:trHeight w:val="147"/>
        </w:trPr>
        <w:tc>
          <w:tcPr>
            <w:tcW w:w="5440" w:type="dxa"/>
            <w:vAlign w:val="bottom"/>
            <w:vMerge w:val="continue"/>
          </w:tcPr>
          <w:p>
            <w:pPr>
              <w:spacing w:after="0"/>
              <w:rPr>
                <w:sz w:val="12"/>
                <w:szCs w:val="12"/>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give timely notice of the nomination to our Secretary in accordance with</w:t>
            </w:r>
          </w:p>
        </w:tc>
        <w:tc>
          <w:tcPr>
            <w:tcW w:w="0" w:type="dxa"/>
            <w:vAlign w:val="bottom"/>
          </w:tcPr>
          <w:p>
            <w:pPr>
              <w:spacing w:after="0"/>
              <w:rPr>
                <w:sz w:val="1"/>
                <w:szCs w:val="1"/>
                <w:color w:val="auto"/>
              </w:rPr>
            </w:pPr>
          </w:p>
        </w:tc>
      </w:tr>
      <w:tr>
        <w:trPr>
          <w:trHeight w:val="42"/>
        </w:trPr>
        <w:tc>
          <w:tcPr>
            <w:tcW w:w="544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discharges such other responsibilities as our Board of Directors may</w:t>
            </w:r>
          </w:p>
        </w:tc>
        <w:tc>
          <w:tcPr>
            <w:tcW w:w="5560" w:type="dxa"/>
            <w:vAlign w:val="bottom"/>
          </w:tcPr>
          <w:p>
            <w:pPr>
              <w:ind w:left="440"/>
              <w:spacing w:after="0"/>
              <w:rPr>
                <w:sz w:val="20"/>
                <w:szCs w:val="20"/>
                <w:color w:val="auto"/>
              </w:rPr>
            </w:pPr>
            <w:r>
              <w:rPr>
                <w:rFonts w:ascii="Arial" w:cs="Arial" w:eastAsia="Arial" w:hAnsi="Arial"/>
                <w:sz w:val="16"/>
                <w:szCs w:val="16"/>
                <w:color w:val="auto"/>
              </w:rPr>
              <w:t>our Bylaws, and each nominee must meet the qualifications required by</w:t>
            </w:r>
          </w:p>
        </w:tc>
        <w:tc>
          <w:tcPr>
            <w:tcW w:w="0" w:type="dxa"/>
            <w:vAlign w:val="bottom"/>
          </w:tcPr>
          <w:p>
            <w:pPr>
              <w:spacing w:after="0"/>
              <w:rPr>
                <w:sz w:val="1"/>
                <w:szCs w:val="1"/>
                <w:color w:val="auto"/>
              </w:rPr>
            </w:pPr>
          </w:p>
        </w:tc>
      </w:tr>
      <w:tr>
        <w:trPr>
          <w:trHeight w:val="54"/>
        </w:trPr>
        <w:tc>
          <w:tcPr>
            <w:tcW w:w="5440" w:type="dxa"/>
            <w:vAlign w:val="bottom"/>
            <w:vMerge w:val="continue"/>
          </w:tcPr>
          <w:p>
            <w:pPr>
              <w:spacing w:after="0"/>
              <w:rPr>
                <w:sz w:val="4"/>
                <w:szCs w:val="4"/>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our Bylaws. To nominate a director for consideration at next year’s</w:t>
            </w: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60"/>
              <w:spacing w:after="0"/>
              <w:rPr>
                <w:sz w:val="20"/>
                <w:szCs w:val="20"/>
                <w:color w:val="auto"/>
              </w:rPr>
            </w:pPr>
            <w:r>
              <w:rPr>
                <w:rFonts w:ascii="Arial" w:cs="Arial" w:eastAsia="Arial" w:hAnsi="Arial"/>
                <w:sz w:val="16"/>
                <w:szCs w:val="16"/>
                <w:color w:val="auto"/>
              </w:rPr>
              <w:t>assign from time to time.</w:t>
            </w: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440" w:type="dxa"/>
            <w:vAlign w:val="bottom"/>
            <w:vMerge w:val="continue"/>
          </w:tcPr>
          <w:p>
            <w:pPr>
              <w:spacing w:after="0"/>
              <w:rPr>
                <w:sz w:val="6"/>
                <w:szCs w:val="6"/>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annual meeting, stockholders must provide the notice required by our</w:t>
            </w:r>
          </w:p>
        </w:tc>
        <w:tc>
          <w:tcPr>
            <w:tcW w:w="0" w:type="dxa"/>
            <w:vAlign w:val="bottom"/>
          </w:tcPr>
          <w:p>
            <w:pPr>
              <w:spacing w:after="0"/>
              <w:rPr>
                <w:sz w:val="1"/>
                <w:szCs w:val="1"/>
                <w:color w:val="auto"/>
              </w:rPr>
            </w:pPr>
          </w:p>
        </w:tc>
      </w:tr>
      <w:tr>
        <w:trPr>
          <w:trHeight w:val="109"/>
        </w:trPr>
        <w:tc>
          <w:tcPr>
            <w:tcW w:w="5440" w:type="dxa"/>
            <w:vAlign w:val="bottom"/>
            <w:vMerge w:val="restart"/>
          </w:tcPr>
          <w:p>
            <w:pPr>
              <w:spacing w:after="0"/>
              <w:rPr>
                <w:sz w:val="20"/>
                <w:szCs w:val="20"/>
                <w:color w:val="auto"/>
              </w:rPr>
            </w:pPr>
            <w:r>
              <w:rPr>
                <w:rFonts w:ascii="Arial" w:cs="Arial" w:eastAsia="Arial" w:hAnsi="Arial"/>
                <w:sz w:val="16"/>
                <w:szCs w:val="16"/>
                <w:color w:val="auto"/>
              </w:rPr>
              <w:t>We believe that having an independent Chairman promotes a greater role</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440" w:type="dxa"/>
            <w:vAlign w:val="bottom"/>
            <w:vMerge w:val="continue"/>
          </w:tcPr>
          <w:p>
            <w:pPr>
              <w:spacing w:after="0"/>
              <w:rPr>
                <w:sz w:val="14"/>
                <w:szCs w:val="14"/>
                <w:color w:val="auto"/>
              </w:rPr>
            </w:pPr>
          </w:p>
        </w:tc>
        <w:tc>
          <w:tcPr>
            <w:tcW w:w="5560" w:type="dxa"/>
            <w:vAlign w:val="bottom"/>
          </w:tcPr>
          <w:p>
            <w:pPr>
              <w:ind w:left="440"/>
              <w:spacing w:after="0" w:line="163" w:lineRule="exact"/>
              <w:rPr>
                <w:sz w:val="20"/>
                <w:szCs w:val="20"/>
                <w:color w:val="auto"/>
              </w:rPr>
            </w:pPr>
            <w:r>
              <w:rPr>
                <w:rFonts w:ascii="Arial" w:cs="Arial" w:eastAsia="Arial" w:hAnsi="Arial"/>
                <w:sz w:val="16"/>
                <w:szCs w:val="16"/>
                <w:color w:val="auto"/>
              </w:rPr>
              <w:t>Bylaws no later than March 17, 2023, and no earlier than February 15,</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for the independent directors in the oversight of the Company, including</w:t>
            </w:r>
          </w:p>
        </w:tc>
        <w:tc>
          <w:tcPr>
            <w:tcW w:w="5560" w:type="dxa"/>
            <w:vAlign w:val="bottom"/>
          </w:tcPr>
          <w:p>
            <w:pPr>
              <w:ind w:left="440"/>
              <w:spacing w:after="0"/>
              <w:rPr>
                <w:sz w:val="20"/>
                <w:szCs w:val="20"/>
                <w:color w:val="auto"/>
              </w:rPr>
            </w:pPr>
            <w:r>
              <w:rPr>
                <w:rFonts w:ascii="Arial" w:cs="Arial" w:eastAsia="Arial" w:hAnsi="Arial"/>
                <w:sz w:val="16"/>
                <w:szCs w:val="16"/>
                <w:color w:val="auto"/>
              </w:rPr>
              <w:t>2023. However, if the date of the 2023 annual meeting of stockholders</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oversight of material risks facing the Company, encourages active</w:t>
            </w:r>
          </w:p>
        </w:tc>
        <w:tc>
          <w:tcPr>
            <w:tcW w:w="5560" w:type="dxa"/>
            <w:vAlign w:val="bottom"/>
          </w:tcPr>
          <w:p>
            <w:pPr>
              <w:ind w:left="440"/>
              <w:spacing w:after="0"/>
              <w:rPr>
                <w:sz w:val="20"/>
                <w:szCs w:val="20"/>
                <w:color w:val="auto"/>
              </w:rPr>
            </w:pPr>
            <w:r>
              <w:rPr>
                <w:rFonts w:ascii="Arial" w:cs="Arial" w:eastAsia="Arial" w:hAnsi="Arial"/>
                <w:sz w:val="16"/>
                <w:szCs w:val="16"/>
                <w:color w:val="auto"/>
              </w:rPr>
              <w:t>is more than 30 days before or more than 60 days after the anniversary</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participation by the independent directors in the work of our Board of</w:t>
            </w:r>
          </w:p>
        </w:tc>
        <w:tc>
          <w:tcPr>
            <w:tcW w:w="5560" w:type="dxa"/>
            <w:vAlign w:val="bottom"/>
          </w:tcPr>
          <w:p>
            <w:pPr>
              <w:ind w:left="440"/>
              <w:spacing w:after="0"/>
              <w:rPr>
                <w:sz w:val="20"/>
                <w:szCs w:val="20"/>
                <w:color w:val="auto"/>
              </w:rPr>
            </w:pPr>
            <w:r>
              <w:rPr>
                <w:rFonts w:ascii="Arial" w:cs="Arial" w:eastAsia="Arial" w:hAnsi="Arial"/>
                <w:sz w:val="16"/>
                <w:szCs w:val="16"/>
                <w:color w:val="auto"/>
              </w:rPr>
              <w:t>of the Annual Meeting, stockholders must provide the notice required</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Directors, enhances our Board of Directors’ role of representing</w:t>
            </w:r>
          </w:p>
        </w:tc>
        <w:tc>
          <w:tcPr>
            <w:tcW w:w="5560" w:type="dxa"/>
            <w:vAlign w:val="bottom"/>
          </w:tcPr>
          <w:p>
            <w:pPr>
              <w:ind w:left="440"/>
              <w:spacing w:after="0" w:line="189" w:lineRule="exact"/>
              <w:rPr>
                <w:sz w:val="20"/>
                <w:szCs w:val="20"/>
                <w:color w:val="auto"/>
              </w:rPr>
            </w:pPr>
            <w:r>
              <w:rPr>
                <w:rFonts w:ascii="Arial" w:cs="Arial" w:eastAsia="Arial" w:hAnsi="Arial"/>
                <w:sz w:val="13"/>
                <w:szCs w:val="13"/>
                <w:color w:val="auto"/>
              </w:rPr>
              <w:t>by our Bylaws not earlier than the close of business on the 120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stockholders’ interests and improves our Board of Directors’ ability to</w:t>
            </w:r>
          </w:p>
        </w:tc>
        <w:tc>
          <w:tcPr>
            <w:tcW w:w="5560" w:type="dxa"/>
            <w:vAlign w:val="bottom"/>
          </w:tcPr>
          <w:p>
            <w:pPr>
              <w:ind w:left="440"/>
              <w:spacing w:after="0"/>
              <w:rPr>
                <w:sz w:val="20"/>
                <w:szCs w:val="20"/>
                <w:color w:val="auto"/>
              </w:rPr>
            </w:pPr>
            <w:r>
              <w:rPr>
                <w:rFonts w:ascii="Arial" w:cs="Arial" w:eastAsia="Arial" w:hAnsi="Arial"/>
                <w:sz w:val="16"/>
                <w:szCs w:val="16"/>
                <w:color w:val="auto"/>
              </w:rPr>
              <w:t>before the 2023 annual meeting of stockholders and not later than the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supervise and evaluate our Chief Executive Officer and other executive</w:t>
            </w:r>
          </w:p>
        </w:tc>
        <w:tc>
          <w:tcPr>
            <w:tcW w:w="5560" w:type="dxa"/>
            <w:vAlign w:val="bottom"/>
          </w:tcPr>
          <w:p>
            <w:pPr>
              <w:ind w:left="440"/>
              <w:spacing w:after="0" w:line="189" w:lineRule="exact"/>
              <w:rPr>
                <w:sz w:val="20"/>
                <w:szCs w:val="20"/>
                <w:color w:val="auto"/>
              </w:rPr>
            </w:pPr>
            <w:r>
              <w:rPr>
                <w:rFonts w:ascii="Arial" w:cs="Arial" w:eastAsia="Arial" w:hAnsi="Arial"/>
                <w:sz w:val="13"/>
                <w:szCs w:val="13"/>
                <w:color w:val="auto"/>
              </w:rPr>
              <w:t>close of business on the later of (1)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prior to the 2023</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officers. Further, separation of the Chairman and Chief Executive Officer</w:t>
            </w:r>
          </w:p>
        </w:tc>
        <w:tc>
          <w:tcPr>
            <w:tcW w:w="5560" w:type="dxa"/>
            <w:vAlign w:val="bottom"/>
          </w:tcPr>
          <w:p>
            <w:pPr>
              <w:ind w:left="440"/>
              <w:spacing w:after="0" w:line="189" w:lineRule="exact"/>
              <w:rPr>
                <w:sz w:val="20"/>
                <w:szCs w:val="20"/>
                <w:color w:val="auto"/>
              </w:rPr>
            </w:pPr>
            <w:r>
              <w:rPr>
                <w:rFonts w:ascii="Arial" w:cs="Arial" w:eastAsia="Arial" w:hAnsi="Arial"/>
                <w:sz w:val="13"/>
                <w:szCs w:val="13"/>
                <w:color w:val="auto"/>
              </w:rPr>
              <w:t>annual meeting of stockholders and (2) the 10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the day</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roles allows our Chief Executive Officer to focus on operating and</w:t>
            </w:r>
          </w:p>
        </w:tc>
        <w:tc>
          <w:tcPr>
            <w:tcW w:w="5560" w:type="dxa"/>
            <w:vAlign w:val="bottom"/>
          </w:tcPr>
          <w:p>
            <w:pPr>
              <w:ind w:left="440"/>
              <w:spacing w:after="0"/>
              <w:rPr>
                <w:sz w:val="20"/>
                <w:szCs w:val="20"/>
                <w:color w:val="auto"/>
              </w:rPr>
            </w:pPr>
            <w:r>
              <w:rPr>
                <w:rFonts w:ascii="Arial" w:cs="Arial" w:eastAsia="Arial" w:hAnsi="Arial"/>
                <w:sz w:val="16"/>
                <w:szCs w:val="16"/>
                <w:color w:val="auto"/>
              </w:rPr>
              <w:t>on which public announcement of the date of the 2023 annual meeting</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managing Biogen while leveraging our independent Chairman’s</w:t>
            </w:r>
          </w:p>
        </w:tc>
        <w:tc>
          <w:tcPr>
            <w:tcW w:w="5560" w:type="dxa"/>
            <w:vAlign w:val="bottom"/>
          </w:tcPr>
          <w:p>
            <w:pPr>
              <w:ind w:left="440"/>
              <w:spacing w:after="0"/>
              <w:rPr>
                <w:sz w:val="20"/>
                <w:szCs w:val="20"/>
                <w:color w:val="auto"/>
              </w:rPr>
            </w:pPr>
            <w:r>
              <w:rPr>
                <w:rFonts w:ascii="Arial" w:cs="Arial" w:eastAsia="Arial" w:hAnsi="Arial"/>
                <w:sz w:val="16"/>
                <w:szCs w:val="16"/>
                <w:color w:val="auto"/>
              </w:rPr>
              <w:t>of stockholders is first made.</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experience and perspectives.</w:t>
            </w:r>
          </w:p>
        </w:tc>
        <w:tc>
          <w:tcPr>
            <w:tcW w:w="5560" w:type="dxa"/>
            <w:vAlign w:val="bottom"/>
            <w:vMerge w:val="restart"/>
          </w:tcPr>
          <w:p>
            <w:pPr>
              <w:ind w:left="1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Stockholder Nominations Under Proxy Access Bylaw.</w:t>
            </w:r>
            <w:r>
              <w:rPr>
                <w:rFonts w:ascii="Arial" w:cs="Arial" w:eastAsia="Arial" w:hAnsi="Arial"/>
                <w:sz w:val="16"/>
                <w:szCs w:val="16"/>
                <w:color w:val="1A6DBB"/>
              </w:rPr>
              <w:t xml:space="preserve"> </w:t>
            </w:r>
            <w:r>
              <w:rPr>
                <w:rFonts w:ascii="Arial" w:cs="Arial" w:eastAsia="Arial" w:hAnsi="Arial"/>
                <w:sz w:val="16"/>
                <w:szCs w:val="16"/>
                <w:color w:val="000000"/>
              </w:rPr>
              <w:t>In addition, our</w:t>
            </w:r>
          </w:p>
        </w:tc>
        <w:tc>
          <w:tcPr>
            <w:tcW w:w="0" w:type="dxa"/>
            <w:vAlign w:val="bottom"/>
          </w:tcPr>
          <w:p>
            <w:pPr>
              <w:spacing w:after="0"/>
              <w:rPr>
                <w:sz w:val="1"/>
                <w:szCs w:val="1"/>
                <w:color w:val="auto"/>
              </w:rPr>
            </w:pPr>
          </w:p>
        </w:tc>
      </w:tr>
      <w:tr>
        <w:trPr>
          <w:trHeight w:val="122"/>
        </w:trPr>
        <w:tc>
          <w:tcPr>
            <w:tcW w:w="5440" w:type="dxa"/>
            <w:vAlign w:val="bottom"/>
            <w:vMerge w:val="restart"/>
          </w:tcPr>
          <w:p>
            <w:pPr>
              <w:spacing w:after="0"/>
              <w:rPr>
                <w:sz w:val="20"/>
                <w:szCs w:val="20"/>
                <w:color w:val="auto"/>
              </w:rPr>
            </w:pPr>
            <w:r>
              <w:rPr>
                <w:rFonts w:ascii="Arial" w:cs="Arial" w:eastAsia="Arial" w:hAnsi="Arial"/>
                <w:sz w:val="18"/>
                <w:szCs w:val="18"/>
                <w:b w:val="1"/>
                <w:bCs w:val="1"/>
                <w:color w:val="1A6DBB"/>
              </w:rPr>
              <w:t>Nominating Processes</w:t>
            </w:r>
          </w:p>
        </w:tc>
        <w:tc>
          <w:tcPr>
            <w:tcW w:w="5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440" w:type="dxa"/>
            <w:vAlign w:val="bottom"/>
            <w:vMerge w:val="continue"/>
          </w:tcPr>
          <w:p>
            <w:pPr>
              <w:spacing w:after="0"/>
              <w:rPr>
                <w:sz w:val="16"/>
                <w:szCs w:val="16"/>
                <w:color w:val="auto"/>
              </w:rPr>
            </w:pPr>
          </w:p>
        </w:tc>
        <w:tc>
          <w:tcPr>
            <w:tcW w:w="5560" w:type="dxa"/>
            <w:vAlign w:val="bottom"/>
          </w:tcPr>
          <w:p>
            <w:pPr>
              <w:ind w:left="440"/>
              <w:spacing w:after="0"/>
              <w:rPr>
                <w:sz w:val="20"/>
                <w:szCs w:val="20"/>
                <w:color w:val="auto"/>
              </w:rPr>
            </w:pPr>
            <w:r>
              <w:rPr>
                <w:rFonts w:ascii="Arial" w:cs="Arial" w:eastAsia="Arial" w:hAnsi="Arial"/>
                <w:sz w:val="16"/>
                <w:szCs w:val="16"/>
                <w:color w:val="auto"/>
              </w:rPr>
              <w:t>Bylaws provide that, under certain circumstances, a stockholder or</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6"/>
                <w:szCs w:val="16"/>
                <w:color w:val="auto"/>
              </w:rPr>
              <w:t>Our Corporate Governance Committee is responsible for identifying</w:t>
            </w:r>
          </w:p>
        </w:tc>
        <w:tc>
          <w:tcPr>
            <w:tcW w:w="5560" w:type="dxa"/>
            <w:vAlign w:val="bottom"/>
          </w:tcPr>
          <w:p>
            <w:pPr>
              <w:ind w:left="440"/>
              <w:spacing w:after="0"/>
              <w:rPr>
                <w:sz w:val="20"/>
                <w:szCs w:val="20"/>
                <w:color w:val="auto"/>
              </w:rPr>
            </w:pPr>
            <w:r>
              <w:rPr>
                <w:rFonts w:ascii="Arial" w:cs="Arial" w:eastAsia="Arial" w:hAnsi="Arial"/>
                <w:sz w:val="16"/>
                <w:szCs w:val="16"/>
                <w:color w:val="auto"/>
              </w:rPr>
              <w:t>group of stockholders may include director candidates that they have</w:t>
            </w: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nominated in our annual meeting proxy statement. These proxy access</w:t>
            </w:r>
          </w:p>
        </w:tc>
        <w:tc>
          <w:tcPr>
            <w:tcW w:w="0" w:type="dxa"/>
            <w:vAlign w:val="bottom"/>
          </w:tcPr>
          <w:p>
            <w:pPr>
              <w:spacing w:after="0"/>
              <w:rPr>
                <w:sz w:val="1"/>
                <w:szCs w:val="1"/>
                <w:color w:val="auto"/>
              </w:rPr>
            </w:pPr>
          </w:p>
        </w:tc>
      </w:tr>
      <w:tr>
        <w:trPr>
          <w:trHeight w:val="108"/>
        </w:trPr>
        <w:tc>
          <w:tcPr>
            <w:tcW w:w="5440" w:type="dxa"/>
            <w:vAlign w:val="bottom"/>
            <w:vMerge w:val="restart"/>
          </w:tcPr>
          <w:p>
            <w:pPr>
              <w:spacing w:after="0"/>
              <w:rPr>
                <w:sz w:val="20"/>
                <w:szCs w:val="20"/>
                <w:color w:val="auto"/>
              </w:rPr>
            </w:pPr>
            <w:r>
              <w:rPr>
                <w:rFonts w:ascii="Arial" w:cs="Arial" w:eastAsia="Arial" w:hAnsi="Arial"/>
                <w:sz w:val="16"/>
                <w:szCs w:val="16"/>
                <w:color w:val="auto"/>
              </w:rPr>
              <w:t>individuals qualified to become members of our Board of Directors and</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provisions of our Bylaws provide, among other things, that a</w:t>
            </w:r>
          </w:p>
        </w:tc>
        <w:tc>
          <w:tcPr>
            <w:tcW w:w="0" w:type="dxa"/>
            <w:vAlign w:val="bottom"/>
          </w:tcPr>
          <w:p>
            <w:pPr>
              <w:spacing w:after="0"/>
              <w:rPr>
                <w:sz w:val="1"/>
                <w:szCs w:val="1"/>
                <w:color w:val="auto"/>
              </w:rPr>
            </w:pPr>
          </w:p>
        </w:tc>
      </w:tr>
      <w:tr>
        <w:trPr>
          <w:trHeight w:val="108"/>
        </w:trPr>
        <w:tc>
          <w:tcPr>
            <w:tcW w:w="5440" w:type="dxa"/>
            <w:vAlign w:val="bottom"/>
            <w:vMerge w:val="restart"/>
          </w:tcPr>
          <w:p>
            <w:pPr>
              <w:spacing w:after="0"/>
              <w:rPr>
                <w:sz w:val="20"/>
                <w:szCs w:val="20"/>
                <w:color w:val="auto"/>
              </w:rPr>
            </w:pPr>
            <w:r>
              <w:rPr>
                <w:rFonts w:ascii="Arial" w:cs="Arial" w:eastAsia="Arial" w:hAnsi="Arial"/>
                <w:sz w:val="16"/>
                <w:szCs w:val="16"/>
                <w:color w:val="auto"/>
              </w:rPr>
              <w:t>reviewing candidates recommended by stockholders. Stockholders may</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stockholder or group of up to 20 stockholders seeking to include</w:t>
            </w:r>
          </w:p>
        </w:tc>
        <w:tc>
          <w:tcPr>
            <w:tcW w:w="0" w:type="dxa"/>
            <w:vAlign w:val="bottom"/>
          </w:tcPr>
          <w:p>
            <w:pPr>
              <w:spacing w:after="0"/>
              <w:rPr>
                <w:sz w:val="1"/>
                <w:szCs w:val="1"/>
                <w:color w:val="auto"/>
              </w:rPr>
            </w:pPr>
          </w:p>
        </w:tc>
      </w:tr>
      <w:tr>
        <w:trPr>
          <w:trHeight w:val="108"/>
        </w:trPr>
        <w:tc>
          <w:tcPr>
            <w:tcW w:w="5440" w:type="dxa"/>
            <w:vAlign w:val="bottom"/>
            <w:vMerge w:val="restart"/>
          </w:tcPr>
          <w:p>
            <w:pPr>
              <w:spacing w:after="0"/>
              <w:rPr>
                <w:sz w:val="20"/>
                <w:szCs w:val="20"/>
                <w:color w:val="auto"/>
              </w:rPr>
            </w:pPr>
            <w:r>
              <w:rPr>
                <w:rFonts w:ascii="Arial" w:cs="Arial" w:eastAsia="Arial" w:hAnsi="Arial"/>
                <w:sz w:val="16"/>
                <w:szCs w:val="16"/>
                <w:color w:val="auto"/>
              </w:rPr>
              <w:t>recommend nominees for consideration by our Corporate Governance</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director candidates in our annual meeting proxy statement must own</w:t>
            </w:r>
          </w:p>
        </w:tc>
        <w:tc>
          <w:tcPr>
            <w:tcW w:w="0" w:type="dxa"/>
            <w:vAlign w:val="bottom"/>
          </w:tcPr>
          <w:p>
            <w:pPr>
              <w:spacing w:after="0"/>
              <w:rPr>
                <w:sz w:val="1"/>
                <w:szCs w:val="1"/>
                <w:color w:val="auto"/>
              </w:rPr>
            </w:pPr>
          </w:p>
        </w:tc>
      </w:tr>
      <w:tr>
        <w:trPr>
          <w:trHeight w:val="108"/>
        </w:trPr>
        <w:tc>
          <w:tcPr>
            <w:tcW w:w="5440" w:type="dxa"/>
            <w:vAlign w:val="bottom"/>
            <w:vMerge w:val="restart"/>
          </w:tcPr>
          <w:p>
            <w:pPr>
              <w:spacing w:after="0"/>
              <w:rPr>
                <w:sz w:val="20"/>
                <w:szCs w:val="20"/>
                <w:color w:val="auto"/>
              </w:rPr>
            </w:pPr>
            <w:r>
              <w:rPr>
                <w:rFonts w:ascii="Arial" w:cs="Arial" w:eastAsia="Arial" w:hAnsi="Arial"/>
                <w:sz w:val="16"/>
                <w:szCs w:val="16"/>
                <w:color w:val="auto"/>
              </w:rPr>
              <w:t>Committee by submitting the names and supporting information to our</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3% or more of our outstanding common stock continuously for at least</w:t>
            </w:r>
          </w:p>
        </w:tc>
        <w:tc>
          <w:tcPr>
            <w:tcW w:w="0" w:type="dxa"/>
            <w:vAlign w:val="bottom"/>
          </w:tcPr>
          <w:p>
            <w:pPr>
              <w:spacing w:after="0"/>
              <w:rPr>
                <w:sz w:val="1"/>
                <w:szCs w:val="1"/>
                <w:color w:val="auto"/>
              </w:rPr>
            </w:pPr>
          </w:p>
        </w:tc>
      </w:tr>
      <w:tr>
        <w:trPr>
          <w:trHeight w:val="108"/>
        </w:trPr>
        <w:tc>
          <w:tcPr>
            <w:tcW w:w="5440" w:type="dxa"/>
            <w:vAlign w:val="bottom"/>
            <w:vMerge w:val="restart"/>
          </w:tcPr>
          <w:p>
            <w:pPr>
              <w:spacing w:after="0"/>
              <w:rPr>
                <w:sz w:val="20"/>
                <w:szCs w:val="20"/>
                <w:color w:val="auto"/>
              </w:rPr>
            </w:pPr>
            <w:r>
              <w:rPr>
                <w:rFonts w:ascii="Arial" w:cs="Arial" w:eastAsia="Arial" w:hAnsi="Arial"/>
                <w:sz w:val="16"/>
                <w:szCs w:val="16"/>
                <w:color w:val="auto"/>
              </w:rPr>
              <w:t>Secretary, Biogen Inc., 225 Binney Street, Cambridge, Massachusetts</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440"/>
              <w:spacing w:after="0"/>
              <w:rPr>
                <w:sz w:val="20"/>
                <w:szCs w:val="20"/>
                <w:color w:val="auto"/>
              </w:rPr>
            </w:pPr>
            <w:r>
              <w:rPr>
                <w:rFonts w:ascii="Arial" w:cs="Arial" w:eastAsia="Arial" w:hAnsi="Arial"/>
                <w:sz w:val="16"/>
                <w:szCs w:val="16"/>
                <w:color w:val="auto"/>
              </w:rPr>
              <w:t>the previous 3 years.</w:t>
            </w:r>
          </w:p>
        </w:tc>
        <w:tc>
          <w:tcPr>
            <w:tcW w:w="0" w:type="dxa"/>
            <w:vAlign w:val="bottom"/>
          </w:tcPr>
          <w:p>
            <w:pPr>
              <w:spacing w:after="0"/>
              <w:rPr>
                <w:sz w:val="1"/>
                <w:szCs w:val="1"/>
                <w:color w:val="auto"/>
              </w:rPr>
            </w:pPr>
          </w:p>
        </w:tc>
      </w:tr>
      <w:tr>
        <w:trPr>
          <w:trHeight w:val="134"/>
        </w:trPr>
        <w:tc>
          <w:tcPr>
            <w:tcW w:w="5440" w:type="dxa"/>
            <w:vAlign w:val="bottom"/>
            <w:vMerge w:val="restart"/>
          </w:tcPr>
          <w:p>
            <w:pPr>
              <w:spacing w:after="0"/>
              <w:rPr>
                <w:sz w:val="20"/>
                <w:szCs w:val="20"/>
                <w:color w:val="auto"/>
              </w:rPr>
            </w:pPr>
            <w:r>
              <w:rPr>
                <w:rFonts w:ascii="Arial" w:cs="Arial" w:eastAsia="Arial" w:hAnsi="Arial"/>
                <w:sz w:val="16"/>
                <w:szCs w:val="16"/>
                <w:color w:val="auto"/>
              </w:rPr>
              <w:t>02142. Any such recommendation should include at a minimum the</w:t>
            </w: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440" w:type="dxa"/>
            <w:vAlign w:val="bottom"/>
            <w:vMerge w:val="continue"/>
          </w:tcPr>
          <w:p>
            <w:pPr>
              <w:spacing w:after="0"/>
              <w:rPr>
                <w:sz w:val="4"/>
                <w:szCs w:val="4"/>
                <w:color w:val="auto"/>
              </w:rPr>
            </w:pPr>
          </w:p>
        </w:tc>
        <w:tc>
          <w:tcPr>
            <w:tcW w:w="5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20"/>
                <w:szCs w:val="20"/>
                <w:color w:val="auto"/>
              </w:rPr>
            </w:pPr>
            <w:r>
              <w:rPr>
                <w:rFonts w:ascii="Arial" w:cs="Arial" w:eastAsia="Arial" w:hAnsi="Arial"/>
                <w:sz w:val="16"/>
                <w:szCs w:val="16"/>
                <w:color w:val="auto"/>
              </w:rPr>
              <w:t>name(s) and address(es) of the stockholder(s) making the</w:t>
            </w:r>
          </w:p>
        </w:tc>
        <w:tc>
          <w:tcPr>
            <w:tcW w:w="5560" w:type="dxa"/>
            <w:vAlign w:val="bottom"/>
          </w:tcPr>
          <w:p>
            <w:pPr>
              <w:ind w:left="380"/>
              <w:spacing w:after="0"/>
              <w:rPr>
                <w:sz w:val="20"/>
                <w:szCs w:val="20"/>
                <w:color w:val="auto"/>
              </w:rPr>
            </w:pPr>
            <w:r>
              <w:rPr>
                <w:rFonts w:ascii="Arial" w:cs="Arial" w:eastAsia="Arial" w:hAnsi="Arial"/>
                <w:sz w:val="16"/>
                <w:szCs w:val="16"/>
                <w:color w:val="auto"/>
              </w:rPr>
              <w:t>The number of stockholder-nominated candidates appearing in any</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recommendation and appropriate biographical information for the</w:t>
            </w:r>
          </w:p>
        </w:tc>
        <w:tc>
          <w:tcPr>
            <w:tcW w:w="5560" w:type="dxa"/>
            <w:vAlign w:val="bottom"/>
          </w:tcPr>
          <w:p>
            <w:pPr>
              <w:ind w:left="380"/>
              <w:spacing w:after="0"/>
              <w:rPr>
                <w:sz w:val="20"/>
                <w:szCs w:val="20"/>
                <w:color w:val="auto"/>
              </w:rPr>
            </w:pPr>
            <w:r>
              <w:rPr>
                <w:rFonts w:ascii="Arial" w:cs="Arial" w:eastAsia="Arial" w:hAnsi="Arial"/>
                <w:sz w:val="16"/>
                <w:szCs w:val="16"/>
                <w:color w:val="auto"/>
              </w:rPr>
              <w:t>annual meeting proxy statement can equal up to 25% of the number of</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proposed nominee(s). Candidates who are recommended by</w:t>
            </w:r>
          </w:p>
        </w:tc>
        <w:tc>
          <w:tcPr>
            <w:tcW w:w="5560" w:type="dxa"/>
            <w:vAlign w:val="bottom"/>
          </w:tcPr>
          <w:p>
            <w:pPr>
              <w:ind w:left="380"/>
              <w:spacing w:after="0"/>
              <w:rPr>
                <w:sz w:val="20"/>
                <w:szCs w:val="20"/>
                <w:color w:val="auto"/>
              </w:rPr>
            </w:pPr>
            <w:r>
              <w:rPr>
                <w:rFonts w:ascii="Arial" w:cs="Arial" w:eastAsia="Arial" w:hAnsi="Arial"/>
                <w:sz w:val="16"/>
                <w:szCs w:val="16"/>
                <w:color w:val="auto"/>
              </w:rPr>
              <w:t>directors then serving on our Board of Directors. If 25% is not a whole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stockholders will be considered in the same manner as other candidates.</w:t>
            </w:r>
          </w:p>
        </w:tc>
        <w:tc>
          <w:tcPr>
            <w:tcW w:w="5560" w:type="dxa"/>
            <w:vAlign w:val="bottom"/>
          </w:tcPr>
          <w:p>
            <w:pPr>
              <w:ind w:left="380"/>
              <w:spacing w:after="0"/>
              <w:rPr>
                <w:sz w:val="20"/>
                <w:szCs w:val="20"/>
                <w:color w:val="auto"/>
              </w:rPr>
            </w:pPr>
            <w:r>
              <w:rPr>
                <w:rFonts w:ascii="Arial" w:cs="Arial" w:eastAsia="Arial" w:hAnsi="Arial"/>
                <w:sz w:val="16"/>
                <w:szCs w:val="16"/>
                <w:color w:val="auto"/>
              </w:rPr>
              <w:t>number, the maximum number of stockholder-nominated candidates</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For all potential candidates, our Corporate Governance Committee will</w:t>
            </w:r>
          </w:p>
        </w:tc>
        <w:tc>
          <w:tcPr>
            <w:tcW w:w="5560" w:type="dxa"/>
            <w:vAlign w:val="bottom"/>
          </w:tcPr>
          <w:p>
            <w:pPr>
              <w:ind w:left="380"/>
              <w:spacing w:after="0"/>
              <w:rPr>
                <w:sz w:val="20"/>
                <w:szCs w:val="20"/>
                <w:color w:val="auto"/>
              </w:rPr>
            </w:pPr>
            <w:r>
              <w:rPr>
                <w:rFonts w:ascii="Arial" w:cs="Arial" w:eastAsia="Arial" w:hAnsi="Arial"/>
                <w:sz w:val="16"/>
                <w:szCs w:val="16"/>
                <w:color w:val="auto"/>
              </w:rPr>
              <w:t>would be the closest whole number below 25%, subject to a minimum of</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consider all factors it deems relevant, including at a minimum those listed</w:t>
            </w:r>
          </w:p>
        </w:tc>
        <w:tc>
          <w:tcPr>
            <w:tcW w:w="5560" w:type="dxa"/>
            <w:vAlign w:val="bottom"/>
          </w:tcPr>
          <w:p>
            <w:pPr>
              <w:ind w:left="380"/>
              <w:spacing w:after="0"/>
              <w:rPr>
                <w:sz w:val="20"/>
                <w:szCs w:val="20"/>
                <w:color w:val="auto"/>
              </w:rPr>
            </w:pPr>
            <w:r>
              <w:rPr>
                <w:rFonts w:ascii="Arial" w:cs="Arial" w:eastAsia="Arial" w:hAnsi="Arial"/>
                <w:sz w:val="16"/>
                <w:szCs w:val="16"/>
                <w:color w:val="auto"/>
              </w:rPr>
              <w:t>one. A nominee will be counted in determining whether the 25%</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below in the subsection entitled “Director Qualifications, Standards and</w:t>
            </w:r>
          </w:p>
        </w:tc>
        <w:tc>
          <w:tcPr>
            <w:tcW w:w="5560" w:type="dxa"/>
            <w:vAlign w:val="bottom"/>
          </w:tcPr>
          <w:p>
            <w:pPr>
              <w:ind w:left="380"/>
              <w:spacing w:after="0"/>
              <w:rPr>
                <w:sz w:val="20"/>
                <w:szCs w:val="20"/>
                <w:color w:val="auto"/>
              </w:rPr>
            </w:pPr>
            <w:r>
              <w:rPr>
                <w:rFonts w:ascii="Arial" w:cs="Arial" w:eastAsia="Arial" w:hAnsi="Arial"/>
                <w:sz w:val="16"/>
                <w:szCs w:val="16"/>
                <w:color w:val="auto"/>
              </w:rPr>
              <w:t>maximum has been reached if the nominee was included in the proxy</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Diversity.” Director nominations are recommended by our Corporate</w:t>
            </w:r>
          </w:p>
        </w:tc>
        <w:tc>
          <w:tcPr>
            <w:tcW w:w="5560" w:type="dxa"/>
            <w:vAlign w:val="bottom"/>
          </w:tcPr>
          <w:p>
            <w:pPr>
              <w:ind w:left="380"/>
              <w:spacing w:after="0"/>
              <w:rPr>
                <w:sz w:val="20"/>
                <w:szCs w:val="20"/>
                <w:color w:val="auto"/>
              </w:rPr>
            </w:pPr>
            <w:r>
              <w:rPr>
                <w:rFonts w:ascii="Arial" w:cs="Arial" w:eastAsia="Arial" w:hAnsi="Arial"/>
                <w:sz w:val="16"/>
                <w:szCs w:val="16"/>
                <w:color w:val="auto"/>
              </w:rPr>
              <w:t>materials as a Board-nominated candidate, if we have received notice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Governance Committee to our Board of Directors and must be approved</w:t>
            </w:r>
          </w:p>
        </w:tc>
        <w:tc>
          <w:tcPr>
            <w:tcW w:w="5560" w:type="dxa"/>
            <w:vAlign w:val="bottom"/>
          </w:tcPr>
          <w:p>
            <w:pPr>
              <w:ind w:left="380"/>
              <w:spacing w:after="0"/>
              <w:rPr>
                <w:sz w:val="20"/>
                <w:szCs w:val="20"/>
                <w:color w:val="auto"/>
              </w:rPr>
            </w:pPr>
            <w:r>
              <w:rPr>
                <w:rFonts w:ascii="Arial" w:cs="Arial" w:eastAsia="Arial" w:hAnsi="Arial"/>
                <w:sz w:val="16"/>
                <w:szCs w:val="16"/>
                <w:color w:val="auto"/>
              </w:rPr>
              <w:t>that such nominee has been nominated by a stockholder pursuant to</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by a majority of independent directors.</w:t>
            </w:r>
          </w:p>
        </w:tc>
        <w:tc>
          <w:tcPr>
            <w:tcW w:w="5560" w:type="dxa"/>
            <w:vAlign w:val="bottom"/>
          </w:tcPr>
          <w:p>
            <w:pPr>
              <w:ind w:left="380"/>
              <w:spacing w:after="0"/>
              <w:rPr>
                <w:sz w:val="20"/>
                <w:szCs w:val="20"/>
                <w:color w:val="auto"/>
              </w:rPr>
            </w:pPr>
            <w:r>
              <w:rPr>
                <w:rFonts w:ascii="Arial" w:cs="Arial" w:eastAsia="Arial" w:hAnsi="Arial"/>
                <w:sz w:val="16"/>
                <w:szCs w:val="16"/>
                <w:color w:val="auto"/>
              </w:rPr>
              <w:t>our Bylaws, the nominee was submitted under the proxy access</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6"/>
                <w:szCs w:val="16"/>
                <w:color w:val="auto"/>
              </w:rPr>
              <w:t>In addition, our Fourth Amended and Restated Bylaws (Bylaws) contain</w:t>
            </w:r>
          </w:p>
        </w:tc>
        <w:tc>
          <w:tcPr>
            <w:tcW w:w="5560" w:type="dxa"/>
            <w:vAlign w:val="bottom"/>
          </w:tcPr>
          <w:p>
            <w:pPr>
              <w:ind w:left="380"/>
              <w:spacing w:after="0"/>
              <w:rPr>
                <w:sz w:val="20"/>
                <w:szCs w:val="20"/>
                <w:color w:val="auto"/>
              </w:rPr>
            </w:pPr>
            <w:r>
              <w:rPr>
                <w:rFonts w:ascii="Arial" w:cs="Arial" w:eastAsia="Arial" w:hAnsi="Arial"/>
                <w:sz w:val="16"/>
                <w:szCs w:val="16"/>
                <w:color w:val="auto"/>
              </w:rPr>
              <w:t>procedures and later withdrawn or the nominee was nominated in any of</w:t>
            </w: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380"/>
              <w:spacing w:after="0"/>
              <w:rPr>
                <w:sz w:val="20"/>
                <w:szCs w:val="20"/>
                <w:color w:val="auto"/>
              </w:rPr>
            </w:pPr>
            <w:r>
              <w:rPr>
                <w:rFonts w:ascii="Arial" w:cs="Arial" w:eastAsia="Arial" w:hAnsi="Arial"/>
                <w:sz w:val="16"/>
                <w:szCs w:val="16"/>
                <w:color w:val="auto"/>
              </w:rPr>
              <w:t>our three preceding annual meetings and is being recommended by our</w:t>
            </w:r>
          </w:p>
        </w:tc>
        <w:tc>
          <w:tcPr>
            <w:tcW w:w="0" w:type="dxa"/>
            <w:vAlign w:val="bottom"/>
          </w:tcPr>
          <w:p>
            <w:pPr>
              <w:spacing w:after="0"/>
              <w:rPr>
                <w:sz w:val="1"/>
                <w:szCs w:val="1"/>
                <w:color w:val="auto"/>
              </w:rPr>
            </w:pPr>
          </w:p>
        </w:tc>
      </w:tr>
      <w:tr>
        <w:trPr>
          <w:trHeight w:val="108"/>
        </w:trPr>
        <w:tc>
          <w:tcPr>
            <w:tcW w:w="5440" w:type="dxa"/>
            <w:vAlign w:val="bottom"/>
            <w:vMerge w:val="restart"/>
          </w:tcPr>
          <w:p>
            <w:pPr>
              <w:spacing w:after="0"/>
              <w:rPr>
                <w:sz w:val="20"/>
                <w:szCs w:val="20"/>
                <w:color w:val="auto"/>
              </w:rPr>
            </w:pPr>
            <w:r>
              <w:rPr>
                <w:rFonts w:ascii="Arial" w:cs="Arial" w:eastAsia="Arial" w:hAnsi="Arial"/>
                <w:sz w:val="16"/>
                <w:szCs w:val="16"/>
                <w:color w:val="auto"/>
              </w:rPr>
              <w:t>provisions that address the process by which a stockholder may</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5560" w:type="dxa"/>
            <w:vAlign w:val="bottom"/>
            <w:vMerge w:val="restart"/>
          </w:tcPr>
          <w:p>
            <w:pPr>
              <w:ind w:left="380"/>
              <w:spacing w:after="0"/>
              <w:rPr>
                <w:sz w:val="20"/>
                <w:szCs w:val="20"/>
                <w:color w:val="auto"/>
              </w:rPr>
            </w:pPr>
            <w:r>
              <w:rPr>
                <w:rFonts w:ascii="Arial" w:cs="Arial" w:eastAsia="Arial" w:hAnsi="Arial"/>
                <w:sz w:val="16"/>
                <w:szCs w:val="16"/>
                <w:color w:val="auto"/>
              </w:rPr>
              <w:t>Board of Directors for reelection.</w:t>
            </w:r>
          </w:p>
        </w:tc>
        <w:tc>
          <w:tcPr>
            <w:tcW w:w="0" w:type="dxa"/>
            <w:vAlign w:val="bottom"/>
          </w:tcPr>
          <w:p>
            <w:pPr>
              <w:spacing w:after="0"/>
              <w:rPr>
                <w:sz w:val="1"/>
                <w:szCs w:val="1"/>
                <w:color w:val="auto"/>
              </w:rPr>
            </w:pPr>
          </w:p>
        </w:tc>
      </w:tr>
      <w:tr>
        <w:trPr>
          <w:trHeight w:val="134"/>
        </w:trPr>
        <w:tc>
          <w:tcPr>
            <w:tcW w:w="5440" w:type="dxa"/>
            <w:vAlign w:val="bottom"/>
            <w:vMerge w:val="restart"/>
          </w:tcPr>
          <w:p>
            <w:pPr>
              <w:spacing w:after="0"/>
              <w:rPr>
                <w:sz w:val="20"/>
                <w:szCs w:val="20"/>
                <w:color w:val="auto"/>
              </w:rPr>
            </w:pPr>
            <w:r>
              <w:rPr>
                <w:rFonts w:ascii="Arial" w:cs="Arial" w:eastAsia="Arial" w:hAnsi="Arial"/>
                <w:sz w:val="16"/>
                <w:szCs w:val="16"/>
                <w:color w:val="auto"/>
              </w:rPr>
              <w:t>nominate an individual to stand for election to our Board of Directors at an</w:t>
            </w: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440" w:type="dxa"/>
            <w:vAlign w:val="bottom"/>
            <w:vMerge w:val="continue"/>
          </w:tcPr>
          <w:p>
            <w:pPr>
              <w:spacing w:after="0"/>
              <w:rPr>
                <w:sz w:val="4"/>
                <w:szCs w:val="4"/>
                <w:color w:val="auto"/>
              </w:rPr>
            </w:pPr>
          </w:p>
        </w:tc>
        <w:tc>
          <w:tcPr>
            <w:tcW w:w="5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annual meeting of stockholders.</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5440" w:type="dxa"/>
            <w:vAlign w:val="bottom"/>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Stockholder Nominations Not for Inclusion in Company’s Proxy</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40" w:type="dxa"/>
            <w:vAlign w:val="bottom"/>
          </w:tcPr>
          <w:p>
            <w:pPr>
              <w:ind w:left="260"/>
              <w:spacing w:after="0"/>
              <w:rPr>
                <w:sz w:val="20"/>
                <w:szCs w:val="20"/>
                <w:color w:val="auto"/>
              </w:rPr>
            </w:pPr>
            <w:r>
              <w:rPr>
                <w:rFonts w:ascii="Arial" w:cs="Arial" w:eastAsia="Arial" w:hAnsi="Arial"/>
                <w:sz w:val="16"/>
                <w:szCs w:val="16"/>
                <w:i w:val="1"/>
                <w:iCs w:val="1"/>
                <w:color w:val="427F3D"/>
              </w:rPr>
              <w:t xml:space="preserve">Statement. </w:t>
            </w:r>
            <w:r>
              <w:rPr>
                <w:rFonts w:ascii="Arial" w:cs="Arial" w:eastAsia="Arial" w:hAnsi="Arial"/>
                <w:sz w:val="16"/>
                <w:szCs w:val="16"/>
                <w:color w:val="000000"/>
              </w:rPr>
              <w:t>Our Bylaws permit stockholders to</w:t>
            </w: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8 </w:t>
      </w:r>
      <w:r>
        <w:rPr>
          <w:sz w:val="1"/>
          <w:szCs w:val="1"/>
          <w:color w:val="auto"/>
        </w:rPr>
        <w:drawing>
          <wp:inline distT="0" distB="0" distL="0" distR="0">
            <wp:extent cx="38735" cy="1968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2 </w:t>
      </w:r>
      <w:r>
        <w:rPr>
          <w:rFonts w:ascii="Arial" w:cs="Arial" w:eastAsia="Arial" w:hAnsi="Arial"/>
          <w:sz w:val="39"/>
          <w:szCs w:val="39"/>
          <w:color w:val="1A6DBB"/>
        </w:rPr>
        <w:t>Corporate Governance at Biogen</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5" w:lineRule="exact"/>
        <w:rPr>
          <w:sz w:val="20"/>
          <w:szCs w:val="20"/>
          <w:color w:val="auto"/>
        </w:rPr>
      </w:pPr>
    </w:p>
    <w:p>
      <w:pPr>
        <w:jc w:val="both"/>
        <w:ind w:left="340" w:right="20"/>
        <w:spacing w:after="0" w:line="266" w:lineRule="auto"/>
        <w:rPr>
          <w:sz w:val="20"/>
          <w:szCs w:val="20"/>
          <w:color w:val="auto"/>
        </w:rPr>
      </w:pPr>
      <w:r>
        <w:rPr>
          <w:rFonts w:ascii="Arial" w:cs="Arial" w:eastAsia="Arial" w:hAnsi="Arial"/>
          <w:sz w:val="16"/>
          <w:szCs w:val="16"/>
          <w:color w:val="auto"/>
        </w:rPr>
        <w:t>The nominating stockholder or group of stockholders also must deliver the information required by our Bylaws, and each nominee must meet the qualifications required by our Bylaws.</w:t>
      </w:r>
    </w:p>
    <w:p>
      <w:pPr>
        <w:spacing w:after="0" w:line="63" w:lineRule="exact"/>
        <w:rPr>
          <w:sz w:val="20"/>
          <w:szCs w:val="20"/>
          <w:color w:val="auto"/>
        </w:rPr>
      </w:pPr>
    </w:p>
    <w:p>
      <w:pPr>
        <w:ind w:left="340"/>
        <w:spacing w:after="0" w:line="221" w:lineRule="auto"/>
        <w:rPr>
          <w:sz w:val="20"/>
          <w:szCs w:val="20"/>
          <w:color w:val="auto"/>
        </w:rPr>
      </w:pPr>
      <w:r>
        <w:rPr>
          <w:rFonts w:ascii="Arial" w:cs="Arial" w:eastAsia="Arial" w:hAnsi="Arial"/>
          <w:sz w:val="16"/>
          <w:szCs w:val="16"/>
          <w:color w:val="auto"/>
        </w:rPr>
        <w:t>Requests to include stockholder-nominated candidates in our proxy materials for next year’s annual meeting must be received by our Secretary no earlier than November 30, 2022, and no later than December 30, 2022. However, if the 2023 annual meeting of stockholders is called for more than 30 days earlier or later than the anniversary of the Annual Meeting, requests to include stockholder-nominated candidates in our proxy materials for the 2023 annual meeting of stockholders must be received not later than (1)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after public announcement of the date of the 2023 annual meeting of stockholders or (2)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prior to the date we file our proxy statement in connection with the 2023 annual meeting of stockholders.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Annual Elections and Majority Voting</w:t>
      </w:r>
    </w:p>
    <w:p>
      <w:pPr>
        <w:spacing w:after="0" w:line="108"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Our directors are elected annually to serve until the next annual meeting of stockholders and until their successors are duly elected and qualified. Our directors must be elected by a majority of votes cast in uncontested elections (meaning any election for which the number of directors nominated does not exceed the number of directors to be elected at such meeting), and by a plurality of votes cast in contested elections (meaning any election for which the number of directors nominated exceeds the number of directors to be elected at such meeting, regardless who nominated such nominees). In addition, following their appointment or election by stockholders to our Board of Directors, directors must submit an irrevocable resignation that will be effective upon (1) the failure to receive the required number of votes for reelection at the next annual meeting of stockholders at which they face reelection and (2) acceptance of such resignation by our Board of Directors. If an incumbent director fails to receive the number of votes required for reelection, our Board of Directors (excluding the director in question) will, within 90 days after certification of the election results, decide whether to accept the director’s resignation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Our Board of Directors will promptly disclose its decision in a filing with the SEC.</w:t>
      </w: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9 </w:t>
      </w:r>
      <w:r>
        <w:rPr>
          <w:sz w:val="1"/>
          <w:szCs w:val="1"/>
          <w:color w:val="auto"/>
        </w:rPr>
        <w:drawing>
          <wp:inline distT="0" distB="0" distL="0" distR="0">
            <wp:extent cx="38735" cy="1968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37160" cy="196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1A6DBB"/>
        </w:rPr>
        <w:t>Director Qualifications, Standards and Diversity</w:t>
      </w:r>
    </w:p>
    <w:p>
      <w:pPr>
        <w:spacing w:after="0" w:line="122" w:lineRule="exact"/>
        <w:rPr>
          <w:sz w:val="20"/>
          <w:szCs w:val="20"/>
          <w:color w:val="auto"/>
        </w:rPr>
      </w:pPr>
    </w:p>
    <w:p>
      <w:pPr>
        <w:ind w:left="266" w:right="240" w:hanging="266"/>
        <w:spacing w:after="0" w:line="254" w:lineRule="auto"/>
        <w:tabs>
          <w:tab w:leader="none" w:pos="266" w:val="left"/>
        </w:tabs>
        <w:numPr>
          <w:ilvl w:val="0"/>
          <w:numId w:val="20"/>
        </w:numPr>
        <w:rPr>
          <w:rFonts w:ascii="Arial" w:cs="Arial" w:eastAsia="Arial" w:hAnsi="Arial"/>
          <w:sz w:val="16"/>
          <w:szCs w:val="16"/>
          <w:color w:val="1A6DBB"/>
        </w:rPr>
      </w:pPr>
      <w:r>
        <w:rPr>
          <w:rFonts w:ascii="Arial" w:cs="Arial" w:eastAsia="Arial" w:hAnsi="Arial"/>
          <w:sz w:val="16"/>
          <w:szCs w:val="16"/>
          <w:i w:val="1"/>
          <w:iCs w:val="1"/>
          <w:color w:val="427F3D"/>
        </w:rPr>
        <w:t xml:space="preserve">Board Composition. </w:t>
      </w:r>
      <w:r>
        <w:rPr>
          <w:rFonts w:ascii="Arial" w:cs="Arial" w:eastAsia="Arial" w:hAnsi="Arial"/>
          <w:sz w:val="16"/>
          <w:szCs w:val="16"/>
          <w:color w:val="000000"/>
        </w:rPr>
        <w:t>Our Board of Directors is committed to ensuring</w:t>
      </w:r>
      <w:r>
        <w:rPr>
          <w:rFonts w:ascii="Arial" w:cs="Arial" w:eastAsia="Arial" w:hAnsi="Arial"/>
          <w:sz w:val="16"/>
          <w:szCs w:val="16"/>
          <w:i w:val="1"/>
          <w:iCs w:val="1"/>
          <w:color w:val="427F3D"/>
        </w:rPr>
        <w:t xml:space="preserve"> </w:t>
      </w:r>
      <w:r>
        <w:rPr>
          <w:rFonts w:ascii="Arial" w:cs="Arial" w:eastAsia="Arial" w:hAnsi="Arial"/>
          <w:sz w:val="16"/>
          <w:szCs w:val="16"/>
          <w:color w:val="000000"/>
        </w:rPr>
        <w:t>that it is well-equipped to oversee the Company’s business and effectively represent the interests of stockholders. Our Board of Directors regularly reviews its composition to ensure it includes directors with the experience, skills and diversity necessary for effective, independent Board oversight.</w:t>
      </w:r>
    </w:p>
    <w:p>
      <w:pPr>
        <w:spacing w:after="0" w:line="87" w:lineRule="exact"/>
        <w:rPr>
          <w:rFonts w:ascii="Arial" w:cs="Arial" w:eastAsia="Arial" w:hAnsi="Arial"/>
          <w:sz w:val="16"/>
          <w:szCs w:val="16"/>
          <w:color w:val="1A6DBB"/>
        </w:rPr>
      </w:pPr>
    </w:p>
    <w:p>
      <w:pPr>
        <w:ind w:left="266" w:right="40" w:hanging="266"/>
        <w:spacing w:after="0" w:line="254" w:lineRule="auto"/>
        <w:tabs>
          <w:tab w:leader="none" w:pos="266" w:val="left"/>
        </w:tabs>
        <w:numPr>
          <w:ilvl w:val="0"/>
          <w:numId w:val="20"/>
        </w:numPr>
        <w:rPr>
          <w:rFonts w:ascii="Arial" w:cs="Arial" w:eastAsia="Arial" w:hAnsi="Arial"/>
          <w:sz w:val="16"/>
          <w:szCs w:val="16"/>
          <w:color w:val="1A6DBB"/>
        </w:rPr>
      </w:pPr>
      <w:r>
        <w:rPr>
          <w:rFonts w:ascii="Arial" w:cs="Arial" w:eastAsia="Arial" w:hAnsi="Arial"/>
          <w:sz w:val="16"/>
          <w:szCs w:val="16"/>
          <w:i w:val="1"/>
          <w:iCs w:val="1"/>
          <w:color w:val="427F3D"/>
        </w:rPr>
        <w:t xml:space="preserve">General Qualifications and Standards. </w:t>
      </w:r>
      <w:r>
        <w:rPr>
          <w:rFonts w:ascii="Arial" w:cs="Arial" w:eastAsia="Arial" w:hAnsi="Arial"/>
          <w:sz w:val="16"/>
          <w:szCs w:val="16"/>
          <w:color w:val="000000"/>
        </w:rPr>
        <w:t>Our Corporate Governance</w:t>
      </w:r>
      <w:r>
        <w:rPr>
          <w:rFonts w:ascii="Arial" w:cs="Arial" w:eastAsia="Arial" w:hAnsi="Arial"/>
          <w:sz w:val="16"/>
          <w:szCs w:val="16"/>
          <w:i w:val="1"/>
          <w:iCs w:val="1"/>
          <w:color w:val="427F3D"/>
        </w:rPr>
        <w:t xml:space="preserve"> </w:t>
      </w:r>
      <w:r>
        <w:rPr>
          <w:rFonts w:ascii="Arial" w:cs="Arial" w:eastAsia="Arial" w:hAnsi="Arial"/>
          <w:sz w:val="16"/>
          <w:szCs w:val="16"/>
          <w:color w:val="000000"/>
        </w:rPr>
        <w:t>Principles provide that directors should possess the highest personal and professional ethics and integrity, understand and be aligned with our core values and be committed to representing the long-term interests of our stockholders. Our directors must also be inquisitive and objective and have practical wisdom and mature judgment.</w:t>
      </w:r>
    </w:p>
    <w:p>
      <w:pPr>
        <w:spacing w:after="0" w:line="87" w:lineRule="exact"/>
        <w:rPr>
          <w:rFonts w:ascii="Arial" w:cs="Arial" w:eastAsia="Arial" w:hAnsi="Arial"/>
          <w:sz w:val="16"/>
          <w:szCs w:val="16"/>
          <w:color w:val="1A6DBB"/>
        </w:rPr>
      </w:pPr>
    </w:p>
    <w:p>
      <w:pPr>
        <w:ind w:left="266" w:right="20" w:hanging="266"/>
        <w:spacing w:after="0" w:line="248" w:lineRule="auto"/>
        <w:tabs>
          <w:tab w:leader="none" w:pos="266" w:val="left"/>
        </w:tabs>
        <w:numPr>
          <w:ilvl w:val="0"/>
          <w:numId w:val="20"/>
        </w:numPr>
        <w:rPr>
          <w:rFonts w:ascii="Arial" w:cs="Arial" w:eastAsia="Arial" w:hAnsi="Arial"/>
          <w:sz w:val="16"/>
          <w:szCs w:val="16"/>
          <w:color w:val="1A6DBB"/>
        </w:rPr>
      </w:pPr>
      <w:r>
        <w:rPr>
          <w:rFonts w:ascii="Arial" w:cs="Arial" w:eastAsia="Arial" w:hAnsi="Arial"/>
          <w:sz w:val="16"/>
          <w:szCs w:val="16"/>
          <w:i w:val="1"/>
          <w:iCs w:val="1"/>
          <w:color w:val="427F3D"/>
        </w:rPr>
        <w:t xml:space="preserve">Diversity. </w:t>
      </w:r>
      <w:r>
        <w:rPr>
          <w:rFonts w:ascii="Arial" w:cs="Arial" w:eastAsia="Arial" w:hAnsi="Arial"/>
          <w:sz w:val="16"/>
          <w:szCs w:val="16"/>
          <w:color w:val="000000"/>
        </w:rPr>
        <w:t>Our Board of Directors believes that diverse experience and</w:t>
      </w:r>
      <w:r>
        <w:rPr>
          <w:rFonts w:ascii="Arial" w:cs="Arial" w:eastAsia="Arial" w:hAnsi="Arial"/>
          <w:sz w:val="16"/>
          <w:szCs w:val="16"/>
          <w:i w:val="1"/>
          <w:iCs w:val="1"/>
          <w:color w:val="427F3D"/>
        </w:rPr>
        <w:t xml:space="preserve"> </w:t>
      </w:r>
      <w:r>
        <w:rPr>
          <w:rFonts w:ascii="Arial" w:cs="Arial" w:eastAsia="Arial" w:hAnsi="Arial"/>
          <w:sz w:val="16"/>
          <w:szCs w:val="16"/>
          <w:color w:val="000000"/>
        </w:rPr>
        <w:t>personal diversity, including gender, national origin, LGBTQ+ and ethnic and racial diversity, is a benefit to our Board of Directors as a whole and is key to representing the interests of stockholders effectively. In accordance with our Corporate Governance Principles, we endeavor to have a Board of Directors that collectively represents diverse experience at strategic and policy-making levels in business, government, education, healthcare, science and technology and the international arena, and collectively has knowledge and expertise in the functional areas of accounting and finance, risk management and compliance, strategic and business planning, corporate governance, human resources, marketing, commercial and research and development. Consistent with our Corporate Governance Principles, in selecting nominees to our Board of Directors, our Corporate Governance Committee considers the diversity of skills and experience that a potential nominee possesses and the extent to which such diversity would enhance the perspective, background, knowledge and experience of our Board of Directors as a whole.</w:t>
      </w:r>
    </w:p>
    <w:p>
      <w:pPr>
        <w:spacing w:after="0" w:line="101" w:lineRule="exact"/>
        <w:rPr>
          <w:rFonts w:ascii="Arial" w:cs="Arial" w:eastAsia="Arial" w:hAnsi="Arial"/>
          <w:sz w:val="16"/>
          <w:szCs w:val="16"/>
          <w:color w:val="1A6DBB"/>
        </w:rPr>
      </w:pPr>
    </w:p>
    <w:p>
      <w:pPr>
        <w:ind w:left="266" w:hanging="266"/>
        <w:spacing w:after="0" w:line="251" w:lineRule="auto"/>
        <w:tabs>
          <w:tab w:leader="none" w:pos="266" w:val="left"/>
        </w:tabs>
        <w:numPr>
          <w:ilvl w:val="0"/>
          <w:numId w:val="20"/>
        </w:numPr>
        <w:rPr>
          <w:rFonts w:ascii="Arial" w:cs="Arial" w:eastAsia="Arial" w:hAnsi="Arial"/>
          <w:sz w:val="16"/>
          <w:szCs w:val="16"/>
          <w:color w:val="1A6DBB"/>
        </w:rPr>
      </w:pPr>
      <w:r>
        <w:rPr>
          <w:rFonts w:ascii="Arial" w:cs="Arial" w:eastAsia="Arial" w:hAnsi="Arial"/>
          <w:sz w:val="16"/>
          <w:szCs w:val="16"/>
          <w:i w:val="1"/>
          <w:iCs w:val="1"/>
          <w:color w:val="427F3D"/>
        </w:rPr>
        <w:t xml:space="preserve">Director Term and Resignation. </w:t>
      </w:r>
      <w:r>
        <w:rPr>
          <w:rFonts w:ascii="Arial" w:cs="Arial" w:eastAsia="Arial" w:hAnsi="Arial"/>
          <w:sz w:val="16"/>
          <w:szCs w:val="16"/>
          <w:color w:val="000000"/>
        </w:rPr>
        <w:t>Our Board of Directors does not believe</w:t>
      </w:r>
      <w:r>
        <w:rPr>
          <w:rFonts w:ascii="Arial" w:cs="Arial" w:eastAsia="Arial" w:hAnsi="Arial"/>
          <w:sz w:val="16"/>
          <w:szCs w:val="16"/>
          <w:i w:val="1"/>
          <w:iCs w:val="1"/>
          <w:color w:val="427F3D"/>
        </w:rPr>
        <w:t xml:space="preserve"> </w:t>
      </w:r>
      <w:r>
        <w:rPr>
          <w:rFonts w:ascii="Arial" w:cs="Arial" w:eastAsia="Arial" w:hAnsi="Arial"/>
          <w:sz w:val="16"/>
          <w:szCs w:val="16"/>
          <w:color w:val="000000"/>
        </w:rPr>
        <w:t>that arbitrary term limits on directors’ service are appropriate, nor does it believe that directors should expect to be re-nominated. Our Corporate Governance Principles provide that directors should offer their resignation in the event of any significant change in personal circumstances, including a significant change in principal job responsibilities or any circumstances that may adversely affect their ability to effectively carry out their duties and responsibilities or in the case of a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280670</wp:posOffset>
            </wp:positionV>
            <wp:extent cx="102870"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80" w:space="354"/>
            <w:col w:w="5386"/>
          </w:cols>
          <w:pgMar w:left="320" w:top="455"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21"/>
        </w:numPr>
        <w:rPr>
          <w:rFonts w:ascii="Arial" w:cs="Arial" w:eastAsia="Arial" w:hAnsi="Arial"/>
          <w:sz w:val="90"/>
          <w:szCs w:val="90"/>
          <w:color w:val="1A6DBB"/>
        </w:rPr>
      </w:pPr>
      <w:r>
        <w:rPr>
          <w:rFonts w:ascii="Arial" w:cs="Arial" w:eastAsia="Arial" w:hAnsi="Arial"/>
          <w:sz w:val="41"/>
          <w:szCs w:val="41"/>
          <w:color w:val="1A6DBB"/>
        </w:rPr>
        <w:t xml:space="preserve">Corporate Governance at Biogen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nificant conflict of interest that cannot otherwise be resolved. Our</w:t>
            </w:r>
          </w:p>
        </w:tc>
        <w:tc>
          <w:tcPr>
            <w:tcW w:w="5440" w:type="dxa"/>
            <w:vAlign w:val="bottom"/>
          </w:tcPr>
          <w:p>
            <w:pPr>
              <w:ind w:left="440"/>
              <w:spacing w:after="0"/>
              <w:rPr>
                <w:sz w:val="20"/>
                <w:szCs w:val="20"/>
                <w:color w:val="auto"/>
              </w:rPr>
            </w:pPr>
            <w:r>
              <w:rPr>
                <w:rFonts w:ascii="Arial" w:cs="Arial" w:eastAsia="Arial" w:hAnsi="Arial"/>
                <w:sz w:val="16"/>
                <w:szCs w:val="16"/>
                <w:color w:val="auto"/>
              </w:rPr>
              <w:t>effectiveness. Our Corporate Governance Committee oversees the</w:t>
            </w:r>
          </w:p>
        </w:tc>
      </w:t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directors are also expected to offer their resignation to our Board of</w:t>
            </w:r>
          </w:p>
        </w:tc>
        <w:tc>
          <w:tcPr>
            <w:tcW w:w="5440" w:type="dxa"/>
            <w:vAlign w:val="bottom"/>
          </w:tcPr>
          <w:p>
            <w:pPr>
              <w:ind w:left="440"/>
              <w:spacing w:after="0"/>
              <w:rPr>
                <w:sz w:val="20"/>
                <w:szCs w:val="20"/>
                <w:color w:val="auto"/>
              </w:rPr>
            </w:pPr>
            <w:r>
              <w:rPr>
                <w:rFonts w:ascii="Arial" w:cs="Arial" w:eastAsia="Arial" w:hAnsi="Arial"/>
                <w:sz w:val="16"/>
                <w:szCs w:val="16"/>
                <w:color w:val="auto"/>
              </w:rPr>
              <w:t>evaluations and reports the results to our Board of Directors, which</w:t>
            </w:r>
          </w:p>
        </w:tc>
      </w:tr>
      <w:tr>
        <w:trPr>
          <w:trHeight w:val="188"/>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Directors effective at the annual meeting of stockholders in the year of</w:t>
            </w:r>
          </w:p>
        </w:tc>
        <w:tc>
          <w:tcPr>
            <w:tcW w:w="5440" w:type="dxa"/>
            <w:vAlign w:val="bottom"/>
          </w:tcPr>
          <w:p>
            <w:pPr>
              <w:ind w:left="440"/>
              <w:spacing w:after="0"/>
              <w:rPr>
                <w:sz w:val="20"/>
                <w:szCs w:val="20"/>
                <w:color w:val="auto"/>
              </w:rPr>
            </w:pPr>
            <w:r>
              <w:rPr>
                <w:rFonts w:ascii="Arial" w:cs="Arial" w:eastAsia="Arial" w:hAnsi="Arial"/>
                <w:sz w:val="16"/>
                <w:szCs w:val="16"/>
                <w:color w:val="auto"/>
              </w:rPr>
              <w:t>considers the results and ways in which Board processes and</w:t>
            </w:r>
          </w:p>
        </w:tc>
      </w:tr>
      <w:tr>
        <w:trPr>
          <w:trHeight w:val="312"/>
        </w:trPr>
        <w:tc>
          <w:tcPr>
            <w:tcW w:w="28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their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w:t>
            </w:r>
          </w:p>
        </w:tc>
        <w:tc>
          <w:tcPr>
            <w:tcW w:w="5440" w:type="dxa"/>
            <w:vAlign w:val="bottom"/>
          </w:tcPr>
          <w:p>
            <w:pPr>
              <w:ind w:left="440"/>
              <w:spacing w:after="0"/>
              <w:rPr>
                <w:sz w:val="20"/>
                <w:szCs w:val="20"/>
                <w:color w:val="auto"/>
              </w:rPr>
            </w:pPr>
            <w:r>
              <w:rPr>
                <w:rFonts w:ascii="Arial" w:cs="Arial" w:eastAsia="Arial" w:hAnsi="Arial"/>
                <w:sz w:val="16"/>
                <w:szCs w:val="16"/>
                <w:color w:val="auto"/>
              </w:rPr>
              <w:t>effectiveness may be enhanced.</w:t>
            </w:r>
          </w:p>
        </w:tc>
      </w:tr>
      <w:tr>
        <w:trPr>
          <w:trHeight w:val="189"/>
        </w:trPr>
        <w:tc>
          <w:tcPr>
            <w:tcW w:w="5440" w:type="dxa"/>
            <w:vAlign w:val="bottom"/>
            <w:gridSpan w:val="2"/>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Board and Committee Evaluations.</w:t>
            </w:r>
            <w:r>
              <w:rPr>
                <w:rFonts w:ascii="Arial" w:cs="Arial" w:eastAsia="Arial" w:hAnsi="Arial"/>
                <w:sz w:val="16"/>
                <w:szCs w:val="16"/>
                <w:color w:val="1A6DBB"/>
              </w:rPr>
              <w:t xml:space="preserve"> </w:t>
            </w:r>
            <w:r>
              <w:rPr>
                <w:rFonts w:ascii="Arial" w:cs="Arial" w:eastAsia="Arial" w:hAnsi="Arial"/>
                <w:sz w:val="16"/>
                <w:szCs w:val="16"/>
                <w:color w:val="000000"/>
              </w:rPr>
              <w:t>Regular evaluations are an</w:t>
            </w:r>
          </w:p>
        </w:tc>
        <w:tc>
          <w:tcPr>
            <w:tcW w:w="5440" w:type="dxa"/>
            <w:vAlign w:val="bottom"/>
          </w:tcPr>
          <w:p>
            <w:pPr>
              <w:ind w:left="1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Director Orientation and Continuing Education.</w:t>
            </w:r>
            <w:r>
              <w:rPr>
                <w:rFonts w:ascii="Arial" w:cs="Arial" w:eastAsia="Arial" w:hAnsi="Arial"/>
                <w:sz w:val="16"/>
                <w:szCs w:val="16"/>
                <w:color w:val="1A6DBB"/>
              </w:rPr>
              <w:t xml:space="preserve"> </w:t>
            </w:r>
            <w:r>
              <w:rPr>
                <w:rFonts w:ascii="Arial" w:cs="Arial" w:eastAsia="Arial" w:hAnsi="Arial"/>
                <w:sz w:val="16"/>
                <w:szCs w:val="16"/>
                <w:color w:val="000000"/>
              </w:rPr>
              <w:t>We provide orientation</w:t>
            </w:r>
          </w:p>
        </w:tc>
      </w:t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important determinant for continued tenure, and, to that end, our</w:t>
            </w:r>
          </w:p>
        </w:tc>
        <w:tc>
          <w:tcPr>
            <w:tcW w:w="5440" w:type="dxa"/>
            <w:vAlign w:val="bottom"/>
          </w:tcPr>
          <w:p>
            <w:pPr>
              <w:ind w:left="440"/>
              <w:spacing w:after="0"/>
              <w:rPr>
                <w:sz w:val="20"/>
                <w:szCs w:val="20"/>
                <w:color w:val="auto"/>
              </w:rPr>
            </w:pPr>
            <w:r>
              <w:rPr>
                <w:rFonts w:ascii="Arial" w:cs="Arial" w:eastAsia="Arial" w:hAnsi="Arial"/>
                <w:sz w:val="16"/>
                <w:szCs w:val="16"/>
                <w:color w:val="auto"/>
              </w:rPr>
              <w:t>for new directors and provide directors with materials or briefing</w:t>
            </w:r>
          </w:p>
        </w:tc>
      </w:t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Board of Directors and its committees perform a self-evaluation on an</w:t>
            </w:r>
          </w:p>
        </w:tc>
        <w:tc>
          <w:tcPr>
            <w:tcW w:w="5440" w:type="dxa"/>
            <w:vAlign w:val="bottom"/>
          </w:tcPr>
          <w:p>
            <w:pPr>
              <w:ind w:left="440"/>
              <w:spacing w:after="0"/>
              <w:rPr>
                <w:sz w:val="20"/>
                <w:szCs w:val="20"/>
                <w:color w:val="auto"/>
              </w:rPr>
            </w:pPr>
            <w:r>
              <w:rPr>
                <w:rFonts w:ascii="Arial" w:cs="Arial" w:eastAsia="Arial" w:hAnsi="Arial"/>
                <w:sz w:val="16"/>
                <w:szCs w:val="16"/>
                <w:color w:val="auto"/>
              </w:rPr>
              <w:t>sessions on subjects that we believe will assist them in discharging</w:t>
            </w:r>
          </w:p>
        </w:tc>
      </w:t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annual basis that is intended to determine whether our Board, its</w:t>
            </w:r>
          </w:p>
        </w:tc>
        <w:tc>
          <w:tcPr>
            <w:tcW w:w="5440" w:type="dxa"/>
            <w:vAlign w:val="bottom"/>
          </w:tcPr>
          <w:p>
            <w:pPr>
              <w:ind w:left="440"/>
              <w:spacing w:after="0"/>
              <w:rPr>
                <w:sz w:val="20"/>
                <w:szCs w:val="20"/>
                <w:color w:val="auto"/>
              </w:rPr>
            </w:pPr>
            <w:r>
              <w:rPr>
                <w:rFonts w:ascii="Arial" w:cs="Arial" w:eastAsia="Arial" w:hAnsi="Arial"/>
                <w:sz w:val="16"/>
                <w:szCs w:val="16"/>
                <w:color w:val="auto"/>
              </w:rPr>
              <w:t>their duties. We also make director education program information</w:t>
            </w:r>
          </w:p>
        </w:tc>
      </w:t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committees and each member of our Board of Directors are</w:t>
            </w:r>
          </w:p>
        </w:tc>
        <w:tc>
          <w:tcPr>
            <w:tcW w:w="5440" w:type="dxa"/>
            <w:vAlign w:val="bottom"/>
          </w:tcPr>
          <w:p>
            <w:pPr>
              <w:ind w:left="440"/>
              <w:spacing w:after="0"/>
              <w:rPr>
                <w:sz w:val="20"/>
                <w:szCs w:val="20"/>
                <w:color w:val="auto"/>
              </w:rPr>
            </w:pPr>
            <w:r>
              <w:rPr>
                <w:rFonts w:ascii="Arial" w:cs="Arial" w:eastAsia="Arial" w:hAnsi="Arial"/>
                <w:sz w:val="16"/>
                <w:szCs w:val="16"/>
                <w:color w:val="auto"/>
              </w:rPr>
              <w:t>available to directors on a regular basis and encourage directors to</w:t>
            </w:r>
          </w:p>
        </w:tc>
      </w:tr>
      <w:tr>
        <w:trPr>
          <w:trHeight w:val="189"/>
        </w:trPr>
        <w:tc>
          <w:tcPr>
            <w:tcW w:w="28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functioning effectively, and to provide our Board with an opportunity to</w:t>
            </w:r>
          </w:p>
        </w:tc>
        <w:tc>
          <w:tcPr>
            <w:tcW w:w="5440" w:type="dxa"/>
            <w:vAlign w:val="bottom"/>
          </w:tcPr>
          <w:p>
            <w:pPr>
              <w:ind w:left="440"/>
              <w:spacing w:after="0"/>
              <w:rPr>
                <w:sz w:val="20"/>
                <w:szCs w:val="20"/>
                <w:color w:val="auto"/>
              </w:rPr>
            </w:pPr>
            <w:r>
              <w:rPr>
                <w:rFonts w:ascii="Arial" w:cs="Arial" w:eastAsia="Arial" w:hAnsi="Arial"/>
                <w:sz w:val="16"/>
                <w:szCs w:val="16"/>
                <w:color w:val="auto"/>
              </w:rPr>
              <w:t>attend director education programs and reimburse the costs of</w:t>
            </w:r>
          </w:p>
        </w:tc>
      </w:tr>
      <w:tr>
        <w:trPr>
          <w:trHeight w:val="215"/>
        </w:trPr>
        <w:tc>
          <w:tcPr>
            <w:tcW w:w="2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reflect upon and improve processes and</w:t>
            </w:r>
          </w:p>
        </w:tc>
        <w:tc>
          <w:tcPr>
            <w:tcW w:w="5440" w:type="dxa"/>
            <w:vAlign w:val="bottom"/>
          </w:tcPr>
          <w:p>
            <w:pPr>
              <w:ind w:left="440"/>
              <w:spacing w:after="0"/>
              <w:rPr>
                <w:sz w:val="20"/>
                <w:szCs w:val="20"/>
                <w:color w:val="auto"/>
              </w:rPr>
            </w:pPr>
            <w:r>
              <w:rPr>
                <w:rFonts w:ascii="Arial" w:cs="Arial" w:eastAsia="Arial" w:hAnsi="Arial"/>
                <w:sz w:val="16"/>
                <w:szCs w:val="16"/>
                <w:color w:val="auto"/>
              </w:rPr>
              <w:t>attending such programs.</w:t>
            </w:r>
          </w:p>
        </w:tc>
      </w:tr>
      <w:tr>
        <w:trPr>
          <w:trHeight w:val="286"/>
        </w:trPr>
        <w:tc>
          <w:tcPr>
            <w:tcW w:w="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5160" w:type="dxa"/>
            <w:vAlign w:val="bottom"/>
          </w:tcPr>
          <w:p>
            <w:pPr>
              <w:spacing w:after="0"/>
              <w:rPr>
                <w:sz w:val="5"/>
                <w:szCs w:val="5"/>
                <w:color w:val="auto"/>
              </w:rPr>
            </w:pPr>
          </w:p>
        </w:tc>
        <w:tc>
          <w:tcPr>
            <w:tcW w:w="5440" w:type="dxa"/>
            <w:vAlign w:val="bottom"/>
          </w:tcPr>
          <w:p>
            <w:pPr>
              <w:spacing w:after="0"/>
              <w:rPr>
                <w:sz w:val="5"/>
                <w:szCs w:val="5"/>
                <w:color w:val="auto"/>
              </w:rPr>
            </w:pPr>
          </w:p>
        </w:tc>
      </w:tr>
      <w:tr>
        <w:trPr>
          <w:trHeight w:val="164"/>
        </w:trPr>
        <w:tc>
          <w:tcPr>
            <w:tcW w:w="280" w:type="dxa"/>
            <w:vAlign w:val="bottom"/>
            <w:tcBorders>
              <w:left w:val="single" w:sz="8" w:color="1A6DBB"/>
              <w:right w:val="single" w:sz="8" w:color="1A6DBB"/>
            </w:tcBorders>
          </w:tcPr>
          <w:p>
            <w:pPr>
              <w:jc w:val="right"/>
              <w:ind w:right="10"/>
              <w:spacing w:after="0"/>
              <w:rPr>
                <w:sz w:val="20"/>
                <w:szCs w:val="20"/>
                <w:color w:val="auto"/>
              </w:rPr>
            </w:pPr>
            <w:r>
              <w:rPr>
                <w:rFonts w:ascii="Arial" w:cs="Arial" w:eastAsia="Arial" w:hAnsi="Arial"/>
                <w:sz w:val="12"/>
                <w:szCs w:val="12"/>
                <w:color w:val="1A6DBB"/>
              </w:rPr>
              <w:t>10</w:t>
            </w:r>
          </w:p>
        </w:tc>
        <w:tc>
          <w:tcPr>
            <w:tcW w:w="516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25"/>
        </w:trPr>
        <w:tc>
          <w:tcPr>
            <w:tcW w:w="280" w:type="dxa"/>
            <w:vAlign w:val="bottom"/>
            <w:tcBorders>
              <w:left w:val="single" w:sz="8" w:color="1A6DBB"/>
              <w:right w:val="single" w:sz="8" w:color="1A6DBB"/>
            </w:tcBorders>
          </w:tcPr>
          <w:p>
            <w:pPr>
              <w:spacing w:after="0"/>
              <w:rPr>
                <w:sz w:val="2"/>
                <w:szCs w:val="2"/>
                <w:color w:val="auto"/>
              </w:rPr>
            </w:pPr>
          </w:p>
        </w:tc>
        <w:tc>
          <w:tcPr>
            <w:tcW w:w="516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5160" w:type="dxa"/>
            <w:vAlign w:val="bottom"/>
          </w:tcPr>
          <w:p>
            <w:pPr>
              <w:spacing w:after="0"/>
              <w:rPr>
                <w:sz w:val="5"/>
                <w:szCs w:val="5"/>
                <w:color w:val="auto"/>
              </w:rPr>
            </w:pPr>
          </w:p>
        </w:tc>
        <w:tc>
          <w:tcPr>
            <w:tcW w:w="54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-196215</wp:posOffset>
            </wp:positionV>
            <wp:extent cx="41973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90"/>
          <w:szCs w:val="90"/>
          <w:color w:val="1A6DBB"/>
        </w:rPr>
        <w:t xml:space="preserve">3 </w:t>
      </w:r>
      <w:r>
        <w:rPr>
          <w:rFonts w:ascii="Arial" w:cs="Arial" w:eastAsia="Arial" w:hAnsi="Arial"/>
          <w:sz w:val="41"/>
          <w:szCs w:val="41"/>
          <w:color w:val="1A6DBB"/>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-639445</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428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9"/>
          <w:szCs w:val="29"/>
          <w:color w:val="FFFFFF"/>
        </w:rPr>
        <w:t>Proposal 1 – Election of Directors</w:t>
      </w:r>
    </w:p>
    <w:p>
      <w:pPr>
        <w:spacing w:after="0" w:line="346"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We are asking our stockholders to elect the 11 director nominees listed below to serve a one-year term extending until our 2023 annual meeting of stockholders and until their successors are duly elected and qualified, unless they resign or are removed:</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89"/>
        </w:trPr>
        <w:tc>
          <w:tcPr>
            <w:tcW w:w="2680" w:type="dxa"/>
            <w:vAlign w:val="bottom"/>
          </w:tcPr>
          <w:p>
            <w:pPr>
              <w:jc w:val="center"/>
              <w:ind w:right="1119"/>
              <w:spacing w:after="0"/>
              <w:rPr>
                <w:sz w:val="20"/>
                <w:szCs w:val="20"/>
                <w:color w:val="auto"/>
              </w:rPr>
            </w:pPr>
            <w:r>
              <w:rPr>
                <w:rFonts w:ascii="Arial" w:cs="Arial" w:eastAsia="Arial" w:hAnsi="Arial"/>
                <w:sz w:val="16"/>
                <w:szCs w:val="16"/>
                <w:color w:val="auto"/>
              </w:rPr>
              <w:t>Alexander J. Denner</w:t>
            </w:r>
          </w:p>
        </w:tc>
        <w:tc>
          <w:tcPr>
            <w:tcW w:w="3800" w:type="dxa"/>
            <w:vAlign w:val="bottom"/>
          </w:tcPr>
          <w:p>
            <w:pPr>
              <w:jc w:val="center"/>
              <w:ind w:left="119"/>
              <w:spacing w:after="0"/>
              <w:rPr>
                <w:sz w:val="20"/>
                <w:szCs w:val="20"/>
                <w:color w:val="auto"/>
              </w:rPr>
            </w:pPr>
            <w:r>
              <w:rPr>
                <w:rFonts w:ascii="Arial" w:cs="Arial" w:eastAsia="Arial" w:hAnsi="Arial"/>
                <w:sz w:val="16"/>
                <w:szCs w:val="16"/>
                <w:color w:val="auto"/>
              </w:rPr>
              <w:t>William D. Jones</w:t>
            </w:r>
          </w:p>
        </w:tc>
        <w:tc>
          <w:tcPr>
            <w:tcW w:w="2420" w:type="dxa"/>
            <w:vAlign w:val="bottom"/>
          </w:tcPr>
          <w:p>
            <w:pPr>
              <w:jc w:val="center"/>
              <w:ind w:left="919"/>
              <w:spacing w:after="0"/>
              <w:rPr>
                <w:sz w:val="20"/>
                <w:szCs w:val="20"/>
                <w:color w:val="auto"/>
              </w:rPr>
            </w:pPr>
            <w:r>
              <w:rPr>
                <w:rFonts w:ascii="Arial" w:cs="Arial" w:eastAsia="Arial" w:hAnsi="Arial"/>
                <w:sz w:val="16"/>
                <w:szCs w:val="16"/>
                <w:color w:val="auto"/>
              </w:rPr>
              <w:t>Eric K. Rowinsky</w:t>
            </w:r>
          </w:p>
        </w:tc>
      </w:tr>
      <w:tr>
        <w:trPr>
          <w:trHeight w:val="189"/>
        </w:trPr>
        <w:tc>
          <w:tcPr>
            <w:tcW w:w="2680" w:type="dxa"/>
            <w:vAlign w:val="bottom"/>
          </w:tcPr>
          <w:p>
            <w:pPr>
              <w:jc w:val="center"/>
              <w:ind w:right="1119"/>
              <w:spacing w:after="0"/>
              <w:rPr>
                <w:sz w:val="20"/>
                <w:szCs w:val="20"/>
                <w:color w:val="auto"/>
              </w:rPr>
            </w:pPr>
            <w:r>
              <w:rPr>
                <w:rFonts w:ascii="Arial" w:cs="Arial" w:eastAsia="Arial" w:hAnsi="Arial"/>
                <w:sz w:val="16"/>
                <w:szCs w:val="16"/>
                <w:color w:val="auto"/>
              </w:rPr>
              <w:t>Caroline D. Dorsa</w:t>
            </w:r>
          </w:p>
        </w:tc>
        <w:tc>
          <w:tcPr>
            <w:tcW w:w="3800" w:type="dxa"/>
            <w:vAlign w:val="bottom"/>
          </w:tcPr>
          <w:p>
            <w:pPr>
              <w:jc w:val="center"/>
              <w:ind w:left="119"/>
              <w:spacing w:after="0"/>
              <w:rPr>
                <w:sz w:val="20"/>
                <w:szCs w:val="20"/>
                <w:color w:val="auto"/>
              </w:rPr>
            </w:pPr>
            <w:r>
              <w:rPr>
                <w:rFonts w:ascii="Arial" w:cs="Arial" w:eastAsia="Arial" w:hAnsi="Arial"/>
                <w:sz w:val="16"/>
                <w:szCs w:val="16"/>
                <w:color w:val="auto"/>
              </w:rPr>
              <w:t>Jesus B. Mantas</w:t>
            </w:r>
          </w:p>
        </w:tc>
        <w:tc>
          <w:tcPr>
            <w:tcW w:w="2420" w:type="dxa"/>
            <w:vAlign w:val="bottom"/>
          </w:tcPr>
          <w:p>
            <w:pPr>
              <w:jc w:val="center"/>
              <w:ind w:left="919"/>
              <w:spacing w:after="0"/>
              <w:rPr>
                <w:sz w:val="20"/>
                <w:szCs w:val="20"/>
                <w:color w:val="auto"/>
              </w:rPr>
            </w:pPr>
            <w:r>
              <w:rPr>
                <w:rFonts w:ascii="Arial" w:cs="Arial" w:eastAsia="Arial" w:hAnsi="Arial"/>
                <w:sz w:val="16"/>
                <w:szCs w:val="16"/>
                <w:color w:val="auto"/>
              </w:rPr>
              <w:t>Stephen A. Sherwin</w:t>
            </w:r>
          </w:p>
        </w:tc>
      </w:tr>
      <w:tr>
        <w:trPr>
          <w:trHeight w:val="189"/>
        </w:trPr>
        <w:tc>
          <w:tcPr>
            <w:tcW w:w="2680" w:type="dxa"/>
            <w:vAlign w:val="bottom"/>
          </w:tcPr>
          <w:p>
            <w:pPr>
              <w:jc w:val="center"/>
              <w:ind w:right="1119"/>
              <w:spacing w:after="0"/>
              <w:rPr>
                <w:sz w:val="20"/>
                <w:szCs w:val="20"/>
                <w:color w:val="auto"/>
              </w:rPr>
            </w:pPr>
            <w:r>
              <w:rPr>
                <w:rFonts w:ascii="Arial" w:cs="Arial" w:eastAsia="Arial" w:hAnsi="Arial"/>
                <w:sz w:val="16"/>
                <w:szCs w:val="16"/>
                <w:color w:val="auto"/>
              </w:rPr>
              <w:t>Maria C. Freire</w:t>
            </w:r>
          </w:p>
        </w:tc>
        <w:tc>
          <w:tcPr>
            <w:tcW w:w="3800" w:type="dxa"/>
            <w:vAlign w:val="bottom"/>
          </w:tcPr>
          <w:p>
            <w:pPr>
              <w:jc w:val="center"/>
              <w:ind w:left="119"/>
              <w:spacing w:after="0"/>
              <w:rPr>
                <w:sz w:val="20"/>
                <w:szCs w:val="20"/>
                <w:color w:val="auto"/>
              </w:rPr>
            </w:pPr>
            <w:r>
              <w:rPr>
                <w:rFonts w:ascii="Arial" w:cs="Arial" w:eastAsia="Arial" w:hAnsi="Arial"/>
                <w:sz w:val="16"/>
                <w:szCs w:val="16"/>
                <w:color w:val="auto"/>
              </w:rPr>
              <w:t>Richard C. Mulligan</w:t>
            </w:r>
          </w:p>
        </w:tc>
        <w:tc>
          <w:tcPr>
            <w:tcW w:w="2420" w:type="dxa"/>
            <w:vAlign w:val="bottom"/>
          </w:tcPr>
          <w:p>
            <w:pPr>
              <w:jc w:val="center"/>
              <w:ind w:left="919"/>
              <w:spacing w:after="0"/>
              <w:rPr>
                <w:sz w:val="20"/>
                <w:szCs w:val="20"/>
                <w:color w:val="auto"/>
              </w:rPr>
            </w:pPr>
            <w:r>
              <w:rPr>
                <w:rFonts w:ascii="Arial" w:cs="Arial" w:eastAsia="Arial" w:hAnsi="Arial"/>
                <w:sz w:val="16"/>
                <w:szCs w:val="16"/>
                <w:color w:val="auto"/>
                <w:w w:val="99"/>
              </w:rPr>
              <w:t>Michel Vounatsos</w:t>
            </w:r>
          </w:p>
        </w:tc>
      </w:tr>
      <w:tr>
        <w:trPr>
          <w:trHeight w:val="215"/>
        </w:trPr>
        <w:tc>
          <w:tcPr>
            <w:tcW w:w="2680" w:type="dxa"/>
            <w:vAlign w:val="bottom"/>
          </w:tcPr>
          <w:p>
            <w:pPr>
              <w:jc w:val="center"/>
              <w:ind w:right="1119"/>
              <w:spacing w:after="0"/>
              <w:rPr>
                <w:sz w:val="20"/>
                <w:szCs w:val="20"/>
                <w:color w:val="auto"/>
              </w:rPr>
            </w:pPr>
            <w:r>
              <w:rPr>
                <w:rFonts w:ascii="Arial" w:cs="Arial" w:eastAsia="Arial" w:hAnsi="Arial"/>
                <w:sz w:val="16"/>
                <w:szCs w:val="16"/>
                <w:color w:val="auto"/>
                <w:w w:val="99"/>
              </w:rPr>
              <w:t>William A. Hawkins</w:t>
            </w:r>
          </w:p>
        </w:tc>
        <w:tc>
          <w:tcPr>
            <w:tcW w:w="3800" w:type="dxa"/>
            <w:vAlign w:val="bottom"/>
          </w:tcPr>
          <w:p>
            <w:pPr>
              <w:jc w:val="center"/>
              <w:ind w:left="119"/>
              <w:spacing w:after="0"/>
              <w:rPr>
                <w:sz w:val="20"/>
                <w:szCs w:val="20"/>
                <w:color w:val="auto"/>
              </w:rPr>
            </w:pPr>
            <w:r>
              <w:rPr>
                <w:rFonts w:ascii="Arial" w:cs="Arial" w:eastAsia="Arial" w:hAnsi="Arial"/>
                <w:sz w:val="16"/>
                <w:szCs w:val="16"/>
                <w:color w:val="auto"/>
              </w:rPr>
              <w:t>Stelios Papadopoulos</w:t>
            </w:r>
          </w:p>
        </w:tc>
        <w:tc>
          <w:tcPr>
            <w:tcW w:w="2420" w:type="dxa"/>
            <w:vAlign w:val="bottom"/>
          </w:tcPr>
          <w:p>
            <w:pPr>
              <w:spacing w:after="0"/>
              <w:rPr>
                <w:sz w:val="18"/>
                <w:szCs w:val="18"/>
                <w:color w:val="auto"/>
              </w:rPr>
            </w:pPr>
          </w:p>
        </w:tc>
      </w:tr>
    </w:tbl>
    <w:p>
      <w:pPr>
        <w:spacing w:after="0" w:line="8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Board of Directors has nominated these 11 individuals based on its carefully considered judgment that the experience, qualifications, attributes and skills of our nominees qualify them to serve on our Board of Directors. As described in detail below, our nominees have considerable professional and business expertise. We know of no reason why any nominee would be unable to accept nomination or election.</w:t>
      </w:r>
    </w:p>
    <w:p>
      <w:pPr>
        <w:spacing w:after="0" w:line="63"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If any nominee is unable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 (1) identifies the alternate nominee(s), (2) discloses that such nominees have consented to being named in the revised proxy statement and to serve if elected and (3) includes the disclosure required by Item 7 of Schedule 14A with respect to such nominees. All nominees have consented to be named in this Proxy Statement and to serve if elected. As previously disclosed, Ms. Leaming and Mr. Posner are retiring effective as of the Annual Meeting.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Director Skills and Qualifications</w:t>
      </w:r>
    </w:p>
    <w:p>
      <w:pPr>
        <w:spacing w:after="0" w:line="10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Corporate Governance Committee believes that the 11 director nominees collectively have the skills, experience, diversity and character to execute the Board of Directors’ responsibilities. The following is a summary of those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3103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03415" cy="3103245"/>
                    </a:xfrm>
                    <a:prstGeom prst="rect">
                      <a:avLst/>
                    </a:prstGeom>
                    <a:noFill/>
                  </pic:spPr>
                </pic:pic>
              </a:graphicData>
            </a:graphic>
          </wp:anchor>
        </w:drawing>
      </w:r>
    </w:p>
    <w:p>
      <w:pPr>
        <w:spacing w:after="0" w:line="157" w:lineRule="exact"/>
        <w:rPr>
          <w:sz w:val="20"/>
          <w:szCs w:val="20"/>
          <w:color w:val="auto"/>
        </w:rPr>
      </w:pPr>
    </w:p>
    <w:tbl>
      <w:tblPr>
        <w:tblLayout w:type="fixed"/>
        <w:tblInd w:w="130" w:type="dxa"/>
        <w:tblCellMar>
          <w:top w:w="0" w:type="dxa"/>
          <w:left w:w="0" w:type="dxa"/>
          <w:bottom w:w="0" w:type="dxa"/>
          <w:right w:w="0" w:type="dxa"/>
        </w:tblCellMar>
      </w:tblPr>
      <w:tr>
        <w:trPr>
          <w:trHeight w:val="1539"/>
        </w:trPr>
        <w:tc>
          <w:tcPr>
            <w:tcW w:w="5320" w:type="dxa"/>
            <w:vAlign w:val="bottom"/>
            <w:tcBorders>
              <w:top w:val="single" w:sz="8" w:color="1A6DBB"/>
              <w:left w:val="single" w:sz="8" w:color="1A6DBB"/>
            </w:tcBorders>
            <w:gridSpan w:val="2"/>
            <w:shd w:val="clear" w:color="auto" w:fill="1A6DBB"/>
          </w:tcPr>
          <w:p>
            <w:pPr>
              <w:ind w:left="80"/>
              <w:spacing w:after="0"/>
              <w:rPr>
                <w:sz w:val="20"/>
                <w:szCs w:val="20"/>
                <w:color w:val="auto"/>
              </w:rPr>
            </w:pPr>
            <w:r>
              <w:rPr>
                <w:rFonts w:ascii="Arial" w:cs="Arial" w:eastAsia="Arial" w:hAnsi="Arial"/>
                <w:sz w:val="14"/>
                <w:szCs w:val="14"/>
                <w:b w:val="1"/>
                <w:bCs w:val="1"/>
                <w:color w:val="FFFFFF"/>
              </w:rPr>
              <w:t>Attributes, Experience and Skills</w:t>
            </w: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50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48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40" w:type="dxa"/>
            <w:vAlign w:val="bottom"/>
            <w:tcBorders>
              <w:top w:val="single" w:sz="8" w:color="1A6DBB"/>
            </w:tcBorders>
            <w:shd w:val="clear" w:color="auto" w:fill="1A6DBB"/>
          </w:tcPr>
          <w:p>
            <w:pPr>
              <w:spacing w:after="0"/>
              <w:rPr>
                <w:sz w:val="24"/>
                <w:szCs w:val="24"/>
                <w:color w:val="auto"/>
              </w:rPr>
            </w:pPr>
          </w:p>
        </w:tc>
        <w:tc>
          <w:tcPr>
            <w:tcW w:w="540" w:type="dxa"/>
            <w:vAlign w:val="bottom"/>
            <w:tcBorders>
              <w:top w:val="single" w:sz="8" w:color="1A6DBB"/>
            </w:tcBorders>
            <w:shd w:val="clear" w:color="auto" w:fill="1A6DBB"/>
          </w:tcPr>
          <w:p>
            <w:pPr>
              <w:spacing w:after="0"/>
              <w:rPr>
                <w:sz w:val="24"/>
                <w:szCs w:val="24"/>
                <w:color w:val="auto"/>
              </w:rPr>
            </w:pPr>
          </w:p>
        </w:tc>
      </w:tr>
      <w:tr>
        <w:trPr>
          <w:trHeight w:val="255"/>
        </w:trPr>
        <w:tc>
          <w:tcPr>
            <w:tcW w:w="532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General Management Experience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532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Financial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532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Audit Committee Financial Expertise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48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532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Mergers &amp; Acquisitions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532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Scientific Research Experience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spacing w:after="0"/>
              <w:rPr>
                <w:sz w:val="22"/>
                <w:szCs w:val="22"/>
                <w:color w:val="auto"/>
              </w:rPr>
            </w:pP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2"/>
                <w:szCs w:val="22"/>
                <w:color w:val="auto"/>
              </w:rPr>
            </w:pPr>
          </w:p>
        </w:tc>
      </w:tr>
      <w:tr>
        <w:trPr>
          <w:trHeight w:val="257"/>
        </w:trPr>
        <w:tc>
          <w:tcPr>
            <w:tcW w:w="532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Drug Development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spacing w:after="0"/>
              <w:rPr>
                <w:sz w:val="22"/>
                <w:szCs w:val="22"/>
                <w:color w:val="auto"/>
              </w:rPr>
            </w:pPr>
          </w:p>
        </w:tc>
        <w:tc>
          <w:tcPr>
            <w:tcW w:w="48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532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Commercial Experience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40" w:type="dxa"/>
            <w:vAlign w:val="bottom"/>
            <w:shd w:val="clear" w:color="auto" w:fill="E8F0F8"/>
          </w:tcPr>
          <w:p>
            <w:pPr>
              <w:spacing w:after="0"/>
              <w:rPr>
                <w:sz w:val="22"/>
                <w:szCs w:val="22"/>
                <w:color w:val="auto"/>
              </w:rPr>
            </w:pP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532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International Business Experience</w:t>
            </w:r>
          </w:p>
        </w:tc>
        <w:tc>
          <w:tcPr>
            <w:tcW w:w="520" w:type="dxa"/>
            <w:vAlign w:val="bottom"/>
            <w:tcBorders>
              <w:right w:val="single" w:sz="8" w:color="FCFCFC"/>
            </w:tcBorders>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40" w:type="dxa"/>
            <w:vAlign w:val="bottom"/>
            <w:shd w:val="clear" w:color="auto" w:fill="BAD3EA"/>
          </w:tcPr>
          <w:p>
            <w:pPr>
              <w:spacing w:after="0"/>
              <w:rPr>
                <w:sz w:val="22"/>
                <w:szCs w:val="22"/>
                <w:color w:val="auto"/>
              </w:rPr>
            </w:pP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532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Public Policy Experience</w:t>
            </w:r>
          </w:p>
        </w:tc>
        <w:tc>
          <w:tcPr>
            <w:tcW w:w="520" w:type="dxa"/>
            <w:vAlign w:val="bottom"/>
            <w:tcBorders>
              <w:right w:val="single" w:sz="8" w:color="FCFCFC"/>
            </w:tcBorders>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532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Operations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6"/>
        </w:trPr>
        <w:tc>
          <w:tcPr>
            <w:tcW w:w="532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Environmental, Social, Governance Experience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532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Diversity</w:t>
            </w:r>
          </w:p>
        </w:tc>
        <w:tc>
          <w:tcPr>
            <w:tcW w:w="520" w:type="dxa"/>
            <w:vAlign w:val="bottom"/>
            <w:tcBorders>
              <w:right w:val="single" w:sz="8" w:color="FCFCFC"/>
            </w:tcBorders>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40" w:type="dxa"/>
            <w:vAlign w:val="bottom"/>
            <w:shd w:val="clear" w:color="auto" w:fill="BAD3EA"/>
          </w:tcPr>
          <w:p>
            <w:pPr>
              <w:spacing w:after="0"/>
              <w:rPr>
                <w:sz w:val="22"/>
                <w:szCs w:val="22"/>
                <w:color w:val="auto"/>
              </w:rPr>
            </w:pPr>
          </w:p>
        </w:tc>
        <w:tc>
          <w:tcPr>
            <w:tcW w:w="540" w:type="dxa"/>
            <w:vAlign w:val="bottom"/>
            <w:shd w:val="clear" w:color="auto" w:fill="BAD3EA"/>
          </w:tcPr>
          <w:p>
            <w:pPr>
              <w:spacing w:after="0"/>
              <w:rPr>
                <w:sz w:val="22"/>
                <w:szCs w:val="22"/>
                <w:color w:val="auto"/>
              </w:rPr>
            </w:pPr>
          </w:p>
        </w:tc>
      </w:tr>
      <w:tr>
        <w:trPr>
          <w:trHeight w:val="256"/>
        </w:trPr>
        <w:tc>
          <w:tcPr>
            <w:tcW w:w="5320" w:type="dxa"/>
            <w:vAlign w:val="bottom"/>
            <w:tcBorders>
              <w:left w:val="single" w:sz="8" w:color="E8F0F8"/>
              <w:bottom w:val="single" w:sz="8" w:color="auto"/>
            </w:tcBorders>
            <w:gridSpan w:val="2"/>
            <w:shd w:val="clear" w:color="auto" w:fill="E8F0F8"/>
          </w:tcPr>
          <w:p>
            <w:pPr>
              <w:ind w:left="80"/>
              <w:spacing w:after="0"/>
              <w:rPr>
                <w:sz w:val="20"/>
                <w:szCs w:val="20"/>
                <w:color w:val="auto"/>
              </w:rPr>
            </w:pPr>
            <w:r>
              <w:rPr>
                <w:rFonts w:ascii="Arial" w:cs="Arial" w:eastAsia="Arial" w:hAnsi="Arial"/>
                <w:sz w:val="16"/>
                <w:szCs w:val="16"/>
                <w:color w:val="auto"/>
              </w:rPr>
              <w:t>Other Public Company Board Service</w:t>
            </w:r>
          </w:p>
        </w:tc>
        <w:tc>
          <w:tcPr>
            <w:tcW w:w="520" w:type="dxa"/>
            <w:vAlign w:val="bottom"/>
            <w:tcBorders>
              <w:bottom w:val="single" w:sz="8" w:color="auto"/>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Borders>
              <w:bottom w:val="single" w:sz="8" w:color="auto"/>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tcBorders>
              <w:bottom w:val="single" w:sz="8" w:color="auto"/>
            </w:tcBorders>
            <w:shd w:val="clear" w:color="auto" w:fill="E8F0F8"/>
          </w:tcPr>
          <w:p>
            <w:pPr>
              <w:spacing w:after="0"/>
              <w:rPr>
                <w:sz w:val="22"/>
                <w:szCs w:val="22"/>
                <w:color w:val="auto"/>
              </w:rPr>
            </w:pPr>
          </w:p>
        </w:tc>
        <w:tc>
          <w:tcPr>
            <w:tcW w:w="520" w:type="dxa"/>
            <w:vAlign w:val="bottom"/>
            <w:tcBorders>
              <w:bottom w:val="single" w:sz="8" w:color="auto"/>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bottom w:val="single" w:sz="8" w:color="auto"/>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Borders>
              <w:bottom w:val="single" w:sz="8" w:color="auto"/>
            </w:tcBorders>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Borders>
              <w:bottom w:val="single" w:sz="8" w:color="auto"/>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142"/>
        </w:trPr>
        <w:tc>
          <w:tcPr>
            <w:tcW w:w="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5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r>
      <w:tr>
        <w:trPr>
          <w:trHeight w:val="164"/>
        </w:trPr>
        <w:tc>
          <w:tcPr>
            <w:tcW w:w="280" w:type="dxa"/>
            <w:vAlign w:val="bottom"/>
            <w:tcBorders>
              <w:left w:val="single" w:sz="8" w:color="1A6DBB"/>
              <w:right w:val="single" w:sz="8" w:color="1A6DBB"/>
            </w:tcBorders>
          </w:tcPr>
          <w:p>
            <w:pPr>
              <w:ind w:left="60"/>
              <w:spacing w:after="0"/>
              <w:rPr>
                <w:sz w:val="20"/>
                <w:szCs w:val="20"/>
                <w:color w:val="auto"/>
              </w:rPr>
            </w:pPr>
            <w:r>
              <w:rPr>
                <w:rFonts w:ascii="Arial" w:cs="Arial" w:eastAsia="Arial" w:hAnsi="Arial"/>
                <w:sz w:val="12"/>
                <w:szCs w:val="12"/>
                <w:color w:val="1A6DBB"/>
              </w:rPr>
              <w:t>11</w:t>
            </w:r>
          </w:p>
        </w:tc>
        <w:tc>
          <w:tcPr>
            <w:tcW w:w="5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5"/>
        </w:trPr>
        <w:tc>
          <w:tcPr>
            <w:tcW w:w="280" w:type="dxa"/>
            <w:vAlign w:val="bottom"/>
            <w:tcBorders>
              <w:left w:val="single" w:sz="8" w:color="1A6DBB"/>
              <w:right w:val="single" w:sz="8" w:color="1A6DBB"/>
            </w:tcBorders>
          </w:tcPr>
          <w:p>
            <w:pPr>
              <w:spacing w:after="0"/>
              <w:rPr>
                <w:sz w:val="2"/>
                <w:szCs w:val="2"/>
                <w:color w:val="auto"/>
              </w:rPr>
            </w:pPr>
          </w:p>
        </w:tc>
        <w:tc>
          <w:tcPr>
            <w:tcW w:w="5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5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-196850</wp:posOffset>
            </wp:positionV>
            <wp:extent cx="41973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22"/>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258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FFFFFF"/>
        </w:rPr>
        <w:t>Board Diversity Matrix (April 21, 2022)</w:t>
      </w:r>
    </w:p>
    <w:p>
      <w:pPr>
        <w:spacing w:after="0" w:line="35" w:lineRule="exact"/>
        <w:rPr>
          <w:sz w:val="20"/>
          <w:szCs w:val="20"/>
          <w:color w:val="auto"/>
        </w:rPr>
      </w:pPr>
    </w:p>
    <w:tbl>
      <w:tblPr>
        <w:tblLayout w:type="fixed"/>
        <w:tblInd w:w="140" w:type="dxa"/>
        <w:tblCellMar>
          <w:top w:w="0" w:type="dxa"/>
          <w:left w:w="0" w:type="dxa"/>
          <w:bottom w:w="0" w:type="dxa"/>
          <w:right w:w="0" w:type="dxa"/>
        </w:tblCellMar>
      </w:tblPr>
      <w:tr>
        <w:trPr>
          <w:trHeight w:val="235"/>
        </w:trPr>
        <w:tc>
          <w:tcPr>
            <w:tcW w:w="4200" w:type="dxa"/>
            <w:vAlign w:val="bottom"/>
            <w:tcBorders>
              <w:top w:val="single" w:sz="8" w:color="auto"/>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rPr>
              <w:t>Total Number of Directors</w:t>
            </w:r>
          </w:p>
        </w:tc>
        <w:tc>
          <w:tcPr>
            <w:tcW w:w="880" w:type="dxa"/>
            <w:vAlign w:val="bottom"/>
            <w:tcBorders>
              <w:top w:val="single" w:sz="8" w:color="auto"/>
              <w:bottom w:val="single" w:sz="8" w:color="auto"/>
              <w:right w:val="single" w:sz="8" w:color="auto"/>
            </w:tcBorders>
            <w:shd w:val="clear" w:color="auto" w:fill="E8F0F8"/>
          </w:tcPr>
          <w:p>
            <w:pPr>
              <w:spacing w:after="0"/>
              <w:rPr>
                <w:sz w:val="20"/>
                <w:szCs w:val="20"/>
                <w:color w:val="auto"/>
              </w:rPr>
            </w:pPr>
          </w:p>
        </w:tc>
        <w:tc>
          <w:tcPr>
            <w:tcW w:w="1120" w:type="dxa"/>
            <w:vAlign w:val="bottom"/>
            <w:tcBorders>
              <w:top w:val="single" w:sz="8" w:color="auto"/>
              <w:bottom w:val="single" w:sz="8" w:color="auto"/>
              <w:right w:val="single" w:sz="8" w:color="E8F0F8"/>
            </w:tcBorders>
            <w:shd w:val="clear" w:color="auto" w:fill="E8F0F8"/>
          </w:tcPr>
          <w:p>
            <w:pPr>
              <w:spacing w:after="0"/>
              <w:rPr>
                <w:sz w:val="20"/>
                <w:szCs w:val="20"/>
                <w:color w:val="auto"/>
              </w:rPr>
            </w:pPr>
          </w:p>
        </w:tc>
        <w:tc>
          <w:tcPr>
            <w:tcW w:w="200" w:type="dxa"/>
            <w:vAlign w:val="bottom"/>
            <w:tcBorders>
              <w:top w:val="single" w:sz="8" w:color="auto"/>
              <w:bottom w:val="single" w:sz="8" w:color="auto"/>
            </w:tcBorders>
            <w:shd w:val="clear" w:color="auto" w:fill="E8F0F8"/>
          </w:tcPr>
          <w:p>
            <w:pPr>
              <w:spacing w:after="0"/>
              <w:rPr>
                <w:sz w:val="20"/>
                <w:szCs w:val="20"/>
                <w:color w:val="auto"/>
              </w:rPr>
            </w:pPr>
          </w:p>
        </w:tc>
        <w:tc>
          <w:tcPr>
            <w:tcW w:w="660" w:type="dxa"/>
            <w:vAlign w:val="bottom"/>
            <w:tcBorders>
              <w:top w:val="single" w:sz="8" w:color="auto"/>
              <w:bottom w:val="single" w:sz="8" w:color="auto"/>
              <w:right w:val="single" w:sz="8" w:color="E8F0F8"/>
            </w:tcBorders>
            <w:shd w:val="clear" w:color="auto" w:fill="E8F0F8"/>
          </w:tcPr>
          <w:p>
            <w:pPr>
              <w:spacing w:after="0"/>
              <w:rPr>
                <w:sz w:val="20"/>
                <w:szCs w:val="20"/>
                <w:color w:val="auto"/>
              </w:rPr>
            </w:pPr>
          </w:p>
        </w:tc>
        <w:tc>
          <w:tcPr>
            <w:tcW w:w="1440" w:type="dxa"/>
            <w:vAlign w:val="bottom"/>
            <w:tcBorders>
              <w:top w:val="single" w:sz="8" w:color="auto"/>
              <w:bottom w:val="single" w:sz="8" w:color="auto"/>
              <w:right w:val="single" w:sz="8" w:color="E8F0F8"/>
            </w:tcBorders>
            <w:shd w:val="clear" w:color="auto" w:fill="E8F0F8"/>
          </w:tcPr>
          <w:p>
            <w:pPr>
              <w:jc w:val="center"/>
              <w:ind w:left="488"/>
              <w:spacing w:after="0"/>
              <w:rPr>
                <w:sz w:val="20"/>
                <w:szCs w:val="20"/>
                <w:color w:val="auto"/>
              </w:rPr>
            </w:pPr>
            <w:r>
              <w:rPr>
                <w:rFonts w:ascii="Arial" w:cs="Arial" w:eastAsia="Arial" w:hAnsi="Arial"/>
                <w:sz w:val="14"/>
                <w:szCs w:val="14"/>
                <w:color w:val="auto"/>
              </w:rPr>
              <w:t>13</w:t>
            </w:r>
          </w:p>
        </w:tc>
        <w:tc>
          <w:tcPr>
            <w:tcW w:w="2480" w:type="dxa"/>
            <w:vAlign w:val="bottom"/>
            <w:tcBorders>
              <w:top w:val="single" w:sz="8" w:color="auto"/>
              <w:bottom w:val="single" w:sz="8" w:color="auto"/>
            </w:tcBorders>
            <w:shd w:val="clear" w:color="auto" w:fill="E8F0F8"/>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239"/>
        </w:trPr>
        <w:tc>
          <w:tcPr>
            <w:tcW w:w="4200" w:type="dxa"/>
            <w:vAlign w:val="bottom"/>
            <w:tcBorders>
              <w:bottom w:val="single" w:sz="8" w:color="auto"/>
            </w:tcBorders>
            <w:shd w:val="clear" w:color="auto" w:fill="1A6DBB"/>
          </w:tcPr>
          <w:p>
            <w:pPr>
              <w:spacing w:after="0"/>
              <w:rPr>
                <w:sz w:val="20"/>
                <w:szCs w:val="20"/>
                <w:color w:val="auto"/>
              </w:rPr>
            </w:pPr>
          </w:p>
        </w:tc>
        <w:tc>
          <w:tcPr>
            <w:tcW w:w="880" w:type="dxa"/>
            <w:vAlign w:val="bottom"/>
            <w:tcBorders>
              <w:bottom w:val="single" w:sz="8" w:color="auto"/>
              <w:right w:val="single" w:sz="8" w:color="auto"/>
            </w:tcBorders>
            <w:shd w:val="clear" w:color="auto" w:fill="1A6DBB"/>
          </w:tcPr>
          <w:p>
            <w:pPr>
              <w:spacing w:after="0"/>
              <w:rPr>
                <w:sz w:val="20"/>
                <w:szCs w:val="20"/>
                <w:color w:val="auto"/>
              </w:rPr>
            </w:pPr>
          </w:p>
        </w:tc>
        <w:tc>
          <w:tcPr>
            <w:tcW w:w="1120" w:type="dxa"/>
            <w:vAlign w:val="bottom"/>
            <w:tcBorders>
              <w:bottom w:val="single" w:sz="8" w:color="auto"/>
              <w:right w:val="single" w:sz="8" w:color="auto"/>
            </w:tcBorders>
            <w:shd w:val="clear" w:color="auto" w:fill="1A6DBB"/>
          </w:tcPr>
          <w:p>
            <w:pPr>
              <w:jc w:val="center"/>
              <w:spacing w:after="0"/>
              <w:rPr>
                <w:sz w:val="20"/>
                <w:szCs w:val="20"/>
                <w:color w:val="auto"/>
              </w:rPr>
            </w:pPr>
            <w:r>
              <w:rPr>
                <w:rFonts w:ascii="Arial" w:cs="Arial" w:eastAsia="Arial" w:hAnsi="Arial"/>
                <w:sz w:val="14"/>
                <w:szCs w:val="14"/>
                <w:b w:val="1"/>
                <w:bCs w:val="1"/>
                <w:color w:val="FFFFFF"/>
              </w:rPr>
              <w:t>Female</w:t>
            </w:r>
          </w:p>
        </w:tc>
        <w:tc>
          <w:tcPr>
            <w:tcW w:w="200" w:type="dxa"/>
            <w:vAlign w:val="bottom"/>
            <w:tcBorders>
              <w:bottom w:val="single" w:sz="8" w:color="auto"/>
            </w:tcBorders>
            <w:shd w:val="clear" w:color="auto" w:fill="1A6DBB"/>
          </w:tcPr>
          <w:p>
            <w:pPr>
              <w:spacing w:after="0"/>
              <w:rPr>
                <w:sz w:val="20"/>
                <w:szCs w:val="20"/>
                <w:color w:val="auto"/>
              </w:rPr>
            </w:pPr>
          </w:p>
        </w:tc>
        <w:tc>
          <w:tcPr>
            <w:tcW w:w="660" w:type="dxa"/>
            <w:vAlign w:val="bottom"/>
            <w:tcBorders>
              <w:bottom w:val="single" w:sz="8" w:color="auto"/>
              <w:right w:val="single" w:sz="8" w:color="auto"/>
            </w:tcBorders>
            <w:shd w:val="clear" w:color="auto" w:fill="1A6DBB"/>
          </w:tcPr>
          <w:p>
            <w:pPr>
              <w:ind w:left="100"/>
              <w:spacing w:after="0"/>
              <w:rPr>
                <w:sz w:val="20"/>
                <w:szCs w:val="20"/>
                <w:color w:val="auto"/>
              </w:rPr>
            </w:pPr>
            <w:r>
              <w:rPr>
                <w:rFonts w:ascii="Arial" w:cs="Arial" w:eastAsia="Arial" w:hAnsi="Arial"/>
                <w:sz w:val="14"/>
                <w:szCs w:val="14"/>
                <w:b w:val="1"/>
                <w:bCs w:val="1"/>
                <w:color w:val="FFFFFF"/>
              </w:rPr>
              <w:t>Male</w:t>
            </w:r>
          </w:p>
        </w:tc>
        <w:tc>
          <w:tcPr>
            <w:tcW w:w="1440" w:type="dxa"/>
            <w:vAlign w:val="bottom"/>
            <w:tcBorders>
              <w:bottom w:val="single" w:sz="8" w:color="auto"/>
              <w:right w:val="single" w:sz="8" w:color="auto"/>
            </w:tcBorders>
            <w:shd w:val="clear" w:color="auto" w:fill="1A6DBB"/>
          </w:tcPr>
          <w:p>
            <w:pPr>
              <w:jc w:val="center"/>
              <w:spacing w:after="0"/>
              <w:rPr>
                <w:sz w:val="20"/>
                <w:szCs w:val="20"/>
                <w:color w:val="auto"/>
              </w:rPr>
            </w:pPr>
            <w:r>
              <w:rPr>
                <w:rFonts w:ascii="Arial" w:cs="Arial" w:eastAsia="Arial" w:hAnsi="Arial"/>
                <w:sz w:val="14"/>
                <w:szCs w:val="14"/>
                <w:b w:val="1"/>
                <w:bCs w:val="1"/>
                <w:color w:val="FFFFFF"/>
              </w:rPr>
              <w:t>Non-Binary</w:t>
            </w:r>
          </w:p>
        </w:tc>
        <w:tc>
          <w:tcPr>
            <w:tcW w:w="2480" w:type="dxa"/>
            <w:vAlign w:val="bottom"/>
            <w:tcBorders>
              <w:bottom w:val="single" w:sz="8" w:color="auto"/>
            </w:tcBorders>
            <w:shd w:val="clear" w:color="auto" w:fill="1A6DBB"/>
          </w:tcPr>
          <w:p>
            <w:pPr>
              <w:jc w:val="center"/>
              <w:spacing w:after="0"/>
              <w:rPr>
                <w:sz w:val="20"/>
                <w:szCs w:val="20"/>
                <w:color w:val="auto"/>
              </w:rPr>
            </w:pPr>
            <w:r>
              <w:rPr>
                <w:rFonts w:ascii="Arial" w:cs="Arial" w:eastAsia="Arial" w:hAnsi="Arial"/>
                <w:sz w:val="14"/>
                <w:szCs w:val="14"/>
                <w:b w:val="1"/>
                <w:bCs w:val="1"/>
                <w:color w:val="FFFFFF"/>
              </w:rPr>
              <w:t>Did Not Disclose Gender</w:t>
            </w:r>
          </w:p>
        </w:tc>
        <w:tc>
          <w:tcPr>
            <w:tcW w:w="20" w:type="dxa"/>
            <w:vAlign w:val="bottom"/>
            <w:tcBorders>
              <w:bottom w:val="single" w:sz="8" w:color="auto"/>
            </w:tcBorders>
          </w:tcPr>
          <w:p>
            <w:pPr>
              <w:spacing w:after="0"/>
              <w:rPr>
                <w:sz w:val="20"/>
                <w:szCs w:val="20"/>
                <w:color w:val="auto"/>
              </w:rPr>
            </w:pPr>
          </w:p>
        </w:tc>
      </w:tr>
      <w:tr>
        <w:trPr>
          <w:trHeight w:val="236"/>
        </w:trPr>
        <w:tc>
          <w:tcPr>
            <w:tcW w:w="4200" w:type="dxa"/>
            <w:vAlign w:val="bottom"/>
            <w:tcBorders>
              <w:bottom w:val="single" w:sz="8" w:color="auto"/>
            </w:tcBorders>
            <w:shd w:val="clear" w:color="auto" w:fill="1A6DBB"/>
          </w:tcPr>
          <w:p>
            <w:pPr>
              <w:spacing w:after="0"/>
              <w:rPr>
                <w:sz w:val="20"/>
                <w:szCs w:val="20"/>
                <w:color w:val="auto"/>
              </w:rPr>
            </w:pPr>
          </w:p>
        </w:tc>
        <w:tc>
          <w:tcPr>
            <w:tcW w:w="2200" w:type="dxa"/>
            <w:vAlign w:val="bottom"/>
            <w:tcBorders>
              <w:bottom w:val="single" w:sz="8" w:color="auto"/>
            </w:tcBorders>
            <w:gridSpan w:val="3"/>
            <w:shd w:val="clear" w:color="auto" w:fill="1A6DBB"/>
          </w:tcPr>
          <w:p>
            <w:pPr>
              <w:jc w:val="center"/>
              <w:ind w:left="428"/>
              <w:spacing w:after="0"/>
              <w:rPr>
                <w:sz w:val="20"/>
                <w:szCs w:val="20"/>
                <w:color w:val="auto"/>
              </w:rPr>
            </w:pPr>
            <w:r>
              <w:rPr>
                <w:rFonts w:ascii="Arial" w:cs="Arial" w:eastAsia="Arial" w:hAnsi="Arial"/>
                <w:sz w:val="14"/>
                <w:szCs w:val="14"/>
                <w:b w:val="1"/>
                <w:bCs w:val="1"/>
                <w:color w:val="FFFFFF"/>
              </w:rPr>
              <w:t>Part I: Gender Identity</w:t>
            </w:r>
          </w:p>
        </w:tc>
        <w:tc>
          <w:tcPr>
            <w:tcW w:w="660" w:type="dxa"/>
            <w:vAlign w:val="bottom"/>
            <w:tcBorders>
              <w:bottom w:val="single" w:sz="8" w:color="auto"/>
              <w:right w:val="single" w:sz="8" w:color="1A6DBB"/>
            </w:tcBorders>
            <w:shd w:val="clear" w:color="auto" w:fill="1A6DBB"/>
          </w:tcPr>
          <w:p>
            <w:pPr>
              <w:spacing w:after="0"/>
              <w:rPr>
                <w:sz w:val="20"/>
                <w:szCs w:val="20"/>
                <w:color w:val="auto"/>
              </w:rPr>
            </w:pPr>
          </w:p>
        </w:tc>
        <w:tc>
          <w:tcPr>
            <w:tcW w:w="1440" w:type="dxa"/>
            <w:vAlign w:val="bottom"/>
            <w:tcBorders>
              <w:bottom w:val="single" w:sz="8" w:color="auto"/>
              <w:right w:val="single" w:sz="8" w:color="1A6DBB"/>
            </w:tcBorders>
            <w:shd w:val="clear" w:color="auto" w:fill="1A6DBB"/>
          </w:tcPr>
          <w:p>
            <w:pPr>
              <w:spacing w:after="0"/>
              <w:rPr>
                <w:sz w:val="20"/>
                <w:szCs w:val="20"/>
                <w:color w:val="auto"/>
              </w:rPr>
            </w:pPr>
          </w:p>
        </w:tc>
        <w:tc>
          <w:tcPr>
            <w:tcW w:w="2480" w:type="dxa"/>
            <w:vAlign w:val="bottom"/>
            <w:tcBorders>
              <w:bottom w:val="single" w:sz="8" w:color="auto"/>
            </w:tcBorders>
            <w:shd w:val="clear" w:color="auto" w:fill="1A6DBB"/>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4200" w:type="dxa"/>
            <w:vAlign w:val="bottom"/>
            <w:tcBorders>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w w:val="99"/>
              </w:rPr>
              <w:t>Directors</w:t>
            </w:r>
          </w:p>
        </w:tc>
        <w:tc>
          <w:tcPr>
            <w:tcW w:w="880" w:type="dxa"/>
            <w:vAlign w:val="bottom"/>
            <w:tcBorders>
              <w:bottom w:val="single" w:sz="8" w:color="auto"/>
              <w:right w:val="single" w:sz="8" w:color="auto"/>
            </w:tcBorders>
            <w:shd w:val="clear" w:color="auto" w:fill="E8F0F8"/>
          </w:tcPr>
          <w:p>
            <w:pPr>
              <w:spacing w:after="0"/>
              <w:rPr>
                <w:sz w:val="20"/>
                <w:szCs w:val="20"/>
                <w:color w:val="auto"/>
              </w:rPr>
            </w:pPr>
          </w:p>
        </w:tc>
        <w:tc>
          <w:tcPr>
            <w:tcW w:w="112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E8F0F8"/>
          </w:tcPr>
          <w:p>
            <w:pPr>
              <w:spacing w:after="0"/>
              <w:rPr>
                <w:sz w:val="20"/>
                <w:szCs w:val="20"/>
                <w:color w:val="auto"/>
              </w:rPr>
            </w:pPr>
          </w:p>
        </w:tc>
        <w:tc>
          <w:tcPr>
            <w:tcW w:w="660" w:type="dxa"/>
            <w:vAlign w:val="bottom"/>
            <w:tcBorders>
              <w:bottom w:val="single" w:sz="8" w:color="auto"/>
              <w:right w:val="single" w:sz="8" w:color="auto"/>
            </w:tcBorders>
            <w:shd w:val="clear" w:color="auto" w:fill="E8F0F8"/>
          </w:tcPr>
          <w:p>
            <w:pPr>
              <w:jc w:val="center"/>
              <w:ind w:right="68"/>
              <w:spacing w:after="0"/>
              <w:rPr>
                <w:sz w:val="20"/>
                <w:szCs w:val="20"/>
                <w:color w:val="auto"/>
              </w:rPr>
            </w:pPr>
            <w:r>
              <w:rPr>
                <w:rFonts w:ascii="Arial" w:cs="Arial" w:eastAsia="Arial" w:hAnsi="Arial"/>
                <w:sz w:val="14"/>
                <w:szCs w:val="14"/>
                <w:color w:val="auto"/>
              </w:rPr>
              <w:t>10</w:t>
            </w:r>
          </w:p>
        </w:tc>
        <w:tc>
          <w:tcPr>
            <w:tcW w:w="144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9"/>
        </w:trPr>
        <w:tc>
          <w:tcPr>
            <w:tcW w:w="4200" w:type="dxa"/>
            <w:vAlign w:val="bottom"/>
            <w:tcBorders>
              <w:bottom w:val="single" w:sz="8" w:color="auto"/>
            </w:tcBorders>
            <w:shd w:val="clear" w:color="auto" w:fill="1A6DBB"/>
          </w:tcPr>
          <w:p>
            <w:pPr>
              <w:spacing w:after="0"/>
              <w:rPr>
                <w:sz w:val="20"/>
                <w:szCs w:val="20"/>
                <w:color w:val="auto"/>
              </w:rPr>
            </w:pPr>
          </w:p>
        </w:tc>
        <w:tc>
          <w:tcPr>
            <w:tcW w:w="2860" w:type="dxa"/>
            <w:vAlign w:val="bottom"/>
            <w:tcBorders>
              <w:bottom w:val="single" w:sz="8" w:color="auto"/>
              <w:right w:val="single" w:sz="8" w:color="1A6DBB"/>
            </w:tcBorders>
            <w:gridSpan w:val="4"/>
            <w:shd w:val="clear" w:color="auto" w:fill="1A6DBB"/>
          </w:tcPr>
          <w:p>
            <w:pPr>
              <w:jc w:val="center"/>
              <w:ind w:right="108"/>
              <w:spacing w:after="0"/>
              <w:rPr>
                <w:sz w:val="20"/>
                <w:szCs w:val="20"/>
                <w:color w:val="auto"/>
              </w:rPr>
            </w:pPr>
            <w:r>
              <w:rPr>
                <w:rFonts w:ascii="Arial" w:cs="Arial" w:eastAsia="Arial" w:hAnsi="Arial"/>
                <w:sz w:val="14"/>
                <w:szCs w:val="14"/>
                <w:b w:val="1"/>
                <w:bCs w:val="1"/>
                <w:color w:val="FFFFFF"/>
              </w:rPr>
              <w:t>Part II: Demographic Background</w:t>
            </w:r>
          </w:p>
        </w:tc>
        <w:tc>
          <w:tcPr>
            <w:tcW w:w="1440" w:type="dxa"/>
            <w:vAlign w:val="bottom"/>
            <w:tcBorders>
              <w:bottom w:val="single" w:sz="8" w:color="auto"/>
              <w:right w:val="single" w:sz="8" w:color="1A6DBB"/>
            </w:tcBorders>
            <w:shd w:val="clear" w:color="auto" w:fill="1A6DBB"/>
          </w:tcPr>
          <w:p>
            <w:pPr>
              <w:spacing w:after="0"/>
              <w:rPr>
                <w:sz w:val="20"/>
                <w:szCs w:val="20"/>
                <w:color w:val="auto"/>
              </w:rPr>
            </w:pPr>
          </w:p>
        </w:tc>
        <w:tc>
          <w:tcPr>
            <w:tcW w:w="2480" w:type="dxa"/>
            <w:vAlign w:val="bottom"/>
            <w:tcBorders>
              <w:bottom w:val="single" w:sz="8" w:color="auto"/>
            </w:tcBorders>
            <w:shd w:val="clear" w:color="auto" w:fill="1A6DBB"/>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3"/>
        </w:trPr>
        <w:tc>
          <w:tcPr>
            <w:tcW w:w="4200" w:type="dxa"/>
            <w:vAlign w:val="bottom"/>
            <w:tcBorders>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rPr>
              <w:t>African American or Black</w:t>
            </w:r>
          </w:p>
        </w:tc>
        <w:tc>
          <w:tcPr>
            <w:tcW w:w="880" w:type="dxa"/>
            <w:vAlign w:val="bottom"/>
            <w:tcBorders>
              <w:bottom w:val="single" w:sz="8" w:color="auto"/>
              <w:right w:val="single" w:sz="8" w:color="auto"/>
            </w:tcBorders>
            <w:shd w:val="clear" w:color="auto" w:fill="E8F0F8"/>
          </w:tcPr>
          <w:p>
            <w:pPr>
              <w:spacing w:after="0"/>
              <w:rPr>
                <w:sz w:val="20"/>
                <w:szCs w:val="20"/>
                <w:color w:val="auto"/>
              </w:rPr>
            </w:pPr>
          </w:p>
        </w:tc>
        <w:tc>
          <w:tcPr>
            <w:tcW w:w="112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E8F0F8"/>
          </w:tcPr>
          <w:p>
            <w:pPr>
              <w:spacing w:after="0"/>
              <w:rPr>
                <w:sz w:val="20"/>
                <w:szCs w:val="20"/>
                <w:color w:val="auto"/>
              </w:rPr>
            </w:pPr>
          </w:p>
        </w:tc>
        <w:tc>
          <w:tcPr>
            <w:tcW w:w="660" w:type="dxa"/>
            <w:vAlign w:val="bottom"/>
            <w:tcBorders>
              <w:bottom w:val="single" w:sz="8" w:color="auto"/>
              <w:right w:val="single" w:sz="8" w:color="auto"/>
            </w:tcBorders>
            <w:shd w:val="clear" w:color="auto" w:fill="E8F0F8"/>
          </w:tcPr>
          <w:p>
            <w:pPr>
              <w:jc w:val="center"/>
              <w:ind w:right="68"/>
              <w:spacing w:after="0"/>
              <w:rPr>
                <w:sz w:val="20"/>
                <w:szCs w:val="20"/>
                <w:color w:val="auto"/>
              </w:rPr>
            </w:pPr>
            <w:r>
              <w:rPr>
                <w:rFonts w:ascii="Arial" w:cs="Arial" w:eastAsia="Arial" w:hAnsi="Arial"/>
                <w:sz w:val="14"/>
                <w:szCs w:val="14"/>
                <w:color w:val="auto"/>
              </w:rPr>
              <w:t>1</w:t>
            </w:r>
          </w:p>
        </w:tc>
        <w:tc>
          <w:tcPr>
            <w:tcW w:w="144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BAD3EA"/>
          </w:tcPr>
          <w:p>
            <w:pPr>
              <w:jc w:val="center"/>
              <w:ind w:left="928"/>
              <w:spacing w:after="0"/>
              <w:rPr>
                <w:sz w:val="20"/>
                <w:szCs w:val="20"/>
                <w:color w:val="auto"/>
              </w:rPr>
            </w:pPr>
            <w:r>
              <w:rPr>
                <w:rFonts w:ascii="Arial" w:cs="Arial" w:eastAsia="Arial" w:hAnsi="Arial"/>
                <w:sz w:val="14"/>
                <w:szCs w:val="14"/>
                <w:color w:val="auto"/>
              </w:rPr>
              <w:t>Alaskan Native or Native American</w:t>
            </w:r>
          </w:p>
        </w:tc>
        <w:tc>
          <w:tcPr>
            <w:tcW w:w="880" w:type="dxa"/>
            <w:vAlign w:val="bottom"/>
            <w:tcBorders>
              <w:bottom w:val="single" w:sz="8" w:color="auto"/>
              <w:right w:val="single" w:sz="8" w:color="auto"/>
            </w:tcBorders>
            <w:shd w:val="clear" w:color="auto" w:fill="BAD3EA"/>
          </w:tcPr>
          <w:p>
            <w:pPr>
              <w:spacing w:after="0"/>
              <w:rPr>
                <w:sz w:val="20"/>
                <w:szCs w:val="20"/>
                <w:color w:val="auto"/>
              </w:rPr>
            </w:pPr>
          </w:p>
        </w:tc>
        <w:tc>
          <w:tcPr>
            <w:tcW w:w="1120" w:type="dxa"/>
            <w:vAlign w:val="bottom"/>
            <w:tcBorders>
              <w:bottom w:val="single" w:sz="8" w:color="auto"/>
              <w:right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BAD3EA"/>
          </w:tcPr>
          <w:p>
            <w:pPr>
              <w:spacing w:after="0"/>
              <w:rPr>
                <w:sz w:val="20"/>
                <w:szCs w:val="20"/>
                <w:color w:val="auto"/>
              </w:rPr>
            </w:pPr>
          </w:p>
        </w:tc>
        <w:tc>
          <w:tcPr>
            <w:tcW w:w="660" w:type="dxa"/>
            <w:vAlign w:val="bottom"/>
            <w:tcBorders>
              <w:bottom w:val="single" w:sz="8" w:color="auto"/>
              <w:right w:val="single" w:sz="8" w:color="auto"/>
            </w:tcBorders>
            <w:shd w:val="clear" w:color="auto" w:fill="BAD3EA"/>
          </w:tcPr>
          <w:p>
            <w:pPr>
              <w:jc w:val="center"/>
              <w:ind w:right="68"/>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rPr>
              <w:t>Asian</w:t>
            </w:r>
          </w:p>
        </w:tc>
        <w:tc>
          <w:tcPr>
            <w:tcW w:w="880" w:type="dxa"/>
            <w:vAlign w:val="bottom"/>
            <w:tcBorders>
              <w:bottom w:val="single" w:sz="8" w:color="auto"/>
              <w:right w:val="single" w:sz="8" w:color="auto"/>
            </w:tcBorders>
            <w:shd w:val="clear" w:color="auto" w:fill="E8F0F8"/>
          </w:tcPr>
          <w:p>
            <w:pPr>
              <w:spacing w:after="0"/>
              <w:rPr>
                <w:sz w:val="20"/>
                <w:szCs w:val="20"/>
                <w:color w:val="auto"/>
              </w:rPr>
            </w:pPr>
          </w:p>
        </w:tc>
        <w:tc>
          <w:tcPr>
            <w:tcW w:w="112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E8F0F8"/>
          </w:tcPr>
          <w:p>
            <w:pPr>
              <w:spacing w:after="0"/>
              <w:rPr>
                <w:sz w:val="20"/>
                <w:szCs w:val="20"/>
                <w:color w:val="auto"/>
              </w:rPr>
            </w:pPr>
          </w:p>
        </w:tc>
        <w:tc>
          <w:tcPr>
            <w:tcW w:w="660" w:type="dxa"/>
            <w:vAlign w:val="bottom"/>
            <w:tcBorders>
              <w:bottom w:val="single" w:sz="8" w:color="auto"/>
              <w:right w:val="single" w:sz="8" w:color="auto"/>
            </w:tcBorders>
            <w:shd w:val="clear" w:color="auto" w:fill="E8F0F8"/>
          </w:tcPr>
          <w:p>
            <w:pPr>
              <w:jc w:val="center"/>
              <w:ind w:right="68"/>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BAD3EA"/>
          </w:tcPr>
          <w:p>
            <w:pPr>
              <w:jc w:val="center"/>
              <w:ind w:left="928"/>
              <w:spacing w:after="0"/>
              <w:rPr>
                <w:sz w:val="20"/>
                <w:szCs w:val="20"/>
                <w:color w:val="auto"/>
              </w:rPr>
            </w:pPr>
            <w:r>
              <w:rPr>
                <w:rFonts w:ascii="Arial" w:cs="Arial" w:eastAsia="Arial" w:hAnsi="Arial"/>
                <w:sz w:val="14"/>
                <w:szCs w:val="14"/>
                <w:color w:val="auto"/>
              </w:rPr>
              <w:t>Hispanic or Latinx</w:t>
            </w:r>
          </w:p>
        </w:tc>
        <w:tc>
          <w:tcPr>
            <w:tcW w:w="880" w:type="dxa"/>
            <w:vAlign w:val="bottom"/>
            <w:tcBorders>
              <w:bottom w:val="single" w:sz="8" w:color="auto"/>
              <w:right w:val="single" w:sz="8" w:color="auto"/>
            </w:tcBorders>
            <w:shd w:val="clear" w:color="auto" w:fill="BAD3EA"/>
          </w:tcPr>
          <w:p>
            <w:pPr>
              <w:spacing w:after="0"/>
              <w:rPr>
                <w:sz w:val="20"/>
                <w:szCs w:val="20"/>
                <w:color w:val="auto"/>
              </w:rPr>
            </w:pPr>
          </w:p>
        </w:tc>
        <w:tc>
          <w:tcPr>
            <w:tcW w:w="1120" w:type="dxa"/>
            <w:vAlign w:val="bottom"/>
            <w:tcBorders>
              <w:bottom w:val="single" w:sz="8" w:color="auto"/>
              <w:right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shd w:val="clear" w:color="auto" w:fill="BAD3EA"/>
          </w:tcPr>
          <w:p>
            <w:pPr>
              <w:spacing w:after="0"/>
              <w:rPr>
                <w:sz w:val="20"/>
                <w:szCs w:val="20"/>
                <w:color w:val="auto"/>
              </w:rPr>
            </w:pPr>
          </w:p>
        </w:tc>
        <w:tc>
          <w:tcPr>
            <w:tcW w:w="660" w:type="dxa"/>
            <w:vAlign w:val="bottom"/>
            <w:tcBorders>
              <w:bottom w:val="single" w:sz="8" w:color="auto"/>
              <w:right w:val="single" w:sz="8" w:color="auto"/>
            </w:tcBorders>
            <w:shd w:val="clear" w:color="auto" w:fill="BAD3EA"/>
          </w:tcPr>
          <w:p>
            <w:pPr>
              <w:jc w:val="center"/>
              <w:ind w:right="68"/>
              <w:spacing w:after="0"/>
              <w:rPr>
                <w:sz w:val="20"/>
                <w:szCs w:val="20"/>
                <w:color w:val="auto"/>
              </w:rPr>
            </w:pPr>
            <w:r>
              <w:rPr>
                <w:rFonts w:ascii="Arial" w:cs="Arial" w:eastAsia="Arial" w:hAnsi="Arial"/>
                <w:sz w:val="14"/>
                <w:szCs w:val="14"/>
                <w:color w:val="auto"/>
              </w:rPr>
              <w:t>1</w:t>
            </w:r>
          </w:p>
        </w:tc>
        <w:tc>
          <w:tcPr>
            <w:tcW w:w="1440" w:type="dxa"/>
            <w:vAlign w:val="bottom"/>
            <w:tcBorders>
              <w:bottom w:val="single" w:sz="8" w:color="auto"/>
              <w:right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rPr>
              <w:t>Native Hawaiian or Pacific Islander</w:t>
            </w:r>
          </w:p>
        </w:tc>
        <w:tc>
          <w:tcPr>
            <w:tcW w:w="880" w:type="dxa"/>
            <w:vAlign w:val="bottom"/>
            <w:tcBorders>
              <w:bottom w:val="single" w:sz="8" w:color="auto"/>
              <w:right w:val="single" w:sz="8" w:color="auto"/>
            </w:tcBorders>
            <w:shd w:val="clear" w:color="auto" w:fill="E8F0F8"/>
          </w:tcPr>
          <w:p>
            <w:pPr>
              <w:spacing w:after="0"/>
              <w:rPr>
                <w:sz w:val="20"/>
                <w:szCs w:val="20"/>
                <w:color w:val="auto"/>
              </w:rPr>
            </w:pPr>
          </w:p>
        </w:tc>
        <w:tc>
          <w:tcPr>
            <w:tcW w:w="112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E8F0F8"/>
          </w:tcPr>
          <w:p>
            <w:pPr>
              <w:spacing w:after="0"/>
              <w:rPr>
                <w:sz w:val="20"/>
                <w:szCs w:val="20"/>
                <w:color w:val="auto"/>
              </w:rPr>
            </w:pPr>
          </w:p>
        </w:tc>
        <w:tc>
          <w:tcPr>
            <w:tcW w:w="660" w:type="dxa"/>
            <w:vAlign w:val="bottom"/>
            <w:tcBorders>
              <w:bottom w:val="single" w:sz="8" w:color="auto"/>
              <w:right w:val="single" w:sz="8" w:color="auto"/>
            </w:tcBorders>
            <w:shd w:val="clear" w:color="auto" w:fill="E8F0F8"/>
          </w:tcPr>
          <w:p>
            <w:pPr>
              <w:jc w:val="center"/>
              <w:ind w:right="68"/>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6"/>
        </w:trPr>
        <w:tc>
          <w:tcPr>
            <w:tcW w:w="4200" w:type="dxa"/>
            <w:vAlign w:val="bottom"/>
            <w:tcBorders>
              <w:bottom w:val="single" w:sz="8" w:color="auto"/>
            </w:tcBorders>
            <w:shd w:val="clear" w:color="auto" w:fill="BAD3EA"/>
          </w:tcPr>
          <w:p>
            <w:pPr>
              <w:jc w:val="center"/>
              <w:ind w:left="928"/>
              <w:spacing w:after="0"/>
              <w:rPr>
                <w:sz w:val="20"/>
                <w:szCs w:val="20"/>
                <w:color w:val="auto"/>
              </w:rPr>
            </w:pPr>
            <w:r>
              <w:rPr>
                <w:rFonts w:ascii="Arial" w:cs="Arial" w:eastAsia="Arial" w:hAnsi="Arial"/>
                <w:sz w:val="14"/>
                <w:szCs w:val="14"/>
                <w:color w:val="auto"/>
              </w:rPr>
              <w:t>White</w:t>
            </w:r>
          </w:p>
        </w:tc>
        <w:tc>
          <w:tcPr>
            <w:tcW w:w="880" w:type="dxa"/>
            <w:vAlign w:val="bottom"/>
            <w:tcBorders>
              <w:bottom w:val="single" w:sz="8" w:color="auto"/>
              <w:right w:val="single" w:sz="8" w:color="auto"/>
            </w:tcBorders>
            <w:shd w:val="clear" w:color="auto" w:fill="BAD3EA"/>
          </w:tcPr>
          <w:p>
            <w:pPr>
              <w:spacing w:after="0"/>
              <w:rPr>
                <w:sz w:val="20"/>
                <w:szCs w:val="20"/>
                <w:color w:val="auto"/>
              </w:rPr>
            </w:pPr>
          </w:p>
        </w:tc>
        <w:tc>
          <w:tcPr>
            <w:tcW w:w="1120" w:type="dxa"/>
            <w:vAlign w:val="bottom"/>
            <w:tcBorders>
              <w:bottom w:val="single" w:sz="8" w:color="auto"/>
              <w:right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BAD3EA"/>
          </w:tcPr>
          <w:p>
            <w:pPr>
              <w:spacing w:after="0"/>
              <w:rPr>
                <w:sz w:val="20"/>
                <w:szCs w:val="20"/>
                <w:color w:val="auto"/>
              </w:rPr>
            </w:pPr>
          </w:p>
        </w:tc>
        <w:tc>
          <w:tcPr>
            <w:tcW w:w="660" w:type="dxa"/>
            <w:vAlign w:val="bottom"/>
            <w:tcBorders>
              <w:bottom w:val="single" w:sz="8" w:color="auto"/>
              <w:right w:val="single" w:sz="8" w:color="auto"/>
            </w:tcBorders>
            <w:shd w:val="clear" w:color="auto" w:fill="BAD3EA"/>
          </w:tcPr>
          <w:p>
            <w:pPr>
              <w:jc w:val="center"/>
              <w:ind w:right="68"/>
              <w:spacing w:after="0"/>
              <w:rPr>
                <w:sz w:val="20"/>
                <w:szCs w:val="20"/>
                <w:color w:val="auto"/>
              </w:rPr>
            </w:pPr>
            <w:r>
              <w:rPr>
                <w:rFonts w:ascii="Arial" w:cs="Arial" w:eastAsia="Arial" w:hAnsi="Arial"/>
                <w:sz w:val="14"/>
                <w:szCs w:val="14"/>
                <w:color w:val="auto"/>
              </w:rPr>
              <w:t>7</w:t>
            </w:r>
          </w:p>
        </w:tc>
        <w:tc>
          <w:tcPr>
            <w:tcW w:w="1440" w:type="dxa"/>
            <w:vAlign w:val="bottom"/>
            <w:tcBorders>
              <w:bottom w:val="single" w:sz="8" w:color="auto"/>
              <w:right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rPr>
              <w:t>Two or More Races or Ethnicities</w:t>
            </w:r>
          </w:p>
        </w:tc>
        <w:tc>
          <w:tcPr>
            <w:tcW w:w="880" w:type="dxa"/>
            <w:vAlign w:val="bottom"/>
            <w:tcBorders>
              <w:bottom w:val="single" w:sz="8" w:color="auto"/>
              <w:right w:val="single" w:sz="8" w:color="auto"/>
            </w:tcBorders>
            <w:shd w:val="clear" w:color="auto" w:fill="E8F0F8"/>
          </w:tcPr>
          <w:p>
            <w:pPr>
              <w:spacing w:after="0"/>
              <w:rPr>
                <w:sz w:val="20"/>
                <w:szCs w:val="20"/>
                <w:color w:val="auto"/>
              </w:rPr>
            </w:pPr>
          </w:p>
        </w:tc>
        <w:tc>
          <w:tcPr>
            <w:tcW w:w="112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E8F0F8"/>
          </w:tcPr>
          <w:p>
            <w:pPr>
              <w:spacing w:after="0"/>
              <w:rPr>
                <w:sz w:val="20"/>
                <w:szCs w:val="20"/>
                <w:color w:val="auto"/>
              </w:rPr>
            </w:pPr>
          </w:p>
        </w:tc>
        <w:tc>
          <w:tcPr>
            <w:tcW w:w="660" w:type="dxa"/>
            <w:vAlign w:val="bottom"/>
            <w:tcBorders>
              <w:bottom w:val="single" w:sz="8" w:color="auto"/>
              <w:right w:val="single" w:sz="8" w:color="auto"/>
            </w:tcBorders>
            <w:shd w:val="clear" w:color="auto" w:fill="E8F0F8"/>
          </w:tcPr>
          <w:p>
            <w:pPr>
              <w:jc w:val="center"/>
              <w:ind w:right="68"/>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0</w:t>
            </w: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BAD3EA"/>
          </w:tcPr>
          <w:p>
            <w:pPr>
              <w:jc w:val="center"/>
              <w:ind w:left="928"/>
              <w:spacing w:after="0"/>
              <w:rPr>
                <w:sz w:val="20"/>
                <w:szCs w:val="20"/>
                <w:color w:val="auto"/>
              </w:rPr>
            </w:pPr>
            <w:r>
              <w:rPr>
                <w:rFonts w:ascii="Arial" w:cs="Arial" w:eastAsia="Arial" w:hAnsi="Arial"/>
                <w:sz w:val="14"/>
                <w:szCs w:val="14"/>
                <w:color w:val="auto"/>
              </w:rPr>
              <w:t>LGBTQ+</w:t>
            </w:r>
          </w:p>
        </w:tc>
        <w:tc>
          <w:tcPr>
            <w:tcW w:w="880" w:type="dxa"/>
            <w:vAlign w:val="bottom"/>
            <w:tcBorders>
              <w:bottom w:val="single" w:sz="8" w:color="auto"/>
              <w:right w:val="single" w:sz="8" w:color="auto"/>
            </w:tcBorders>
            <w:shd w:val="clear" w:color="auto" w:fill="BAD3EA"/>
          </w:tcPr>
          <w:p>
            <w:pPr>
              <w:spacing w:after="0"/>
              <w:rPr>
                <w:sz w:val="20"/>
                <w:szCs w:val="20"/>
                <w:color w:val="auto"/>
              </w:rPr>
            </w:pPr>
          </w:p>
        </w:tc>
        <w:tc>
          <w:tcPr>
            <w:tcW w:w="1120" w:type="dxa"/>
            <w:vAlign w:val="bottom"/>
            <w:tcBorders>
              <w:bottom w:val="single" w:sz="8" w:color="auto"/>
              <w:right w:val="single" w:sz="8" w:color="BAD3EA"/>
            </w:tcBorders>
            <w:shd w:val="clear" w:color="auto" w:fill="BAD3EA"/>
          </w:tcPr>
          <w:p>
            <w:pPr>
              <w:spacing w:after="0"/>
              <w:rPr>
                <w:sz w:val="20"/>
                <w:szCs w:val="20"/>
                <w:color w:val="auto"/>
              </w:rPr>
            </w:pPr>
          </w:p>
        </w:tc>
        <w:tc>
          <w:tcPr>
            <w:tcW w:w="200" w:type="dxa"/>
            <w:vAlign w:val="bottom"/>
            <w:tcBorders>
              <w:bottom w:val="single" w:sz="8" w:color="auto"/>
            </w:tcBorders>
            <w:shd w:val="clear" w:color="auto" w:fill="BAD3EA"/>
          </w:tcPr>
          <w:p>
            <w:pPr>
              <w:spacing w:after="0"/>
              <w:rPr>
                <w:sz w:val="20"/>
                <w:szCs w:val="20"/>
                <w:color w:val="auto"/>
              </w:rPr>
            </w:pPr>
          </w:p>
        </w:tc>
        <w:tc>
          <w:tcPr>
            <w:tcW w:w="660" w:type="dxa"/>
            <w:vAlign w:val="bottom"/>
            <w:tcBorders>
              <w:bottom w:val="single" w:sz="8" w:color="auto"/>
              <w:right w:val="single" w:sz="8" w:color="BAD3EA"/>
            </w:tcBorders>
            <w:shd w:val="clear" w:color="auto" w:fill="BAD3EA"/>
          </w:tcPr>
          <w:p>
            <w:pPr>
              <w:spacing w:after="0"/>
              <w:rPr>
                <w:sz w:val="20"/>
                <w:szCs w:val="20"/>
                <w:color w:val="auto"/>
              </w:rPr>
            </w:pPr>
          </w:p>
        </w:tc>
        <w:tc>
          <w:tcPr>
            <w:tcW w:w="1440" w:type="dxa"/>
            <w:vAlign w:val="bottom"/>
            <w:tcBorders>
              <w:bottom w:val="single" w:sz="8" w:color="auto"/>
              <w:right w:val="single" w:sz="8" w:color="BAD3EA"/>
            </w:tcBorders>
            <w:shd w:val="clear" w:color="auto" w:fill="BAD3EA"/>
          </w:tcPr>
          <w:p>
            <w:pPr>
              <w:jc w:val="center"/>
              <w:ind w:left="488"/>
              <w:spacing w:after="0"/>
              <w:rPr>
                <w:sz w:val="20"/>
                <w:szCs w:val="20"/>
                <w:color w:val="auto"/>
              </w:rPr>
            </w:pPr>
            <w:r>
              <w:rPr>
                <w:rFonts w:ascii="Arial" w:cs="Arial" w:eastAsia="Arial" w:hAnsi="Arial"/>
                <w:sz w:val="14"/>
                <w:szCs w:val="14"/>
                <w:color w:val="auto"/>
              </w:rPr>
              <w:t>0</w:t>
            </w:r>
          </w:p>
        </w:tc>
        <w:tc>
          <w:tcPr>
            <w:tcW w:w="2480" w:type="dxa"/>
            <w:vAlign w:val="bottom"/>
            <w:tcBorders>
              <w:bottom w:val="single" w:sz="8" w:color="auto"/>
            </w:tcBorders>
            <w:shd w:val="clear" w:color="auto" w:fill="BAD3EA"/>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auto"/>
            </w:tcBorders>
            <w:shd w:val="clear" w:color="auto" w:fill="E8F0F8"/>
          </w:tcPr>
          <w:p>
            <w:pPr>
              <w:jc w:val="center"/>
              <w:ind w:left="928"/>
              <w:spacing w:after="0"/>
              <w:rPr>
                <w:sz w:val="20"/>
                <w:szCs w:val="20"/>
                <w:color w:val="auto"/>
              </w:rPr>
            </w:pPr>
            <w:r>
              <w:rPr>
                <w:rFonts w:ascii="Arial" w:cs="Arial" w:eastAsia="Arial" w:hAnsi="Arial"/>
                <w:sz w:val="14"/>
                <w:szCs w:val="14"/>
                <w:color w:val="auto"/>
              </w:rPr>
              <w:t>Did Not Disclose Demographic Background</w:t>
            </w:r>
          </w:p>
        </w:tc>
        <w:tc>
          <w:tcPr>
            <w:tcW w:w="880" w:type="dxa"/>
            <w:vAlign w:val="bottom"/>
            <w:tcBorders>
              <w:bottom w:val="single" w:sz="8" w:color="auto"/>
              <w:right w:val="single" w:sz="8" w:color="auto"/>
            </w:tcBorders>
            <w:shd w:val="clear" w:color="auto" w:fill="E8F0F8"/>
          </w:tcPr>
          <w:p>
            <w:pPr>
              <w:spacing w:after="0"/>
              <w:rPr>
                <w:sz w:val="20"/>
                <w:szCs w:val="20"/>
                <w:color w:val="auto"/>
              </w:rPr>
            </w:pPr>
          </w:p>
        </w:tc>
        <w:tc>
          <w:tcPr>
            <w:tcW w:w="1120" w:type="dxa"/>
            <w:vAlign w:val="bottom"/>
            <w:tcBorders>
              <w:bottom w:val="single" w:sz="8" w:color="auto"/>
              <w:right w:val="single" w:sz="8" w:color="E8F0F8"/>
            </w:tcBorders>
            <w:shd w:val="clear" w:color="auto" w:fill="E8F0F8"/>
          </w:tcPr>
          <w:p>
            <w:pPr>
              <w:spacing w:after="0"/>
              <w:rPr>
                <w:sz w:val="20"/>
                <w:szCs w:val="20"/>
                <w:color w:val="auto"/>
              </w:rPr>
            </w:pPr>
          </w:p>
        </w:tc>
        <w:tc>
          <w:tcPr>
            <w:tcW w:w="200" w:type="dxa"/>
            <w:vAlign w:val="bottom"/>
            <w:tcBorders>
              <w:bottom w:val="single" w:sz="8" w:color="auto"/>
            </w:tcBorders>
            <w:shd w:val="clear" w:color="auto" w:fill="E8F0F8"/>
          </w:tcPr>
          <w:p>
            <w:pPr>
              <w:spacing w:after="0"/>
              <w:rPr>
                <w:sz w:val="20"/>
                <w:szCs w:val="20"/>
                <w:color w:val="auto"/>
              </w:rPr>
            </w:pPr>
          </w:p>
        </w:tc>
        <w:tc>
          <w:tcPr>
            <w:tcW w:w="660" w:type="dxa"/>
            <w:vAlign w:val="bottom"/>
            <w:tcBorders>
              <w:bottom w:val="single" w:sz="8" w:color="auto"/>
              <w:right w:val="single" w:sz="8" w:color="E8F0F8"/>
            </w:tcBorders>
            <w:shd w:val="clear" w:color="auto" w:fill="E8F0F8"/>
          </w:tcPr>
          <w:p>
            <w:pPr>
              <w:spacing w:after="0"/>
              <w:rPr>
                <w:sz w:val="20"/>
                <w:szCs w:val="20"/>
                <w:color w:val="auto"/>
              </w:rPr>
            </w:pPr>
          </w:p>
        </w:tc>
        <w:tc>
          <w:tcPr>
            <w:tcW w:w="1440" w:type="dxa"/>
            <w:vAlign w:val="bottom"/>
            <w:tcBorders>
              <w:bottom w:val="single" w:sz="8" w:color="auto"/>
              <w:right w:val="single" w:sz="8" w:color="E8F0F8"/>
            </w:tcBorders>
            <w:shd w:val="clear" w:color="auto" w:fill="E8F0F8"/>
          </w:tcPr>
          <w:p>
            <w:pPr>
              <w:jc w:val="center"/>
              <w:ind w:left="488"/>
              <w:spacing w:after="0"/>
              <w:rPr>
                <w:sz w:val="20"/>
                <w:szCs w:val="20"/>
                <w:color w:val="auto"/>
              </w:rPr>
            </w:pPr>
            <w:r>
              <w:rPr>
                <w:rFonts w:ascii="Arial" w:cs="Arial" w:eastAsia="Arial" w:hAnsi="Arial"/>
                <w:sz w:val="14"/>
                <w:szCs w:val="14"/>
                <w:color w:val="auto"/>
              </w:rPr>
              <w:t>1</w:t>
            </w:r>
          </w:p>
        </w:tc>
        <w:tc>
          <w:tcPr>
            <w:tcW w:w="2480" w:type="dxa"/>
            <w:vAlign w:val="bottom"/>
            <w:tcBorders>
              <w:bottom w:val="single" w:sz="8" w:color="auto"/>
            </w:tcBorders>
            <w:shd w:val="clear" w:color="auto" w:fill="E8F0F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12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12 </w:t>
      </w:r>
      <w:r>
        <w:rPr>
          <w:sz w:val="1"/>
          <w:szCs w:val="1"/>
          <w:color w:val="auto"/>
        </w:rPr>
        <w:drawing>
          <wp:inline distT="0" distB="0" distL="0" distR="0">
            <wp:extent cx="38735" cy="1968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Our Nominees for Director</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(Information is as of April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335153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188595"/>
                    </a:xfrm>
                    <a:prstGeom prst="rect">
                      <a:avLst/>
                    </a:prstGeom>
                    <a:noFill/>
                  </pic:spPr>
                </pic:pic>
              </a:graphicData>
            </a:graphic>
          </wp:anchor>
        </w:drawing>
      </w: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Alexander J. Denner, Ph.D.</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-107315</wp:posOffset>
            </wp:positionV>
            <wp:extent cx="848360" cy="1062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52</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Dr. Denner is a founding partner and Chief Investment Officer of Sarissa Capital Management LP, a registered investment advisor, which he founded in 2012. Sarissa Capital focuses on improving the strategies of companies to enhance stockholder value. From 2006 to 2011 Dr. Denner served as a Senior Managing Director at Icahn Capital L.P. Prior to that, he served as a portfolio manager at Viking Global Investors, a private investment fund, and Morgan Stanley Investment Management, a global asset management firm. Dr. Denner also serves as Chairman and CEO of Sarissa Capital Acquisition Corp, a special purpose acquisition company, as a director of Ironwood Pharmaceuticals, Inc., a healthcare company, and as a director of Attralus, Inc. a private company.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Qualifications</w:t>
      </w:r>
    </w:p>
    <w:p>
      <w:pPr>
        <w:spacing w:after="0" w:line="113"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Dr. Denner has significant experience overseeing the operations and research and development of healthcare companies and evaluating corporate governance matters. He also has extensive experience as an investor, particularly with respect to healthcare companies, and possesses broad healthcare industry knowledge.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Ironwood Pharmaceuticals,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Sarissa Capital Acquisition Corp. (Chair)</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Ariad Pharmaceuticals, Inc.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Bioverativ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The Medicines Company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13 </w:t>
      </w:r>
      <w:r>
        <w:rPr>
          <w:sz w:val="1"/>
          <w:szCs w:val="1"/>
          <w:color w:val="auto"/>
        </w:rPr>
        <w:drawing>
          <wp:inline distT="0" distB="0" distL="0" distR="0">
            <wp:extent cx="38735" cy="1968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Caroline D. Dorsa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342011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0110" cy="188595"/>
                    </a:xfrm>
                    <a:prstGeom prst="rect">
                      <a:avLst/>
                    </a:prstGeom>
                    <a:noFill/>
                  </pic:spPr>
                </pic:pic>
              </a:graphicData>
            </a:graphic>
          </wp:anchor>
        </w:drawing>
      </w:r>
    </w:p>
    <w:p>
      <w:pPr>
        <w:spacing w:after="0" w:line="169"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848360" cy="1054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48360" cy="1054100"/>
                    </a:xfrm>
                    <a:prstGeom prst="rect">
                      <a:avLst/>
                    </a:prstGeom>
                    <a:noFill/>
                  </pic:spPr>
                </pic:pic>
              </a:graphicData>
            </a:graphic>
          </wp:anchor>
        </w:drawing>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62</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Ms. Dorsa served as the Executive Vice President and Chief Financial Officer of Public Service Enterprise Group Incorporated, a diversified energy company, from April 2009 until her retirement in October 2015, and served on its Board of Directors from February 2003 to April 2009. From February 2008 to April 2009 she served as Senior Vice President, Global Human Health, Strategy and Integration at Merck &amp; Co., Inc., a pharmaceutical company. From November 2007 to January 2008</w:t>
      </w:r>
    </w:p>
    <w:p>
      <w:pPr>
        <w:spacing w:after="0" w:line="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Ms. Dorsa served as Senior Vice President and Chief Financial Officer of Gilead Sciences, Inc., a life sciences company. From February 2007 to November 2007 she served as Senior Vice President and Chief Financial Officer of Avaya, Inc., a telecommunications company. From 1987 to January 2007 Ms. Dorsa held various financial and operational positions at Merck &amp; Co., Inc., including Vice President and Treasurer, Executive Director of U.S. Customer Marketing and Executive Director of U.S. Pricing and Strategic Planning. Ms. Dorsa also serves as a director of Duke Energy, one of the largest energy holding companies in the U.S., Illumina, Inc., a life sciences company, and Intellia Therapeutics, Inc., a biotechnology company.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Ms. Dorsa has significant financial and accounting expertise and a deep knowledge of the pharmaceutical industry. Her strategic perspective on the industry is particularly valuable to our Board of Directors as it oversees our growth initiatives and reviews both internal development projects and external opportunities.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Duke Energy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Illumina,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Intellia Therapeutics, Inc.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Goldman Sachs Investment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293370</wp:posOffset>
            </wp:positionV>
            <wp:extent cx="102870" cy="946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400" w:space="340"/>
            <w:col w:w="5360"/>
          </w:cols>
          <w:pgMar w:left="320" w:top="455" w:right="4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Maria C. Freire, Ph.D.</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-107315</wp:posOffset>
            </wp:positionV>
            <wp:extent cx="840105" cy="10629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40105" cy="106299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67</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 Compensation and Management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auto"/>
        </w:rPr>
        <w:t>From November 2012 to September 2021, Dr. Freire served as President and Executive Director and as a member of the board of directors of the Foundation for the National Institutes of Health. From March 2008 to November 2012 she served as President and as a member of the board of directors of the Albert and Mary Lasker Foundation. Prior to joining the Lasker Foundation, Dr. Freire served as President and Chief Executive Officer of the Global Alliance for TB Drug Development from 2001 to</w:t>
      </w:r>
    </w:p>
    <w:p>
      <w:pPr>
        <w:spacing w:after="0" w:line="3"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2008 and Director of the Office of Technology Transfer at the National Institutes of Health from 1995 to 2001. Dr. Freire also serves as a director of Alexandria Real Estate Equities, Inc., a publicly held urban office real estate investment trust uniquely focused on collaborative life science and technology campuses, and Exelixis, Inc., a drug discovery and development company. She has served on the boards of numerous national and international organizations, including the Science Board of the U.S. Food and Drug Administration, the World Health Organization Commission on Intellectual Property Rights, Innovation and Public Health and the United Nations Secretary General’s High Level Panel on Access to Medicines. Dr. Freire is also a member of the National Academy of Medicine and the Council on Foreign Relations, and she is the recipient of numerous awards, including a 2017 Gold Stevie Award for “Woman of the Year,” the U.S. Department of Health and Human Services Secretary’s Award for Distinguished Service, the Arthur S. Fleming Award and the Bayh-Dole Award. Dr. Freire holds a Ph.D. in Biophysics from the University of Virginia and a B.S. from the Universidad Peruana Cayetano Heredia in Lima, Peru.</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Dr. Freire has significant knowledge and experience with respect to medical research, the pharmaceutical industry and government healthcare policymaking. Dr. Freire’s strong public policy and government experience also provides vital insights to our Board of Directors about significant issues affecting the highly regulated life sciences industry.</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Alexandria Real Estate Equities,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Exelixis, Inc.</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179705" cy="1968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14 </w:t>
      </w:r>
      <w:r>
        <w:rPr>
          <w:sz w:val="1"/>
          <w:szCs w:val="1"/>
          <w:color w:val="auto"/>
        </w:rPr>
        <w:drawing>
          <wp:inline distT="0" distB="0" distL="0" distR="0">
            <wp:extent cx="38735" cy="1968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William A. Hawkins</w:t>
      </w:r>
    </w:p>
    <w:p>
      <w:pPr>
        <w:spacing w:after="0" w:line="189"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-107315</wp:posOffset>
            </wp:positionV>
            <wp:extent cx="848360" cy="10629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68</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Mr. Hawkins serves as a Senior Advisor to EW Healthcare Partners, a life sciences private equity firm. Mr. Hawkins is the former Chairman and CEO of Medtronic, Inc., a global leader in medical technology. He was at Medtronic from 2002 until 2011. After retiring from Medtronic he served as President and Chief Executive Officer of Immucor, a private equity backed global leader in transfusion and transplant medicine from October 2011 to July 2015. From 1998 to 2001 Mr. Hawkins served as President and Chief Executive Officer of Novoste Corporation,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as Chairman of Bioventus Inc., and on the boards of MiMedx Group, Inc., Virtue Labs, Cereius, Cirtec Medical Corp., Baebies, Inc. and Immucor, all of which are life science companies. Mr. Hawkins is Vice Chair of the Duke University Board of Trustees and is Chair of the Duke University Health System.</w:t>
      </w:r>
    </w:p>
    <w:p>
      <w:pPr>
        <w:spacing w:after="0" w:line="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Mr. Hawkins was elected as a member of the AIMBE College of Fellows and the National Academy of Engineering. He has a dual degree in Electrical and Biomedical Engineering from Duke University and a M.B.A. from the University of Virginia’s Darden School of Business.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Mr. Hawkins has significant leadership experience as a chief executive officer, significant knowledge of, and experience in, the healthcare industry and significant international experience. He also has extensive governance and public company board experience.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Bioventus Inc.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MiMedx Group, Inc.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Avanos Medical,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Thoratec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773430</wp:posOffset>
            </wp:positionV>
            <wp:extent cx="102870" cy="946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80" w:space="360"/>
            <w:col w:w="5360"/>
          </w:cols>
          <w:pgMar w:left="320" w:top="455" w:right="4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William D. Jones</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-107315</wp:posOffset>
            </wp:positionV>
            <wp:extent cx="848360" cy="10629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66</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 Compensation and Management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left="120"/>
        <w:spacing w:after="0" w:line="246" w:lineRule="auto"/>
        <w:rPr>
          <w:sz w:val="20"/>
          <w:szCs w:val="20"/>
          <w:color w:val="auto"/>
        </w:rPr>
      </w:pPr>
      <w:r>
        <w:rPr>
          <w:rFonts w:ascii="Arial" w:cs="Arial" w:eastAsia="Arial" w:hAnsi="Arial"/>
          <w:sz w:val="16"/>
          <w:szCs w:val="16"/>
          <w:color w:val="auto"/>
        </w:rPr>
        <w:t>Mr. Jones has been the President and Chief Executive Officer and a director of CityLink Investment Corporation, a commercial real estate investment and development services firm, since 1994. From 2001 through 2018 Mr. Jones was the President, Chief Executive Officer and a director of City Scene Management Company, a real estate management company. From 1989 to 1993 Mr. Jones served as General Manager/Senior Asset Manager and Investment Manager with certain real estate subsidiaries of The Prudential. Previously, he served as a San Diego City Council member and as Deputy Mayor of San Diego.</w:t>
      </w:r>
    </w:p>
    <w:p>
      <w:pPr>
        <w:spacing w:after="0" w:line="4"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Mr. Jones is the Lead Independent Director for Sempra Energy, an energy infrastructure company. Mr. Jones is a director and, in some cases, Board Chair of certain funds under management by the Capital Group and Capital Group Private Client Services. He is a Lead Valuation Director and Chair of the Compensation and Organization Committee of Global Infrastructure Solutions Inc., a privately held engineering and construction management company. He is an NACD Board Leadership Fellow. Mr. Jones is a trustee of the University of California San Diego Foundation and its Investment Committee and the Real Estate Advisory Council. Mr. Jones is a former director of The Price Real Estate Investment Trust, Southwest Water Company, the Federal Reserve Bank of San Francisco and the San Diego Padres baseball team and is a former Chairman of the Board of the Los Angeles Branch of the Federal Reserve Bank of San Francisco, the former Chairman of the Board of Trustees of the Francis Parker School and former Board Trustee of the University of San Diego. Mr. Jones has extensive experience as a real estate developer in San Diego, where he built the City Heights Urban Village, an award-winning redevelopment project.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Mr. Jones’ extensive leadership experience in business, not-for profit boards and government, and provides vital insights to our Board of Directors about governance and significant issues affecting the highly regulated life sciences industry. He brings financial, corporate governance and public policy sector expertise to our Board of Directors.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Sempra Energy (Lead Independent Director), retiring on May 13, 2022</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179705" cy="1968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15 </w:t>
      </w:r>
      <w:r>
        <w:rPr>
          <w:sz w:val="1"/>
          <w:szCs w:val="1"/>
          <w:color w:val="auto"/>
        </w:rPr>
        <w:drawing>
          <wp:inline distT="0" distB="0" distL="0" distR="0">
            <wp:extent cx="38735" cy="1968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Jesus B. Mantas</w:t>
      </w:r>
    </w:p>
    <w:p>
      <w:pPr>
        <w:spacing w:after="0" w:line="189"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-107315</wp:posOffset>
            </wp:positionV>
            <wp:extent cx="848360" cy="10629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53</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Mr. Mantas serves as the Global Managing Partner responsible for IBM Business Transformation Services unit of IBM, and he is also responsible for IBM Consulting Corporate Development. Mr. Mantas is a member of the IBM Executive Performance Team, IBM Executive Technology Team and IBM Chairman Acceleration Team and is the Emeritus Chair of the IBM Hispanic Diversity Council. He serves in the Global AI Council of the World Economic Forum and on the board of HITEC, a non-profit organization focused on developing and advancing the careers of Hispanic executives in the Technology Industry. He is a limited partner to Benhamou Global Ventures Fund IV, an investment fund for early-stage companies focusing on digital transformation, and is an active investor in Hispanic-led early stage companies. From 2002 through 2016 Mr. Mantas led IBM’s Business Consulting unit, one of the largest consulting organizations in the world. Prior roles included leading IBM Global Process Services and the Business Services unit in Latin America after he held multiple leadership positions as Vice President in North America. Before joining IBM, Mr. Mantas was a Partner in PricewaterhouseCoopers Consulting, an adjunct professor at University of California Irvine – Graduate School of Management and an officer in the Air Force of Spain.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Mr. Mantas has significant global operating, business and technology leadership experience across Europe, North America and Latin America. He has demonstrated leadership designing new strategies and translating them into execution, applying technology to improve business performance, advocating for diversity and developing talent in multi-cultural environments. He brings over 30 years of experience in information technology, data science and artificial intelligence.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1013460</wp:posOffset>
            </wp:positionV>
            <wp:extent cx="102870" cy="946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60" w:space="380"/>
            <w:col w:w="5380"/>
          </w:cols>
          <w:pgMar w:left="320" w:top="455"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Richard C. Mulligan, Ph.D.</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-107315</wp:posOffset>
            </wp:positionV>
            <wp:extent cx="848360" cy="10629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67</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 Compensation and Management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Dr. Mulligan is currently the Mallinckrodt Professor of Genetics, Emeritus, at Harvard Medical School, after serving as the Mallinckrodt Professor of Genetics and Director of the Harvard Gene Therapy Initiative from 1996 to 2013. He also currently serves as the Head of SanaX, the research arm of Sana Biotechnology, Inc. (Sana), a biotechnology company, and Executive Vice Chairman of the Board of Sana. From March 2017 to October 2018 Dr. Mulligan served as a Portfolio Manager at Icahn Capital LP. Prior to that, Dr. Mulligan was a founding partner of Sarissa Capital Management LP, a registered investment advisor, from 2013 to 2016. Prior to Harvard, Dr. Mulligan was a Professor of Molecular Biology at the Massachusetts Institute of Technology, a member of the Whitehead Institute for Biomedical Research and the Chief Scientific Officer of Somatix Therapy Corporation, a drug discovery and development company that he founded. Dr. Mulligan was named a MacArthur Foundation Fellow in 1981.</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left="120" w:right="320"/>
        <w:spacing w:after="0" w:line="252" w:lineRule="auto"/>
        <w:rPr>
          <w:sz w:val="20"/>
          <w:szCs w:val="20"/>
          <w:color w:val="auto"/>
        </w:rPr>
      </w:pPr>
      <w:r>
        <w:rPr>
          <w:rFonts w:ascii="Arial" w:cs="Arial" w:eastAsia="Arial" w:hAnsi="Arial"/>
          <w:sz w:val="16"/>
          <w:szCs w:val="16"/>
          <w:color w:val="auto"/>
        </w:rPr>
        <w:t>Dr. Mulligan has scientific expertise in the areas of molecular biology, genetics, gene therapy and biotechnology as well as extensive experience within the healthcare industry, including overseeing the operations and research and development of healthcare companies.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Sana Biotechnology, Inc. (Executive Vice Chairman)</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179705" cy="196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16 </w:t>
      </w:r>
      <w:r>
        <w:rPr>
          <w:sz w:val="1"/>
          <w:szCs w:val="1"/>
          <w:color w:val="auto"/>
        </w:rPr>
        <w:drawing>
          <wp:inline distT="0" distB="0" distL="0" distR="0">
            <wp:extent cx="38735" cy="1968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Stelios Papadopoulos, Ph.D.</w:t>
      </w:r>
    </w:p>
    <w:p>
      <w:pPr>
        <w:spacing w:after="0" w:line="189"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-107315</wp:posOffset>
            </wp:positionV>
            <wp:extent cx="848360" cy="10629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Independent Chairman Since: </w:t>
      </w:r>
      <w:r>
        <w:rPr>
          <w:rFonts w:ascii="Arial" w:cs="Arial" w:eastAsia="Arial" w:hAnsi="Arial"/>
          <w:sz w:val="16"/>
          <w:szCs w:val="16"/>
          <w:color w:val="000000"/>
        </w:rPr>
        <w:t>2014</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73</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Dr. Papadopoulos serves as the Chairman of Exelixis, Inc., a drug discovery and development company that he co-founded in 1994, Regulus Therapeutics Inc., a biopharmaceutical company, and Eucrates Biomedical Acquisition Corp., a special purpose acquisition company. Previously, he was an investment banker with Cowen &amp; Co., LLC, a financial services company, focusing on the biotechnology and pharmaceutical sectors, from 2000 until his retirement as Vice Chairman in August 2006. Prior to joining Cowen &amp; Co., Dr. Papadopoulos served for 13 years as an investment banker at PaineWebber, Inc., a financial services company, where he was most recently Chairman of PaineWebber Development Corp., a PaineWebber subsidiary focusing on biotechnology.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Having founded multiple life sciences companies and worked as an investment banker focused on the life sciences industry, Dr. Papadopoulos brings to our Board of Directors a first-hand understanding of the demands of establishing, growing and running life sciences businesses.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Eucrates Biomedical Acquisition Corp.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Exelixis, Inc.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Regulus Therapeutics Inc. (Chair)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BG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533400</wp:posOffset>
            </wp:positionV>
            <wp:extent cx="102870" cy="946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80" w:space="360"/>
            <w:col w:w="5340"/>
          </w:cols>
          <w:pgMar w:left="320" w:top="455" w:right="4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Eric K. Rowinsky, M.D.</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-107315</wp:posOffset>
            </wp:positionV>
            <wp:extent cx="848360" cy="10629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65</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left="120" w:right="560"/>
        <w:spacing w:after="0" w:line="246" w:lineRule="auto"/>
        <w:rPr>
          <w:sz w:val="20"/>
          <w:szCs w:val="20"/>
          <w:color w:val="auto"/>
        </w:rPr>
      </w:pPr>
      <w:r>
        <w:rPr>
          <w:rFonts w:ascii="Arial" w:cs="Arial" w:eastAsia="Arial" w:hAnsi="Arial"/>
          <w:sz w:val="16"/>
          <w:szCs w:val="16"/>
          <w:color w:val="auto"/>
        </w:rPr>
        <w:t>Dr. Rowinsky has served as Chief Medical Officer of Hummingbird Biotherapeutics, a private life-science company since July 2021.</w:t>
      </w:r>
    </w:p>
    <w:p>
      <w:pPr>
        <w:spacing w:after="0" w:line="1"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Dr. Rowinsky has served as President of Inspirna, Inc. (f/k/a RGenix, Inc.), a privately-held life sciences company, since November 2015 and previously served as its Executive Chairman from December 2016 to September 2021. From June 2016 to June 2021 he served as the Chief Scientific Officer of Clearpath Development Co., which rapidly advances development stage therapeutic assets to pre-defined human proof-of-concept milestones. From January 2012 to November 2015 he was the Head of Research and Development and Chief Medical Officer of Stemline Therapeutics, Inc., a biotechnology company focusing on the discovery and development of therapeutics targeting cancer stem cells, and has been an independent consultant since January 2010. Prior to that, he was the Chief Executive Officer of Primrose Therapeutics, Inc., a start-up biotechnology company focusing on the development of therapeutics for polycystic kidney disease, from August 2010 until its acquisition in September 2011. From 2005 to December 2009 he served as the Chief Medical Officer and Executive Vice President of ImClone Systems Incorporated, a life sciences company. From 1996 to 2004 he held several positions at the Cancer Therapy &amp; Research Center’s Institute for Drug Development, including Director of the Institute and Director of Clinical Research. During that time, he held the SBC Endowed Chair for Early Drug Development and Clinical Professor of Medicine at the University of Texas Health Science Center at San Antonio. From 1988 to 1996 he was an Associate Professor of Oncology at the Johns Hopkins School of Medicine and on the staff of the Johns Hopkins Hospital. He also serves as a director of Fortress Biotech Inc., Purple Biotech Ltd. (f/k/a Kitov Pharma Ltd.) and Verastem, Inc., which are biopharmaceutical companies.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left="120" w:right="140"/>
        <w:spacing w:after="0" w:line="265" w:lineRule="auto"/>
        <w:rPr>
          <w:sz w:val="20"/>
          <w:szCs w:val="20"/>
          <w:color w:val="auto"/>
        </w:rPr>
      </w:pPr>
      <w:r>
        <w:rPr>
          <w:rFonts w:ascii="Arial" w:cs="Arial" w:eastAsia="Arial" w:hAnsi="Arial"/>
          <w:sz w:val="16"/>
          <w:szCs w:val="16"/>
          <w:color w:val="auto"/>
        </w:rPr>
        <w:t>Dr. Rowinsky has extensive research and drug development experience and broad scientific and medical knowledge.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Fortress Biotech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Purple Biotech Ltd. (f/k/a Kitov Pharma Ltd.)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Verastem, Inc.</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BIND Therapeutics,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Biophytis S.A.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Navidea Biopharmaceuticals,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179705" cy="196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Stephen A. Sherwin, M.D.</w:t>
      </w:r>
    </w:p>
    <w:p>
      <w:pPr>
        <w:spacing w:after="0" w:line="189"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-107315</wp:posOffset>
            </wp:positionV>
            <wp:extent cx="848360" cy="10629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73</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Dr. Sherwin currently divides his time between advisory work in 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 Dr. Sherwin also currently serves as a venture partner with Third Rock Ventures, LLC. He previously served as the Chairman of Ceregene, Inc., a life sciences company that he co-founded, from 2001 until its acquisition by Sangamo Biosciences, Inc. in 2013. He was also a co-founder and chairman of Abgenix, Inc., an antibody company which was acquired by Amgen Inc. in 2006. From 1990 to October 2009 he served as the Chief Executive Officer of Cell Genesys, Inc., a life sciences company, and was its Chairman from 1994 until the company’s merger with BioSante Pharmaceuticals, Inc. (now ANI Pharmaceuticals, Inc.) in October 2009. Prior to that, he held various positions at Genentech, Inc., a life sciences company, most recently as Vice President, Clinical Research. In addition, Dr. Sherwin previously served on the board of directors of the Biotechnology Industry Organization from 2001 to 2014 and as its chairman from 2009 to 2011. Dr. Sherwin currently serves as a director of BioPlus Special Acquisition Corporation, a SPAC focused on life sciences and Neurocrine Biosciences, Inc., a life sciences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Dr. Sherwin has extensive knowledge of the life sciences industry and brings more than 30 years of experience in senior leadership positions at large and small publicly traded life sciences companies to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BioPlus Special Acquisition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Neurocrine Biosciences, Inc.</w:t>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Aduro Biotech,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Neon Therapeutics, Inc.</w:t>
      </w:r>
    </w:p>
    <w:p>
      <w:pPr>
        <w:spacing w:after="0" w:line="1711"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81"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17 </w:t>
      </w:r>
      <w:r>
        <w:rPr>
          <w:sz w:val="1"/>
          <w:szCs w:val="1"/>
          <w:color w:val="auto"/>
        </w:rPr>
        <w:drawing>
          <wp:inline distT="0" distB="0" distL="0" distR="0">
            <wp:extent cx="38735" cy="19685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3873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46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49"/>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421005</wp:posOffset>
            </wp:positionV>
            <wp:extent cx="335153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515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FFFFFF"/>
        </w:rPr>
        <w:t>Michel Vounatsos</w:t>
      </w:r>
    </w:p>
    <w:p>
      <w:pPr>
        <w:spacing w:after="0" w:line="189"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-107315</wp:posOffset>
            </wp:positionV>
            <wp:extent cx="848360" cy="10629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48360" cy="1062990"/>
                    </a:xfrm>
                    <a:prstGeom prst="rect">
                      <a:avLst/>
                    </a:prstGeom>
                    <a:noFill/>
                  </pic:spPr>
                </pic:pic>
              </a:graphicData>
            </a:graphic>
          </wp:anchor>
        </w:drawing>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60</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1A6DBB"/>
        </w:rPr>
        <w:t>Biogen Board Committee:</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Experience</w:t>
      </w:r>
    </w:p>
    <w:p>
      <w:pPr>
        <w:spacing w:after="0" w:line="21" w:lineRule="exact"/>
        <w:rPr>
          <w:sz w:val="20"/>
          <w:szCs w:val="20"/>
          <w:color w:val="auto"/>
        </w:rPr>
      </w:pPr>
    </w:p>
    <w:p>
      <w:pPr>
        <w:ind w:left="120" w:right="4759"/>
        <w:spacing w:after="0" w:line="246" w:lineRule="auto"/>
        <w:rPr>
          <w:sz w:val="20"/>
          <w:szCs w:val="20"/>
          <w:color w:val="auto"/>
        </w:rPr>
      </w:pPr>
      <w:r>
        <w:rPr>
          <w:rFonts w:ascii="Arial" w:cs="Arial" w:eastAsia="Arial" w:hAnsi="Arial"/>
          <w:sz w:val="16"/>
          <w:szCs w:val="16"/>
          <w:color w:val="auto"/>
        </w:rPr>
        <w:t>Mr. Vounatsos has served as our Chief Executive Officer and one of our directors since January 2017. Prior to that, from April 2016 to December 2016, Mr. Vounatsos served as our Executive Vice President, Chief Commercial Officer. Prior to joining Biogen, Mr. Vounatsos spent 20 years at Merck &amp; Co., Inc., a pharmaceutical company, where he most recently served as President, Primary Care, Customer Business Line and Merck Customer Centricity. In this role, he led Merck’s global primary care business unit, a role which encompassed Merck’s cardiology-metabolic, general medicine, women’s health and biosimilars groups and developed and instituted a strategic framework for enhancing the company’s relationships with key constituents, including the most significant providers, payers and retailers and the world’s largest governments.</w:t>
      </w:r>
    </w:p>
    <w:p>
      <w:pPr>
        <w:spacing w:after="0" w:line="5" w:lineRule="exact"/>
        <w:rPr>
          <w:sz w:val="20"/>
          <w:szCs w:val="20"/>
          <w:color w:val="auto"/>
        </w:rPr>
      </w:pPr>
    </w:p>
    <w:p>
      <w:pPr>
        <w:ind w:left="120" w:right="4779"/>
        <w:spacing w:after="0" w:line="248" w:lineRule="auto"/>
        <w:rPr>
          <w:sz w:val="20"/>
          <w:szCs w:val="20"/>
          <w:color w:val="auto"/>
        </w:rPr>
      </w:pPr>
      <w:r>
        <w:rPr>
          <w:rFonts w:ascii="Arial" w:cs="Arial" w:eastAsia="Arial" w:hAnsi="Arial"/>
          <w:sz w:val="16"/>
          <w:szCs w:val="16"/>
          <w:color w:val="auto"/>
        </w:rPr>
        <w:t>Mr. Vounatsos previously held leadership positions across Europe and in China for Merck. Prior to that, Mr. Vounatsos held management positions at Ciba-Geigy, a pharmaceutical company. Mr. Vounatsos currently serves as a director of PerkinElmer, Inc., a global scientific technology and life science research company, on the advisory board of Tsinghua University School of Pharmaceutical Sciences, on the Supervisory Board of Liryc, the Electrophysiology and Heart Modeling Institute at the University of Bordeaux, as a member of the MIT Presidential CEO Advisory Board and as a member of NetZero International Leadership Counsel. Mr. Vounatsos received his C.S.C.T. certificate in Medicine from the Universite Victor Segalen, Bordeaux II, France, and his M.B.A. from the HEC School of Management in Paris.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Qualifications</w:t>
      </w:r>
    </w:p>
    <w:p>
      <w:pPr>
        <w:spacing w:after="0" w:line="21" w:lineRule="exact"/>
        <w:rPr>
          <w:sz w:val="20"/>
          <w:szCs w:val="20"/>
          <w:color w:val="auto"/>
        </w:rPr>
      </w:pPr>
    </w:p>
    <w:p>
      <w:pPr>
        <w:ind w:left="120" w:right="4739"/>
        <w:spacing w:after="0" w:line="251" w:lineRule="auto"/>
        <w:rPr>
          <w:sz w:val="20"/>
          <w:szCs w:val="20"/>
          <w:color w:val="auto"/>
        </w:rPr>
      </w:pPr>
      <w:r>
        <w:rPr>
          <w:rFonts w:ascii="Arial" w:cs="Arial" w:eastAsia="Arial" w:hAnsi="Arial"/>
          <w:sz w:val="16"/>
          <w:szCs w:val="16"/>
          <w:color w:val="auto"/>
        </w:rPr>
        <w:t>Mr. Vounatsos has significant knowledge and experience with respect to the biotechnology, healthcare and pharmaceutical industries, a comprehensive global leadership background resulting from service as an executive in the pharmaceutical industry and studied medicine and business as part of his educational background.</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PerkinElmer, Inc.</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182245</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358140</wp:posOffset>
            </wp:positionV>
            <wp:extent cx="7020560" cy="316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20560" cy="31686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820"/>
        <w:spacing w:after="0" w:line="294" w:lineRule="auto"/>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1A6DBB"/>
        </w:rPr>
        <w:t>FOR</w:t>
      </w:r>
      <w:r>
        <w:rPr>
          <w:rFonts w:ascii="Arial" w:cs="Arial" w:eastAsia="Arial" w:hAnsi="Arial"/>
          <w:sz w:val="16"/>
          <w:szCs w:val="16"/>
          <w:b w:val="1"/>
          <w:bCs w:val="1"/>
          <w:i w:val="1"/>
          <w:iCs w:val="1"/>
          <w:color w:val="auto"/>
        </w:rPr>
        <w:t xml:space="preserve"> THE ELECTION OF EACH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179705" cy="1968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18 </w:t>
      </w:r>
      <w:r>
        <w:rPr>
          <w:sz w:val="1"/>
          <w:szCs w:val="1"/>
          <w:color w:val="auto"/>
        </w:rPr>
        <w:drawing>
          <wp:inline distT="0" distB="0" distL="0" distR="0">
            <wp:extent cx="38735" cy="1968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0015" cy="3873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46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53"/>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394970</wp:posOffset>
            </wp:positionV>
            <wp:extent cx="69951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A6DBB"/>
        </w:rPr>
        <w:t>Committees and Meetings</w:t>
      </w:r>
    </w:p>
    <w:p>
      <w:pPr>
        <w:spacing w:after="0" w:line="112"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auto"/>
        </w:rPr>
        <w:t xml:space="preserve">Our Board of Directors met 8 times in 2021. Our Board of Directors also has three standing committees. The principal functions of each committee, the committee composition in 2021 and the number of meetings held in 2021 are described in the table below. The Chair of each committee periodically reports to our Board of Directors on committee deliberations and decisions. The charter of each of our committees is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 Also posted there are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which, together with our committee charters, comprise our governance framework.</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1680" w:type="dxa"/>
            <w:vAlign w:val="bottom"/>
            <w:shd w:val="clear" w:color="auto" w:fill="1A6DBB"/>
          </w:tcPr>
          <w:p>
            <w:pPr>
              <w:spacing w:after="0"/>
              <w:rPr>
                <w:sz w:val="14"/>
                <w:szCs w:val="14"/>
                <w:color w:val="auto"/>
              </w:rPr>
            </w:pPr>
          </w:p>
        </w:tc>
        <w:tc>
          <w:tcPr>
            <w:tcW w:w="6080" w:type="dxa"/>
            <w:vAlign w:val="bottom"/>
            <w:shd w:val="clear" w:color="auto" w:fill="1A6DBB"/>
          </w:tcPr>
          <w:p>
            <w:pPr>
              <w:spacing w:after="0"/>
              <w:rPr>
                <w:sz w:val="14"/>
                <w:szCs w:val="14"/>
                <w:color w:val="auto"/>
              </w:rPr>
            </w:pPr>
          </w:p>
        </w:tc>
        <w:tc>
          <w:tcPr>
            <w:tcW w:w="2280" w:type="dxa"/>
            <w:vAlign w:val="bottom"/>
            <w:shd w:val="clear" w:color="auto" w:fill="1A6DBB"/>
          </w:tcPr>
          <w:p>
            <w:pPr>
              <w:spacing w:after="0"/>
              <w:rPr>
                <w:sz w:val="14"/>
                <w:szCs w:val="14"/>
                <w:color w:val="auto"/>
              </w:rPr>
            </w:pPr>
          </w:p>
        </w:tc>
        <w:tc>
          <w:tcPr>
            <w:tcW w:w="9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Meetings</w:t>
            </w:r>
          </w:p>
        </w:tc>
      </w:tr>
      <w:tr>
        <w:trPr>
          <w:trHeight w:val="205"/>
        </w:trPr>
        <w:tc>
          <w:tcPr>
            <w:tcW w:w="1680" w:type="dxa"/>
            <w:vAlign w:val="bottom"/>
            <w:tcBorders>
              <w:bottom w:val="single" w:sz="8" w:color="1A6DBB"/>
            </w:tcBorders>
            <w:shd w:val="clear" w:color="auto" w:fill="1A6DBB"/>
          </w:tcPr>
          <w:p>
            <w:pPr>
              <w:spacing w:after="0"/>
              <w:rPr>
                <w:sz w:val="20"/>
                <w:szCs w:val="20"/>
                <w:color w:val="auto"/>
              </w:rPr>
            </w:pPr>
            <w:r>
              <w:rPr>
                <w:rFonts w:ascii="Arial" w:cs="Arial" w:eastAsia="Arial" w:hAnsi="Arial"/>
                <w:sz w:val="14"/>
                <w:szCs w:val="14"/>
                <w:color w:val="FFFFFF"/>
              </w:rPr>
              <w:t>Committee</w:t>
            </w:r>
          </w:p>
        </w:tc>
        <w:tc>
          <w:tcPr>
            <w:tcW w:w="6080" w:type="dxa"/>
            <w:vAlign w:val="bottom"/>
            <w:tcBorders>
              <w:bottom w:val="single" w:sz="8" w:color="1A6DBB"/>
            </w:tcBorders>
            <w:shd w:val="clear" w:color="auto" w:fill="1A6DBB"/>
          </w:tcPr>
          <w:p>
            <w:pPr>
              <w:ind w:left="2780"/>
              <w:spacing w:after="0"/>
              <w:rPr>
                <w:sz w:val="20"/>
                <w:szCs w:val="20"/>
                <w:color w:val="auto"/>
              </w:rPr>
            </w:pPr>
            <w:r>
              <w:rPr>
                <w:rFonts w:ascii="Arial" w:cs="Arial" w:eastAsia="Arial" w:hAnsi="Arial"/>
                <w:sz w:val="14"/>
                <w:szCs w:val="14"/>
                <w:color w:val="FFFFFF"/>
              </w:rPr>
              <w:t>Function</w:t>
            </w:r>
          </w:p>
        </w:tc>
        <w:tc>
          <w:tcPr>
            <w:tcW w:w="228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2021 Members</w:t>
            </w:r>
          </w:p>
        </w:tc>
        <w:tc>
          <w:tcPr>
            <w:tcW w:w="98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in 2021</w:t>
            </w:r>
          </w:p>
        </w:tc>
      </w:tr>
      <w:tr>
        <w:trPr>
          <w:trHeight w:val="193"/>
        </w:trPr>
        <w:tc>
          <w:tcPr>
            <w:tcW w:w="1680" w:type="dxa"/>
            <w:vAlign w:val="bottom"/>
            <w:shd w:val="clear" w:color="auto" w:fill="E8F0F8"/>
          </w:tcPr>
          <w:p>
            <w:pPr>
              <w:ind w:left="60"/>
              <w:spacing w:after="0"/>
              <w:rPr>
                <w:sz w:val="20"/>
                <w:szCs w:val="20"/>
                <w:color w:val="auto"/>
              </w:rPr>
            </w:pPr>
            <w:r>
              <w:rPr>
                <w:rFonts w:ascii="Arial" w:cs="Arial" w:eastAsia="Arial" w:hAnsi="Arial"/>
                <w:sz w:val="14"/>
                <w:szCs w:val="14"/>
                <w:color w:val="auto"/>
              </w:rPr>
              <w:t>Audit</w:t>
            </w: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Assists our Board of Directors in its oversight of:</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Caroline D. Dorsa† (Chair)</w:t>
            </w:r>
          </w:p>
        </w:tc>
        <w:tc>
          <w:tcPr>
            <w:tcW w:w="9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9</w:t>
            </w: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the integrity of our financial statements;</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William A. Hawkins†</w:t>
            </w: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our accounting and financial reporting processes;</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Nancy L. Leaming†*</w:t>
            </w: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the independence, qualifications and performance of our independent registered</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Stephen A. Sherwin†</w:t>
            </w: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420"/>
              <w:spacing w:after="0"/>
              <w:rPr>
                <w:sz w:val="20"/>
                <w:szCs w:val="20"/>
                <w:color w:val="auto"/>
              </w:rPr>
            </w:pPr>
            <w:r>
              <w:rPr>
                <w:rFonts w:ascii="Arial" w:cs="Arial" w:eastAsia="Arial" w:hAnsi="Arial"/>
                <w:sz w:val="14"/>
                <w:szCs w:val="14"/>
                <w:color w:val="auto"/>
              </w:rPr>
              <w:t>public accounting firm;</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our global tax compliance and tax audit processes;</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our internal audit and corporate compliance functions;</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our financial strategy, policies and practices;</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management’s exercise of its responsibility to assess and manage risks associated</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420"/>
              <w:spacing w:after="0"/>
              <w:rPr>
                <w:sz w:val="20"/>
                <w:szCs w:val="20"/>
                <w:color w:val="auto"/>
              </w:rPr>
            </w:pPr>
            <w:r>
              <w:rPr>
                <w:rFonts w:ascii="Arial" w:cs="Arial" w:eastAsia="Arial" w:hAnsi="Arial"/>
                <w:sz w:val="14"/>
                <w:szCs w:val="14"/>
                <w:color w:val="auto"/>
              </w:rPr>
              <w:t>with our business and operations;</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the adequacy of the Company’s IT and cybersecurity; and</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90"/>
        </w:trPr>
        <w:tc>
          <w:tcPr>
            <w:tcW w:w="1680" w:type="dxa"/>
            <w:vAlign w:val="bottom"/>
            <w:shd w:val="clear" w:color="auto" w:fill="E8F0F8"/>
          </w:tcPr>
          <w:p>
            <w:pPr>
              <w:spacing w:after="0"/>
              <w:rPr>
                <w:sz w:val="16"/>
                <w:szCs w:val="16"/>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the adequacy and effectiveness of the Company’s insurance programs.</w:t>
            </w:r>
          </w:p>
        </w:tc>
        <w:tc>
          <w:tcPr>
            <w:tcW w:w="2280" w:type="dxa"/>
            <w:vAlign w:val="bottom"/>
            <w:shd w:val="clear" w:color="auto" w:fill="E8F0F8"/>
          </w:tcPr>
          <w:p>
            <w:pPr>
              <w:spacing w:after="0"/>
              <w:rPr>
                <w:sz w:val="16"/>
                <w:szCs w:val="16"/>
                <w:color w:val="auto"/>
              </w:rPr>
            </w:pPr>
          </w:p>
        </w:tc>
        <w:tc>
          <w:tcPr>
            <w:tcW w:w="980" w:type="dxa"/>
            <w:vAlign w:val="bottom"/>
            <w:shd w:val="clear" w:color="auto" w:fill="E8F0F8"/>
          </w:tcPr>
          <w:p>
            <w:pPr>
              <w:spacing w:after="0"/>
              <w:rPr>
                <w:sz w:val="16"/>
                <w:szCs w:val="16"/>
                <w:color w:val="auto"/>
              </w:rPr>
            </w:pPr>
          </w:p>
        </w:tc>
      </w:tr>
      <w:tr>
        <w:trPr>
          <w:trHeight w:val="255"/>
        </w:trPr>
        <w:tc>
          <w:tcPr>
            <w:tcW w:w="1680" w:type="dxa"/>
            <w:vAlign w:val="bottom"/>
            <w:shd w:val="clear" w:color="auto" w:fill="E8F0F8"/>
          </w:tcPr>
          <w:p>
            <w:pPr>
              <w:spacing w:after="0"/>
              <w:rPr>
                <w:sz w:val="22"/>
                <w:szCs w:val="22"/>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Our Audit Committee has the sole authority and direct responsibility for the appointment,</w:t>
            </w:r>
          </w:p>
        </w:tc>
        <w:tc>
          <w:tcPr>
            <w:tcW w:w="2280" w:type="dxa"/>
            <w:vAlign w:val="bottom"/>
            <w:shd w:val="clear" w:color="auto" w:fill="E8F0F8"/>
          </w:tcPr>
          <w:p>
            <w:pPr>
              <w:spacing w:after="0"/>
              <w:rPr>
                <w:sz w:val="22"/>
                <w:szCs w:val="22"/>
                <w:color w:val="auto"/>
              </w:rPr>
            </w:pPr>
          </w:p>
        </w:tc>
        <w:tc>
          <w:tcPr>
            <w:tcW w:w="980" w:type="dxa"/>
            <w:vAlign w:val="bottom"/>
            <w:shd w:val="clear" w:color="auto" w:fill="E8F0F8"/>
          </w:tcPr>
          <w:p>
            <w:pPr>
              <w:spacing w:after="0"/>
              <w:rPr>
                <w:sz w:val="22"/>
                <w:szCs w:val="22"/>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compensation, retention, evaluation and oversight of the work of our independent</w:t>
            </w:r>
          </w:p>
        </w:tc>
        <w:tc>
          <w:tcPr>
            <w:tcW w:w="2280" w:type="dxa"/>
            <w:vAlign w:val="bottom"/>
            <w:shd w:val="clear" w:color="auto" w:fill="E8F0F8"/>
          </w:tcPr>
          <w:p>
            <w:pPr>
              <w:spacing w:after="0"/>
              <w:rPr>
                <w:sz w:val="14"/>
                <w:szCs w:val="14"/>
                <w:color w:val="auto"/>
              </w:rPr>
            </w:pPr>
          </w:p>
        </w:tc>
        <w:tc>
          <w:tcPr>
            <w:tcW w:w="980" w:type="dxa"/>
            <w:vAlign w:val="bottom"/>
            <w:shd w:val="clear" w:color="auto" w:fill="E8F0F8"/>
          </w:tcPr>
          <w:p>
            <w:pPr>
              <w:spacing w:after="0"/>
              <w:rPr>
                <w:sz w:val="14"/>
                <w:szCs w:val="14"/>
                <w:color w:val="auto"/>
              </w:rPr>
            </w:pPr>
          </w:p>
        </w:tc>
      </w:tr>
      <w:tr>
        <w:trPr>
          <w:trHeight w:val="190"/>
        </w:trPr>
        <w:tc>
          <w:tcPr>
            <w:tcW w:w="1680" w:type="dxa"/>
            <w:vAlign w:val="bottom"/>
            <w:shd w:val="clear" w:color="auto" w:fill="E8F0F8"/>
          </w:tcPr>
          <w:p>
            <w:pPr>
              <w:spacing w:after="0"/>
              <w:rPr>
                <w:sz w:val="16"/>
                <w:szCs w:val="16"/>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registered public accounting firm.</w:t>
            </w:r>
          </w:p>
        </w:tc>
        <w:tc>
          <w:tcPr>
            <w:tcW w:w="2280" w:type="dxa"/>
            <w:vAlign w:val="bottom"/>
            <w:shd w:val="clear" w:color="auto" w:fill="E8F0F8"/>
          </w:tcPr>
          <w:p>
            <w:pPr>
              <w:spacing w:after="0"/>
              <w:rPr>
                <w:sz w:val="16"/>
                <w:szCs w:val="16"/>
                <w:color w:val="auto"/>
              </w:rPr>
            </w:pPr>
          </w:p>
        </w:tc>
        <w:tc>
          <w:tcPr>
            <w:tcW w:w="980" w:type="dxa"/>
            <w:vAlign w:val="bottom"/>
            <w:shd w:val="clear" w:color="auto" w:fill="E8F0F8"/>
          </w:tcPr>
          <w:p>
            <w:pPr>
              <w:spacing w:after="0"/>
              <w:rPr>
                <w:sz w:val="16"/>
                <w:szCs w:val="16"/>
                <w:color w:val="auto"/>
              </w:rPr>
            </w:pPr>
          </w:p>
        </w:tc>
      </w:tr>
      <w:tr>
        <w:trPr>
          <w:trHeight w:val="116"/>
        </w:trPr>
        <w:tc>
          <w:tcPr>
            <w:tcW w:w="1680" w:type="dxa"/>
            <w:vAlign w:val="bottom"/>
            <w:shd w:val="clear" w:color="auto" w:fill="E8F0F8"/>
          </w:tcPr>
          <w:p>
            <w:pPr>
              <w:spacing w:after="0"/>
              <w:rPr>
                <w:sz w:val="10"/>
                <w:szCs w:val="10"/>
                <w:color w:val="auto"/>
              </w:rPr>
            </w:pPr>
          </w:p>
        </w:tc>
        <w:tc>
          <w:tcPr>
            <w:tcW w:w="6080" w:type="dxa"/>
            <w:vAlign w:val="bottom"/>
            <w:shd w:val="clear" w:color="auto" w:fill="E8F0F8"/>
          </w:tcPr>
          <w:p>
            <w:pPr>
              <w:spacing w:after="0"/>
              <w:rPr>
                <w:sz w:val="10"/>
                <w:szCs w:val="10"/>
                <w:color w:val="auto"/>
              </w:rPr>
            </w:pPr>
          </w:p>
        </w:tc>
        <w:tc>
          <w:tcPr>
            <w:tcW w:w="2280" w:type="dxa"/>
            <w:vAlign w:val="bottom"/>
            <w:shd w:val="clear" w:color="auto" w:fill="E8F0F8"/>
          </w:tcPr>
          <w:p>
            <w:pPr>
              <w:spacing w:after="0"/>
              <w:rPr>
                <w:sz w:val="10"/>
                <w:szCs w:val="10"/>
                <w:color w:val="auto"/>
              </w:rPr>
            </w:pPr>
          </w:p>
        </w:tc>
        <w:tc>
          <w:tcPr>
            <w:tcW w:w="980" w:type="dxa"/>
            <w:vAlign w:val="bottom"/>
            <w:shd w:val="clear" w:color="auto" w:fill="E8F0F8"/>
          </w:tcPr>
          <w:p>
            <w:pPr>
              <w:spacing w:after="0"/>
              <w:rPr>
                <w:sz w:val="10"/>
                <w:szCs w:val="10"/>
                <w:color w:val="auto"/>
              </w:rPr>
            </w:pPr>
          </w:p>
        </w:tc>
      </w:tr>
      <w:tr>
        <w:trPr>
          <w:trHeight w:val="193"/>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Compensation and</w:t>
            </w:r>
          </w:p>
        </w:tc>
        <w:tc>
          <w:tcPr>
            <w:tcW w:w="60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Assists our Board of Directors with oversight of executive compensation and</w:t>
            </w:r>
          </w:p>
        </w:tc>
        <w:tc>
          <w:tcPr>
            <w:tcW w:w="22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Brian S. Posner** (Chair)</w:t>
            </w:r>
          </w:p>
        </w:tc>
        <w:tc>
          <w:tcPr>
            <w:tcW w:w="9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8</w:t>
            </w:r>
          </w:p>
        </w:tc>
      </w:tr>
      <w:tr>
        <w:trPr>
          <w:trHeight w:val="162"/>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Management</w:t>
            </w:r>
          </w:p>
        </w:tc>
        <w:tc>
          <w:tcPr>
            <w:tcW w:w="60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management development, including:</w:t>
            </w:r>
          </w:p>
        </w:tc>
        <w:tc>
          <w:tcPr>
            <w:tcW w:w="22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Maria C. Freire</w:t>
            </w:r>
          </w:p>
        </w:tc>
        <w:tc>
          <w:tcPr>
            <w:tcW w:w="980" w:type="dxa"/>
            <w:vAlign w:val="bottom"/>
            <w:shd w:val="clear" w:color="auto" w:fill="BAD3EA"/>
          </w:tcPr>
          <w:p>
            <w:pPr>
              <w:spacing w:after="0"/>
              <w:rPr>
                <w:sz w:val="14"/>
                <w:szCs w:val="14"/>
                <w:color w:val="auto"/>
              </w:rPr>
            </w:pPr>
          </w:p>
        </w:tc>
      </w:tr>
      <w:tr>
        <w:trPr>
          <w:trHeight w:val="162"/>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Development</w:t>
            </w:r>
          </w:p>
        </w:tc>
        <w:tc>
          <w:tcPr>
            <w:tcW w:w="60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recommending to our Board of Directors the compensation for our Chief Executive</w:t>
            </w:r>
          </w:p>
        </w:tc>
        <w:tc>
          <w:tcPr>
            <w:tcW w:w="22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William D. Jones</w:t>
            </w:r>
          </w:p>
        </w:tc>
        <w:tc>
          <w:tcPr>
            <w:tcW w:w="980" w:type="dxa"/>
            <w:vAlign w:val="bottom"/>
            <w:shd w:val="clear" w:color="auto" w:fill="BAD3EA"/>
          </w:tcPr>
          <w:p>
            <w:pPr>
              <w:spacing w:after="0"/>
              <w:rPr>
                <w:sz w:val="14"/>
                <w:szCs w:val="14"/>
                <w:color w:val="auto"/>
              </w:rPr>
            </w:pPr>
          </w:p>
        </w:tc>
      </w:tr>
      <w:tr>
        <w:trPr>
          <w:trHeight w:val="162"/>
        </w:trPr>
        <w:tc>
          <w:tcPr>
            <w:tcW w:w="1680" w:type="dxa"/>
            <w:vAlign w:val="bottom"/>
            <w:shd w:val="clear" w:color="auto" w:fill="BAD3EA"/>
          </w:tcPr>
          <w:p>
            <w:pPr>
              <w:spacing w:after="0"/>
              <w:rPr>
                <w:sz w:val="14"/>
                <w:szCs w:val="14"/>
                <w:color w:val="auto"/>
              </w:rPr>
            </w:pPr>
          </w:p>
        </w:tc>
        <w:tc>
          <w:tcPr>
            <w:tcW w:w="6080" w:type="dxa"/>
            <w:vAlign w:val="bottom"/>
            <w:shd w:val="clear" w:color="auto" w:fill="BAD3EA"/>
          </w:tcPr>
          <w:p>
            <w:pPr>
              <w:ind w:left="420"/>
              <w:spacing w:after="0"/>
              <w:rPr>
                <w:sz w:val="20"/>
                <w:szCs w:val="20"/>
                <w:color w:val="auto"/>
              </w:rPr>
            </w:pPr>
            <w:r>
              <w:rPr>
                <w:rFonts w:ascii="Arial" w:cs="Arial" w:eastAsia="Arial" w:hAnsi="Arial"/>
                <w:sz w:val="14"/>
                <w:szCs w:val="14"/>
                <w:color w:val="auto"/>
              </w:rPr>
              <w:t>Officer and approving the compensation for our other executive officers;</w:t>
            </w:r>
          </w:p>
        </w:tc>
        <w:tc>
          <w:tcPr>
            <w:tcW w:w="22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Richard C. Mulligan</w:t>
            </w:r>
          </w:p>
        </w:tc>
        <w:tc>
          <w:tcPr>
            <w:tcW w:w="980" w:type="dxa"/>
            <w:vAlign w:val="bottom"/>
            <w:shd w:val="clear" w:color="auto" w:fill="BAD3EA"/>
          </w:tcPr>
          <w:p>
            <w:pPr>
              <w:spacing w:after="0"/>
              <w:rPr>
                <w:sz w:val="14"/>
                <w:szCs w:val="14"/>
                <w:color w:val="auto"/>
              </w:rPr>
            </w:pPr>
          </w:p>
        </w:tc>
      </w:tr>
      <w:tr>
        <w:trPr>
          <w:trHeight w:val="162"/>
        </w:trPr>
        <w:tc>
          <w:tcPr>
            <w:tcW w:w="1680" w:type="dxa"/>
            <w:vAlign w:val="bottom"/>
            <w:shd w:val="clear" w:color="auto" w:fill="BAD3EA"/>
          </w:tcPr>
          <w:p>
            <w:pPr>
              <w:spacing w:after="0"/>
              <w:rPr>
                <w:sz w:val="14"/>
                <w:szCs w:val="14"/>
                <w:color w:val="auto"/>
              </w:rPr>
            </w:pPr>
          </w:p>
        </w:tc>
        <w:tc>
          <w:tcPr>
            <w:tcW w:w="60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administration of our short- and long-term incentive plans;</w:t>
            </w:r>
          </w:p>
        </w:tc>
        <w:tc>
          <w:tcPr>
            <w:tcW w:w="2280" w:type="dxa"/>
            <w:vAlign w:val="bottom"/>
            <w:shd w:val="clear" w:color="auto" w:fill="BAD3EA"/>
          </w:tcPr>
          <w:p>
            <w:pPr>
              <w:spacing w:after="0"/>
              <w:rPr>
                <w:sz w:val="14"/>
                <w:szCs w:val="14"/>
                <w:color w:val="auto"/>
              </w:rPr>
            </w:pPr>
          </w:p>
        </w:tc>
        <w:tc>
          <w:tcPr>
            <w:tcW w:w="980" w:type="dxa"/>
            <w:vAlign w:val="bottom"/>
            <w:shd w:val="clear" w:color="auto" w:fill="BAD3EA"/>
          </w:tcPr>
          <w:p>
            <w:pPr>
              <w:spacing w:after="0"/>
              <w:rPr>
                <w:sz w:val="14"/>
                <w:szCs w:val="14"/>
                <w:color w:val="auto"/>
              </w:rPr>
            </w:pPr>
          </w:p>
        </w:tc>
      </w:tr>
      <w:tr>
        <w:trPr>
          <w:trHeight w:val="162"/>
        </w:trPr>
        <w:tc>
          <w:tcPr>
            <w:tcW w:w="1680" w:type="dxa"/>
            <w:vAlign w:val="bottom"/>
            <w:shd w:val="clear" w:color="auto" w:fill="BAD3EA"/>
          </w:tcPr>
          <w:p>
            <w:pPr>
              <w:spacing w:after="0"/>
              <w:rPr>
                <w:sz w:val="14"/>
                <w:szCs w:val="14"/>
                <w:color w:val="auto"/>
              </w:rPr>
            </w:pPr>
          </w:p>
        </w:tc>
        <w:tc>
          <w:tcPr>
            <w:tcW w:w="60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reviewing executive and senior management development programs; and</w:t>
            </w:r>
          </w:p>
        </w:tc>
        <w:tc>
          <w:tcPr>
            <w:tcW w:w="2280" w:type="dxa"/>
            <w:vAlign w:val="bottom"/>
            <w:shd w:val="clear" w:color="auto" w:fill="BAD3EA"/>
          </w:tcPr>
          <w:p>
            <w:pPr>
              <w:spacing w:after="0"/>
              <w:rPr>
                <w:sz w:val="14"/>
                <w:szCs w:val="14"/>
                <w:color w:val="auto"/>
              </w:rPr>
            </w:pPr>
          </w:p>
        </w:tc>
        <w:tc>
          <w:tcPr>
            <w:tcW w:w="980" w:type="dxa"/>
            <w:vAlign w:val="bottom"/>
            <w:shd w:val="clear" w:color="auto" w:fill="BAD3EA"/>
          </w:tcPr>
          <w:p>
            <w:pPr>
              <w:spacing w:after="0"/>
              <w:rPr>
                <w:sz w:val="14"/>
                <w:szCs w:val="14"/>
                <w:color w:val="auto"/>
              </w:rPr>
            </w:pPr>
          </w:p>
        </w:tc>
      </w:tr>
      <w:tr>
        <w:trPr>
          <w:trHeight w:val="162"/>
        </w:trPr>
        <w:tc>
          <w:tcPr>
            <w:tcW w:w="1680" w:type="dxa"/>
            <w:vAlign w:val="bottom"/>
            <w:shd w:val="clear" w:color="auto" w:fill="BAD3EA"/>
          </w:tcPr>
          <w:p>
            <w:pPr>
              <w:spacing w:after="0"/>
              <w:rPr>
                <w:sz w:val="14"/>
                <w:szCs w:val="14"/>
                <w:color w:val="auto"/>
              </w:rPr>
            </w:pPr>
          </w:p>
        </w:tc>
        <w:tc>
          <w:tcPr>
            <w:tcW w:w="60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recommending to our Board of Directors the compensation of our non-employee</w:t>
            </w:r>
          </w:p>
        </w:tc>
        <w:tc>
          <w:tcPr>
            <w:tcW w:w="2280" w:type="dxa"/>
            <w:vAlign w:val="bottom"/>
            <w:shd w:val="clear" w:color="auto" w:fill="BAD3EA"/>
          </w:tcPr>
          <w:p>
            <w:pPr>
              <w:spacing w:after="0"/>
              <w:rPr>
                <w:sz w:val="14"/>
                <w:szCs w:val="14"/>
                <w:color w:val="auto"/>
              </w:rPr>
            </w:pPr>
          </w:p>
        </w:tc>
        <w:tc>
          <w:tcPr>
            <w:tcW w:w="980" w:type="dxa"/>
            <w:vAlign w:val="bottom"/>
            <w:shd w:val="clear" w:color="auto" w:fill="BAD3EA"/>
          </w:tcPr>
          <w:p>
            <w:pPr>
              <w:spacing w:after="0"/>
              <w:rPr>
                <w:sz w:val="14"/>
                <w:szCs w:val="14"/>
                <w:color w:val="auto"/>
              </w:rPr>
            </w:pPr>
          </w:p>
        </w:tc>
      </w:tr>
      <w:tr>
        <w:trPr>
          <w:trHeight w:val="185"/>
        </w:trPr>
        <w:tc>
          <w:tcPr>
            <w:tcW w:w="1680" w:type="dxa"/>
            <w:vAlign w:val="bottom"/>
            <w:shd w:val="clear" w:color="auto" w:fill="BAD3EA"/>
          </w:tcPr>
          <w:p>
            <w:pPr>
              <w:spacing w:after="0"/>
              <w:rPr>
                <w:sz w:val="16"/>
                <w:szCs w:val="16"/>
                <w:color w:val="auto"/>
              </w:rPr>
            </w:pPr>
          </w:p>
        </w:tc>
        <w:tc>
          <w:tcPr>
            <w:tcW w:w="6080" w:type="dxa"/>
            <w:vAlign w:val="bottom"/>
            <w:shd w:val="clear" w:color="auto" w:fill="BAD3EA"/>
          </w:tcPr>
          <w:p>
            <w:pPr>
              <w:ind w:left="420"/>
              <w:spacing w:after="0"/>
              <w:rPr>
                <w:sz w:val="20"/>
                <w:szCs w:val="20"/>
                <w:color w:val="auto"/>
              </w:rPr>
            </w:pPr>
            <w:r>
              <w:rPr>
                <w:rFonts w:ascii="Arial" w:cs="Arial" w:eastAsia="Arial" w:hAnsi="Arial"/>
                <w:sz w:val="14"/>
                <w:szCs w:val="14"/>
                <w:color w:val="auto"/>
              </w:rPr>
              <w:t>directors.</w:t>
            </w:r>
          </w:p>
        </w:tc>
        <w:tc>
          <w:tcPr>
            <w:tcW w:w="2280" w:type="dxa"/>
            <w:vAlign w:val="bottom"/>
            <w:shd w:val="clear" w:color="auto" w:fill="BAD3EA"/>
          </w:tcPr>
          <w:p>
            <w:pPr>
              <w:spacing w:after="0"/>
              <w:rPr>
                <w:sz w:val="16"/>
                <w:szCs w:val="16"/>
                <w:color w:val="auto"/>
              </w:rPr>
            </w:pPr>
          </w:p>
        </w:tc>
        <w:tc>
          <w:tcPr>
            <w:tcW w:w="980" w:type="dxa"/>
            <w:vAlign w:val="bottom"/>
            <w:shd w:val="clear" w:color="auto" w:fill="BAD3EA"/>
          </w:tcPr>
          <w:p>
            <w:pPr>
              <w:spacing w:after="0"/>
              <w:rPr>
                <w:sz w:val="16"/>
                <w:szCs w:val="16"/>
                <w:color w:val="auto"/>
              </w:rPr>
            </w:pPr>
          </w:p>
        </w:tc>
      </w:tr>
      <w:tr>
        <w:trPr>
          <w:trHeight w:val="193"/>
        </w:trPr>
        <w:tc>
          <w:tcPr>
            <w:tcW w:w="1680" w:type="dxa"/>
            <w:vAlign w:val="bottom"/>
            <w:shd w:val="clear" w:color="auto" w:fill="E8F0F8"/>
          </w:tcPr>
          <w:p>
            <w:pPr>
              <w:ind w:left="60"/>
              <w:spacing w:after="0"/>
              <w:rPr>
                <w:sz w:val="20"/>
                <w:szCs w:val="20"/>
                <w:color w:val="auto"/>
              </w:rPr>
            </w:pPr>
            <w:r>
              <w:rPr>
                <w:rFonts w:ascii="Arial" w:cs="Arial" w:eastAsia="Arial" w:hAnsi="Arial"/>
                <w:sz w:val="14"/>
                <w:szCs w:val="14"/>
                <w:color w:val="auto"/>
              </w:rPr>
              <w:t>Corporate</w:t>
            </w: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Assists our Board of Directors with oversight of corporate governance practices,</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Alexander J. Denner (Chair)</w:t>
            </w:r>
          </w:p>
        </w:tc>
        <w:tc>
          <w:tcPr>
            <w:tcW w:w="9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5</w:t>
            </w:r>
          </w:p>
        </w:tc>
      </w:tr>
      <w:tr>
        <w:trPr>
          <w:trHeight w:val="162"/>
        </w:trPr>
        <w:tc>
          <w:tcPr>
            <w:tcW w:w="1680" w:type="dxa"/>
            <w:vAlign w:val="bottom"/>
            <w:shd w:val="clear" w:color="auto" w:fill="E8F0F8"/>
          </w:tcPr>
          <w:p>
            <w:pPr>
              <w:ind w:left="60"/>
              <w:spacing w:after="0"/>
              <w:rPr>
                <w:sz w:val="20"/>
                <w:szCs w:val="20"/>
                <w:color w:val="auto"/>
              </w:rPr>
            </w:pPr>
            <w:r>
              <w:rPr>
                <w:rFonts w:ascii="Arial" w:cs="Arial" w:eastAsia="Arial" w:hAnsi="Arial"/>
                <w:sz w:val="14"/>
                <w:szCs w:val="14"/>
                <w:color w:val="auto"/>
              </w:rPr>
              <w:t>Governance</w:t>
            </w: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including:</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Jesus B. Mantas</w:t>
            </w: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identifying qualified nominees to our Board of Directors and its committees; and</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Stelios Papadopoulos</w:t>
            </w:r>
          </w:p>
        </w:tc>
        <w:tc>
          <w:tcPr>
            <w:tcW w:w="980" w:type="dxa"/>
            <w:vAlign w:val="bottom"/>
            <w:shd w:val="clear" w:color="auto" w:fill="E8F0F8"/>
          </w:tcPr>
          <w:p>
            <w:pPr>
              <w:spacing w:after="0"/>
              <w:rPr>
                <w:sz w:val="14"/>
                <w:szCs w:val="14"/>
                <w:color w:val="auto"/>
              </w:rPr>
            </w:pPr>
          </w:p>
        </w:tc>
      </w:tr>
      <w:tr>
        <w:trPr>
          <w:trHeight w:val="162"/>
        </w:trPr>
        <w:tc>
          <w:tcPr>
            <w:tcW w:w="1680" w:type="dxa"/>
            <w:vAlign w:val="bottom"/>
            <w:shd w:val="clear" w:color="auto" w:fill="E8F0F8"/>
          </w:tcPr>
          <w:p>
            <w:pPr>
              <w:spacing w:after="0"/>
              <w:rPr>
                <w:sz w:val="14"/>
                <w:szCs w:val="14"/>
                <w:color w:val="auto"/>
              </w:rPr>
            </w:pPr>
          </w:p>
        </w:tc>
        <w:tc>
          <w:tcPr>
            <w:tcW w:w="60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w:t>
            </w:r>
            <w:r>
              <w:rPr>
                <w:rFonts w:ascii="Arial" w:cs="Arial" w:eastAsia="Arial" w:hAnsi="Arial"/>
                <w:sz w:val="14"/>
                <w:szCs w:val="14"/>
                <w:color w:val="000000"/>
              </w:rPr>
              <w:t xml:space="preserve">    our lobbying priorities and activities, including associations with certain trade and/or</w:t>
            </w:r>
          </w:p>
        </w:tc>
        <w:tc>
          <w:tcPr>
            <w:tcW w:w="22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Eric K. Rowinsky</w:t>
            </w:r>
          </w:p>
        </w:tc>
        <w:tc>
          <w:tcPr>
            <w:tcW w:w="980" w:type="dxa"/>
            <w:vAlign w:val="bottom"/>
            <w:shd w:val="clear" w:color="auto" w:fill="E8F0F8"/>
          </w:tcPr>
          <w:p>
            <w:pPr>
              <w:spacing w:after="0"/>
              <w:rPr>
                <w:sz w:val="14"/>
                <w:szCs w:val="14"/>
                <w:color w:val="auto"/>
              </w:rPr>
            </w:pPr>
          </w:p>
        </w:tc>
      </w:tr>
      <w:tr>
        <w:trPr>
          <w:trHeight w:val="190"/>
        </w:trPr>
        <w:tc>
          <w:tcPr>
            <w:tcW w:w="1680" w:type="dxa"/>
            <w:vAlign w:val="bottom"/>
            <w:shd w:val="clear" w:color="auto" w:fill="E8F0F8"/>
          </w:tcPr>
          <w:p>
            <w:pPr>
              <w:spacing w:after="0"/>
              <w:rPr>
                <w:sz w:val="16"/>
                <w:szCs w:val="16"/>
                <w:color w:val="auto"/>
              </w:rPr>
            </w:pPr>
          </w:p>
        </w:tc>
        <w:tc>
          <w:tcPr>
            <w:tcW w:w="6080" w:type="dxa"/>
            <w:vAlign w:val="bottom"/>
            <w:shd w:val="clear" w:color="auto" w:fill="E8F0F8"/>
          </w:tcPr>
          <w:p>
            <w:pPr>
              <w:ind w:left="420"/>
              <w:spacing w:after="0"/>
              <w:rPr>
                <w:sz w:val="20"/>
                <w:szCs w:val="20"/>
                <w:color w:val="auto"/>
              </w:rPr>
            </w:pPr>
            <w:r>
              <w:rPr>
                <w:rFonts w:ascii="Arial" w:cs="Arial" w:eastAsia="Arial" w:hAnsi="Arial"/>
                <w:sz w:val="14"/>
                <w:szCs w:val="14"/>
                <w:color w:val="auto"/>
              </w:rPr>
              <w:t>legislative organizations.</w:t>
            </w:r>
          </w:p>
        </w:tc>
        <w:tc>
          <w:tcPr>
            <w:tcW w:w="2280" w:type="dxa"/>
            <w:vAlign w:val="bottom"/>
            <w:shd w:val="clear" w:color="auto" w:fill="E8F0F8"/>
          </w:tcPr>
          <w:p>
            <w:pPr>
              <w:spacing w:after="0"/>
              <w:rPr>
                <w:sz w:val="16"/>
                <w:szCs w:val="16"/>
                <w:color w:val="auto"/>
              </w:rPr>
            </w:pPr>
          </w:p>
        </w:tc>
        <w:tc>
          <w:tcPr>
            <w:tcW w:w="980" w:type="dxa"/>
            <w:vAlign w:val="bottom"/>
            <w:shd w:val="clear" w:color="auto" w:fill="E8F0F8"/>
          </w:tcPr>
          <w:p>
            <w:pPr>
              <w:spacing w:after="0"/>
              <w:rPr>
                <w:sz w:val="16"/>
                <w:szCs w:val="16"/>
                <w:color w:val="auto"/>
              </w:rPr>
            </w:pPr>
          </w:p>
        </w:tc>
      </w:tr>
      <w:tr>
        <w:trPr>
          <w:trHeight w:val="116"/>
        </w:trPr>
        <w:tc>
          <w:tcPr>
            <w:tcW w:w="1680" w:type="dxa"/>
            <w:vAlign w:val="bottom"/>
            <w:tcBorders>
              <w:bottom w:val="single" w:sz="8" w:color="auto"/>
            </w:tcBorders>
            <w:shd w:val="clear" w:color="auto" w:fill="E8F0F8"/>
          </w:tcPr>
          <w:p>
            <w:pPr>
              <w:spacing w:after="0"/>
              <w:rPr>
                <w:sz w:val="10"/>
                <w:szCs w:val="10"/>
                <w:color w:val="auto"/>
              </w:rPr>
            </w:pPr>
          </w:p>
        </w:tc>
        <w:tc>
          <w:tcPr>
            <w:tcW w:w="6080" w:type="dxa"/>
            <w:vAlign w:val="bottom"/>
            <w:tcBorders>
              <w:bottom w:val="single" w:sz="8" w:color="auto"/>
            </w:tcBorders>
            <w:shd w:val="clear" w:color="auto" w:fill="E8F0F8"/>
          </w:tcPr>
          <w:p>
            <w:pPr>
              <w:spacing w:after="0"/>
              <w:rPr>
                <w:sz w:val="10"/>
                <w:szCs w:val="10"/>
                <w:color w:val="auto"/>
              </w:rPr>
            </w:pPr>
          </w:p>
        </w:tc>
        <w:tc>
          <w:tcPr>
            <w:tcW w:w="2280" w:type="dxa"/>
            <w:vAlign w:val="bottom"/>
            <w:tcBorders>
              <w:bottom w:val="single" w:sz="8" w:color="auto"/>
            </w:tcBorders>
            <w:shd w:val="clear" w:color="auto" w:fill="E8F0F8"/>
          </w:tcPr>
          <w:p>
            <w:pPr>
              <w:spacing w:after="0"/>
              <w:rPr>
                <w:sz w:val="10"/>
                <w:szCs w:val="10"/>
                <w:color w:val="auto"/>
              </w:rPr>
            </w:pPr>
          </w:p>
        </w:tc>
        <w:tc>
          <w:tcPr>
            <w:tcW w:w="980" w:type="dxa"/>
            <w:vAlign w:val="bottom"/>
            <w:tcBorders>
              <w:bottom w:val="single" w:sz="8" w:color="auto"/>
            </w:tcBorders>
            <w:shd w:val="clear" w:color="auto" w:fill="E8F0F8"/>
          </w:tcPr>
          <w:p>
            <w:pPr>
              <w:spacing w:after="0"/>
              <w:rPr>
                <w:sz w:val="10"/>
                <w:szCs w:val="10"/>
                <w:color w:val="auto"/>
              </w:rPr>
            </w:pPr>
          </w:p>
        </w:tc>
      </w:tr>
    </w:tbl>
    <w:p>
      <w:pPr>
        <w:ind w:left="440" w:hanging="324"/>
        <w:spacing w:after="0"/>
        <w:tabs>
          <w:tab w:leader="none" w:pos="4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Determined by our Board of Directors to be an audit committee financial expert.</w:t>
      </w:r>
    </w:p>
    <w:p>
      <w:pPr>
        <w:spacing w:after="0" w:line="6"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Ms. Leaming is retiring from our Board of Directors, effective as of the 2022 Annual Meeting.</w:t>
      </w:r>
    </w:p>
    <w:p>
      <w:pPr>
        <w:spacing w:after="0" w:line="1" w:lineRule="exact"/>
        <w:rPr>
          <w:sz w:val="20"/>
          <w:szCs w:val="20"/>
          <w:color w:val="auto"/>
        </w:rPr>
      </w:pPr>
    </w:p>
    <w:p>
      <w:pPr>
        <w:ind w:left="440" w:right="160" w:hanging="324"/>
        <w:spacing w:after="0" w:line="264" w:lineRule="auto"/>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Posner is retiring from our Board of Directors, effective as of the 2022 Annual Meeting. Following Mr. Posner’s retirement from our Board of Directors, Mr. Jones is expected to become the Chair of our Compensation and Management Development Committee.</w:t>
      </w:r>
    </w:p>
    <w:p>
      <w:pPr>
        <w:spacing w:after="0" w:line="72" w:lineRule="exact"/>
        <w:rPr>
          <w:sz w:val="20"/>
          <w:szCs w:val="20"/>
          <w:color w:val="auto"/>
        </w:rPr>
      </w:pPr>
    </w:p>
    <w:p>
      <w:pPr>
        <w:ind w:left="440" w:right="240" w:hanging="324"/>
        <w:spacing w:after="0" w:line="286" w:lineRule="auto"/>
        <w:tabs>
          <w:tab w:leader="none" w:pos="440" w:val="left"/>
        </w:tabs>
        <w:numPr>
          <w:ilvl w:val="0"/>
          <w:numId w:val="57"/>
        </w:numPr>
        <w:rPr>
          <w:rFonts w:ascii="Arial" w:cs="Arial" w:eastAsia="Arial" w:hAnsi="Arial"/>
          <w:sz w:val="16"/>
          <w:szCs w:val="16"/>
          <w:color w:val="1A6DBB"/>
        </w:rPr>
      </w:pPr>
      <w:r>
        <w:rPr>
          <w:rFonts w:ascii="Arial" w:cs="Arial" w:eastAsia="Arial" w:hAnsi="Arial"/>
          <w:sz w:val="16"/>
          <w:szCs w:val="16"/>
          <w:i w:val="1"/>
          <w:iCs w:val="1"/>
          <w:color w:val="1A6DBB"/>
        </w:rPr>
        <w:t xml:space="preserve">Attendance at Board and Committee Meetings. </w:t>
      </w:r>
      <w:r>
        <w:rPr>
          <w:rFonts w:ascii="Arial" w:cs="Arial" w:eastAsia="Arial" w:hAnsi="Arial"/>
          <w:sz w:val="16"/>
          <w:szCs w:val="16"/>
          <w:color w:val="000000"/>
        </w:rPr>
        <w:t>No director attended fewer than 75% of the total number of meetings of our Board of Directors and</w:t>
      </w:r>
      <w:r>
        <w:rPr>
          <w:rFonts w:ascii="Arial" w:cs="Arial" w:eastAsia="Arial" w:hAnsi="Arial"/>
          <w:sz w:val="16"/>
          <w:szCs w:val="16"/>
          <w:i w:val="1"/>
          <w:iCs w:val="1"/>
          <w:color w:val="1A6DBB"/>
        </w:rPr>
        <w:t xml:space="preserve"> </w:t>
      </w:r>
      <w:r>
        <w:rPr>
          <w:rFonts w:ascii="Arial" w:cs="Arial" w:eastAsia="Arial" w:hAnsi="Arial"/>
          <w:sz w:val="16"/>
          <w:szCs w:val="16"/>
          <w:color w:val="000000"/>
        </w:rPr>
        <w:t>the committees on which he or she served during 2021.</w:t>
      </w:r>
    </w:p>
    <w:p>
      <w:pPr>
        <w:spacing w:after="0" w:line="61" w:lineRule="exact"/>
        <w:rPr>
          <w:rFonts w:ascii="Arial" w:cs="Arial" w:eastAsia="Arial" w:hAnsi="Arial"/>
          <w:sz w:val="16"/>
          <w:szCs w:val="16"/>
          <w:color w:val="1A6DBB"/>
        </w:rPr>
      </w:pPr>
    </w:p>
    <w:p>
      <w:pPr>
        <w:ind w:left="440" w:right="260" w:hanging="324"/>
        <w:spacing w:after="0" w:line="259" w:lineRule="auto"/>
        <w:tabs>
          <w:tab w:leader="none" w:pos="440" w:val="left"/>
        </w:tabs>
        <w:numPr>
          <w:ilvl w:val="0"/>
          <w:numId w:val="57"/>
        </w:numPr>
        <w:rPr>
          <w:rFonts w:ascii="Arial" w:cs="Arial" w:eastAsia="Arial" w:hAnsi="Arial"/>
          <w:sz w:val="16"/>
          <w:szCs w:val="16"/>
          <w:color w:val="1A6DBB"/>
        </w:rPr>
      </w:pPr>
      <w:r>
        <w:rPr>
          <w:rFonts w:ascii="Arial" w:cs="Arial" w:eastAsia="Arial" w:hAnsi="Arial"/>
          <w:sz w:val="16"/>
          <w:szCs w:val="16"/>
          <w:i w:val="1"/>
          <w:iCs w:val="1"/>
          <w:color w:val="1A6DBB"/>
        </w:rPr>
        <w:t xml:space="preserve">Executive Sessions. </w:t>
      </w:r>
      <w:r>
        <w:rPr>
          <w:rFonts w:ascii="Arial" w:cs="Arial" w:eastAsia="Arial" w:hAnsi="Arial"/>
          <w:sz w:val="16"/>
          <w:szCs w:val="16"/>
          <w:color w:val="000000"/>
        </w:rPr>
        <w:t>Under our Corporate Governance Principles, the independent directors of our Board of Directors are required to meet without</w:t>
      </w:r>
      <w:r>
        <w:rPr>
          <w:rFonts w:ascii="Arial" w:cs="Arial" w:eastAsia="Arial" w:hAnsi="Arial"/>
          <w:sz w:val="16"/>
          <w:szCs w:val="16"/>
          <w:i w:val="1"/>
          <w:iCs w:val="1"/>
          <w:color w:val="1A6DBB"/>
        </w:rPr>
        <w:t xml:space="preserve"> </w:t>
      </w:r>
      <w:r>
        <w:rPr>
          <w:rFonts w:ascii="Arial" w:cs="Arial" w:eastAsia="Arial" w:hAnsi="Arial"/>
          <w:sz w:val="16"/>
          <w:szCs w:val="16"/>
          <w:color w:val="000000"/>
        </w:rPr>
        <w:t>management present at least four times each year and may also meet without management present at such other times as determined by our Chairman or if requested by at least two other directors. In 2021 the independent directors of our Board of Directors met without management present four times. Each committee of our Board of Directors also had numerous executive sessions throughout the year.</w:t>
      </w:r>
    </w:p>
    <w:p>
      <w:pPr>
        <w:spacing w:after="0" w:line="83" w:lineRule="exact"/>
        <w:rPr>
          <w:rFonts w:ascii="Arial" w:cs="Arial" w:eastAsia="Arial" w:hAnsi="Arial"/>
          <w:sz w:val="16"/>
          <w:szCs w:val="16"/>
          <w:color w:val="1A6DBB"/>
        </w:rPr>
      </w:pPr>
    </w:p>
    <w:p>
      <w:pPr>
        <w:ind w:left="440" w:right="300" w:hanging="324"/>
        <w:spacing w:after="0" w:line="286" w:lineRule="auto"/>
        <w:tabs>
          <w:tab w:leader="none" w:pos="440" w:val="left"/>
        </w:tabs>
        <w:numPr>
          <w:ilvl w:val="0"/>
          <w:numId w:val="57"/>
        </w:numPr>
        <w:rPr>
          <w:rFonts w:ascii="Arial" w:cs="Arial" w:eastAsia="Arial" w:hAnsi="Arial"/>
          <w:sz w:val="16"/>
          <w:szCs w:val="16"/>
          <w:color w:val="1A6DBB"/>
        </w:rPr>
      </w:pPr>
      <w:r>
        <w:rPr>
          <w:rFonts w:ascii="Arial" w:cs="Arial" w:eastAsia="Arial" w:hAnsi="Arial"/>
          <w:sz w:val="16"/>
          <w:szCs w:val="16"/>
          <w:i w:val="1"/>
          <w:iCs w:val="1"/>
          <w:color w:val="1A6DBB"/>
        </w:rPr>
        <w:t xml:space="preserve">Attendance at Stockholder Meeting. </w:t>
      </w:r>
      <w:r>
        <w:rPr>
          <w:rFonts w:ascii="Arial" w:cs="Arial" w:eastAsia="Arial" w:hAnsi="Arial"/>
          <w:sz w:val="16"/>
          <w:szCs w:val="16"/>
          <w:color w:val="000000"/>
        </w:rPr>
        <w:t>We expect all of our directors and director nominees to attend our annual meetings of stockholders. All of our</w:t>
      </w:r>
      <w:r>
        <w:rPr>
          <w:rFonts w:ascii="Arial" w:cs="Arial" w:eastAsia="Arial" w:hAnsi="Arial"/>
          <w:sz w:val="16"/>
          <w:szCs w:val="16"/>
          <w:i w:val="1"/>
          <w:iCs w:val="1"/>
          <w:color w:val="1A6DBB"/>
        </w:rPr>
        <w:t xml:space="preserve"> </w:t>
      </w:r>
      <w:r>
        <w:rPr>
          <w:rFonts w:ascii="Arial" w:cs="Arial" w:eastAsia="Arial" w:hAnsi="Arial"/>
          <w:sz w:val="16"/>
          <w:szCs w:val="16"/>
          <w:color w:val="000000"/>
        </w:rPr>
        <w:t>directors attended our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179705" cy="196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19 </w:t>
      </w:r>
      <w:r>
        <w:rPr>
          <w:sz w:val="1"/>
          <w:szCs w:val="1"/>
          <w:color w:val="auto"/>
        </w:rPr>
        <w:drawing>
          <wp:inline distT="0" distB="0" distL="0" distR="0">
            <wp:extent cx="38735" cy="19685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3873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46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2"/>
          <w:szCs w:val="22"/>
          <w:color w:val="1A6DBB"/>
        </w:rPr>
        <w:t>Director Compensation</w:t>
      </w:r>
    </w:p>
    <w:p>
      <w:pPr>
        <w:spacing w:after="0" w:line="178"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This section describes our compensation program for our non-employee directors and shows the compensation paid to or earned by our non-employee directors during 2021. Mr. Vounatsos, our Chief Executive Officer, receives no compensation for his service on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able under our 401(k) plan as well as a fixed rate option which earns a rate of return determined each year by the Company’s retirement committee. For 2021 non-employee director deferrals notionally invested in the fixed rate option, this rate of return was set at 5%. Deferrals notionally invested in the fixed rate option continue to be credited with the rate of return that was in effect during the year of deferral.</w:t>
      </w:r>
    </w:p>
    <w:p>
      <w:pPr>
        <w:spacing w:after="0" w:line="1" w:lineRule="exact"/>
        <w:rPr>
          <w:sz w:val="20"/>
          <w:szCs w:val="20"/>
          <w:color w:val="auto"/>
        </w:rPr>
      </w:pPr>
    </w:p>
    <w:p>
      <w:pPr>
        <w:sectPr>
          <w:pgSz w:w="11900" w:h="16838" w:orient="portrait"/>
          <w:cols w:equalWidth="0" w:num="2">
            <w:col w:w="5320" w:space="420"/>
            <w:col w:w="5360"/>
          </w:cols>
          <w:pgMar w:left="320" w:top="455" w:right="47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1A6DBB"/>
        </w:rPr>
        <w:t>Retainers and Expenses</w:t>
      </w:r>
    </w:p>
    <w:p>
      <w:pPr>
        <w:spacing w:after="0" w:line="105"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following table presents the annual retainers for all non-employee members of our Board of Directors in effect in 2021:</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335153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51530" cy="145415"/>
                    </a:xfrm>
                    <a:prstGeom prst="rect">
                      <a:avLst/>
                    </a:prstGeom>
                    <a:noFill/>
                  </pic:spPr>
                </pic:pic>
              </a:graphicData>
            </a:graphic>
          </wp:anchor>
        </w:drawing>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4080" w:type="dxa"/>
            <w:vAlign w:val="bottom"/>
            <w:tcBorders>
              <w:top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Annual Board Retainer</w:t>
            </w:r>
          </w:p>
        </w:tc>
        <w:tc>
          <w:tcPr>
            <w:tcW w:w="46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E8F0F8"/>
          </w:tcPr>
          <w:p>
            <w:pPr>
              <w:jc w:val="right"/>
              <w:ind w:right="59"/>
              <w:spacing w:after="0"/>
              <w:rPr>
                <w:sz w:val="20"/>
                <w:szCs w:val="20"/>
                <w:color w:val="auto"/>
              </w:rPr>
            </w:pPr>
            <w:r>
              <w:rPr>
                <w:rFonts w:ascii="Arial" w:cs="Arial" w:eastAsia="Arial" w:hAnsi="Arial"/>
                <w:sz w:val="16"/>
                <w:szCs w:val="16"/>
                <w:color w:val="auto"/>
              </w:rPr>
              <w:t>125,000</w:t>
            </w:r>
          </w:p>
        </w:tc>
      </w:tr>
      <w:tr>
        <w:trPr>
          <w:trHeight w:val="190"/>
        </w:trPr>
        <w:tc>
          <w:tcPr>
            <w:tcW w:w="4080" w:type="dxa"/>
            <w:vAlign w:val="bottom"/>
            <w:shd w:val="clear" w:color="auto" w:fill="E8F0F8"/>
          </w:tcPr>
          <w:p>
            <w:pPr>
              <w:ind w:left="80"/>
              <w:spacing w:after="0"/>
              <w:rPr>
                <w:sz w:val="20"/>
                <w:szCs w:val="20"/>
                <w:color w:val="auto"/>
              </w:rPr>
            </w:pPr>
            <w:r>
              <w:rPr>
                <w:rFonts w:ascii="Arial" w:cs="Arial" w:eastAsia="Arial" w:hAnsi="Arial"/>
                <w:sz w:val="16"/>
                <w:szCs w:val="16"/>
                <w:color w:val="auto"/>
              </w:rPr>
              <w:t>Annual Retainers (in addition to Annual Board</w:t>
            </w:r>
          </w:p>
        </w:tc>
        <w:tc>
          <w:tcPr>
            <w:tcW w:w="460" w:type="dxa"/>
            <w:vAlign w:val="bottom"/>
            <w:shd w:val="clear" w:color="auto" w:fill="E8F0F8"/>
          </w:tcPr>
          <w:p>
            <w:pPr>
              <w:spacing w:after="0"/>
              <w:rPr>
                <w:sz w:val="16"/>
                <w:szCs w:val="16"/>
                <w:color w:val="auto"/>
              </w:rPr>
            </w:pPr>
          </w:p>
        </w:tc>
        <w:tc>
          <w:tcPr>
            <w:tcW w:w="740" w:type="dxa"/>
            <w:vAlign w:val="bottom"/>
            <w:shd w:val="clear" w:color="auto" w:fill="E8F0F8"/>
          </w:tcPr>
          <w:p>
            <w:pPr>
              <w:spacing w:after="0"/>
              <w:rPr>
                <w:sz w:val="16"/>
                <w:szCs w:val="16"/>
                <w:color w:val="auto"/>
              </w:rPr>
            </w:pPr>
          </w:p>
        </w:tc>
      </w:tr>
      <w:tr>
        <w:trPr>
          <w:trHeight w:val="215"/>
        </w:trPr>
        <w:tc>
          <w:tcPr>
            <w:tcW w:w="4080" w:type="dxa"/>
            <w:vAlign w:val="bottom"/>
            <w:shd w:val="clear" w:color="auto" w:fill="E8F0F8"/>
          </w:tcPr>
          <w:p>
            <w:pPr>
              <w:ind w:left="160"/>
              <w:spacing w:after="0"/>
              <w:rPr>
                <w:sz w:val="20"/>
                <w:szCs w:val="20"/>
                <w:color w:val="auto"/>
              </w:rPr>
            </w:pPr>
            <w:r>
              <w:rPr>
                <w:rFonts w:ascii="Arial" w:cs="Arial" w:eastAsia="Arial" w:hAnsi="Arial"/>
                <w:sz w:val="16"/>
                <w:szCs w:val="16"/>
                <w:color w:val="auto"/>
              </w:rPr>
              <w:t>Retainer):</w:t>
            </w:r>
          </w:p>
        </w:tc>
        <w:tc>
          <w:tcPr>
            <w:tcW w:w="460" w:type="dxa"/>
            <w:vAlign w:val="bottom"/>
            <w:shd w:val="clear" w:color="auto" w:fill="E8F0F8"/>
          </w:tcPr>
          <w:p>
            <w:pPr>
              <w:spacing w:after="0"/>
              <w:rPr>
                <w:sz w:val="18"/>
                <w:szCs w:val="18"/>
                <w:color w:val="auto"/>
              </w:rPr>
            </w:pPr>
          </w:p>
        </w:tc>
        <w:tc>
          <w:tcPr>
            <w:tcW w:w="740" w:type="dxa"/>
            <w:vAlign w:val="bottom"/>
            <w:shd w:val="clear" w:color="auto" w:fill="E8F0F8"/>
          </w:tcPr>
          <w:p>
            <w:pPr>
              <w:spacing w:after="0"/>
              <w:rPr>
                <w:sz w:val="18"/>
                <w:szCs w:val="18"/>
                <w:color w:val="auto"/>
              </w:rPr>
            </w:pPr>
          </w:p>
        </w:tc>
      </w:tr>
      <w:tr>
        <w:trPr>
          <w:trHeight w:val="229"/>
        </w:trPr>
        <w:tc>
          <w:tcPr>
            <w:tcW w:w="4080" w:type="dxa"/>
            <w:vAlign w:val="bottom"/>
            <w:shd w:val="clear" w:color="auto" w:fill="E8F0F8"/>
          </w:tcPr>
          <w:p>
            <w:pPr>
              <w:ind w:left="420"/>
              <w:spacing w:after="0"/>
              <w:rPr>
                <w:sz w:val="20"/>
                <w:szCs w:val="20"/>
                <w:color w:val="auto"/>
              </w:rPr>
            </w:pPr>
            <w:r>
              <w:rPr>
                <w:rFonts w:ascii="Arial" w:cs="Arial" w:eastAsia="Arial" w:hAnsi="Arial"/>
                <w:sz w:val="16"/>
                <w:szCs w:val="16"/>
                <w:color w:val="auto"/>
              </w:rPr>
              <w:t>Independent Chairman of the Board</w:t>
            </w:r>
          </w:p>
        </w:tc>
        <w:tc>
          <w:tcPr>
            <w:tcW w:w="4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F0F8"/>
          </w:tcPr>
          <w:p>
            <w:pPr>
              <w:jc w:val="right"/>
              <w:ind w:right="59"/>
              <w:spacing w:after="0"/>
              <w:rPr>
                <w:sz w:val="20"/>
                <w:szCs w:val="20"/>
                <w:color w:val="auto"/>
              </w:rPr>
            </w:pPr>
            <w:r>
              <w:rPr>
                <w:rFonts w:ascii="Arial" w:cs="Arial" w:eastAsia="Arial" w:hAnsi="Arial"/>
                <w:sz w:val="16"/>
                <w:szCs w:val="16"/>
                <w:color w:val="auto"/>
              </w:rPr>
              <w:t>75,000</w:t>
            </w:r>
          </w:p>
        </w:tc>
      </w:tr>
      <w:tr>
        <w:trPr>
          <w:trHeight w:val="230"/>
        </w:trPr>
        <w:tc>
          <w:tcPr>
            <w:tcW w:w="4080" w:type="dxa"/>
            <w:vAlign w:val="bottom"/>
            <w:shd w:val="clear" w:color="auto" w:fill="E8F0F8"/>
          </w:tcPr>
          <w:p>
            <w:pPr>
              <w:ind w:left="400"/>
              <w:spacing w:after="0"/>
              <w:rPr>
                <w:sz w:val="20"/>
                <w:szCs w:val="20"/>
                <w:color w:val="auto"/>
              </w:rPr>
            </w:pPr>
            <w:r>
              <w:rPr>
                <w:rFonts w:ascii="Arial" w:cs="Arial" w:eastAsia="Arial" w:hAnsi="Arial"/>
                <w:sz w:val="16"/>
                <w:szCs w:val="16"/>
                <w:color w:val="auto"/>
              </w:rPr>
              <w:t>Audit Committee Chair</w:t>
            </w:r>
          </w:p>
        </w:tc>
        <w:tc>
          <w:tcPr>
            <w:tcW w:w="4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F0F8"/>
          </w:tcPr>
          <w:p>
            <w:pPr>
              <w:jc w:val="right"/>
              <w:ind w:right="59"/>
              <w:spacing w:after="0"/>
              <w:rPr>
                <w:sz w:val="20"/>
                <w:szCs w:val="20"/>
                <w:color w:val="auto"/>
              </w:rPr>
            </w:pPr>
            <w:r>
              <w:rPr>
                <w:rFonts w:ascii="Arial" w:cs="Arial" w:eastAsia="Arial" w:hAnsi="Arial"/>
                <w:sz w:val="16"/>
                <w:szCs w:val="16"/>
                <w:color w:val="auto"/>
              </w:rPr>
              <w:t>30,000</w:t>
            </w:r>
          </w:p>
        </w:tc>
      </w:tr>
      <w:tr>
        <w:trPr>
          <w:trHeight w:val="204"/>
        </w:trPr>
        <w:tc>
          <w:tcPr>
            <w:tcW w:w="4080" w:type="dxa"/>
            <w:vAlign w:val="bottom"/>
            <w:shd w:val="clear" w:color="auto" w:fill="E8F0F8"/>
          </w:tcPr>
          <w:p>
            <w:pPr>
              <w:ind w:left="420"/>
              <w:spacing w:after="0"/>
              <w:rPr>
                <w:sz w:val="20"/>
                <w:szCs w:val="20"/>
                <w:color w:val="auto"/>
              </w:rPr>
            </w:pPr>
            <w:r>
              <w:rPr>
                <w:rFonts w:ascii="Arial" w:cs="Arial" w:eastAsia="Arial" w:hAnsi="Arial"/>
                <w:sz w:val="16"/>
                <w:szCs w:val="16"/>
                <w:color w:val="auto"/>
              </w:rPr>
              <w:t>Compensation and Management Development</w:t>
            </w:r>
          </w:p>
        </w:tc>
        <w:tc>
          <w:tcPr>
            <w:tcW w:w="460" w:type="dxa"/>
            <w:vAlign w:val="bottom"/>
            <w:shd w:val="clear" w:color="auto" w:fill="E8F0F8"/>
          </w:tcPr>
          <w:p>
            <w:pPr>
              <w:spacing w:after="0"/>
              <w:rPr>
                <w:sz w:val="17"/>
                <w:szCs w:val="17"/>
                <w:color w:val="auto"/>
              </w:rPr>
            </w:pPr>
          </w:p>
        </w:tc>
        <w:tc>
          <w:tcPr>
            <w:tcW w:w="740" w:type="dxa"/>
            <w:vAlign w:val="bottom"/>
            <w:shd w:val="clear" w:color="auto" w:fill="E8F0F8"/>
          </w:tcPr>
          <w:p>
            <w:pPr>
              <w:spacing w:after="0"/>
              <w:rPr>
                <w:sz w:val="17"/>
                <w:szCs w:val="17"/>
                <w:color w:val="auto"/>
              </w:rPr>
            </w:pPr>
          </w:p>
        </w:tc>
      </w:tr>
      <w:tr>
        <w:trPr>
          <w:trHeight w:val="215"/>
        </w:trPr>
        <w:tc>
          <w:tcPr>
            <w:tcW w:w="4080" w:type="dxa"/>
            <w:vAlign w:val="bottom"/>
            <w:shd w:val="clear" w:color="auto" w:fill="E8F0F8"/>
          </w:tcPr>
          <w:p>
            <w:pPr>
              <w:ind w:left="480"/>
              <w:spacing w:after="0"/>
              <w:rPr>
                <w:sz w:val="20"/>
                <w:szCs w:val="20"/>
                <w:color w:val="auto"/>
              </w:rPr>
            </w:pPr>
            <w:r>
              <w:rPr>
                <w:rFonts w:ascii="Arial" w:cs="Arial" w:eastAsia="Arial" w:hAnsi="Arial"/>
                <w:sz w:val="16"/>
                <w:szCs w:val="16"/>
                <w:color w:val="auto"/>
              </w:rPr>
              <w:t>Committee Chair</w:t>
            </w:r>
          </w:p>
        </w:tc>
        <w:tc>
          <w:tcPr>
            <w:tcW w:w="4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F0F8"/>
          </w:tcPr>
          <w:p>
            <w:pPr>
              <w:jc w:val="right"/>
              <w:ind w:right="59"/>
              <w:spacing w:after="0"/>
              <w:rPr>
                <w:sz w:val="20"/>
                <w:szCs w:val="20"/>
                <w:color w:val="auto"/>
              </w:rPr>
            </w:pPr>
            <w:r>
              <w:rPr>
                <w:rFonts w:ascii="Arial" w:cs="Arial" w:eastAsia="Arial" w:hAnsi="Arial"/>
                <w:sz w:val="16"/>
                <w:szCs w:val="16"/>
                <w:color w:val="auto"/>
              </w:rPr>
              <w:t>30,000</w:t>
            </w:r>
          </w:p>
        </w:tc>
      </w:tr>
      <w:tr>
        <w:trPr>
          <w:trHeight w:val="230"/>
        </w:trPr>
        <w:tc>
          <w:tcPr>
            <w:tcW w:w="4080" w:type="dxa"/>
            <w:vAlign w:val="bottom"/>
            <w:shd w:val="clear" w:color="auto" w:fill="E8F0F8"/>
          </w:tcPr>
          <w:p>
            <w:pPr>
              <w:ind w:left="420"/>
              <w:spacing w:after="0"/>
              <w:rPr>
                <w:sz w:val="20"/>
                <w:szCs w:val="20"/>
                <w:color w:val="auto"/>
              </w:rPr>
            </w:pPr>
            <w:r>
              <w:rPr>
                <w:rFonts w:ascii="Arial" w:cs="Arial" w:eastAsia="Arial" w:hAnsi="Arial"/>
                <w:sz w:val="16"/>
                <w:szCs w:val="16"/>
                <w:color w:val="auto"/>
              </w:rPr>
              <w:t>Corporate Governance Committee Chair</w:t>
            </w:r>
          </w:p>
        </w:tc>
        <w:tc>
          <w:tcPr>
            <w:tcW w:w="4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F0F8"/>
          </w:tcPr>
          <w:p>
            <w:pPr>
              <w:jc w:val="right"/>
              <w:ind w:right="59"/>
              <w:spacing w:after="0"/>
              <w:rPr>
                <w:sz w:val="20"/>
                <w:szCs w:val="20"/>
                <w:color w:val="auto"/>
              </w:rPr>
            </w:pPr>
            <w:r>
              <w:rPr>
                <w:rFonts w:ascii="Arial" w:cs="Arial" w:eastAsia="Arial" w:hAnsi="Arial"/>
                <w:sz w:val="16"/>
                <w:szCs w:val="16"/>
                <w:color w:val="auto"/>
              </w:rPr>
              <w:t>30,000</w:t>
            </w:r>
          </w:p>
        </w:tc>
      </w:tr>
      <w:tr>
        <w:trPr>
          <w:trHeight w:val="229"/>
        </w:trPr>
        <w:tc>
          <w:tcPr>
            <w:tcW w:w="4080" w:type="dxa"/>
            <w:vAlign w:val="bottom"/>
            <w:shd w:val="clear" w:color="auto" w:fill="E8F0F8"/>
          </w:tcPr>
          <w:p>
            <w:pPr>
              <w:ind w:left="400"/>
              <w:spacing w:after="0"/>
              <w:rPr>
                <w:sz w:val="20"/>
                <w:szCs w:val="20"/>
                <w:color w:val="auto"/>
              </w:rPr>
            </w:pPr>
            <w:r>
              <w:rPr>
                <w:rFonts w:ascii="Arial" w:cs="Arial" w:eastAsia="Arial" w:hAnsi="Arial"/>
                <w:sz w:val="16"/>
                <w:szCs w:val="16"/>
                <w:color w:val="auto"/>
              </w:rPr>
              <w:t>Audit Committee Member (other than Chair)</w:t>
            </w:r>
          </w:p>
        </w:tc>
        <w:tc>
          <w:tcPr>
            <w:tcW w:w="4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F0F8"/>
          </w:tcPr>
          <w:p>
            <w:pPr>
              <w:jc w:val="right"/>
              <w:ind w:right="59"/>
              <w:spacing w:after="0"/>
              <w:rPr>
                <w:sz w:val="20"/>
                <w:szCs w:val="20"/>
                <w:color w:val="auto"/>
              </w:rPr>
            </w:pPr>
            <w:r>
              <w:rPr>
                <w:rFonts w:ascii="Arial" w:cs="Arial" w:eastAsia="Arial" w:hAnsi="Arial"/>
                <w:sz w:val="16"/>
                <w:szCs w:val="16"/>
                <w:color w:val="auto"/>
              </w:rPr>
              <w:t>15,000</w:t>
            </w:r>
          </w:p>
        </w:tc>
      </w:tr>
      <w:tr>
        <w:trPr>
          <w:trHeight w:val="204"/>
        </w:trPr>
        <w:tc>
          <w:tcPr>
            <w:tcW w:w="4080" w:type="dxa"/>
            <w:vAlign w:val="bottom"/>
            <w:shd w:val="clear" w:color="auto" w:fill="E8F0F8"/>
          </w:tcPr>
          <w:p>
            <w:pPr>
              <w:ind w:left="420"/>
              <w:spacing w:after="0"/>
              <w:rPr>
                <w:sz w:val="20"/>
                <w:szCs w:val="20"/>
                <w:color w:val="auto"/>
              </w:rPr>
            </w:pPr>
            <w:r>
              <w:rPr>
                <w:rFonts w:ascii="Arial" w:cs="Arial" w:eastAsia="Arial" w:hAnsi="Arial"/>
                <w:sz w:val="16"/>
                <w:szCs w:val="16"/>
                <w:color w:val="auto"/>
              </w:rPr>
              <w:t>Compensation and Management Development</w:t>
            </w:r>
          </w:p>
        </w:tc>
        <w:tc>
          <w:tcPr>
            <w:tcW w:w="460" w:type="dxa"/>
            <w:vAlign w:val="bottom"/>
            <w:shd w:val="clear" w:color="auto" w:fill="E8F0F8"/>
          </w:tcPr>
          <w:p>
            <w:pPr>
              <w:spacing w:after="0"/>
              <w:rPr>
                <w:sz w:val="17"/>
                <w:szCs w:val="17"/>
                <w:color w:val="auto"/>
              </w:rPr>
            </w:pPr>
          </w:p>
        </w:tc>
        <w:tc>
          <w:tcPr>
            <w:tcW w:w="740" w:type="dxa"/>
            <w:vAlign w:val="bottom"/>
            <w:shd w:val="clear" w:color="auto" w:fill="E8F0F8"/>
          </w:tcPr>
          <w:p>
            <w:pPr>
              <w:spacing w:after="0"/>
              <w:rPr>
                <w:sz w:val="17"/>
                <w:szCs w:val="17"/>
                <w:color w:val="auto"/>
              </w:rPr>
            </w:pPr>
          </w:p>
        </w:tc>
      </w:tr>
      <w:tr>
        <w:trPr>
          <w:trHeight w:val="215"/>
        </w:trPr>
        <w:tc>
          <w:tcPr>
            <w:tcW w:w="4080" w:type="dxa"/>
            <w:vAlign w:val="bottom"/>
            <w:shd w:val="clear" w:color="auto" w:fill="E8F0F8"/>
          </w:tcPr>
          <w:p>
            <w:pPr>
              <w:ind w:left="480"/>
              <w:spacing w:after="0"/>
              <w:rPr>
                <w:sz w:val="20"/>
                <w:szCs w:val="20"/>
                <w:color w:val="auto"/>
              </w:rPr>
            </w:pPr>
            <w:r>
              <w:rPr>
                <w:rFonts w:ascii="Arial" w:cs="Arial" w:eastAsia="Arial" w:hAnsi="Arial"/>
                <w:sz w:val="16"/>
                <w:szCs w:val="16"/>
                <w:color w:val="auto"/>
              </w:rPr>
              <w:t>Committee Member (other than Chair)</w:t>
            </w:r>
          </w:p>
        </w:tc>
        <w:tc>
          <w:tcPr>
            <w:tcW w:w="4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8F0F8"/>
          </w:tcPr>
          <w:p>
            <w:pPr>
              <w:jc w:val="right"/>
              <w:ind w:right="59"/>
              <w:spacing w:after="0"/>
              <w:rPr>
                <w:sz w:val="20"/>
                <w:szCs w:val="20"/>
                <w:color w:val="auto"/>
              </w:rPr>
            </w:pPr>
            <w:r>
              <w:rPr>
                <w:rFonts w:ascii="Arial" w:cs="Arial" w:eastAsia="Arial" w:hAnsi="Arial"/>
                <w:sz w:val="16"/>
                <w:szCs w:val="16"/>
                <w:color w:val="auto"/>
              </w:rPr>
              <w:t>15,000</w:t>
            </w:r>
          </w:p>
        </w:tc>
      </w:tr>
      <w:tr>
        <w:trPr>
          <w:trHeight w:val="204"/>
        </w:trPr>
        <w:tc>
          <w:tcPr>
            <w:tcW w:w="4080" w:type="dxa"/>
            <w:vAlign w:val="bottom"/>
            <w:shd w:val="clear" w:color="auto" w:fill="E8F0F8"/>
          </w:tcPr>
          <w:p>
            <w:pPr>
              <w:ind w:left="420"/>
              <w:spacing w:after="0"/>
              <w:rPr>
                <w:sz w:val="20"/>
                <w:szCs w:val="20"/>
                <w:color w:val="auto"/>
              </w:rPr>
            </w:pPr>
            <w:r>
              <w:rPr>
                <w:rFonts w:ascii="Arial" w:cs="Arial" w:eastAsia="Arial" w:hAnsi="Arial"/>
                <w:sz w:val="16"/>
                <w:szCs w:val="16"/>
                <w:color w:val="auto"/>
              </w:rPr>
              <w:t>Corporate Governance Committee Member (other</w:t>
            </w:r>
          </w:p>
        </w:tc>
        <w:tc>
          <w:tcPr>
            <w:tcW w:w="460" w:type="dxa"/>
            <w:vAlign w:val="bottom"/>
            <w:shd w:val="clear" w:color="auto" w:fill="E8F0F8"/>
          </w:tcPr>
          <w:p>
            <w:pPr>
              <w:spacing w:after="0"/>
              <w:rPr>
                <w:sz w:val="17"/>
                <w:szCs w:val="17"/>
                <w:color w:val="auto"/>
              </w:rPr>
            </w:pPr>
          </w:p>
        </w:tc>
        <w:tc>
          <w:tcPr>
            <w:tcW w:w="740" w:type="dxa"/>
            <w:vAlign w:val="bottom"/>
            <w:shd w:val="clear" w:color="auto" w:fill="E8F0F8"/>
          </w:tcPr>
          <w:p>
            <w:pPr>
              <w:spacing w:after="0"/>
              <w:rPr>
                <w:sz w:val="17"/>
                <w:szCs w:val="17"/>
                <w:color w:val="auto"/>
              </w:rPr>
            </w:pPr>
          </w:p>
        </w:tc>
      </w:tr>
      <w:tr>
        <w:trPr>
          <w:trHeight w:val="224"/>
        </w:trPr>
        <w:tc>
          <w:tcPr>
            <w:tcW w:w="4080" w:type="dxa"/>
            <w:vAlign w:val="bottom"/>
            <w:tcBorders>
              <w:bottom w:val="single" w:sz="8" w:color="auto"/>
            </w:tcBorders>
            <w:shd w:val="clear" w:color="auto" w:fill="E8F0F8"/>
          </w:tcPr>
          <w:p>
            <w:pPr>
              <w:ind w:left="480"/>
              <w:spacing w:after="0"/>
              <w:rPr>
                <w:sz w:val="20"/>
                <w:szCs w:val="20"/>
                <w:color w:val="auto"/>
              </w:rPr>
            </w:pPr>
            <w:r>
              <w:rPr>
                <w:rFonts w:ascii="Arial" w:cs="Arial" w:eastAsia="Arial" w:hAnsi="Arial"/>
                <w:sz w:val="16"/>
                <w:szCs w:val="16"/>
                <w:color w:val="auto"/>
              </w:rPr>
              <w:t>than Chair)</w:t>
            </w:r>
          </w:p>
        </w:tc>
        <w:tc>
          <w:tcPr>
            <w:tcW w:w="4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8F0F8"/>
          </w:tcPr>
          <w:p>
            <w:pPr>
              <w:jc w:val="right"/>
              <w:ind w:right="59"/>
              <w:spacing w:after="0"/>
              <w:rPr>
                <w:sz w:val="20"/>
                <w:szCs w:val="20"/>
                <w:color w:val="auto"/>
              </w:rPr>
            </w:pPr>
            <w:r>
              <w:rPr>
                <w:rFonts w:ascii="Arial" w:cs="Arial" w:eastAsia="Arial" w:hAnsi="Arial"/>
                <w:sz w:val="16"/>
                <w:szCs w:val="16"/>
                <w:color w:val="auto"/>
              </w:rPr>
              <w:t>15,000</w:t>
            </w:r>
          </w:p>
        </w:tc>
      </w:tr>
    </w:tbl>
    <w:p>
      <w:pPr>
        <w:spacing w:after="0" w:line="9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Our non-employee directors are also eligible to be paid a fee of $1,000 for each full day of service to the Company other than in connection with meetings of our Board of Directors or one of its committees.</w:t>
      </w:r>
    </w:p>
    <w:p>
      <w:pPr>
        <w:spacing w:after="0" w:line="63" w:lineRule="exact"/>
        <w:rPr>
          <w:sz w:val="20"/>
          <w:szCs w:val="20"/>
          <w:color w:val="auto"/>
        </w:rPr>
      </w:pPr>
    </w:p>
    <w:p>
      <w:pPr>
        <w:ind w:left="120" w:right="280"/>
        <w:spacing w:after="0" w:line="249" w:lineRule="auto"/>
        <w:rPr>
          <w:sz w:val="20"/>
          <w:szCs w:val="20"/>
          <w:color w:val="auto"/>
        </w:rPr>
      </w:pPr>
      <w:r>
        <w:rPr>
          <w:rFonts w:ascii="Arial" w:cs="Arial" w:eastAsia="Arial" w:hAnsi="Arial"/>
          <w:sz w:val="16"/>
          <w:szCs w:val="16"/>
          <w:color w:val="auto"/>
        </w:rPr>
        <w:t>Our non-employee directors may defer all or part of their cash compensation under our Voluntary Board of Directors Savings Plan, which is similar to our Supplemental Savings Plan described in the narrative preceding the “2021 Non-Qualified Deferred Compensation” table in Part 6 – Executive Compensation Matters of this Proxy Statement, but without any Company matching contributions. If a non-employee director chooses to defer compensation under our Voluntary Board of Directors Savings Plan, his or her notional account under the plan will periodically be credited with amounts of deemed investment earnings as if the deferred compensation was actually invested in the notional investment(s) selected by the director or in a default investment if the director does not make a selection. These notional investment options include the mutual funds avail-</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20 </w:t>
      </w:r>
      <w:r>
        <w:rPr>
          <w:sz w:val="1"/>
          <w:szCs w:val="1"/>
          <w:color w:val="auto"/>
        </w:rPr>
        <w:drawing>
          <wp:inline distT="0" distB="0" distL="0" distR="0">
            <wp:extent cx="38735" cy="1968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Non-employee directors are also reimbursed for actual expenses incurred in attending meetings of our Board of Directors and any of its committees as well as service to our Board of Directors or any of its committees that is unrelated to such meetings.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Equity Awards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Awards Under Our Non-Employee Directors Equity Plan</w:t>
      </w:r>
    </w:p>
    <w:p>
      <w:pPr>
        <w:spacing w:after="0" w:line="11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non-employee directors receive awards under our 2006 Non-Employee Directors Equity Plan (the Non-Employee Directors Equity Plan). The Non-Employee Directors Equity Plan was initially approved by our stockholders at our 2006 annual meeting of stockholders. In 2015 our stockholders approved an amendment to extend the term of the plan until June 10, 2025.</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General Provisions of the Non-Employee Directors Equity Plan</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Non-employee directors receive an annual award under the Non-Employee Directors Equity Plan effective on the date of each annual meeting of stockholders (or a pro rata award upon election other than at an annual meeting of stockholders). Under the Non-Employee Directors Equity Plan, a maximum of 17,500 shares of our common stock (or 30,000 shares for the independent Chairman of the Board) may be granted to a non-employee director pursuant to such annual awards each calendar year. In 2022 the Non-Employee Directors Equity Plan was amended such that annual awards vest on the earlier of (i) the one-year anniversary of the date of grant or over such longer period as in such increments as the C&amp;MD Committee may otherwise determine or (ii) at the next annual meeting after grant of such annual award.</w:t>
      </w:r>
    </w:p>
    <w:p>
      <w:pPr>
        <w:spacing w:after="0" w:line="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Awards to non-employee directors are recommended by our C&amp;MD Committee and approved by our Board of Directors, with the independent Chairman recused from discussion and voting upon his own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889000</wp:posOffset>
            </wp:positionV>
            <wp:extent cx="102870" cy="939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400" w:space="340"/>
            <w:col w:w="5360"/>
          </w:cols>
          <w:pgMar w:left="320" w:top="455" w:right="4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3"/>
          <w:szCs w:val="83"/>
          <w:color w:val="1A6DBB"/>
        </w:rPr>
        <w:t xml:space="preserve">3 </w:t>
      </w:r>
      <w:r>
        <w:rPr>
          <w:rFonts w:ascii="Arial" w:cs="Arial" w:eastAsia="Arial" w:hAnsi="Arial"/>
          <w:sz w:val="39"/>
          <w:szCs w:val="39"/>
          <w:color w:val="1A6DBB"/>
        </w:rPr>
        <w:t>Board of Directors</w:t>
      </w:r>
      <w:r>
        <w:rPr>
          <w:rFonts w:ascii="Arial" w:cs="Arial" w:eastAsia="Arial" w:hAnsi="Arial"/>
          <w:sz w:val="83"/>
          <w:szCs w:val="83"/>
          <w:color w:val="1A6DBB"/>
        </w:rPr>
        <w:t xml:space="preserve"> </w:t>
      </w:r>
      <w:r>
        <w:rPr>
          <w:rFonts w:ascii="Arial" w:cs="Arial" w:eastAsia="Arial" w:hAnsi="Arial"/>
          <w:sz w:val="20"/>
          <w:szCs w:val="20"/>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-588010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Awards granted under the Non-Employee Directors Equity Plan are subject to accelerated vesting upon termination of a director’s service by reason of death, disability or retirement and upon a change in control (as such terms are defined in the Non-Employee Directors Equity Plan). In addition, non-employee director awards will become fully vested upon an involuntary termination of a director’s service within two years following certain mergers or other corporate transactions, as described in the Non-Employee Directors Equity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Awards During 2021</w:t>
      </w:r>
    </w:p>
    <w:p>
      <w:pPr>
        <w:spacing w:after="0" w:line="111"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June 2021 our C&amp;MD Committee recommended, and our Board of Directors approved, annual awards with a grant date fair value of approximately $270,000 for each non-employee director and an additional annual award with a grant date fair value of approximately $175,000 for the independent Chairman. These annual awards were below the limits set forth in the Non-Employee Directors Equity Plan described above and were consistent with the awards made in 2020. The 2021 annual awards were made in the form of restricted stock units (RSUs) that vest the earlier of (i) the first anniversary of the grant date or</w:t>
      </w:r>
    </w:p>
    <w:p>
      <w:pPr>
        <w:spacing w:after="0" w:line="6" w:lineRule="exact"/>
        <w:rPr>
          <w:sz w:val="20"/>
          <w:szCs w:val="20"/>
          <w:color w:val="auto"/>
        </w:rPr>
      </w:pPr>
    </w:p>
    <w:p>
      <w:pPr>
        <w:ind w:left="120" w:right="80" w:hanging="4"/>
        <w:spacing w:after="0" w:line="265" w:lineRule="auto"/>
        <w:tabs>
          <w:tab w:leader="none" w:pos="3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next annual meeting, generally subject to the director’s continued service.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1A6DBB"/>
        </w:rPr>
        <w:t>10b5-1 Trading Plans</w:t>
      </w:r>
    </w:p>
    <w:p>
      <w:pPr>
        <w:spacing w:after="0" w:line="108" w:lineRule="exact"/>
        <w:rPr>
          <w:sz w:val="20"/>
          <w:szCs w:val="20"/>
          <w:color w:val="auto"/>
        </w:rPr>
      </w:pPr>
    </w:p>
    <w:p>
      <w:pPr>
        <w:ind w:left="6" w:right="100"/>
        <w:spacing w:after="0" w:line="251" w:lineRule="auto"/>
        <w:rPr>
          <w:sz w:val="20"/>
          <w:szCs w:val="20"/>
          <w:color w:val="auto"/>
        </w:rPr>
      </w:pPr>
      <w:r>
        <w:rPr>
          <w:rFonts w:ascii="Arial" w:cs="Arial" w:eastAsia="Arial" w:hAnsi="Arial"/>
          <w:sz w:val="16"/>
          <w:szCs w:val="16"/>
          <w:color w:val="auto"/>
        </w:rPr>
        <w:t>Our non-employee directors must use pre-established trading plans to sell shares of our common stock from their personal accounts. A trading plan may only be entered into during an open trading window and when the applicable director is not in possession of material non-public information about the Company. We require a waiting period following the establishment of a trading plan before any trades may be executed. Our policy is designed to provide safeguards while allowing our non-employee directors to have an opportunity to realize the value intended by the Company in granting equity-based awards.</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1A6DBB"/>
        </w:rPr>
        <w:t>Non-Employee Director Stock Ownership Guidelines</w:t>
      </w:r>
    </w:p>
    <w:p>
      <w:pPr>
        <w:spacing w:after="0" w:line="108" w:lineRule="exact"/>
        <w:rPr>
          <w:sz w:val="20"/>
          <w:szCs w:val="20"/>
          <w:color w:val="auto"/>
        </w:rPr>
      </w:pPr>
    </w:p>
    <w:p>
      <w:pPr>
        <w:ind w:left="6" w:right="1060"/>
        <w:spacing w:after="0" w:line="286" w:lineRule="auto"/>
        <w:rPr>
          <w:sz w:val="20"/>
          <w:szCs w:val="20"/>
          <w:color w:val="auto"/>
        </w:rPr>
      </w:pPr>
      <w:r>
        <w:rPr>
          <w:rFonts w:ascii="Arial" w:cs="Arial" w:eastAsia="Arial" w:hAnsi="Arial"/>
          <w:sz w:val="16"/>
          <w:szCs w:val="16"/>
          <w:color w:val="auto"/>
        </w:rPr>
        <w:t>We maintain the following stock ownership guidelines for our non-employee directors:</w:t>
      </w:r>
    </w:p>
    <w:p>
      <w:pPr>
        <w:spacing w:after="0" w:line="75" w:lineRule="exact"/>
        <w:rPr>
          <w:sz w:val="20"/>
          <w:szCs w:val="20"/>
          <w:color w:val="auto"/>
        </w:rPr>
      </w:pPr>
    </w:p>
    <w:tbl>
      <w:tblPr>
        <w:tblLayout w:type="fixed"/>
        <w:tblInd w:w="6" w:type="dxa"/>
        <w:tblCellMar>
          <w:top w:w="0" w:type="dxa"/>
          <w:left w:w="0" w:type="dxa"/>
          <w:bottom w:w="0" w:type="dxa"/>
          <w:right w:w="0" w:type="dxa"/>
        </w:tblCellMar>
      </w:tblPr>
      <w:tr>
        <w:trPr>
          <w:trHeight w:val="229"/>
        </w:trPr>
        <w:tc>
          <w:tcPr>
            <w:tcW w:w="21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Position</w:t>
            </w:r>
          </w:p>
        </w:tc>
        <w:tc>
          <w:tcPr>
            <w:tcW w:w="324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Stock Ownership Requirement</w:t>
            </w:r>
            <w:r>
              <w:rPr>
                <w:rFonts w:ascii="Arial" w:cs="Arial" w:eastAsia="Arial" w:hAnsi="Arial"/>
                <w:sz w:val="14"/>
                <w:szCs w:val="14"/>
                <w:color w:val="FFFFFF"/>
                <w:vertAlign w:val="superscript"/>
              </w:rPr>
              <w:t>(1)</w:t>
            </w:r>
          </w:p>
        </w:tc>
      </w:tr>
      <w:tr>
        <w:trPr>
          <w:trHeight w:val="153"/>
        </w:trPr>
        <w:tc>
          <w:tcPr>
            <w:tcW w:w="2160" w:type="dxa"/>
            <w:vAlign w:val="bottom"/>
            <w:shd w:val="clear" w:color="auto" w:fill="E8F0F8"/>
          </w:tcPr>
          <w:p>
            <w:pPr>
              <w:ind w:left="80"/>
              <w:spacing w:after="0" w:line="153" w:lineRule="exact"/>
              <w:rPr>
                <w:sz w:val="20"/>
                <w:szCs w:val="20"/>
                <w:color w:val="auto"/>
              </w:rPr>
            </w:pPr>
            <w:r>
              <w:rPr>
                <w:rFonts w:ascii="Arial" w:cs="Arial" w:eastAsia="Arial" w:hAnsi="Arial"/>
                <w:sz w:val="14"/>
                <w:szCs w:val="14"/>
                <w:color w:val="auto"/>
              </w:rPr>
              <w:t>Independent</w:t>
            </w:r>
          </w:p>
        </w:tc>
        <w:tc>
          <w:tcPr>
            <w:tcW w:w="3240" w:type="dxa"/>
            <w:vAlign w:val="bottom"/>
            <w:shd w:val="clear" w:color="auto" w:fill="E8F0F8"/>
          </w:tcPr>
          <w:p>
            <w:pPr>
              <w:ind w:left="60"/>
              <w:spacing w:after="0" w:line="153" w:lineRule="exact"/>
              <w:rPr>
                <w:sz w:val="20"/>
                <w:szCs w:val="20"/>
                <w:color w:val="auto"/>
              </w:rPr>
            </w:pPr>
            <w:r>
              <w:rPr>
                <w:rFonts w:ascii="Arial" w:cs="Arial" w:eastAsia="Arial" w:hAnsi="Arial"/>
                <w:sz w:val="14"/>
                <w:szCs w:val="14"/>
                <w:color w:val="auto"/>
              </w:rPr>
              <w:t>Number of shares equal in value to 5x the total</w:t>
            </w:r>
          </w:p>
        </w:tc>
      </w:tr>
      <w:tr>
        <w:trPr>
          <w:trHeight w:val="162"/>
        </w:trPr>
        <w:tc>
          <w:tcPr>
            <w:tcW w:w="2160" w:type="dxa"/>
            <w:vAlign w:val="bottom"/>
            <w:shd w:val="clear" w:color="auto" w:fill="E8F0F8"/>
          </w:tcPr>
          <w:p>
            <w:pPr>
              <w:ind w:left="80"/>
              <w:spacing w:after="0"/>
              <w:rPr>
                <w:sz w:val="20"/>
                <w:szCs w:val="20"/>
                <w:color w:val="auto"/>
              </w:rPr>
            </w:pPr>
            <w:r>
              <w:rPr>
                <w:rFonts w:ascii="Arial" w:cs="Arial" w:eastAsia="Arial" w:hAnsi="Arial"/>
                <w:sz w:val="14"/>
                <w:szCs w:val="14"/>
                <w:color w:val="auto"/>
              </w:rPr>
              <w:t>Chairman</w:t>
            </w:r>
          </w:p>
        </w:tc>
        <w:tc>
          <w:tcPr>
            <w:tcW w:w="3240" w:type="dxa"/>
            <w:vAlign w:val="bottom"/>
            <w:shd w:val="clear" w:color="auto" w:fill="E8F0F8"/>
          </w:tcPr>
          <w:p>
            <w:pPr>
              <w:ind w:left="60"/>
              <w:spacing w:after="0"/>
              <w:rPr>
                <w:sz w:val="20"/>
                <w:szCs w:val="20"/>
                <w:color w:val="auto"/>
              </w:rPr>
            </w:pPr>
            <w:r>
              <w:rPr>
                <w:rFonts w:ascii="Arial" w:cs="Arial" w:eastAsia="Arial" w:hAnsi="Arial"/>
                <w:sz w:val="14"/>
                <w:szCs w:val="14"/>
                <w:color w:val="auto"/>
              </w:rPr>
              <w:t>annual cash retainer for serving as</w:t>
            </w:r>
          </w:p>
        </w:tc>
      </w:tr>
      <w:tr>
        <w:trPr>
          <w:trHeight w:val="162"/>
        </w:trPr>
        <w:tc>
          <w:tcPr>
            <w:tcW w:w="2160" w:type="dxa"/>
            <w:vAlign w:val="bottom"/>
            <w:shd w:val="clear" w:color="auto" w:fill="E8F0F8"/>
          </w:tcPr>
          <w:p>
            <w:pPr>
              <w:spacing w:after="0"/>
              <w:rPr>
                <w:sz w:val="14"/>
                <w:szCs w:val="14"/>
                <w:color w:val="auto"/>
              </w:rPr>
            </w:pPr>
          </w:p>
        </w:tc>
        <w:tc>
          <w:tcPr>
            <w:tcW w:w="3240" w:type="dxa"/>
            <w:vAlign w:val="bottom"/>
            <w:shd w:val="clear" w:color="auto" w:fill="E8F0F8"/>
          </w:tcPr>
          <w:p>
            <w:pPr>
              <w:ind w:left="60"/>
              <w:spacing w:after="0"/>
              <w:rPr>
                <w:sz w:val="20"/>
                <w:szCs w:val="20"/>
                <w:color w:val="auto"/>
              </w:rPr>
            </w:pPr>
            <w:r>
              <w:rPr>
                <w:rFonts w:ascii="Arial" w:cs="Arial" w:eastAsia="Arial" w:hAnsi="Arial"/>
                <w:sz w:val="14"/>
                <w:szCs w:val="14"/>
                <w:color w:val="auto"/>
              </w:rPr>
              <w:t>(i) independent Chairman and (ii) as a</w:t>
            </w:r>
          </w:p>
        </w:tc>
      </w:tr>
      <w:tr>
        <w:trPr>
          <w:trHeight w:val="205"/>
        </w:trPr>
        <w:tc>
          <w:tcPr>
            <w:tcW w:w="2160" w:type="dxa"/>
            <w:vAlign w:val="bottom"/>
            <w:tcBorders>
              <w:bottom w:val="single" w:sz="8" w:color="E8F0F8"/>
            </w:tcBorders>
            <w:shd w:val="clear" w:color="auto" w:fill="E8F0F8"/>
          </w:tcPr>
          <w:p>
            <w:pPr>
              <w:spacing w:after="0"/>
              <w:rPr>
                <w:sz w:val="17"/>
                <w:szCs w:val="17"/>
                <w:color w:val="auto"/>
              </w:rPr>
            </w:pPr>
          </w:p>
        </w:tc>
        <w:tc>
          <w:tcPr>
            <w:tcW w:w="324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4"/>
                <w:szCs w:val="14"/>
                <w:color w:val="auto"/>
              </w:rPr>
              <w:t>non-employee Board member</w:t>
            </w:r>
          </w:p>
        </w:tc>
      </w:tr>
      <w:tr>
        <w:trPr>
          <w:trHeight w:val="193"/>
        </w:trPr>
        <w:tc>
          <w:tcPr>
            <w:tcW w:w="2160" w:type="dxa"/>
            <w:vAlign w:val="bottom"/>
            <w:shd w:val="clear" w:color="auto" w:fill="BAD3EA"/>
          </w:tcPr>
          <w:p>
            <w:pPr>
              <w:ind w:left="80"/>
              <w:spacing w:after="0"/>
              <w:rPr>
                <w:sz w:val="20"/>
                <w:szCs w:val="20"/>
                <w:color w:val="auto"/>
              </w:rPr>
            </w:pPr>
            <w:r>
              <w:rPr>
                <w:rFonts w:ascii="Arial" w:cs="Arial" w:eastAsia="Arial" w:hAnsi="Arial"/>
                <w:sz w:val="14"/>
                <w:szCs w:val="14"/>
                <w:color w:val="auto"/>
              </w:rPr>
              <w:t>Non-Employee</w:t>
            </w:r>
          </w:p>
        </w:tc>
        <w:tc>
          <w:tcPr>
            <w:tcW w:w="3240" w:type="dxa"/>
            <w:vAlign w:val="bottom"/>
            <w:shd w:val="clear" w:color="auto" w:fill="BAD3EA"/>
          </w:tcPr>
          <w:p>
            <w:pPr>
              <w:ind w:left="60"/>
              <w:spacing w:after="0"/>
              <w:rPr>
                <w:sz w:val="20"/>
                <w:szCs w:val="20"/>
                <w:color w:val="auto"/>
              </w:rPr>
            </w:pPr>
            <w:r>
              <w:rPr>
                <w:rFonts w:ascii="Arial" w:cs="Arial" w:eastAsia="Arial" w:hAnsi="Arial"/>
                <w:sz w:val="14"/>
                <w:szCs w:val="14"/>
                <w:color w:val="auto"/>
              </w:rPr>
              <w:t>Number of shares equal in value to 5x the annual</w:t>
            </w:r>
          </w:p>
        </w:tc>
      </w:tr>
      <w:tr>
        <w:trPr>
          <w:trHeight w:val="162"/>
        </w:trPr>
        <w:tc>
          <w:tcPr>
            <w:tcW w:w="2160" w:type="dxa"/>
            <w:vAlign w:val="bottom"/>
            <w:shd w:val="clear" w:color="auto" w:fill="BAD3EA"/>
          </w:tcPr>
          <w:p>
            <w:pPr>
              <w:ind w:left="80"/>
              <w:spacing w:after="0"/>
              <w:rPr>
                <w:sz w:val="20"/>
                <w:szCs w:val="20"/>
                <w:color w:val="auto"/>
              </w:rPr>
            </w:pPr>
            <w:r>
              <w:rPr>
                <w:rFonts w:ascii="Arial" w:cs="Arial" w:eastAsia="Arial" w:hAnsi="Arial"/>
                <w:sz w:val="14"/>
                <w:szCs w:val="14"/>
                <w:color w:val="auto"/>
              </w:rPr>
              <w:t>Directors</w:t>
            </w:r>
          </w:p>
        </w:tc>
        <w:tc>
          <w:tcPr>
            <w:tcW w:w="3240" w:type="dxa"/>
            <w:vAlign w:val="bottom"/>
            <w:shd w:val="clear" w:color="auto" w:fill="BAD3EA"/>
          </w:tcPr>
          <w:p>
            <w:pPr>
              <w:ind w:left="60"/>
              <w:spacing w:after="0"/>
              <w:rPr>
                <w:sz w:val="20"/>
                <w:szCs w:val="20"/>
                <w:color w:val="auto"/>
              </w:rPr>
            </w:pPr>
            <w:r>
              <w:rPr>
                <w:rFonts w:ascii="Arial" w:cs="Arial" w:eastAsia="Arial" w:hAnsi="Arial"/>
                <w:sz w:val="14"/>
                <w:szCs w:val="14"/>
                <w:color w:val="auto"/>
              </w:rPr>
              <w:t>cash retainer for non-employee Board members</w:t>
            </w:r>
          </w:p>
        </w:tc>
      </w:tr>
      <w:tr>
        <w:trPr>
          <w:trHeight w:val="185"/>
        </w:trPr>
        <w:tc>
          <w:tcPr>
            <w:tcW w:w="2160" w:type="dxa"/>
            <w:vAlign w:val="bottom"/>
            <w:tcBorders>
              <w:bottom w:val="single" w:sz="8" w:color="auto"/>
            </w:tcBorders>
            <w:shd w:val="clear" w:color="auto" w:fill="BAD3EA"/>
          </w:tcPr>
          <w:p>
            <w:pPr>
              <w:ind w:left="80"/>
              <w:spacing w:after="0"/>
              <w:rPr>
                <w:sz w:val="20"/>
                <w:szCs w:val="20"/>
                <w:color w:val="auto"/>
              </w:rPr>
            </w:pPr>
            <w:r>
              <w:rPr>
                <w:rFonts w:ascii="Arial" w:cs="Arial" w:eastAsia="Arial" w:hAnsi="Arial"/>
                <w:sz w:val="14"/>
                <w:szCs w:val="14"/>
                <w:color w:val="auto"/>
              </w:rPr>
              <w:t>(excluding Chairman)</w:t>
            </w:r>
          </w:p>
        </w:tc>
        <w:tc>
          <w:tcPr>
            <w:tcW w:w="3240" w:type="dxa"/>
            <w:vAlign w:val="bottom"/>
            <w:tcBorders>
              <w:bottom w:val="single" w:sz="8" w:color="auto"/>
            </w:tcBorders>
            <w:shd w:val="clear" w:color="auto" w:fill="BAD3EA"/>
          </w:tcPr>
          <w:p>
            <w:pPr>
              <w:spacing w:after="0"/>
              <w:rPr>
                <w:sz w:val="16"/>
                <w:szCs w:val="16"/>
                <w:color w:val="auto"/>
              </w:rPr>
            </w:pPr>
          </w:p>
        </w:tc>
      </w:tr>
    </w:tbl>
    <w:p>
      <w:pPr>
        <w:ind w:left="206" w:right="160" w:hanging="206"/>
        <w:spacing w:after="0" w:line="251" w:lineRule="auto"/>
        <w:tabs>
          <w:tab w:leader="none" w:pos="206" w:val="left"/>
        </w:tabs>
        <w:numPr>
          <w:ilvl w:val="0"/>
          <w:numId w:val="59"/>
        </w:numPr>
        <w:rPr>
          <w:rFonts w:ascii="Arial" w:cs="Arial" w:eastAsia="Arial" w:hAnsi="Arial"/>
          <w:sz w:val="14"/>
          <w:szCs w:val="14"/>
          <w:color w:val="auto"/>
        </w:rPr>
      </w:pPr>
      <w:r>
        <w:rPr>
          <w:rFonts w:ascii="Arial" w:cs="Arial" w:eastAsia="Arial" w:hAnsi="Arial"/>
          <w:sz w:val="14"/>
          <w:szCs w:val="14"/>
          <w:color w:val="auto"/>
        </w:rPr>
        <w:t>Each non-employee director has five years from the date of initial election or appointment to meet the stock ownership requirement. All of our non-employee directors meet the stock ownership requirement or are still within the five-year period to meet such requirement.</w:t>
      </w:r>
    </w:p>
    <w:p>
      <w:pPr>
        <w:spacing w:after="0" w:line="200" w:lineRule="exact"/>
        <w:rPr>
          <w:sz w:val="20"/>
          <w:szCs w:val="20"/>
          <w:color w:val="auto"/>
        </w:rPr>
      </w:pPr>
    </w:p>
    <w:p>
      <w:pPr>
        <w:sectPr>
          <w:pgSz w:w="11900" w:h="16838" w:orient="portrait"/>
          <w:cols w:equalWidth="0" w:num="2">
            <w:col w:w="5360" w:space="374"/>
            <w:col w:w="5406"/>
          </w:cols>
          <w:pgMar w:left="320" w:top="455" w:right="439" w:bottom="1440" w:gutter="0" w:footer="0" w:header="0"/>
          <w:type w:val="continuous"/>
        </w:sectPr>
      </w:pPr>
    </w:p>
    <w:p>
      <w:pPr>
        <w:spacing w:after="0" w:line="52"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21 </w:t>
      </w:r>
      <w:r>
        <w:rPr>
          <w:sz w:val="1"/>
          <w:szCs w:val="1"/>
          <w:color w:val="auto"/>
        </w:rPr>
        <w:drawing>
          <wp:inline distT="0" distB="0" distL="0" distR="0">
            <wp:extent cx="38735" cy="1968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60"/>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Director Compensation</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20" w:type="dxa"/>
            <w:vAlign w:val="bottom"/>
            <w:shd w:val="clear" w:color="auto" w:fill="1A6DBB"/>
          </w:tcPr>
          <w:p>
            <w:pPr>
              <w:spacing w:after="0"/>
              <w:rPr>
                <w:sz w:val="20"/>
                <w:szCs w:val="20"/>
                <w:color w:val="auto"/>
              </w:rPr>
            </w:pPr>
          </w:p>
        </w:tc>
        <w:tc>
          <w:tcPr>
            <w:tcW w:w="480" w:type="dxa"/>
            <w:vAlign w:val="bottom"/>
            <w:shd w:val="clear" w:color="auto" w:fill="1A6DBB"/>
          </w:tcPr>
          <w:p>
            <w:pPr>
              <w:spacing w:after="0"/>
              <w:rPr>
                <w:sz w:val="20"/>
                <w:szCs w:val="20"/>
                <w:color w:val="auto"/>
              </w:rPr>
            </w:pPr>
          </w:p>
        </w:tc>
        <w:tc>
          <w:tcPr>
            <w:tcW w:w="820" w:type="dxa"/>
            <w:vAlign w:val="bottom"/>
            <w:shd w:val="clear" w:color="auto" w:fill="1A6DBB"/>
          </w:tcPr>
          <w:p>
            <w:pPr>
              <w:jc w:val="center"/>
              <w:ind w:right="221"/>
              <w:spacing w:after="0"/>
              <w:rPr>
                <w:sz w:val="20"/>
                <w:szCs w:val="20"/>
                <w:color w:val="auto"/>
              </w:rPr>
            </w:pPr>
            <w:r>
              <w:rPr>
                <w:rFonts w:ascii="Arial" w:cs="Arial" w:eastAsia="Arial" w:hAnsi="Arial"/>
                <w:sz w:val="14"/>
                <w:szCs w:val="14"/>
                <w:color w:val="FFFFFF"/>
              </w:rPr>
              <w:t>Fees</w:t>
            </w:r>
          </w:p>
        </w:tc>
        <w:tc>
          <w:tcPr>
            <w:tcW w:w="1120" w:type="dxa"/>
            <w:vAlign w:val="bottom"/>
            <w:shd w:val="clear" w:color="auto" w:fill="1A6DBB"/>
          </w:tcPr>
          <w:p>
            <w:pPr>
              <w:spacing w:after="0"/>
              <w:rPr>
                <w:sz w:val="20"/>
                <w:szCs w:val="20"/>
                <w:color w:val="auto"/>
              </w:rPr>
            </w:pPr>
          </w:p>
        </w:tc>
        <w:tc>
          <w:tcPr>
            <w:tcW w:w="19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Change in Pension</w:t>
            </w:r>
          </w:p>
        </w:tc>
        <w:tc>
          <w:tcPr>
            <w:tcW w:w="1380" w:type="dxa"/>
            <w:vAlign w:val="bottom"/>
            <w:shd w:val="clear" w:color="auto" w:fill="1A6DBB"/>
          </w:tcPr>
          <w:p>
            <w:pPr>
              <w:spacing w:after="0"/>
              <w:rPr>
                <w:sz w:val="20"/>
                <w:szCs w:val="20"/>
                <w:color w:val="auto"/>
              </w:rPr>
            </w:pPr>
          </w:p>
        </w:tc>
        <w:tc>
          <w:tcPr>
            <w:tcW w:w="960" w:type="dxa"/>
            <w:vAlign w:val="bottom"/>
            <w:shd w:val="clear" w:color="auto" w:fill="1A6DBB"/>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1A6DBB"/>
          </w:tcPr>
          <w:p>
            <w:pPr>
              <w:spacing w:after="0"/>
              <w:rPr>
                <w:sz w:val="14"/>
                <w:szCs w:val="14"/>
                <w:color w:val="auto"/>
              </w:rPr>
            </w:pPr>
          </w:p>
        </w:tc>
        <w:tc>
          <w:tcPr>
            <w:tcW w:w="1300" w:type="dxa"/>
            <w:vAlign w:val="bottom"/>
            <w:gridSpan w:val="2"/>
            <w:shd w:val="clear" w:color="auto" w:fill="1A6DBB"/>
          </w:tcPr>
          <w:p>
            <w:pPr>
              <w:jc w:val="center"/>
              <w:ind w:left="80"/>
              <w:spacing w:after="0"/>
              <w:rPr>
                <w:sz w:val="20"/>
                <w:szCs w:val="20"/>
                <w:color w:val="auto"/>
              </w:rPr>
            </w:pPr>
            <w:r>
              <w:rPr>
                <w:rFonts w:ascii="Arial" w:cs="Arial" w:eastAsia="Arial" w:hAnsi="Arial"/>
                <w:sz w:val="14"/>
                <w:szCs w:val="14"/>
                <w:color w:val="FFFFFF"/>
              </w:rPr>
              <w:t>Earned or</w:t>
            </w:r>
          </w:p>
        </w:tc>
        <w:tc>
          <w:tcPr>
            <w:tcW w:w="112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Stock</w:t>
            </w:r>
          </w:p>
        </w:tc>
        <w:tc>
          <w:tcPr>
            <w:tcW w:w="19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Value and Nonqualified</w:t>
            </w:r>
          </w:p>
        </w:tc>
        <w:tc>
          <w:tcPr>
            <w:tcW w:w="138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All Other</w:t>
            </w:r>
          </w:p>
        </w:tc>
        <w:tc>
          <w:tcPr>
            <w:tcW w:w="96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1A6DBB"/>
          </w:tcPr>
          <w:p>
            <w:pPr>
              <w:spacing w:after="0"/>
              <w:rPr>
                <w:sz w:val="12"/>
                <w:szCs w:val="12"/>
                <w:color w:val="auto"/>
              </w:rPr>
            </w:pPr>
          </w:p>
        </w:tc>
        <w:tc>
          <w:tcPr>
            <w:tcW w:w="480" w:type="dxa"/>
            <w:vAlign w:val="bottom"/>
            <w:shd w:val="clear" w:color="auto" w:fill="1A6DBB"/>
          </w:tcPr>
          <w:p>
            <w:pPr>
              <w:spacing w:after="0"/>
              <w:rPr>
                <w:sz w:val="12"/>
                <w:szCs w:val="12"/>
                <w:color w:val="auto"/>
              </w:rPr>
            </w:pPr>
          </w:p>
        </w:tc>
        <w:tc>
          <w:tcPr>
            <w:tcW w:w="820" w:type="dxa"/>
            <w:vAlign w:val="bottom"/>
            <w:shd w:val="clear" w:color="auto" w:fill="1A6DBB"/>
          </w:tcPr>
          <w:p>
            <w:pPr>
              <w:jc w:val="center"/>
              <w:ind w:right="221"/>
              <w:spacing w:after="0" w:line="147" w:lineRule="exact"/>
              <w:rPr>
                <w:sz w:val="20"/>
                <w:szCs w:val="20"/>
                <w:color w:val="auto"/>
              </w:rPr>
            </w:pPr>
            <w:r>
              <w:rPr>
                <w:rFonts w:ascii="Arial" w:cs="Arial" w:eastAsia="Arial" w:hAnsi="Arial"/>
                <w:sz w:val="14"/>
                <w:szCs w:val="14"/>
                <w:color w:val="FFFFFF"/>
              </w:rPr>
              <w:t>Paid in</w:t>
            </w:r>
          </w:p>
        </w:tc>
        <w:tc>
          <w:tcPr>
            <w:tcW w:w="1120" w:type="dxa"/>
            <w:vAlign w:val="bottom"/>
            <w:vMerge w:val="continue"/>
            <w:shd w:val="clear" w:color="auto" w:fill="1A6DBB"/>
          </w:tcPr>
          <w:p>
            <w:pPr>
              <w:spacing w:after="0"/>
              <w:rPr>
                <w:sz w:val="12"/>
                <w:szCs w:val="12"/>
                <w:color w:val="auto"/>
              </w:rPr>
            </w:pPr>
          </w:p>
        </w:tc>
        <w:tc>
          <w:tcPr>
            <w:tcW w:w="1940" w:type="dxa"/>
            <w:vAlign w:val="bottom"/>
            <w:shd w:val="clear" w:color="auto" w:fill="1A6DBB"/>
          </w:tcPr>
          <w:p>
            <w:pPr>
              <w:jc w:val="center"/>
              <w:spacing w:after="0" w:line="147" w:lineRule="exact"/>
              <w:rPr>
                <w:sz w:val="20"/>
                <w:szCs w:val="20"/>
                <w:color w:val="auto"/>
              </w:rPr>
            </w:pPr>
            <w:r>
              <w:rPr>
                <w:rFonts w:ascii="Arial" w:cs="Arial" w:eastAsia="Arial" w:hAnsi="Arial"/>
                <w:sz w:val="14"/>
                <w:szCs w:val="14"/>
                <w:color w:val="FFFFFF"/>
              </w:rPr>
              <w:t>Deferred Compensation</w:t>
            </w:r>
          </w:p>
        </w:tc>
        <w:tc>
          <w:tcPr>
            <w:tcW w:w="1380" w:type="dxa"/>
            <w:vAlign w:val="bottom"/>
            <w:vMerge w:val="continue"/>
            <w:shd w:val="clear" w:color="auto" w:fill="1A6DBB"/>
          </w:tcPr>
          <w:p>
            <w:pPr>
              <w:spacing w:after="0"/>
              <w:rPr>
                <w:sz w:val="12"/>
                <w:szCs w:val="12"/>
                <w:color w:val="auto"/>
              </w:rPr>
            </w:pPr>
          </w:p>
        </w:tc>
        <w:tc>
          <w:tcPr>
            <w:tcW w:w="960" w:type="dxa"/>
            <w:vAlign w:val="bottom"/>
            <w:shd w:val="clear" w:color="auto" w:fill="1A6DBB"/>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480" w:type="dxa"/>
            <w:vAlign w:val="bottom"/>
            <w:shd w:val="clear" w:color="auto" w:fill="1A6DBB"/>
          </w:tcPr>
          <w:p>
            <w:pPr>
              <w:spacing w:after="0"/>
              <w:rPr>
                <w:sz w:val="14"/>
                <w:szCs w:val="14"/>
                <w:color w:val="auto"/>
              </w:rPr>
            </w:pPr>
          </w:p>
        </w:tc>
        <w:tc>
          <w:tcPr>
            <w:tcW w:w="820" w:type="dxa"/>
            <w:vAlign w:val="bottom"/>
            <w:shd w:val="clear" w:color="auto" w:fill="1A6DBB"/>
          </w:tcPr>
          <w:p>
            <w:pPr>
              <w:jc w:val="center"/>
              <w:ind w:right="241"/>
              <w:spacing w:after="0"/>
              <w:rPr>
                <w:sz w:val="20"/>
                <w:szCs w:val="20"/>
                <w:color w:val="auto"/>
              </w:rPr>
            </w:pPr>
            <w:r>
              <w:rPr>
                <w:rFonts w:ascii="Arial" w:cs="Arial" w:eastAsia="Arial" w:hAnsi="Arial"/>
                <w:sz w:val="14"/>
                <w:szCs w:val="14"/>
                <w:color w:val="FFFFFF"/>
              </w:rPr>
              <w:t>Cash</w:t>
            </w:r>
          </w:p>
        </w:tc>
        <w:tc>
          <w:tcPr>
            <w:tcW w:w="112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Awards</w:t>
            </w:r>
            <w:r>
              <w:rPr>
                <w:rFonts w:ascii="Arial" w:cs="Arial" w:eastAsia="Arial" w:hAnsi="Arial"/>
                <w:sz w:val="14"/>
                <w:szCs w:val="14"/>
                <w:color w:val="FFFFFF"/>
                <w:w w:val="99"/>
                <w:vertAlign w:val="superscript"/>
              </w:rPr>
              <w:t>(1)</w:t>
            </w:r>
          </w:p>
        </w:tc>
        <w:tc>
          <w:tcPr>
            <w:tcW w:w="194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8"/>
              </w:rPr>
              <w:t>Earnings</w:t>
            </w:r>
            <w:r>
              <w:rPr>
                <w:rFonts w:ascii="Arial" w:cs="Arial" w:eastAsia="Arial" w:hAnsi="Arial"/>
                <w:sz w:val="14"/>
                <w:szCs w:val="14"/>
                <w:color w:val="FFFFFF"/>
                <w:w w:val="98"/>
                <w:vertAlign w:val="superscript"/>
              </w:rPr>
              <w:t>(2)</w:t>
            </w: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Compensation</w:t>
            </w:r>
            <w:r>
              <w:rPr>
                <w:rFonts w:ascii="Arial" w:cs="Arial" w:eastAsia="Arial" w:hAnsi="Arial"/>
                <w:sz w:val="14"/>
                <w:szCs w:val="14"/>
                <w:color w:val="FFFFFF"/>
                <w:vertAlign w:val="superscript"/>
              </w:rPr>
              <w:t>(3)</w:t>
            </w:r>
          </w:p>
        </w:tc>
        <w:tc>
          <w:tcPr>
            <w:tcW w:w="9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18"/>
        </w:trPr>
        <w:tc>
          <w:tcPr>
            <w:tcW w:w="4320" w:type="dxa"/>
            <w:vAlign w:val="bottom"/>
            <w:tcBorders>
              <w:bottom w:val="single" w:sz="8" w:color="1A6DBB"/>
            </w:tcBorders>
            <w:shd w:val="clear" w:color="auto" w:fill="1A6DBB"/>
          </w:tcPr>
          <w:p>
            <w:pPr>
              <w:ind w:left="80"/>
              <w:spacing w:after="0"/>
              <w:rPr>
                <w:sz w:val="20"/>
                <w:szCs w:val="20"/>
                <w:color w:val="auto"/>
              </w:rPr>
            </w:pPr>
            <w:r>
              <w:rPr>
                <w:rFonts w:ascii="Arial" w:cs="Arial" w:eastAsia="Arial" w:hAnsi="Arial"/>
                <w:sz w:val="14"/>
                <w:szCs w:val="14"/>
                <w:color w:val="FFFFFF"/>
              </w:rPr>
              <w:t>(a)</w:t>
            </w:r>
          </w:p>
        </w:tc>
        <w:tc>
          <w:tcPr>
            <w:tcW w:w="480" w:type="dxa"/>
            <w:vAlign w:val="bottom"/>
            <w:tcBorders>
              <w:bottom w:val="single" w:sz="8" w:color="1A6DBB"/>
            </w:tcBorders>
            <w:shd w:val="clear" w:color="auto" w:fill="1A6DBB"/>
          </w:tcPr>
          <w:p>
            <w:pPr>
              <w:spacing w:after="0"/>
              <w:rPr>
                <w:sz w:val="18"/>
                <w:szCs w:val="18"/>
                <w:color w:val="auto"/>
              </w:rPr>
            </w:pPr>
          </w:p>
        </w:tc>
        <w:tc>
          <w:tcPr>
            <w:tcW w:w="820" w:type="dxa"/>
            <w:vAlign w:val="bottom"/>
            <w:tcBorders>
              <w:bottom w:val="single" w:sz="8" w:color="1A6DBB"/>
            </w:tcBorders>
            <w:shd w:val="clear" w:color="auto" w:fill="1A6DBB"/>
          </w:tcPr>
          <w:p>
            <w:pPr>
              <w:jc w:val="center"/>
              <w:ind w:right="241"/>
              <w:spacing w:after="0"/>
              <w:rPr>
                <w:sz w:val="20"/>
                <w:szCs w:val="20"/>
                <w:color w:val="auto"/>
              </w:rPr>
            </w:pPr>
            <w:r>
              <w:rPr>
                <w:rFonts w:ascii="Arial" w:cs="Arial" w:eastAsia="Arial" w:hAnsi="Arial"/>
                <w:sz w:val="14"/>
                <w:szCs w:val="14"/>
                <w:color w:val="FFFFFF"/>
              </w:rPr>
              <w:t>(b)</w:t>
            </w:r>
          </w:p>
        </w:tc>
        <w:tc>
          <w:tcPr>
            <w:tcW w:w="112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(c)</w:t>
            </w:r>
          </w:p>
        </w:tc>
        <w:tc>
          <w:tcPr>
            <w:tcW w:w="194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w w:val="93"/>
              </w:rPr>
              <w:t>(d)</w:t>
            </w:r>
          </w:p>
        </w:tc>
        <w:tc>
          <w:tcPr>
            <w:tcW w:w="138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(e)</w:t>
            </w:r>
          </w:p>
        </w:tc>
        <w:tc>
          <w:tcPr>
            <w:tcW w:w="96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w w:val="90"/>
              </w:rPr>
              <w:t>(f)</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Alexander J. Denner</w:t>
            </w:r>
          </w:p>
        </w:tc>
        <w:tc>
          <w:tcPr>
            <w:tcW w:w="48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8F0F8"/>
            </w:tcBorders>
            <w:shd w:val="clear" w:color="auto" w:fill="E8F0F8"/>
          </w:tcPr>
          <w:p>
            <w:pPr>
              <w:jc w:val="right"/>
              <w:ind w:right="141"/>
              <w:spacing w:after="0"/>
              <w:rPr>
                <w:sz w:val="20"/>
                <w:szCs w:val="20"/>
                <w:color w:val="auto"/>
              </w:rPr>
            </w:pPr>
            <w:r>
              <w:rPr>
                <w:rFonts w:ascii="Arial" w:cs="Arial" w:eastAsia="Arial" w:hAnsi="Arial"/>
                <w:sz w:val="16"/>
                <w:szCs w:val="16"/>
                <w:color w:val="auto"/>
              </w:rPr>
              <w:t>155,000</w:t>
            </w:r>
          </w:p>
        </w:tc>
        <w:tc>
          <w:tcPr>
            <w:tcW w:w="1120" w:type="dxa"/>
            <w:vAlign w:val="bottom"/>
            <w:tcBorders>
              <w:bottom w:val="single" w:sz="8" w:color="E8F0F8"/>
            </w:tcBorders>
            <w:shd w:val="clear" w:color="auto" w:fill="E8F0F8"/>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$425,413</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Caroline D. Dorsa</w:t>
            </w:r>
          </w:p>
        </w:tc>
        <w:tc>
          <w:tcPr>
            <w:tcW w:w="4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155,000</w:t>
            </w:r>
          </w:p>
        </w:tc>
        <w:tc>
          <w:tcPr>
            <w:tcW w:w="11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$425,413</w:t>
            </w:r>
          </w:p>
        </w:tc>
        <w:tc>
          <w:tcPr>
            <w:tcW w:w="0" w:type="dxa"/>
            <w:vAlign w:val="bottom"/>
          </w:tcPr>
          <w:p>
            <w:pPr>
              <w:spacing w:after="0"/>
              <w:rPr>
                <w:sz w:val="1"/>
                <w:szCs w:val="1"/>
                <w:color w:val="auto"/>
              </w:rPr>
            </w:pPr>
          </w:p>
        </w:tc>
      </w:tr>
      <w:tr>
        <w:trPr>
          <w:trHeight w:val="324"/>
        </w:trPr>
        <w:tc>
          <w:tcPr>
            <w:tcW w:w="4320" w:type="dxa"/>
            <w:vAlign w:val="bottom"/>
            <w:shd w:val="clear" w:color="auto" w:fill="E8F0F8"/>
          </w:tcPr>
          <w:p>
            <w:pPr>
              <w:ind w:left="80"/>
              <w:spacing w:after="0"/>
              <w:rPr>
                <w:sz w:val="20"/>
                <w:szCs w:val="20"/>
                <w:color w:val="auto"/>
              </w:rPr>
            </w:pPr>
            <w:r>
              <w:rPr>
                <w:rFonts w:ascii="Arial" w:cs="Arial" w:eastAsia="Arial" w:hAnsi="Arial"/>
                <w:sz w:val="16"/>
                <w:szCs w:val="16"/>
                <w:color w:val="auto"/>
              </w:rPr>
              <w:t>Maria D. Freire</w:t>
            </w:r>
            <w:r>
              <w:rPr>
                <w:rFonts w:ascii="Arial" w:cs="Arial" w:eastAsia="Arial" w:hAnsi="Arial"/>
                <w:sz w:val="27"/>
                <w:szCs w:val="27"/>
                <w:color w:val="auto"/>
                <w:vertAlign w:val="superscript"/>
              </w:rPr>
              <w:t>(4)</w:t>
            </w:r>
          </w:p>
        </w:tc>
        <w:tc>
          <w:tcPr>
            <w:tcW w:w="4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81,154</w:t>
            </w:r>
          </w:p>
        </w:tc>
        <w:tc>
          <w:tcPr>
            <w:tcW w:w="11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$351,567</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William A. Hawkins</w:t>
            </w:r>
          </w:p>
        </w:tc>
        <w:tc>
          <w:tcPr>
            <w:tcW w:w="4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140,000</w:t>
            </w:r>
          </w:p>
        </w:tc>
        <w:tc>
          <w:tcPr>
            <w:tcW w:w="11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$410,413</w:t>
            </w:r>
          </w:p>
        </w:tc>
        <w:tc>
          <w:tcPr>
            <w:tcW w:w="0" w:type="dxa"/>
            <w:vAlign w:val="bottom"/>
          </w:tcPr>
          <w:p>
            <w:pPr>
              <w:spacing w:after="0"/>
              <w:rPr>
                <w:sz w:val="1"/>
                <w:szCs w:val="1"/>
                <w:color w:val="auto"/>
              </w:rPr>
            </w:pPr>
          </w:p>
        </w:tc>
      </w:tr>
      <w:tr>
        <w:trPr>
          <w:trHeight w:val="324"/>
        </w:trPr>
        <w:tc>
          <w:tcPr>
            <w:tcW w:w="4320" w:type="dxa"/>
            <w:vAlign w:val="bottom"/>
            <w:shd w:val="clear" w:color="auto" w:fill="E8F0F8"/>
          </w:tcPr>
          <w:p>
            <w:pPr>
              <w:ind w:left="80"/>
              <w:spacing w:after="0"/>
              <w:rPr>
                <w:sz w:val="20"/>
                <w:szCs w:val="20"/>
                <w:color w:val="auto"/>
              </w:rPr>
            </w:pPr>
            <w:r>
              <w:rPr>
                <w:rFonts w:ascii="Arial" w:cs="Arial" w:eastAsia="Arial" w:hAnsi="Arial"/>
                <w:sz w:val="16"/>
                <w:szCs w:val="16"/>
                <w:color w:val="auto"/>
              </w:rPr>
              <w:t>William D. Jones</w:t>
            </w:r>
            <w:r>
              <w:rPr>
                <w:rFonts w:ascii="Arial" w:cs="Arial" w:eastAsia="Arial" w:hAnsi="Arial"/>
                <w:sz w:val="27"/>
                <w:szCs w:val="27"/>
                <w:color w:val="auto"/>
                <w:vertAlign w:val="superscript"/>
              </w:rPr>
              <w:t>(5)</w:t>
            </w:r>
          </w:p>
        </w:tc>
        <w:tc>
          <w:tcPr>
            <w:tcW w:w="4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81,154</w:t>
            </w:r>
          </w:p>
        </w:tc>
        <w:tc>
          <w:tcPr>
            <w:tcW w:w="11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$10,000</w:t>
            </w:r>
          </w:p>
        </w:tc>
        <w:tc>
          <w:tcPr>
            <w:tcW w:w="9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$361,567</w:t>
            </w:r>
          </w:p>
        </w:tc>
        <w:tc>
          <w:tcPr>
            <w:tcW w:w="0" w:type="dxa"/>
            <w:vAlign w:val="bottom"/>
          </w:tcPr>
          <w:p>
            <w:pPr>
              <w:spacing w:after="0"/>
              <w:rPr>
                <w:sz w:val="1"/>
                <w:szCs w:val="1"/>
                <w:color w:val="auto"/>
              </w:rPr>
            </w:pPr>
          </w:p>
        </w:tc>
      </w:tr>
      <w:tr>
        <w:trPr>
          <w:trHeight w:val="324"/>
        </w:trPr>
        <w:tc>
          <w:tcPr>
            <w:tcW w:w="4320" w:type="dxa"/>
            <w:vAlign w:val="bottom"/>
            <w:shd w:val="clear" w:color="auto" w:fill="BAD3EA"/>
          </w:tcPr>
          <w:p>
            <w:pPr>
              <w:ind w:left="80"/>
              <w:spacing w:after="0"/>
              <w:rPr>
                <w:sz w:val="20"/>
                <w:szCs w:val="20"/>
                <w:color w:val="auto"/>
              </w:rPr>
            </w:pPr>
            <w:r>
              <w:rPr>
                <w:rFonts w:ascii="Arial" w:cs="Arial" w:eastAsia="Arial" w:hAnsi="Arial"/>
                <w:sz w:val="16"/>
                <w:szCs w:val="16"/>
                <w:color w:val="auto"/>
              </w:rPr>
              <w:t>Nancy L. Leaming</w:t>
            </w:r>
            <w:r>
              <w:rPr>
                <w:rFonts w:ascii="Arial" w:cs="Arial" w:eastAsia="Arial" w:hAnsi="Arial"/>
                <w:sz w:val="27"/>
                <w:szCs w:val="27"/>
                <w:color w:val="auto"/>
                <w:vertAlign w:val="superscript"/>
              </w:rPr>
              <w:t>(6)</w:t>
            </w:r>
          </w:p>
        </w:tc>
        <w:tc>
          <w:tcPr>
            <w:tcW w:w="4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AD3EA"/>
          </w:tcPr>
          <w:p>
            <w:pPr>
              <w:jc w:val="right"/>
              <w:ind w:right="141"/>
              <w:spacing w:after="0"/>
              <w:rPr>
                <w:sz w:val="20"/>
                <w:szCs w:val="20"/>
                <w:color w:val="auto"/>
              </w:rPr>
            </w:pPr>
            <w:r>
              <w:rPr>
                <w:rFonts w:ascii="Arial" w:cs="Arial" w:eastAsia="Arial" w:hAnsi="Arial"/>
                <w:sz w:val="16"/>
                <w:szCs w:val="16"/>
                <w:color w:val="auto"/>
              </w:rPr>
              <w:t>140,000</w:t>
            </w:r>
          </w:p>
        </w:tc>
        <w:tc>
          <w:tcPr>
            <w:tcW w:w="1120" w:type="dxa"/>
            <w:vAlign w:val="bottom"/>
            <w:shd w:val="clear" w:color="auto" w:fill="BAD3EA"/>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$25,000</w:t>
            </w:r>
          </w:p>
        </w:tc>
        <w:tc>
          <w:tcPr>
            <w:tcW w:w="9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$435,413</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Jesus B. Mantas</w:t>
            </w:r>
          </w:p>
        </w:tc>
        <w:tc>
          <w:tcPr>
            <w:tcW w:w="48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8F0F8"/>
            </w:tcBorders>
            <w:shd w:val="clear" w:color="auto" w:fill="E8F0F8"/>
          </w:tcPr>
          <w:p>
            <w:pPr>
              <w:jc w:val="right"/>
              <w:ind w:right="141"/>
              <w:spacing w:after="0"/>
              <w:rPr>
                <w:sz w:val="20"/>
                <w:szCs w:val="20"/>
                <w:color w:val="auto"/>
              </w:rPr>
            </w:pPr>
            <w:r>
              <w:rPr>
                <w:rFonts w:ascii="Arial" w:cs="Arial" w:eastAsia="Arial" w:hAnsi="Arial"/>
                <w:sz w:val="16"/>
                <w:szCs w:val="16"/>
                <w:color w:val="auto"/>
              </w:rPr>
              <w:t>140,000</w:t>
            </w:r>
          </w:p>
        </w:tc>
        <w:tc>
          <w:tcPr>
            <w:tcW w:w="1120" w:type="dxa"/>
            <w:vAlign w:val="bottom"/>
            <w:tcBorders>
              <w:bottom w:val="single" w:sz="8" w:color="E8F0F8"/>
            </w:tcBorders>
            <w:shd w:val="clear" w:color="auto" w:fill="E8F0F8"/>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$410,413</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Richard C. Mulligan</w:t>
            </w:r>
          </w:p>
        </w:tc>
        <w:tc>
          <w:tcPr>
            <w:tcW w:w="4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140,000</w:t>
            </w:r>
          </w:p>
        </w:tc>
        <w:tc>
          <w:tcPr>
            <w:tcW w:w="11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$410,413</w:t>
            </w:r>
          </w:p>
        </w:tc>
        <w:tc>
          <w:tcPr>
            <w:tcW w:w="0" w:type="dxa"/>
            <w:vAlign w:val="bottom"/>
          </w:tcPr>
          <w:p>
            <w:pPr>
              <w:spacing w:after="0"/>
              <w:rPr>
                <w:sz w:val="1"/>
                <w:szCs w:val="1"/>
                <w:color w:val="auto"/>
              </w:rPr>
            </w:pPr>
          </w:p>
        </w:tc>
      </w:tr>
      <w:tr>
        <w:trPr>
          <w:trHeight w:val="324"/>
        </w:trPr>
        <w:tc>
          <w:tcPr>
            <w:tcW w:w="4320" w:type="dxa"/>
            <w:vAlign w:val="bottom"/>
            <w:shd w:val="clear" w:color="auto" w:fill="E8F0F8"/>
          </w:tcPr>
          <w:p>
            <w:pPr>
              <w:ind w:left="80"/>
              <w:spacing w:after="0"/>
              <w:rPr>
                <w:sz w:val="20"/>
                <w:szCs w:val="20"/>
                <w:color w:val="auto"/>
              </w:rPr>
            </w:pPr>
            <w:r>
              <w:rPr>
                <w:rFonts w:ascii="Arial" w:cs="Arial" w:eastAsia="Arial" w:hAnsi="Arial"/>
                <w:sz w:val="16"/>
                <w:szCs w:val="16"/>
                <w:color w:val="auto"/>
              </w:rPr>
              <w:t>Robert W. Pangia</w:t>
            </w:r>
            <w:r>
              <w:rPr>
                <w:rFonts w:ascii="Arial" w:cs="Arial" w:eastAsia="Arial" w:hAnsi="Arial"/>
                <w:sz w:val="27"/>
                <w:szCs w:val="27"/>
                <w:color w:val="auto"/>
                <w:vertAlign w:val="superscript"/>
              </w:rPr>
              <w:t>(7)</w:t>
            </w:r>
          </w:p>
        </w:tc>
        <w:tc>
          <w:tcPr>
            <w:tcW w:w="4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65,151</w:t>
            </w:r>
          </w:p>
        </w:tc>
        <w:tc>
          <w:tcPr>
            <w:tcW w:w="11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w:t>
            </w:r>
          </w:p>
        </w:tc>
        <w:tc>
          <w:tcPr>
            <w:tcW w:w="194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$141,717</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$206,868</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Stelios Papadopoulos</w:t>
            </w:r>
          </w:p>
        </w:tc>
        <w:tc>
          <w:tcPr>
            <w:tcW w:w="4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215,000</w:t>
            </w:r>
          </w:p>
        </w:tc>
        <w:tc>
          <w:tcPr>
            <w:tcW w:w="11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$444,873</w:t>
            </w:r>
          </w:p>
        </w:tc>
        <w:tc>
          <w:tcPr>
            <w:tcW w:w="1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$679,873</w:t>
            </w:r>
          </w:p>
        </w:tc>
        <w:tc>
          <w:tcPr>
            <w:tcW w:w="0" w:type="dxa"/>
            <w:vAlign w:val="bottom"/>
          </w:tcPr>
          <w:p>
            <w:pPr>
              <w:spacing w:after="0"/>
              <w:rPr>
                <w:sz w:val="1"/>
                <w:szCs w:val="1"/>
                <w:color w:val="auto"/>
              </w:rPr>
            </w:pPr>
          </w:p>
        </w:tc>
      </w:tr>
      <w:tr>
        <w:trPr>
          <w:trHeight w:val="324"/>
        </w:trPr>
        <w:tc>
          <w:tcPr>
            <w:tcW w:w="4320" w:type="dxa"/>
            <w:vAlign w:val="bottom"/>
            <w:shd w:val="clear" w:color="auto" w:fill="E8F0F8"/>
          </w:tcPr>
          <w:p>
            <w:pPr>
              <w:ind w:left="80"/>
              <w:spacing w:after="0"/>
              <w:rPr>
                <w:sz w:val="20"/>
                <w:szCs w:val="20"/>
                <w:color w:val="auto"/>
              </w:rPr>
            </w:pPr>
            <w:r>
              <w:rPr>
                <w:rFonts w:ascii="Arial" w:cs="Arial" w:eastAsia="Arial" w:hAnsi="Arial"/>
                <w:sz w:val="16"/>
                <w:szCs w:val="16"/>
                <w:color w:val="auto"/>
              </w:rPr>
              <w:t>Brian S. Posner</w:t>
            </w:r>
            <w:r>
              <w:rPr>
                <w:rFonts w:ascii="Arial" w:cs="Arial" w:eastAsia="Arial" w:hAnsi="Arial"/>
                <w:sz w:val="27"/>
                <w:szCs w:val="27"/>
                <w:color w:val="auto"/>
                <w:vertAlign w:val="superscript"/>
              </w:rPr>
              <w:t>(8)</w:t>
            </w:r>
          </w:p>
        </w:tc>
        <w:tc>
          <w:tcPr>
            <w:tcW w:w="4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148,695</w:t>
            </w:r>
          </w:p>
        </w:tc>
        <w:tc>
          <w:tcPr>
            <w:tcW w:w="112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$25,000</w:t>
            </w:r>
          </w:p>
        </w:tc>
        <w:tc>
          <w:tcPr>
            <w:tcW w:w="9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$444,108</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Eric K. Rowinsky</w:t>
            </w:r>
          </w:p>
        </w:tc>
        <w:tc>
          <w:tcPr>
            <w:tcW w:w="4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140,000</w:t>
            </w:r>
          </w:p>
        </w:tc>
        <w:tc>
          <w:tcPr>
            <w:tcW w:w="1120" w:type="dxa"/>
            <w:vAlign w:val="bottom"/>
            <w:tcBorders>
              <w:bottom w:val="single" w:sz="8" w:color="BAD3EA"/>
            </w:tcBorders>
            <w:shd w:val="clear" w:color="auto" w:fill="BAD3EA"/>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$410,413</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Stephen A. Sherwin</w:t>
            </w:r>
          </w:p>
        </w:tc>
        <w:tc>
          <w:tcPr>
            <w:tcW w:w="48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8F0F8"/>
            </w:tcBorders>
            <w:shd w:val="clear" w:color="auto" w:fill="E8F0F8"/>
          </w:tcPr>
          <w:p>
            <w:pPr>
              <w:jc w:val="right"/>
              <w:ind w:right="141"/>
              <w:spacing w:after="0"/>
              <w:rPr>
                <w:sz w:val="20"/>
                <w:szCs w:val="20"/>
                <w:color w:val="auto"/>
              </w:rPr>
            </w:pPr>
            <w:r>
              <w:rPr>
                <w:rFonts w:ascii="Arial" w:cs="Arial" w:eastAsia="Arial" w:hAnsi="Arial"/>
                <w:sz w:val="16"/>
                <w:szCs w:val="16"/>
                <w:color w:val="auto"/>
              </w:rPr>
              <w:t>140,000</w:t>
            </w:r>
          </w:p>
        </w:tc>
        <w:tc>
          <w:tcPr>
            <w:tcW w:w="1120" w:type="dxa"/>
            <w:vAlign w:val="bottom"/>
            <w:tcBorders>
              <w:bottom w:val="single" w:sz="8" w:color="E8F0F8"/>
            </w:tcBorders>
            <w:shd w:val="clear" w:color="auto" w:fill="E8F0F8"/>
          </w:tcPr>
          <w:p>
            <w:pPr>
              <w:jc w:val="right"/>
              <w:ind w:right="141"/>
              <w:spacing w:after="0"/>
              <w:rPr>
                <w:sz w:val="20"/>
                <w:szCs w:val="20"/>
                <w:color w:val="auto"/>
              </w:rPr>
            </w:pPr>
            <w:r>
              <w:rPr>
                <w:rFonts w:ascii="Arial" w:cs="Arial" w:eastAsia="Arial" w:hAnsi="Arial"/>
                <w:sz w:val="16"/>
                <w:szCs w:val="16"/>
                <w:color w:val="auto"/>
              </w:rPr>
              <w:t>$270,413</w:t>
            </w:r>
          </w:p>
        </w:tc>
        <w:tc>
          <w:tcPr>
            <w:tcW w:w="194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$50,000</w:t>
            </w:r>
          </w:p>
        </w:tc>
        <w:tc>
          <w:tcPr>
            <w:tcW w:w="9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$460,413</w:t>
            </w:r>
          </w:p>
        </w:tc>
        <w:tc>
          <w:tcPr>
            <w:tcW w:w="0" w:type="dxa"/>
            <w:vAlign w:val="bottom"/>
          </w:tcPr>
          <w:p>
            <w:pPr>
              <w:spacing w:after="0"/>
              <w:rPr>
                <w:sz w:val="1"/>
                <w:szCs w:val="1"/>
                <w:color w:val="auto"/>
              </w:rPr>
            </w:pPr>
          </w:p>
        </w:tc>
      </w:tr>
      <w:tr>
        <w:trPr>
          <w:trHeight w:val="20"/>
        </w:trPr>
        <w:tc>
          <w:tcPr>
            <w:tcW w:w="4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4"/>
          <w:szCs w:val="14"/>
          <w:i w:val="1"/>
          <w:iCs w:val="1"/>
          <w:color w:val="auto"/>
        </w:rPr>
        <w:t>Notes to the 2021 Director Compensation Table</w:t>
      </w:r>
    </w:p>
    <w:p>
      <w:pPr>
        <w:spacing w:after="0" w:line="6" w:lineRule="exact"/>
        <w:rPr>
          <w:sz w:val="20"/>
          <w:szCs w:val="20"/>
          <w:color w:val="auto"/>
        </w:rPr>
      </w:pPr>
    </w:p>
    <w:p>
      <w:pPr>
        <w:ind w:left="440" w:right="60" w:hanging="324"/>
        <w:spacing w:after="0" w:line="241" w:lineRule="auto"/>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 (c) represent the grant date fair value of RSU awards made in 2021 to non-employee directors under the Non-Employee Directors Equity Plan, as described in the narrative preceding this table. These RSUs are scheduled to vest in full and be settled in shares at the 2022 Annual Meeting, generally subject to continued service. Grant date fair values were computed in accordance with Accounting Standards Codification (ASC) 718, excluding the effect of estimated forfeitures, and determined by multiplying the number of RSUs awarded by the fair market value of the Company’s common stock on the relevant grant date.</w:t>
      </w:r>
    </w:p>
    <w:p>
      <w:pPr>
        <w:spacing w:after="0" w:line="1" w:lineRule="exact"/>
        <w:rPr>
          <w:rFonts w:ascii="Arial" w:cs="Arial" w:eastAsia="Arial" w:hAnsi="Arial"/>
          <w:sz w:val="14"/>
          <w:szCs w:val="14"/>
          <w:color w:val="auto"/>
        </w:rPr>
      </w:pPr>
    </w:p>
    <w:p>
      <w:pPr>
        <w:jc w:val="both"/>
        <w:ind w:left="440" w:right="160" w:hanging="324"/>
        <w:spacing w:after="0" w:line="241" w:lineRule="auto"/>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 (d) represent earnings under the Voluntary Board of Directors Savings Plan that are in excess of 120% of the average applicable federal long-term rate. The federal long-term rate for 2021 applied in this calculation is 2.16%, which was the federal long-term rate effective in January 2021 when the Fixed Rate Option (FRO) under this plan was established for 2021. Only Mr. Pangia had deferred compensation notionally invested in the FRO during 2021.</w:t>
      </w:r>
    </w:p>
    <w:p>
      <w:pPr>
        <w:spacing w:after="0" w:line="1" w:lineRule="exact"/>
        <w:rPr>
          <w:rFonts w:ascii="Arial" w:cs="Arial" w:eastAsia="Arial" w:hAnsi="Arial"/>
          <w:sz w:val="14"/>
          <w:szCs w:val="14"/>
          <w:color w:val="auto"/>
        </w:rPr>
      </w:pPr>
    </w:p>
    <w:p>
      <w:pPr>
        <w:ind w:left="440" w:right="120" w:hanging="324"/>
        <w:spacing w:after="0" w:line="241" w:lineRule="auto"/>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 (e) represent the amount of matching contributions made in 2021 by the Biogen Foundation on behalf of the director pursuant to the terms of a matching gift program offered by the Biogen Foundation to all U.S. employees and non-employee directors of Biogen. Under the matching gift program, the Biogen Foundation matches gifts to eligible U.S.-based non-profit organizations, in accordance with the Biogen Foundation’s guidelines, up to an annual maximum per donor amount of $25,000 per calendar year and up to an aggregate program total of $1.5 million per calendar year. The matching contributions made by the Biogen Foundation are not taxable income to the director, and the director may not take any tax deductions for such matching contributions. The amount for Mr. Sherwin includes a matching gift contribution of $25,000, which was made by the Biogen Foundation in 2021 for a gift made by Mr. Sherwin in 2020.</w:t>
      </w:r>
    </w:p>
    <w:p>
      <w:pPr>
        <w:spacing w:after="0" w:line="2" w:lineRule="exact"/>
        <w:rPr>
          <w:rFonts w:ascii="Arial" w:cs="Arial" w:eastAsia="Arial" w:hAnsi="Arial"/>
          <w:sz w:val="14"/>
          <w:szCs w:val="14"/>
          <w:color w:val="auto"/>
        </w:rPr>
      </w:pPr>
    </w:p>
    <w:p>
      <w:pPr>
        <w:ind w:left="440" w:hanging="324"/>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Dr. Freire was elected to our Board of Directors at the 2021 Annual Meeting.</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Jones was elected to our Board of Directors at the 2021 Annual Meeting.</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Leaming is retiring from our Board of Directors effective as of the 2022 Annual Meeting.</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Pangia retired from our Board of Directors effective as of the 2021 Annual Meeting.</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Posner is retiring from our Board of Directors effective as of the 2022 Annual Meeting.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22 </w:t>
      </w:r>
      <w:r>
        <w:rPr>
          <w:sz w:val="1"/>
          <w:szCs w:val="1"/>
          <w:color w:val="auto"/>
        </w:rPr>
        <w:drawing>
          <wp:inline distT="0" distB="0" distL="0" distR="0">
            <wp:extent cx="38735" cy="19685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62"/>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Director Equity Outstanding at 2021 Fiscal Year-End</w:t>
      </w:r>
    </w:p>
    <w:p>
      <w:pPr>
        <w:spacing w:after="0" w:line="10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following table summarizes the equity awards that were outstanding as of December 31, 2021, for each of the non-employee directors serving during 2021.</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8020" w:type="dxa"/>
            <w:vAlign w:val="bottom"/>
            <w:shd w:val="clear" w:color="auto" w:fill="1A6DBB"/>
          </w:tcPr>
          <w:p>
            <w:pPr>
              <w:spacing w:after="0"/>
              <w:rPr>
                <w:sz w:val="23"/>
                <w:szCs w:val="23"/>
                <w:color w:val="auto"/>
              </w:rPr>
            </w:pPr>
          </w:p>
        </w:tc>
        <w:tc>
          <w:tcPr>
            <w:tcW w:w="1320" w:type="dxa"/>
            <w:vAlign w:val="bottom"/>
            <w:shd w:val="clear" w:color="auto" w:fill="1A6DBB"/>
          </w:tcPr>
          <w:p>
            <w:pPr>
              <w:jc w:val="center"/>
              <w:ind w:right="102"/>
              <w:spacing w:after="0"/>
              <w:rPr>
                <w:sz w:val="20"/>
                <w:szCs w:val="20"/>
                <w:color w:val="auto"/>
              </w:rPr>
            </w:pPr>
            <w:r>
              <w:rPr>
                <w:rFonts w:ascii="Arial" w:cs="Arial" w:eastAsia="Arial" w:hAnsi="Arial"/>
                <w:sz w:val="14"/>
                <w:szCs w:val="14"/>
                <w:color w:val="FFFFFF"/>
              </w:rPr>
              <w:t>Option Awards</w:t>
            </w:r>
          </w:p>
        </w:tc>
        <w:tc>
          <w:tcPr>
            <w:tcW w:w="1680" w:type="dxa"/>
            <w:vAlign w:val="bottom"/>
            <w:shd w:val="clear" w:color="auto" w:fill="1A6DBB"/>
          </w:tcPr>
          <w:p>
            <w:pPr>
              <w:jc w:val="right"/>
              <w:ind w:right="222"/>
              <w:spacing w:after="0"/>
              <w:rPr>
                <w:sz w:val="20"/>
                <w:szCs w:val="20"/>
                <w:color w:val="auto"/>
              </w:rPr>
            </w:pPr>
            <w:r>
              <w:rPr>
                <w:rFonts w:ascii="Arial" w:cs="Arial" w:eastAsia="Arial" w:hAnsi="Arial"/>
                <w:sz w:val="14"/>
                <w:szCs w:val="14"/>
                <w:color w:val="FFFFFF"/>
              </w:rPr>
              <w:t>Stock Awards</w:t>
            </w:r>
            <w:r>
              <w:rPr>
                <w:rFonts w:ascii="Arial" w:cs="Arial" w:eastAsia="Arial" w:hAnsi="Arial"/>
                <w:sz w:val="24"/>
                <w:szCs w:val="24"/>
                <w:color w:val="FFFFFF"/>
                <w:vertAlign w:val="superscript"/>
              </w:rPr>
              <w:t>(1)</w:t>
            </w:r>
          </w:p>
        </w:tc>
        <w:tc>
          <w:tcPr>
            <w:tcW w:w="0" w:type="dxa"/>
            <w:vAlign w:val="bottom"/>
          </w:tcPr>
          <w:p>
            <w:pPr>
              <w:spacing w:after="0"/>
              <w:rPr>
                <w:sz w:val="1"/>
                <w:szCs w:val="1"/>
                <w:color w:val="auto"/>
              </w:rPr>
            </w:pPr>
          </w:p>
        </w:tc>
      </w:tr>
      <w:tr>
        <w:trPr>
          <w:trHeight w:val="220"/>
        </w:trPr>
        <w:tc>
          <w:tcPr>
            <w:tcW w:w="8020" w:type="dxa"/>
            <w:vAlign w:val="bottom"/>
            <w:shd w:val="clear" w:color="auto" w:fill="1A6DBB"/>
          </w:tcPr>
          <w:p>
            <w:pPr>
              <w:spacing w:after="0"/>
              <w:rPr>
                <w:sz w:val="19"/>
                <w:szCs w:val="19"/>
                <w:color w:val="auto"/>
              </w:rPr>
            </w:pPr>
          </w:p>
        </w:tc>
        <w:tc>
          <w:tcPr>
            <w:tcW w:w="132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Number of</w:t>
            </w:r>
          </w:p>
        </w:tc>
        <w:tc>
          <w:tcPr>
            <w:tcW w:w="168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Number of</w:t>
            </w:r>
          </w:p>
        </w:tc>
        <w:tc>
          <w:tcPr>
            <w:tcW w:w="0" w:type="dxa"/>
            <w:vAlign w:val="bottom"/>
          </w:tcPr>
          <w:p>
            <w:pPr>
              <w:spacing w:after="0"/>
              <w:rPr>
                <w:sz w:val="1"/>
                <w:szCs w:val="1"/>
                <w:color w:val="auto"/>
              </w:rPr>
            </w:pPr>
          </w:p>
        </w:tc>
      </w:tr>
      <w:tr>
        <w:trPr>
          <w:trHeight w:val="148"/>
        </w:trPr>
        <w:tc>
          <w:tcPr>
            <w:tcW w:w="8020" w:type="dxa"/>
            <w:vAlign w:val="bottom"/>
            <w:shd w:val="clear" w:color="auto" w:fill="1A6DBB"/>
          </w:tcPr>
          <w:p>
            <w:pPr>
              <w:spacing w:after="0"/>
              <w:rPr>
                <w:sz w:val="12"/>
                <w:szCs w:val="12"/>
                <w:color w:val="auto"/>
              </w:rPr>
            </w:pPr>
          </w:p>
        </w:tc>
        <w:tc>
          <w:tcPr>
            <w:tcW w:w="1320" w:type="dxa"/>
            <w:vAlign w:val="bottom"/>
            <w:shd w:val="clear" w:color="auto" w:fill="1A6DBB"/>
          </w:tcPr>
          <w:p>
            <w:pPr>
              <w:jc w:val="center"/>
              <w:ind w:right="82"/>
              <w:spacing w:after="0" w:line="149" w:lineRule="exact"/>
              <w:rPr>
                <w:sz w:val="20"/>
                <w:szCs w:val="20"/>
                <w:color w:val="auto"/>
              </w:rPr>
            </w:pPr>
            <w:r>
              <w:rPr>
                <w:rFonts w:ascii="Arial" w:cs="Arial" w:eastAsia="Arial" w:hAnsi="Arial"/>
                <w:sz w:val="14"/>
                <w:szCs w:val="14"/>
                <w:color w:val="FFFFFF"/>
              </w:rPr>
              <w:t>Securities</w:t>
            </w:r>
          </w:p>
        </w:tc>
        <w:tc>
          <w:tcPr>
            <w:tcW w:w="1680" w:type="dxa"/>
            <w:vAlign w:val="bottom"/>
            <w:vMerge w:val="continue"/>
            <w:shd w:val="clear" w:color="auto" w:fill="1A6DB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1A6DBB"/>
          </w:tcPr>
          <w:p>
            <w:pPr>
              <w:spacing w:after="0"/>
              <w:rPr>
                <w:sz w:val="14"/>
                <w:szCs w:val="14"/>
                <w:color w:val="auto"/>
              </w:rPr>
            </w:pPr>
          </w:p>
        </w:tc>
        <w:tc>
          <w:tcPr>
            <w:tcW w:w="132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Underlying</w:t>
            </w:r>
          </w:p>
        </w:tc>
        <w:tc>
          <w:tcPr>
            <w:tcW w:w="1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Shares or Units</w:t>
            </w:r>
          </w:p>
        </w:tc>
        <w:tc>
          <w:tcPr>
            <w:tcW w:w="0" w:type="dxa"/>
            <w:vAlign w:val="bottom"/>
          </w:tcPr>
          <w:p>
            <w:pPr>
              <w:spacing w:after="0"/>
              <w:rPr>
                <w:sz w:val="1"/>
                <w:szCs w:val="1"/>
                <w:color w:val="auto"/>
              </w:rPr>
            </w:pPr>
          </w:p>
        </w:tc>
      </w:tr>
      <w:tr>
        <w:trPr>
          <w:trHeight w:val="162"/>
        </w:trPr>
        <w:tc>
          <w:tcPr>
            <w:tcW w:w="8020" w:type="dxa"/>
            <w:vAlign w:val="bottom"/>
            <w:shd w:val="clear" w:color="auto" w:fill="1A6DBB"/>
          </w:tcPr>
          <w:p>
            <w:pPr>
              <w:spacing w:after="0"/>
              <w:rPr>
                <w:sz w:val="14"/>
                <w:szCs w:val="14"/>
                <w:color w:val="auto"/>
              </w:rPr>
            </w:pPr>
          </w:p>
        </w:tc>
        <w:tc>
          <w:tcPr>
            <w:tcW w:w="132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Unexercised</w:t>
            </w:r>
          </w:p>
        </w:tc>
        <w:tc>
          <w:tcPr>
            <w:tcW w:w="1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of Stock That</w:t>
            </w:r>
          </w:p>
        </w:tc>
        <w:tc>
          <w:tcPr>
            <w:tcW w:w="0" w:type="dxa"/>
            <w:vAlign w:val="bottom"/>
          </w:tcPr>
          <w:p>
            <w:pPr>
              <w:spacing w:after="0"/>
              <w:rPr>
                <w:sz w:val="1"/>
                <w:szCs w:val="1"/>
                <w:color w:val="auto"/>
              </w:rPr>
            </w:pPr>
          </w:p>
        </w:tc>
      </w:tr>
      <w:tr>
        <w:trPr>
          <w:trHeight w:val="212"/>
        </w:trPr>
        <w:tc>
          <w:tcPr>
            <w:tcW w:w="80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1320" w:type="dxa"/>
            <w:vAlign w:val="bottom"/>
            <w:shd w:val="clear" w:color="auto" w:fill="1A6DBB"/>
          </w:tcPr>
          <w:p>
            <w:pPr>
              <w:jc w:val="center"/>
              <w:ind w:right="102"/>
              <w:spacing w:after="0"/>
              <w:rPr>
                <w:sz w:val="20"/>
                <w:szCs w:val="20"/>
                <w:color w:val="auto"/>
              </w:rPr>
            </w:pPr>
            <w:r>
              <w:rPr>
                <w:rFonts w:ascii="Arial" w:cs="Arial" w:eastAsia="Arial" w:hAnsi="Arial"/>
                <w:sz w:val="14"/>
                <w:szCs w:val="14"/>
                <w:color w:val="FFFFFF"/>
              </w:rPr>
              <w:t>Options</w:t>
            </w:r>
          </w:p>
        </w:tc>
        <w:tc>
          <w:tcPr>
            <w:tcW w:w="1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Have Not Vested</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Alexander J. Denner</w:t>
            </w:r>
          </w:p>
        </w:tc>
        <w:tc>
          <w:tcPr>
            <w:tcW w:w="1320" w:type="dxa"/>
            <w:vAlign w:val="bottom"/>
            <w:tcBorders>
              <w:bottom w:val="single" w:sz="8" w:color="E8F0F8"/>
            </w:tcBorders>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E8F0F8"/>
            </w:tcBorders>
            <w:shd w:val="clear" w:color="auto" w:fill="E8F0F8"/>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Caroline D. Dorsa</w:t>
            </w:r>
          </w:p>
        </w:tc>
        <w:tc>
          <w:tcPr>
            <w:tcW w:w="1320" w:type="dxa"/>
            <w:vAlign w:val="bottom"/>
            <w:tcBorders>
              <w:bottom w:val="single" w:sz="8" w:color="BAD3EA"/>
            </w:tcBorders>
            <w:shd w:val="clear" w:color="auto" w:fill="BAD3EA"/>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BAD3EA"/>
            </w:tcBorders>
            <w:shd w:val="clear" w:color="auto" w:fill="BAD3EA"/>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Maria C. Freire</w:t>
            </w:r>
          </w:p>
        </w:tc>
        <w:tc>
          <w:tcPr>
            <w:tcW w:w="1320" w:type="dxa"/>
            <w:vAlign w:val="bottom"/>
            <w:tcBorders>
              <w:bottom w:val="single" w:sz="8" w:color="E8F0F8"/>
            </w:tcBorders>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E8F0F8"/>
            </w:tcBorders>
            <w:shd w:val="clear" w:color="auto" w:fill="E8F0F8"/>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William A. Hawkins</w:t>
            </w:r>
          </w:p>
        </w:tc>
        <w:tc>
          <w:tcPr>
            <w:tcW w:w="1320" w:type="dxa"/>
            <w:vAlign w:val="bottom"/>
            <w:tcBorders>
              <w:bottom w:val="single" w:sz="8" w:color="BAD3EA"/>
            </w:tcBorders>
            <w:shd w:val="clear" w:color="auto" w:fill="BAD3EA"/>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BAD3EA"/>
            </w:tcBorders>
            <w:shd w:val="clear" w:color="auto" w:fill="BAD3EA"/>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William D. Jones</w:t>
            </w:r>
          </w:p>
        </w:tc>
        <w:tc>
          <w:tcPr>
            <w:tcW w:w="1320" w:type="dxa"/>
            <w:vAlign w:val="bottom"/>
            <w:tcBorders>
              <w:bottom w:val="single" w:sz="8" w:color="E8F0F8"/>
            </w:tcBorders>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E8F0F8"/>
            </w:tcBorders>
            <w:shd w:val="clear" w:color="auto" w:fill="E8F0F8"/>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Nancy L. Leaming</w:t>
            </w:r>
          </w:p>
        </w:tc>
        <w:tc>
          <w:tcPr>
            <w:tcW w:w="1320" w:type="dxa"/>
            <w:vAlign w:val="bottom"/>
            <w:tcBorders>
              <w:bottom w:val="single" w:sz="8" w:color="BAD3EA"/>
            </w:tcBorders>
            <w:shd w:val="clear" w:color="auto" w:fill="BAD3EA"/>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BAD3EA"/>
            </w:tcBorders>
            <w:shd w:val="clear" w:color="auto" w:fill="BAD3EA"/>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Jesus B. Mantas</w:t>
            </w:r>
          </w:p>
        </w:tc>
        <w:tc>
          <w:tcPr>
            <w:tcW w:w="1320" w:type="dxa"/>
            <w:vAlign w:val="bottom"/>
            <w:tcBorders>
              <w:bottom w:val="single" w:sz="8" w:color="E8F0F8"/>
            </w:tcBorders>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E8F0F8"/>
            </w:tcBorders>
            <w:shd w:val="clear" w:color="auto" w:fill="E8F0F8"/>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Richard C. Mulligan</w:t>
            </w:r>
          </w:p>
        </w:tc>
        <w:tc>
          <w:tcPr>
            <w:tcW w:w="1320" w:type="dxa"/>
            <w:vAlign w:val="bottom"/>
            <w:tcBorders>
              <w:bottom w:val="single" w:sz="8" w:color="BAD3EA"/>
            </w:tcBorders>
            <w:shd w:val="clear" w:color="auto" w:fill="BAD3EA"/>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BAD3EA"/>
            </w:tcBorders>
            <w:shd w:val="clear" w:color="auto" w:fill="BAD3EA"/>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24"/>
        </w:trPr>
        <w:tc>
          <w:tcPr>
            <w:tcW w:w="8020" w:type="dxa"/>
            <w:vAlign w:val="bottom"/>
            <w:shd w:val="clear" w:color="auto" w:fill="E8F0F8"/>
          </w:tcPr>
          <w:p>
            <w:pPr>
              <w:ind w:left="80"/>
              <w:spacing w:after="0"/>
              <w:rPr>
                <w:sz w:val="20"/>
                <w:szCs w:val="20"/>
                <w:color w:val="auto"/>
              </w:rPr>
            </w:pPr>
            <w:r>
              <w:rPr>
                <w:rFonts w:ascii="Arial" w:cs="Arial" w:eastAsia="Arial" w:hAnsi="Arial"/>
                <w:sz w:val="16"/>
                <w:szCs w:val="16"/>
                <w:color w:val="auto"/>
              </w:rPr>
              <w:t>Robert W. Pangia</w:t>
            </w:r>
            <w:r>
              <w:rPr>
                <w:rFonts w:ascii="Arial" w:cs="Arial" w:eastAsia="Arial" w:hAnsi="Arial"/>
                <w:sz w:val="27"/>
                <w:szCs w:val="27"/>
                <w:color w:val="auto"/>
                <w:vertAlign w:val="superscript"/>
              </w:rPr>
              <w:t>(2)</w:t>
            </w:r>
          </w:p>
        </w:tc>
        <w:tc>
          <w:tcPr>
            <w:tcW w:w="1320" w:type="dxa"/>
            <w:vAlign w:val="bottom"/>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shd w:val="clear" w:color="auto" w:fill="E8F0F8"/>
          </w:tcPr>
          <w:p>
            <w:pPr>
              <w:jc w:val="right"/>
              <w:ind w:right="5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Stelios Papadopoulos</w:t>
            </w:r>
          </w:p>
        </w:tc>
        <w:tc>
          <w:tcPr>
            <w:tcW w:w="1320" w:type="dxa"/>
            <w:vAlign w:val="bottom"/>
            <w:tcBorders>
              <w:bottom w:val="single" w:sz="8" w:color="BAD3EA"/>
            </w:tcBorders>
            <w:shd w:val="clear" w:color="auto" w:fill="BAD3EA"/>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BAD3EA"/>
            </w:tcBorders>
            <w:shd w:val="clear" w:color="auto" w:fill="BAD3EA"/>
          </w:tcPr>
          <w:p>
            <w:pPr>
              <w:jc w:val="right"/>
              <w:ind w:right="502"/>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Brian S. Posner</w:t>
            </w:r>
          </w:p>
        </w:tc>
        <w:tc>
          <w:tcPr>
            <w:tcW w:w="1320" w:type="dxa"/>
            <w:vAlign w:val="bottom"/>
            <w:tcBorders>
              <w:bottom w:val="single" w:sz="8" w:color="E8F0F8"/>
            </w:tcBorders>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E8F0F8"/>
            </w:tcBorders>
            <w:shd w:val="clear" w:color="auto" w:fill="E8F0F8"/>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Eric K. Rowinsky</w:t>
            </w:r>
          </w:p>
        </w:tc>
        <w:tc>
          <w:tcPr>
            <w:tcW w:w="1320" w:type="dxa"/>
            <w:vAlign w:val="bottom"/>
            <w:tcBorders>
              <w:bottom w:val="single" w:sz="8" w:color="BAD3EA"/>
            </w:tcBorders>
            <w:shd w:val="clear" w:color="auto" w:fill="BAD3EA"/>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BAD3EA"/>
            </w:tcBorders>
            <w:shd w:val="clear" w:color="auto" w:fill="BAD3EA"/>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04"/>
        </w:trPr>
        <w:tc>
          <w:tcPr>
            <w:tcW w:w="80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Stephen A. Sherwin</w:t>
            </w:r>
          </w:p>
        </w:tc>
        <w:tc>
          <w:tcPr>
            <w:tcW w:w="1320" w:type="dxa"/>
            <w:vAlign w:val="bottom"/>
            <w:tcBorders>
              <w:bottom w:val="single" w:sz="8" w:color="E8F0F8"/>
            </w:tcBorders>
            <w:shd w:val="clear" w:color="auto" w:fill="E8F0F8"/>
          </w:tcPr>
          <w:p>
            <w:pPr>
              <w:jc w:val="center"/>
              <w:ind w:right="82"/>
              <w:spacing w:after="0"/>
              <w:rPr>
                <w:sz w:val="20"/>
                <w:szCs w:val="20"/>
                <w:color w:val="auto"/>
              </w:rPr>
            </w:pPr>
            <w:r>
              <w:rPr>
                <w:rFonts w:ascii="Arial" w:cs="Arial" w:eastAsia="Arial" w:hAnsi="Arial"/>
                <w:sz w:val="16"/>
                <w:szCs w:val="16"/>
                <w:color w:val="auto"/>
                <w:w w:val="99"/>
              </w:rPr>
              <w:t>—</w:t>
            </w:r>
          </w:p>
        </w:tc>
        <w:tc>
          <w:tcPr>
            <w:tcW w:w="1680" w:type="dxa"/>
            <w:vAlign w:val="bottom"/>
            <w:tcBorders>
              <w:bottom w:val="single" w:sz="8" w:color="E8F0F8"/>
            </w:tcBorders>
            <w:shd w:val="clear" w:color="auto" w:fill="E8F0F8"/>
          </w:tcPr>
          <w:p>
            <w:pPr>
              <w:jc w:val="right"/>
              <w:ind w:right="50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
        </w:trPr>
        <w:tc>
          <w:tcPr>
            <w:tcW w:w="80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-3256915</wp:posOffset>
            </wp:positionV>
            <wp:extent cx="19030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i w:val="1"/>
          <w:iCs w:val="1"/>
          <w:color w:val="auto"/>
        </w:rPr>
        <w:t>Notes to the Director Equity Outstanding at 2021 Fiscal Year-End Table</w:t>
      </w:r>
    </w:p>
    <w:p>
      <w:pPr>
        <w:spacing w:after="0" w:line="6" w:lineRule="exact"/>
        <w:rPr>
          <w:sz w:val="20"/>
          <w:szCs w:val="20"/>
          <w:color w:val="auto"/>
        </w:rPr>
      </w:pPr>
    </w:p>
    <w:p>
      <w:pPr>
        <w:jc w:val="both"/>
        <w:ind w:left="440" w:right="200" w:hanging="324"/>
        <w:spacing w:after="0" w:line="241"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number of RSUs awarded to non-employee directors in 2021 under the Non-Employee Directors Equity Plan, as described in the narrative preceding the “2021 Director Compensation” table above. These RSU awards are scheduled to vest in full and be settled in shares at the earlier of (i) the first anniversary of the grant date or (ii) the next annual meeting, generally subject to continued service.</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Pangia retired from our Board of Directors, effective as of the 2021 Annual Meeting, and was not eligible for an annual award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22"/>
          <w:szCs w:val="22"/>
          <w:color w:val="1A6DBB"/>
        </w:rPr>
        <w:t>Board Risk Oversight</w:t>
      </w:r>
    </w:p>
    <w:p>
      <w:pPr>
        <w:spacing w:after="0" w:line="11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Our Board of Directors believes that a fundamental part of risk management is understanding the risks that we face, monitoring these risks and adopting appropriate control and mitigation of these risks. As stated in our Corporate Governance Principles, our Board of Directors and its committees are responsible for “reviewing the Company’s risk framework and governance and management’s exercise of its responsibility to assess, monitor and manage the Company’s significant risk exposures.”</w:t>
      </w:r>
    </w:p>
    <w:p>
      <w:pPr>
        <w:spacing w:after="0" w:line="70" w:lineRule="exact"/>
        <w:rPr>
          <w:sz w:val="20"/>
          <w:szCs w:val="20"/>
          <w:color w:val="auto"/>
        </w:rPr>
      </w:pPr>
    </w:p>
    <w:p>
      <w:pPr>
        <w:ind w:left="120" w:right="160"/>
        <w:spacing w:after="0" w:line="252" w:lineRule="auto"/>
        <w:rPr>
          <w:sz w:val="20"/>
          <w:szCs w:val="20"/>
          <w:color w:val="auto"/>
        </w:rPr>
      </w:pPr>
      <w:r>
        <w:rPr>
          <w:rFonts w:ascii="Arial" w:cs="Arial" w:eastAsia="Arial" w:hAnsi="Arial"/>
          <w:sz w:val="16"/>
          <w:szCs w:val="16"/>
          <w:color w:val="auto"/>
        </w:rPr>
        <w:t>Our Board of Directors oversees the management of material risks facing the Company. Biogen is committed to fostering a company culture of risk-adjusted decision-making without constraining reasonable risk-taking and innovation. Our Board of Directors and its committees oversee our efforts to foster this culture. Our Board of Directors regularly receives information about our material strategic, operational, financial and compliance risks and management’s response to, and mitigation of, such risks. In addition, our risk management systems, including our risk assessment processes, internal control over financial reporting, compliance programs and internal and external auditing procedures, are designed to inform management and our Board of Directors about our material risks. As part of its risk oversight function, our Board of Directors and its committees review this framework, its operation and our strategies for generating long-term value for our stockholders to ensure that such strategies will not motivate management to take excessive risks.</w:t>
      </w:r>
    </w:p>
    <w:p>
      <w:pPr>
        <w:spacing w:after="0" w:line="75"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Our Board of Directors also reviews enterprise risks and discusses them with our management, including issues relevant to our business, reputation and strategy, including intellectual property risk, pipeline and business development, pricing and patient access, legal and regulatory matters and manufacturing. In addition, our Board of Directors and its committees oversee elements of our culture. Management updates our C&amp;MD Committee on our compensation practices and progress against strategies and objectives in the areas of management and leadership development and diversity as well as steps</w:t>
      </w:r>
    </w:p>
    <w:p>
      <w:pPr>
        <w:sectPr>
          <w:pgSz w:w="11900" w:h="16838" w:orient="portrait"/>
          <w:cols w:equalWidth="0" w:num="1">
            <w:col w:w="11140"/>
          </w:cols>
          <w:pgMar w:left="320" w:top="455" w:right="439" w:bottom="1440" w:gutter="0" w:footer="0" w:header="0"/>
        </w:sectPr>
      </w:pPr>
    </w:p>
    <w:p>
      <w:pPr>
        <w:spacing w:after="0" w:line="107"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23 </w:t>
      </w:r>
      <w:r>
        <w:rPr>
          <w:sz w:val="1"/>
          <w:szCs w:val="1"/>
          <w:color w:val="auto"/>
        </w:rPr>
        <w:drawing>
          <wp:inline distT="0" distB="0" distL="0" distR="0">
            <wp:extent cx="38735" cy="19685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64"/>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taken to address matters such as inappropriate workplace behavior, including harassment and retaliation. In addition, our Audit Committee is responsible for the oversight of our compliance program.</w:t>
      </w:r>
    </w:p>
    <w:p>
      <w:pPr>
        <w:spacing w:after="0" w:line="48"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In determining the allocation of risk oversight responsibilities, our Board of Directors and its committees generally oversee material risks within their identified areas of concern. Our Board of Directors and each of its committees meet regularly with management to ensure that management is exercising its responsibility to identify relevant risks and is adequately assessing, monitoring and taking appropriate action to mitigate risk. In the event a committee receives a report from members of management on areas of material risk to the Company, the Chair of the relevant committee reports on the discussion to the full Board of Directors at the next Board of Directors meeting. This enables our Board of Directors and its committees to coordinate their oversight of risk and identify risk interrelationships.</w:t>
      </w:r>
    </w:p>
    <w:p>
      <w:pPr>
        <w:spacing w:after="0" w:line="74"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Our independent Chairman of the Board promotes effective communication and consideration of matters presenting significant risks to the Company through his role in developing our Board of Directors’ meeting agendas, advising committee chairs, chairing meetings of the independent directors and facilitating communications between independent directors and our Chief Executive Officer.</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key areas of risk oversight responsibility of our Board of Directors and each of its committees is set forth below:</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6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Board or Committee</w:t>
            </w:r>
          </w:p>
        </w:tc>
        <w:tc>
          <w:tcPr>
            <w:tcW w:w="9400" w:type="dxa"/>
            <w:vAlign w:val="bottom"/>
            <w:shd w:val="clear" w:color="auto" w:fill="1A6DBB"/>
          </w:tcPr>
          <w:p>
            <w:pPr>
              <w:ind w:left="4040"/>
              <w:spacing w:after="0"/>
              <w:rPr>
                <w:sz w:val="20"/>
                <w:szCs w:val="20"/>
                <w:color w:val="auto"/>
              </w:rPr>
            </w:pPr>
            <w:r>
              <w:rPr>
                <w:rFonts w:ascii="Arial" w:cs="Arial" w:eastAsia="Arial" w:hAnsi="Arial"/>
                <w:sz w:val="14"/>
                <w:szCs w:val="14"/>
                <w:color w:val="FFFFFF"/>
              </w:rPr>
              <w:t>Area of Risk Oversight</w:t>
            </w:r>
          </w:p>
        </w:tc>
        <w:tc>
          <w:tcPr>
            <w:tcW w:w="0" w:type="dxa"/>
            <w:vAlign w:val="bottom"/>
          </w:tcPr>
          <w:p>
            <w:pPr>
              <w:spacing w:after="0"/>
              <w:rPr>
                <w:sz w:val="1"/>
                <w:szCs w:val="1"/>
                <w:color w:val="auto"/>
              </w:rPr>
            </w:pPr>
          </w:p>
        </w:tc>
      </w:tr>
      <w:tr>
        <w:trPr>
          <w:trHeight w:val="242"/>
        </w:trPr>
        <w:tc>
          <w:tcPr>
            <w:tcW w:w="1620" w:type="dxa"/>
            <w:vAlign w:val="bottom"/>
            <w:shd w:val="clear" w:color="auto" w:fill="E8F0F8"/>
          </w:tcPr>
          <w:p>
            <w:pPr>
              <w:ind w:left="80"/>
              <w:spacing w:after="0"/>
              <w:rPr>
                <w:sz w:val="20"/>
                <w:szCs w:val="20"/>
                <w:color w:val="auto"/>
              </w:rPr>
            </w:pPr>
            <w:r>
              <w:rPr>
                <w:rFonts w:ascii="Arial" w:cs="Arial" w:eastAsia="Arial" w:hAnsi="Arial"/>
                <w:sz w:val="16"/>
                <w:szCs w:val="16"/>
                <w:color w:val="auto"/>
              </w:rPr>
              <w:t>Board</w:t>
            </w: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Corporate and commercial strategy and execution, pricing and reimbursement, competition, reputational, Environmental,</w:t>
            </w:r>
          </w:p>
        </w:tc>
        <w:tc>
          <w:tcPr>
            <w:tcW w:w="0" w:type="dxa"/>
            <w:vAlign w:val="bottom"/>
          </w:tcPr>
          <w:p>
            <w:pPr>
              <w:spacing w:after="0"/>
              <w:rPr>
                <w:sz w:val="1"/>
                <w:szCs w:val="1"/>
                <w:color w:val="auto"/>
              </w:rPr>
            </w:pPr>
          </w:p>
        </w:tc>
      </w:tr>
      <w:tr>
        <w:trPr>
          <w:trHeight w:val="189"/>
        </w:trPr>
        <w:tc>
          <w:tcPr>
            <w:tcW w:w="1620" w:type="dxa"/>
            <w:vAlign w:val="bottom"/>
            <w:shd w:val="clear" w:color="auto" w:fill="E8F0F8"/>
          </w:tcPr>
          <w:p>
            <w:pPr>
              <w:spacing w:after="0"/>
              <w:rPr>
                <w:sz w:val="16"/>
                <w:szCs w:val="16"/>
                <w:color w:val="auto"/>
              </w:rPr>
            </w:pPr>
          </w:p>
        </w:tc>
        <w:tc>
          <w:tcPr>
            <w:tcW w:w="94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Social and Governance (ESG) and other material risks</w:t>
            </w:r>
          </w:p>
        </w:tc>
        <w:tc>
          <w:tcPr>
            <w:tcW w:w="0" w:type="dxa"/>
            <w:vAlign w:val="bottom"/>
          </w:tcPr>
          <w:p>
            <w:pPr>
              <w:spacing w:after="0"/>
              <w:rPr>
                <w:sz w:val="1"/>
                <w:szCs w:val="1"/>
                <w:color w:val="auto"/>
              </w:rPr>
            </w:pPr>
          </w:p>
        </w:tc>
      </w:tr>
      <w:tr>
        <w:trPr>
          <w:trHeight w:val="189"/>
        </w:trPr>
        <w:tc>
          <w:tcPr>
            <w:tcW w:w="1620" w:type="dxa"/>
            <w:vAlign w:val="bottom"/>
            <w:shd w:val="clear" w:color="auto" w:fill="E8F0F8"/>
          </w:tcPr>
          <w:p>
            <w:pPr>
              <w:spacing w:after="0"/>
              <w:rPr>
                <w:sz w:val="16"/>
                <w:szCs w:val="16"/>
                <w:color w:val="auto"/>
              </w:rPr>
            </w:pP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Research and development activities, clinical development, drug safety and intellectual property</w:t>
            </w:r>
          </w:p>
        </w:tc>
        <w:tc>
          <w:tcPr>
            <w:tcW w:w="0" w:type="dxa"/>
            <w:vAlign w:val="bottom"/>
          </w:tcPr>
          <w:p>
            <w:pPr>
              <w:spacing w:after="0"/>
              <w:rPr>
                <w:sz w:val="1"/>
                <w:szCs w:val="1"/>
                <w:color w:val="auto"/>
              </w:rPr>
            </w:pPr>
          </w:p>
        </w:tc>
      </w:tr>
      <w:tr>
        <w:trPr>
          <w:trHeight w:val="189"/>
        </w:trPr>
        <w:tc>
          <w:tcPr>
            <w:tcW w:w="1620" w:type="dxa"/>
            <w:vAlign w:val="bottom"/>
            <w:shd w:val="clear" w:color="auto" w:fill="E8F0F8"/>
          </w:tcPr>
          <w:p>
            <w:pPr>
              <w:spacing w:after="0"/>
              <w:rPr>
                <w:sz w:val="16"/>
                <w:szCs w:val="16"/>
                <w:color w:val="auto"/>
              </w:rPr>
            </w:pP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Material government and other investigations and litigation</w:t>
            </w:r>
          </w:p>
        </w:tc>
        <w:tc>
          <w:tcPr>
            <w:tcW w:w="0" w:type="dxa"/>
            <w:vAlign w:val="bottom"/>
          </w:tcPr>
          <w:p>
            <w:pPr>
              <w:spacing w:after="0"/>
              <w:rPr>
                <w:sz w:val="1"/>
                <w:szCs w:val="1"/>
                <w:color w:val="auto"/>
              </w:rPr>
            </w:pPr>
          </w:p>
        </w:tc>
      </w:tr>
      <w:tr>
        <w:trPr>
          <w:trHeight w:val="189"/>
        </w:trPr>
        <w:tc>
          <w:tcPr>
            <w:tcW w:w="1620" w:type="dxa"/>
            <w:vAlign w:val="bottom"/>
            <w:shd w:val="clear" w:color="auto" w:fill="E8F0F8"/>
          </w:tcPr>
          <w:p>
            <w:pPr>
              <w:spacing w:after="0"/>
              <w:rPr>
                <w:sz w:val="16"/>
                <w:szCs w:val="16"/>
                <w:color w:val="auto"/>
              </w:rPr>
            </w:pP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Risk governance framework and infrastructure designed to identify, assess, manage and monitor the Company’s material</w:t>
            </w:r>
          </w:p>
        </w:tc>
        <w:tc>
          <w:tcPr>
            <w:tcW w:w="0" w:type="dxa"/>
            <w:vAlign w:val="bottom"/>
          </w:tcPr>
          <w:p>
            <w:pPr>
              <w:spacing w:after="0"/>
              <w:rPr>
                <w:sz w:val="1"/>
                <w:szCs w:val="1"/>
                <w:color w:val="auto"/>
              </w:rPr>
            </w:pPr>
          </w:p>
        </w:tc>
      </w:tr>
      <w:tr>
        <w:trPr>
          <w:trHeight w:val="189"/>
        </w:trPr>
        <w:tc>
          <w:tcPr>
            <w:tcW w:w="1620" w:type="dxa"/>
            <w:vAlign w:val="bottom"/>
            <w:shd w:val="clear" w:color="auto" w:fill="E8F0F8"/>
          </w:tcPr>
          <w:p>
            <w:pPr>
              <w:spacing w:after="0"/>
              <w:rPr>
                <w:sz w:val="16"/>
                <w:szCs w:val="16"/>
                <w:color w:val="auto"/>
              </w:rPr>
            </w:pPr>
          </w:p>
        </w:tc>
        <w:tc>
          <w:tcPr>
            <w:tcW w:w="94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risks</w:t>
            </w:r>
          </w:p>
        </w:tc>
        <w:tc>
          <w:tcPr>
            <w:tcW w:w="0" w:type="dxa"/>
            <w:vAlign w:val="bottom"/>
          </w:tcPr>
          <w:p>
            <w:pPr>
              <w:spacing w:after="0"/>
              <w:rPr>
                <w:sz w:val="1"/>
                <w:szCs w:val="1"/>
                <w:color w:val="auto"/>
              </w:rPr>
            </w:pPr>
          </w:p>
        </w:tc>
      </w:tr>
      <w:tr>
        <w:trPr>
          <w:trHeight w:val="215"/>
        </w:trPr>
        <w:tc>
          <w:tcPr>
            <w:tcW w:w="1620" w:type="dxa"/>
            <w:vAlign w:val="bottom"/>
            <w:shd w:val="clear" w:color="auto" w:fill="E8F0F8"/>
          </w:tcPr>
          <w:p>
            <w:pPr>
              <w:spacing w:after="0"/>
              <w:rPr>
                <w:sz w:val="18"/>
                <w:szCs w:val="18"/>
                <w:color w:val="auto"/>
              </w:rPr>
            </w:pP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Risk management policies, guidelines and practices implemented by Company management</w:t>
            </w:r>
          </w:p>
        </w:tc>
        <w:tc>
          <w:tcPr>
            <w:tcW w:w="0" w:type="dxa"/>
            <w:vAlign w:val="bottom"/>
          </w:tcPr>
          <w:p>
            <w:pPr>
              <w:spacing w:after="0"/>
              <w:rPr>
                <w:sz w:val="1"/>
                <w:szCs w:val="1"/>
                <w:color w:val="auto"/>
              </w:rPr>
            </w:pPr>
          </w:p>
        </w:tc>
      </w:tr>
      <w:tr>
        <w:trPr>
          <w:trHeight w:val="69"/>
        </w:trPr>
        <w:tc>
          <w:tcPr>
            <w:tcW w:w="1620" w:type="dxa"/>
            <w:vAlign w:val="bottom"/>
            <w:shd w:val="clear" w:color="auto" w:fill="E8F0F8"/>
          </w:tcPr>
          <w:p>
            <w:pPr>
              <w:spacing w:after="0"/>
              <w:rPr>
                <w:sz w:val="6"/>
                <w:szCs w:val="6"/>
                <w:color w:val="auto"/>
              </w:rPr>
            </w:pPr>
          </w:p>
        </w:tc>
        <w:tc>
          <w:tcPr>
            <w:tcW w:w="9400" w:type="dxa"/>
            <w:vAlign w:val="bottom"/>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BAD3EA"/>
          </w:tcPr>
          <w:p>
            <w:pPr>
              <w:ind w:left="80"/>
              <w:spacing w:after="0"/>
              <w:rPr>
                <w:sz w:val="20"/>
                <w:szCs w:val="20"/>
                <w:color w:val="auto"/>
              </w:rPr>
            </w:pPr>
            <w:r>
              <w:rPr>
                <w:rFonts w:ascii="Arial" w:cs="Arial" w:eastAsia="Arial" w:hAnsi="Arial"/>
                <w:sz w:val="16"/>
                <w:szCs w:val="16"/>
                <w:color w:val="auto"/>
              </w:rPr>
              <w:t>Audit</w:t>
            </w:r>
          </w:p>
        </w:tc>
        <w:tc>
          <w:tcPr>
            <w:tcW w:w="9400" w:type="dxa"/>
            <w:vAlign w:val="bottom"/>
            <w:vMerge w:val="restart"/>
            <w:shd w:val="clear" w:color="auto" w:fill="BAD3EA"/>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Financial, accounting, disclosure, corporate compliance, distributors, insurance, capital, credit, anti-bribery and anti-</w:t>
            </w:r>
          </w:p>
        </w:tc>
        <w:tc>
          <w:tcPr>
            <w:tcW w:w="0" w:type="dxa"/>
            <w:vAlign w:val="bottom"/>
          </w:tcPr>
          <w:p>
            <w:pPr>
              <w:spacing w:after="0"/>
              <w:rPr>
                <w:sz w:val="1"/>
                <w:szCs w:val="1"/>
                <w:color w:val="auto"/>
              </w:rPr>
            </w:pPr>
          </w:p>
        </w:tc>
      </w:tr>
      <w:tr>
        <w:trPr>
          <w:trHeight w:val="28"/>
        </w:trPr>
        <w:tc>
          <w:tcPr>
            <w:tcW w:w="1620" w:type="dxa"/>
            <w:vAlign w:val="bottom"/>
            <w:shd w:val="clear" w:color="auto" w:fill="BAD3EA"/>
          </w:tcPr>
          <w:p>
            <w:pPr>
              <w:spacing w:after="0"/>
              <w:rPr>
                <w:sz w:val="2"/>
                <w:szCs w:val="2"/>
                <w:color w:val="auto"/>
              </w:rPr>
            </w:pPr>
          </w:p>
        </w:tc>
        <w:tc>
          <w:tcPr>
            <w:tcW w:w="9400" w:type="dxa"/>
            <w:vAlign w:val="bottom"/>
            <w:vMerge w:val="continue"/>
            <w:shd w:val="clear" w:color="auto" w:fill="BAD3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shd w:val="clear" w:color="auto" w:fill="BAD3EA"/>
          </w:tcPr>
          <w:p>
            <w:pPr>
              <w:spacing w:after="0"/>
              <w:rPr>
                <w:sz w:val="16"/>
                <w:szCs w:val="16"/>
                <w:color w:val="auto"/>
              </w:rPr>
            </w:pPr>
          </w:p>
        </w:tc>
        <w:tc>
          <w:tcPr>
            <w:tcW w:w="9400" w:type="dxa"/>
            <w:vAlign w:val="bottom"/>
            <w:shd w:val="clear" w:color="auto" w:fill="BAD3EA"/>
          </w:tcPr>
          <w:p>
            <w:pPr>
              <w:ind w:left="340"/>
              <w:spacing w:after="0"/>
              <w:rPr>
                <w:sz w:val="20"/>
                <w:szCs w:val="20"/>
                <w:color w:val="auto"/>
              </w:rPr>
            </w:pPr>
            <w:r>
              <w:rPr>
                <w:rFonts w:ascii="Arial" w:cs="Arial" w:eastAsia="Arial" w:hAnsi="Arial"/>
                <w:sz w:val="16"/>
                <w:szCs w:val="16"/>
                <w:color w:val="auto"/>
              </w:rPr>
              <w:t>corruption matters and other risks reviewed in its oversight of the internal audit and corporate compliance functions</w:t>
            </w:r>
          </w:p>
        </w:tc>
        <w:tc>
          <w:tcPr>
            <w:tcW w:w="0" w:type="dxa"/>
            <w:vAlign w:val="bottom"/>
          </w:tcPr>
          <w:p>
            <w:pPr>
              <w:spacing w:after="0"/>
              <w:rPr>
                <w:sz w:val="1"/>
                <w:szCs w:val="1"/>
                <w:color w:val="auto"/>
              </w:rPr>
            </w:pPr>
          </w:p>
        </w:tc>
      </w:tr>
      <w:tr>
        <w:trPr>
          <w:trHeight w:val="217"/>
        </w:trPr>
        <w:tc>
          <w:tcPr>
            <w:tcW w:w="1620" w:type="dxa"/>
            <w:vAlign w:val="bottom"/>
            <w:shd w:val="clear" w:color="auto" w:fill="BAD3EA"/>
          </w:tcPr>
          <w:p>
            <w:pPr>
              <w:spacing w:after="0"/>
              <w:rPr>
                <w:sz w:val="18"/>
                <w:szCs w:val="18"/>
                <w:color w:val="auto"/>
              </w:rPr>
            </w:pPr>
          </w:p>
        </w:tc>
        <w:tc>
          <w:tcPr>
            <w:tcW w:w="9400" w:type="dxa"/>
            <w:vAlign w:val="bottom"/>
            <w:shd w:val="clear" w:color="auto" w:fill="BAD3EA"/>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Information technology and cybersecurity risks</w:t>
            </w:r>
          </w:p>
        </w:tc>
        <w:tc>
          <w:tcPr>
            <w:tcW w:w="0" w:type="dxa"/>
            <w:vAlign w:val="bottom"/>
          </w:tcPr>
          <w:p>
            <w:pPr>
              <w:spacing w:after="0"/>
              <w:rPr>
                <w:sz w:val="1"/>
                <w:szCs w:val="1"/>
                <w:color w:val="auto"/>
              </w:rPr>
            </w:pPr>
          </w:p>
        </w:tc>
      </w:tr>
      <w:tr>
        <w:trPr>
          <w:trHeight w:val="242"/>
        </w:trPr>
        <w:tc>
          <w:tcPr>
            <w:tcW w:w="1620" w:type="dxa"/>
            <w:vAlign w:val="bottom"/>
            <w:shd w:val="clear" w:color="auto" w:fill="E8F0F8"/>
          </w:tcPr>
          <w:p>
            <w:pPr>
              <w:ind w:left="80"/>
              <w:spacing w:after="0"/>
              <w:rPr>
                <w:sz w:val="20"/>
                <w:szCs w:val="20"/>
                <w:color w:val="auto"/>
              </w:rPr>
            </w:pPr>
            <w:r>
              <w:rPr>
                <w:rFonts w:ascii="Arial" w:cs="Arial" w:eastAsia="Arial" w:hAnsi="Arial"/>
                <w:sz w:val="16"/>
                <w:szCs w:val="16"/>
                <w:color w:val="auto"/>
              </w:rPr>
              <w:t>Compensation and</w:t>
            </w: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Workforce matters, including harassment and retaliation</w:t>
            </w:r>
          </w:p>
        </w:tc>
        <w:tc>
          <w:tcPr>
            <w:tcW w:w="0" w:type="dxa"/>
            <w:vAlign w:val="bottom"/>
          </w:tcPr>
          <w:p>
            <w:pPr>
              <w:spacing w:after="0"/>
              <w:rPr>
                <w:sz w:val="1"/>
                <w:szCs w:val="1"/>
                <w:color w:val="auto"/>
              </w:rPr>
            </w:pPr>
          </w:p>
        </w:tc>
      </w:tr>
      <w:tr>
        <w:trPr>
          <w:trHeight w:val="189"/>
        </w:trPr>
        <w:tc>
          <w:tcPr>
            <w:tcW w:w="1620" w:type="dxa"/>
            <w:vAlign w:val="bottom"/>
            <w:shd w:val="clear" w:color="auto" w:fill="E8F0F8"/>
          </w:tcPr>
          <w:p>
            <w:pPr>
              <w:ind w:left="80"/>
              <w:spacing w:after="0"/>
              <w:rPr>
                <w:sz w:val="20"/>
                <w:szCs w:val="20"/>
                <w:color w:val="auto"/>
              </w:rPr>
            </w:pPr>
            <w:r>
              <w:rPr>
                <w:rFonts w:ascii="Arial" w:cs="Arial" w:eastAsia="Arial" w:hAnsi="Arial"/>
                <w:sz w:val="16"/>
                <w:szCs w:val="16"/>
                <w:color w:val="auto"/>
              </w:rPr>
              <w:t>Management</w:t>
            </w:r>
          </w:p>
        </w:tc>
        <w:tc>
          <w:tcPr>
            <w:tcW w:w="940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Compensation policies and practices, including whether such policies and practices balance risk-taking and rewards in an</w:t>
            </w:r>
          </w:p>
        </w:tc>
        <w:tc>
          <w:tcPr>
            <w:tcW w:w="0" w:type="dxa"/>
            <w:vAlign w:val="bottom"/>
          </w:tcPr>
          <w:p>
            <w:pPr>
              <w:spacing w:after="0"/>
              <w:rPr>
                <w:sz w:val="1"/>
                <w:szCs w:val="1"/>
                <w:color w:val="auto"/>
              </w:rPr>
            </w:pPr>
          </w:p>
        </w:tc>
      </w:tr>
      <w:tr>
        <w:trPr>
          <w:trHeight w:val="216"/>
        </w:trPr>
        <w:tc>
          <w:tcPr>
            <w:tcW w:w="1620" w:type="dxa"/>
            <w:vAlign w:val="bottom"/>
            <w:shd w:val="clear" w:color="auto" w:fill="E8F0F8"/>
          </w:tcPr>
          <w:p>
            <w:pPr>
              <w:ind w:left="80"/>
              <w:spacing w:after="0"/>
              <w:rPr>
                <w:sz w:val="20"/>
                <w:szCs w:val="20"/>
                <w:color w:val="auto"/>
              </w:rPr>
            </w:pPr>
            <w:r>
              <w:rPr>
                <w:rFonts w:ascii="Arial" w:cs="Arial" w:eastAsia="Arial" w:hAnsi="Arial"/>
                <w:sz w:val="16"/>
                <w:szCs w:val="16"/>
                <w:color w:val="auto"/>
              </w:rPr>
              <w:t>Development</w:t>
            </w:r>
          </w:p>
        </w:tc>
        <w:tc>
          <w:tcPr>
            <w:tcW w:w="94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appropriate manner as discussed further below</w:t>
            </w:r>
          </w:p>
        </w:tc>
        <w:tc>
          <w:tcPr>
            <w:tcW w:w="0" w:type="dxa"/>
            <w:vAlign w:val="bottom"/>
          </w:tcPr>
          <w:p>
            <w:pPr>
              <w:spacing w:after="0"/>
              <w:rPr>
                <w:sz w:val="1"/>
                <w:szCs w:val="1"/>
                <w:color w:val="auto"/>
              </w:rPr>
            </w:pPr>
          </w:p>
        </w:tc>
      </w:tr>
      <w:tr>
        <w:trPr>
          <w:trHeight w:val="243"/>
        </w:trPr>
        <w:tc>
          <w:tcPr>
            <w:tcW w:w="1620" w:type="dxa"/>
            <w:vAlign w:val="bottom"/>
            <w:shd w:val="clear" w:color="auto" w:fill="BAD3EA"/>
          </w:tcPr>
          <w:p>
            <w:pPr>
              <w:ind w:left="80"/>
              <w:spacing w:after="0"/>
              <w:rPr>
                <w:sz w:val="20"/>
                <w:szCs w:val="20"/>
                <w:color w:val="auto"/>
              </w:rPr>
            </w:pPr>
            <w:r>
              <w:rPr>
                <w:rFonts w:ascii="Arial" w:cs="Arial" w:eastAsia="Arial" w:hAnsi="Arial"/>
                <w:sz w:val="16"/>
                <w:szCs w:val="16"/>
                <w:color w:val="auto"/>
              </w:rPr>
              <w:t>Corporate</w:t>
            </w:r>
          </w:p>
        </w:tc>
        <w:tc>
          <w:tcPr>
            <w:tcW w:w="9400" w:type="dxa"/>
            <w:vAlign w:val="bottom"/>
            <w:vMerge w:val="restart"/>
            <w:shd w:val="clear" w:color="auto" w:fill="BAD3EA"/>
          </w:tcPr>
          <w:p>
            <w:pPr>
              <w:ind w:left="12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Corporate governance and board succession, director independence, lobbying activities, potential conflicts of interest and</w:t>
            </w:r>
          </w:p>
        </w:tc>
        <w:tc>
          <w:tcPr>
            <w:tcW w:w="0" w:type="dxa"/>
            <w:vAlign w:val="bottom"/>
          </w:tcPr>
          <w:p>
            <w:pPr>
              <w:spacing w:after="0"/>
              <w:rPr>
                <w:sz w:val="1"/>
                <w:szCs w:val="1"/>
                <w:color w:val="auto"/>
              </w:rPr>
            </w:pPr>
          </w:p>
        </w:tc>
      </w:tr>
      <w:tr>
        <w:trPr>
          <w:trHeight w:val="68"/>
        </w:trPr>
        <w:tc>
          <w:tcPr>
            <w:tcW w:w="1620" w:type="dxa"/>
            <w:vAlign w:val="bottom"/>
            <w:vMerge w:val="restart"/>
            <w:shd w:val="clear" w:color="auto" w:fill="BAD3EA"/>
          </w:tcPr>
          <w:p>
            <w:pPr>
              <w:ind w:left="80"/>
              <w:spacing w:after="0"/>
              <w:rPr>
                <w:sz w:val="20"/>
                <w:szCs w:val="20"/>
                <w:color w:val="auto"/>
              </w:rPr>
            </w:pPr>
            <w:r>
              <w:rPr>
                <w:rFonts w:ascii="Arial" w:cs="Arial" w:eastAsia="Arial" w:hAnsi="Arial"/>
                <w:sz w:val="16"/>
                <w:szCs w:val="16"/>
                <w:color w:val="auto"/>
              </w:rPr>
              <w:t>Governance</w:t>
            </w:r>
          </w:p>
        </w:tc>
        <w:tc>
          <w:tcPr>
            <w:tcW w:w="9400" w:type="dxa"/>
            <w:vAlign w:val="bottom"/>
            <w:vMerge w:val="continue"/>
            <w:shd w:val="clear" w:color="auto" w:fill="BAD3EA"/>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620" w:type="dxa"/>
            <w:vAlign w:val="bottom"/>
            <w:vMerge w:val="continue"/>
            <w:shd w:val="clear" w:color="auto" w:fill="BAD3EA"/>
          </w:tcPr>
          <w:p>
            <w:pPr>
              <w:spacing w:after="0"/>
              <w:rPr>
                <w:sz w:val="12"/>
                <w:szCs w:val="12"/>
                <w:color w:val="auto"/>
              </w:rPr>
            </w:pPr>
          </w:p>
        </w:tc>
        <w:tc>
          <w:tcPr>
            <w:tcW w:w="9400" w:type="dxa"/>
            <w:vAlign w:val="bottom"/>
            <w:vMerge w:val="restart"/>
            <w:shd w:val="clear" w:color="auto" w:fill="BAD3EA"/>
          </w:tcPr>
          <w:p>
            <w:pPr>
              <w:ind w:left="340"/>
              <w:spacing w:after="0"/>
              <w:rPr>
                <w:sz w:val="20"/>
                <w:szCs w:val="20"/>
                <w:color w:val="auto"/>
              </w:rPr>
            </w:pPr>
            <w:r>
              <w:rPr>
                <w:rFonts w:ascii="Arial" w:cs="Arial" w:eastAsia="Arial" w:hAnsi="Arial"/>
                <w:sz w:val="16"/>
                <w:szCs w:val="16"/>
                <w:color w:val="auto"/>
              </w:rPr>
              <w:t>related party transactions involving directors and executive officers</w:t>
            </w:r>
          </w:p>
        </w:tc>
        <w:tc>
          <w:tcPr>
            <w:tcW w:w="0" w:type="dxa"/>
            <w:vAlign w:val="bottom"/>
          </w:tcPr>
          <w:p>
            <w:pPr>
              <w:spacing w:after="0"/>
              <w:rPr>
                <w:sz w:val="1"/>
                <w:szCs w:val="1"/>
                <w:color w:val="auto"/>
              </w:rPr>
            </w:pPr>
          </w:p>
        </w:tc>
      </w:tr>
      <w:tr>
        <w:trPr>
          <w:trHeight w:val="68"/>
        </w:trPr>
        <w:tc>
          <w:tcPr>
            <w:tcW w:w="1620" w:type="dxa"/>
            <w:vAlign w:val="bottom"/>
            <w:tcBorders>
              <w:bottom w:val="single" w:sz="8" w:color="auto"/>
            </w:tcBorders>
            <w:shd w:val="clear" w:color="auto" w:fill="BAD3EA"/>
          </w:tcPr>
          <w:p>
            <w:pPr>
              <w:spacing w:after="0"/>
              <w:rPr>
                <w:sz w:val="5"/>
                <w:szCs w:val="5"/>
                <w:color w:val="auto"/>
              </w:rPr>
            </w:pPr>
          </w:p>
        </w:tc>
        <w:tc>
          <w:tcPr>
            <w:tcW w:w="9400" w:type="dxa"/>
            <w:vAlign w:val="bottom"/>
            <w:tcBorders>
              <w:bottom w:val="single" w:sz="8" w:color="auto"/>
            </w:tcBorders>
            <w:vMerge w:val="continue"/>
            <w:shd w:val="clear" w:color="auto" w:fill="BAD3EA"/>
          </w:tcPr>
          <w:p>
            <w:pPr>
              <w:spacing w:after="0"/>
              <w:rPr>
                <w:sz w:val="5"/>
                <w:szCs w:val="5"/>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20"/>
        <w:spacing w:after="0"/>
        <w:rPr>
          <w:sz w:val="20"/>
          <w:szCs w:val="20"/>
          <w:color w:val="auto"/>
        </w:rPr>
      </w:pPr>
      <w:r>
        <w:rPr>
          <w:rFonts w:ascii="Arial" w:cs="Arial" w:eastAsia="Arial" w:hAnsi="Arial"/>
          <w:sz w:val="22"/>
          <w:szCs w:val="22"/>
          <w:color w:val="1A6DBB"/>
        </w:rPr>
        <w:t>Compensation Risk Assessment</w:t>
      </w:r>
    </w:p>
    <w:p>
      <w:pPr>
        <w:spacing w:after="0" w:line="11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Compensation Discussion and Analysis (CD&amp;A) section of this Proxy Statement describes our compensation policies, programs and practices for our named executive officers. Our goal-setting, performance assessment and compensation decision-making processes described in the CD&amp;A generally apply to all employees. We offer a limited number of short-term cash incentive plans, with employees eligible for either our annual bonus plan or a sales incentive compensation plan. Except in limited circumstances, no employee is eligible to participate in more than one cash incentive plan at any time. Our annual bonus plan is consistently maintained for all participants globally, with the same Company performance goals, payout levels (as a percentage of target) and administrative provisions regardless of the participant’s job level, location or function in the Company. We also have a LTI program that provides different forms of awards depending upon an employee’s level but is otherwise consistent throughout the Company.</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24 </w:t>
      </w:r>
      <w:r>
        <w:rPr>
          <w:sz w:val="1"/>
          <w:szCs w:val="1"/>
          <w:color w:val="auto"/>
        </w:rPr>
        <w:drawing>
          <wp:inline distT="0" distB="0" distL="0" distR="0">
            <wp:extent cx="38735" cy="19685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65"/>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the CD&amp;A, we describe the risk-mitigation controls for our executive compensation programs. These controls include C&amp;MD Committee review and approval of the design, goals and payouts under our annual bonus plan and LTI program and each executive officer’s compensation (or, in the case of our Chief Executive Officer’s compensation, a recommendation of that compensation to our Board of Directors for its approval). In addition, we review the processes, controls and design of our sales incentive compensation plans.</w:t>
      </w:r>
    </w:p>
    <w:p>
      <w:pPr>
        <w:spacing w:after="0" w:line="70" w:lineRule="exact"/>
        <w:rPr>
          <w:sz w:val="20"/>
          <w:szCs w:val="20"/>
          <w:color w:val="auto"/>
        </w:rPr>
      </w:pPr>
    </w:p>
    <w:p>
      <w:pPr>
        <w:ind w:left="120" w:right="280"/>
        <w:spacing w:after="0" w:line="253" w:lineRule="auto"/>
        <w:rPr>
          <w:sz w:val="20"/>
          <w:szCs w:val="20"/>
          <w:color w:val="auto"/>
        </w:rPr>
      </w:pPr>
      <w:r>
        <w:rPr>
          <w:rFonts w:ascii="Arial" w:cs="Arial" w:eastAsia="Arial" w:hAnsi="Arial"/>
          <w:sz w:val="16"/>
          <w:szCs w:val="16"/>
          <w:color w:val="auto"/>
        </w:rPr>
        <w:t>The C&amp;MD Committee, working with its independent compensation consultant, also conducts an annual assessment of potential risks related to our compensation policies, programs and practices. Among other factors, this risk assessment considers the form of compensation (i.e., award type, fixed versus variable and short-term versus long-term), pay alignment, performance measures and goals, payout maximums, vesting periods and C&amp;MD Committee oversight and independence. This assessment is focused on (1) having an appropriate balance in our program structure to mitigate compensation-related risk with cash versus equity-based compensation, short-term versus long-term measurement and financial versus non-financial goals; and (2) policies and practices to mitigate compensation-related risk including recoupment of compensation, stock ownership guidelines, equity administration rules and insider-trading and hedging prohibitions.</w:t>
      </w:r>
    </w:p>
    <w:p>
      <w:pPr>
        <w:spacing w:after="0" w:line="73"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Based on our assessment, we believe that, through a combination of risk-mitigating features and incentives guided by relevant market practices and Company-wide goals, our compensation policies, programs and practices do not create risks that are reasonably likely to have a material adverse effect on the Company.</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25 </w:t>
      </w:r>
      <w:r>
        <w:rPr>
          <w:sz w:val="1"/>
          <w:szCs w:val="1"/>
          <w:color w:val="auto"/>
        </w:rPr>
        <w:drawing>
          <wp:inline distT="0" distB="0" distL="0" distR="0">
            <wp:extent cx="38735" cy="1968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90"/>
          <w:szCs w:val="90"/>
          <w:color w:val="1A6DBB"/>
        </w:rPr>
        <w:t xml:space="preserve">4 </w:t>
      </w:r>
      <w:r>
        <w:rPr>
          <w:rFonts w:ascii="Arial" w:cs="Arial" w:eastAsia="Arial" w:hAnsi="Arial"/>
          <w:sz w:val="41"/>
          <w:szCs w:val="41"/>
          <w:color w:val="1A6DBB"/>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-639445</wp:posOffset>
            </wp:positionV>
            <wp:extent cx="6995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STOCK OWNERSHIP</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and accompanying notes provide information about the beneficial ownership of our common stock by:</w:t>
      </w:r>
    </w:p>
    <w:p>
      <w:pPr>
        <w:spacing w:after="0" w:line="127"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6"/>
          <w:szCs w:val="16"/>
          <w:color w:val="1A6DBB"/>
        </w:rPr>
      </w:pPr>
      <w:r>
        <w:rPr>
          <w:rFonts w:ascii="Arial" w:cs="Arial" w:eastAsia="Arial" w:hAnsi="Arial"/>
          <w:sz w:val="16"/>
          <w:szCs w:val="16"/>
          <w:color w:val="auto"/>
        </w:rPr>
        <w:t>each stockholder known by us to be the beneficial owner of more than 5% of our common stock;</w:t>
      </w:r>
    </w:p>
    <w:p>
      <w:pPr>
        <w:spacing w:after="0" w:line="21" w:lineRule="exact"/>
        <w:rPr>
          <w:rFonts w:ascii="Arial" w:cs="Arial" w:eastAsia="Arial" w:hAnsi="Arial"/>
          <w:sz w:val="16"/>
          <w:szCs w:val="16"/>
          <w:color w:val="1A6DBB"/>
        </w:rPr>
      </w:pPr>
    </w:p>
    <w:p>
      <w:pPr>
        <w:ind w:left="440" w:hanging="324"/>
        <w:spacing w:after="0"/>
        <w:tabs>
          <w:tab w:leader="none" w:pos="440" w:val="left"/>
        </w:tabs>
        <w:numPr>
          <w:ilvl w:val="0"/>
          <w:numId w:val="66"/>
        </w:numPr>
        <w:rPr>
          <w:rFonts w:ascii="Arial" w:cs="Arial" w:eastAsia="Arial" w:hAnsi="Arial"/>
          <w:sz w:val="16"/>
          <w:szCs w:val="16"/>
          <w:color w:val="1A6DBB"/>
        </w:rPr>
      </w:pPr>
      <w:r>
        <w:rPr>
          <w:rFonts w:ascii="Arial" w:cs="Arial" w:eastAsia="Arial" w:hAnsi="Arial"/>
          <w:sz w:val="16"/>
          <w:szCs w:val="16"/>
          <w:color w:val="auto"/>
        </w:rPr>
        <w:t>each of our named executive officers;</w:t>
      </w:r>
    </w:p>
    <w:p>
      <w:pPr>
        <w:spacing w:after="0" w:line="5" w:lineRule="exact"/>
        <w:rPr>
          <w:rFonts w:ascii="Arial" w:cs="Arial" w:eastAsia="Arial" w:hAnsi="Arial"/>
          <w:sz w:val="16"/>
          <w:szCs w:val="16"/>
          <w:color w:val="1A6DBB"/>
        </w:rPr>
      </w:pPr>
    </w:p>
    <w:p>
      <w:pPr>
        <w:ind w:left="440" w:hanging="324"/>
        <w:spacing w:after="0"/>
        <w:tabs>
          <w:tab w:leader="none" w:pos="440" w:val="left"/>
        </w:tabs>
        <w:numPr>
          <w:ilvl w:val="0"/>
          <w:numId w:val="66"/>
        </w:numPr>
        <w:rPr>
          <w:rFonts w:ascii="Arial" w:cs="Arial" w:eastAsia="Arial" w:hAnsi="Arial"/>
          <w:sz w:val="16"/>
          <w:szCs w:val="16"/>
          <w:color w:val="1A6DBB"/>
        </w:rPr>
      </w:pPr>
      <w:r>
        <w:rPr>
          <w:rFonts w:ascii="Arial" w:cs="Arial" w:eastAsia="Arial" w:hAnsi="Arial"/>
          <w:sz w:val="16"/>
          <w:szCs w:val="16"/>
          <w:color w:val="auto"/>
        </w:rPr>
        <w:t>each of our directors and nominees for director; and</w:t>
      </w:r>
    </w:p>
    <w:p>
      <w:pPr>
        <w:spacing w:after="0" w:line="5" w:lineRule="exact"/>
        <w:rPr>
          <w:rFonts w:ascii="Arial" w:cs="Arial" w:eastAsia="Arial" w:hAnsi="Arial"/>
          <w:sz w:val="16"/>
          <w:szCs w:val="16"/>
          <w:color w:val="1A6DBB"/>
        </w:rPr>
      </w:pPr>
    </w:p>
    <w:p>
      <w:pPr>
        <w:ind w:left="440" w:hanging="324"/>
        <w:spacing w:after="0"/>
        <w:tabs>
          <w:tab w:leader="none" w:pos="440" w:val="left"/>
        </w:tabs>
        <w:numPr>
          <w:ilvl w:val="0"/>
          <w:numId w:val="66"/>
        </w:numPr>
        <w:rPr>
          <w:rFonts w:ascii="Arial" w:cs="Arial" w:eastAsia="Arial" w:hAnsi="Arial"/>
          <w:sz w:val="16"/>
          <w:szCs w:val="16"/>
          <w:color w:val="1A6DBB"/>
        </w:rPr>
      </w:pPr>
      <w:r>
        <w:rPr>
          <w:rFonts w:ascii="Arial" w:cs="Arial" w:eastAsia="Arial" w:hAnsi="Arial"/>
          <w:sz w:val="16"/>
          <w:szCs w:val="16"/>
          <w:color w:val="auto"/>
        </w:rPr>
        <w:t>all of our directors and executive officers as a group.</w:t>
      </w:r>
    </w:p>
    <w:p>
      <w:pPr>
        <w:spacing w:after="0" w:line="97"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Except as otherwise noted, the persons identified have sole voting and investment power with respect to the shares of our common stock beneficially owned. Beneficial ownership is determined in accordance with the rules of the SEC and includes voting and investment power with respect to the shares. Except as otherwise noted, the information below is as of April 21, 2022 (Ownership Date).</w:t>
      </w:r>
    </w:p>
    <w:p>
      <w:pPr>
        <w:spacing w:after="0" w:line="63"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Unless otherwise indicated in the footnotes, the address of each of the individuals named below is: c/o Biogen Inc., 225 Binney Street, Cambridge, Massachusetts 02142.</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420" w:type="dxa"/>
            <w:vAlign w:val="bottom"/>
            <w:shd w:val="clear" w:color="auto" w:fill="1A6DBB"/>
          </w:tcPr>
          <w:p>
            <w:pPr>
              <w:spacing w:after="0"/>
              <w:rPr>
                <w:sz w:val="19"/>
                <w:szCs w:val="19"/>
                <w:color w:val="auto"/>
              </w:rPr>
            </w:pPr>
          </w:p>
        </w:tc>
        <w:tc>
          <w:tcPr>
            <w:tcW w:w="1440" w:type="dxa"/>
            <w:vAlign w:val="bottom"/>
            <w:shd w:val="clear" w:color="auto" w:fill="1A6DBB"/>
          </w:tcPr>
          <w:p>
            <w:pPr>
              <w:spacing w:after="0"/>
              <w:rPr>
                <w:sz w:val="19"/>
                <w:szCs w:val="19"/>
                <w:color w:val="auto"/>
              </w:rPr>
            </w:pPr>
          </w:p>
        </w:tc>
        <w:tc>
          <w:tcPr>
            <w:tcW w:w="1920" w:type="dxa"/>
            <w:vAlign w:val="bottom"/>
            <w:shd w:val="clear" w:color="auto" w:fill="1A6DBB"/>
          </w:tcPr>
          <w:p>
            <w:pPr>
              <w:jc w:val="center"/>
              <w:ind w:left="140"/>
              <w:spacing w:after="0"/>
              <w:rPr>
                <w:sz w:val="20"/>
                <w:szCs w:val="20"/>
                <w:color w:val="auto"/>
              </w:rPr>
            </w:pPr>
            <w:r>
              <w:rPr>
                <w:rFonts w:ascii="Arial" w:cs="Arial" w:eastAsia="Arial" w:hAnsi="Arial"/>
                <w:sz w:val="14"/>
                <w:szCs w:val="14"/>
                <w:color w:val="FFFFFF"/>
              </w:rPr>
              <w:t>Shares Subject to</w:t>
            </w:r>
          </w:p>
        </w:tc>
        <w:tc>
          <w:tcPr>
            <w:tcW w:w="18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Total Number of</w:t>
            </w:r>
          </w:p>
        </w:tc>
        <w:tc>
          <w:tcPr>
            <w:tcW w:w="14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Percentage of</w:t>
            </w:r>
          </w:p>
        </w:tc>
      </w:tr>
      <w:tr>
        <w:trPr>
          <w:trHeight w:val="162"/>
        </w:trPr>
        <w:tc>
          <w:tcPr>
            <w:tcW w:w="4420" w:type="dxa"/>
            <w:vAlign w:val="bottom"/>
            <w:shd w:val="clear" w:color="auto" w:fill="1A6DBB"/>
          </w:tcPr>
          <w:p>
            <w:pPr>
              <w:spacing w:after="0"/>
              <w:rPr>
                <w:sz w:val="14"/>
                <w:szCs w:val="14"/>
                <w:color w:val="auto"/>
              </w:rPr>
            </w:pPr>
          </w:p>
        </w:tc>
        <w:tc>
          <w:tcPr>
            <w:tcW w:w="1440" w:type="dxa"/>
            <w:vAlign w:val="bottom"/>
            <w:shd w:val="clear" w:color="auto" w:fill="1A6DBB"/>
          </w:tcPr>
          <w:p>
            <w:pPr>
              <w:jc w:val="right"/>
              <w:ind w:right="180"/>
              <w:spacing w:after="0"/>
              <w:rPr>
                <w:sz w:val="20"/>
                <w:szCs w:val="20"/>
                <w:color w:val="auto"/>
              </w:rPr>
            </w:pPr>
            <w:r>
              <w:rPr>
                <w:rFonts w:ascii="Arial" w:cs="Arial" w:eastAsia="Arial" w:hAnsi="Arial"/>
                <w:sz w:val="14"/>
                <w:szCs w:val="14"/>
                <w:color w:val="FFFFFF"/>
              </w:rPr>
              <w:t>Shares</w:t>
            </w:r>
          </w:p>
        </w:tc>
        <w:tc>
          <w:tcPr>
            <w:tcW w:w="1920" w:type="dxa"/>
            <w:vAlign w:val="bottom"/>
            <w:shd w:val="clear" w:color="auto" w:fill="1A6DBB"/>
          </w:tcPr>
          <w:p>
            <w:pPr>
              <w:jc w:val="center"/>
              <w:ind w:left="140"/>
              <w:spacing w:after="0"/>
              <w:rPr>
                <w:sz w:val="20"/>
                <w:szCs w:val="20"/>
                <w:color w:val="auto"/>
              </w:rPr>
            </w:pPr>
            <w:r>
              <w:rPr>
                <w:rFonts w:ascii="Arial" w:cs="Arial" w:eastAsia="Arial" w:hAnsi="Arial"/>
                <w:sz w:val="14"/>
                <w:szCs w:val="14"/>
                <w:color w:val="FFFFFF"/>
              </w:rPr>
              <w:t>Options and</w:t>
            </w:r>
          </w:p>
        </w:tc>
        <w:tc>
          <w:tcPr>
            <w:tcW w:w="18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Shares Beneficially</w:t>
            </w:r>
          </w:p>
        </w:tc>
        <w:tc>
          <w:tcPr>
            <w:tcW w:w="14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Outstanding</w:t>
            </w:r>
          </w:p>
        </w:tc>
      </w:tr>
      <w:tr>
        <w:trPr>
          <w:trHeight w:val="212"/>
        </w:trPr>
        <w:tc>
          <w:tcPr>
            <w:tcW w:w="44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1440" w:type="dxa"/>
            <w:vAlign w:val="bottom"/>
            <w:shd w:val="clear" w:color="auto" w:fill="1A6DBB"/>
          </w:tcPr>
          <w:p>
            <w:pPr>
              <w:jc w:val="right"/>
              <w:ind w:right="140"/>
              <w:spacing w:after="0"/>
              <w:rPr>
                <w:sz w:val="20"/>
                <w:szCs w:val="20"/>
                <w:color w:val="auto"/>
              </w:rPr>
            </w:pPr>
            <w:r>
              <w:rPr>
                <w:rFonts w:ascii="Arial" w:cs="Arial" w:eastAsia="Arial" w:hAnsi="Arial"/>
                <w:sz w:val="14"/>
                <w:szCs w:val="14"/>
                <w:color w:val="FFFFFF"/>
              </w:rPr>
              <w:t>Owned</w:t>
            </w:r>
            <w:r>
              <w:rPr>
                <w:rFonts w:ascii="Arial" w:cs="Arial" w:eastAsia="Arial" w:hAnsi="Arial"/>
                <w:sz w:val="14"/>
                <w:szCs w:val="14"/>
                <w:color w:val="FFFFFF"/>
                <w:vertAlign w:val="superscript"/>
              </w:rPr>
              <w:t>(1)</w:t>
            </w:r>
          </w:p>
        </w:tc>
        <w:tc>
          <w:tcPr>
            <w:tcW w:w="1920" w:type="dxa"/>
            <w:vAlign w:val="bottom"/>
            <w:shd w:val="clear" w:color="auto" w:fill="1A6DBB"/>
          </w:tcPr>
          <w:p>
            <w:pPr>
              <w:jc w:val="center"/>
              <w:ind w:left="140"/>
              <w:spacing w:after="0"/>
              <w:rPr>
                <w:sz w:val="20"/>
                <w:szCs w:val="20"/>
                <w:color w:val="auto"/>
              </w:rPr>
            </w:pPr>
            <w:r>
              <w:rPr>
                <w:rFonts w:ascii="Arial" w:cs="Arial" w:eastAsia="Arial" w:hAnsi="Arial"/>
                <w:sz w:val="14"/>
                <w:szCs w:val="14"/>
                <w:color w:val="FFFFFF"/>
                <w:w w:val="99"/>
              </w:rPr>
              <w:t>Stock Units</w:t>
            </w:r>
            <w:r>
              <w:rPr>
                <w:rFonts w:ascii="Arial" w:cs="Arial" w:eastAsia="Arial" w:hAnsi="Arial"/>
                <w:sz w:val="14"/>
                <w:szCs w:val="14"/>
                <w:color w:val="FFFFFF"/>
                <w:w w:val="99"/>
                <w:vertAlign w:val="superscript"/>
              </w:rPr>
              <w:t>(2)</w:t>
            </w:r>
          </w:p>
        </w:tc>
        <w:tc>
          <w:tcPr>
            <w:tcW w:w="18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Owned</w:t>
            </w:r>
            <w:r>
              <w:rPr>
                <w:rFonts w:ascii="Arial" w:cs="Arial" w:eastAsia="Arial" w:hAnsi="Arial"/>
                <w:sz w:val="14"/>
                <w:szCs w:val="14"/>
                <w:color w:val="FFFFFF"/>
                <w:vertAlign w:val="superscript"/>
              </w:rPr>
              <w:t>(1)</w:t>
            </w:r>
          </w:p>
        </w:tc>
        <w:tc>
          <w:tcPr>
            <w:tcW w:w="14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Shares</w:t>
            </w:r>
            <w:r>
              <w:rPr>
                <w:rFonts w:ascii="Arial" w:cs="Arial" w:eastAsia="Arial" w:hAnsi="Arial"/>
                <w:sz w:val="14"/>
                <w:szCs w:val="14"/>
                <w:color w:val="FFFFFF"/>
                <w:vertAlign w:val="superscript"/>
              </w:rPr>
              <w:t>(3)</w:t>
            </w:r>
          </w:p>
        </w:tc>
      </w:tr>
      <w:tr>
        <w:trPr>
          <w:trHeight w:val="304"/>
        </w:trPr>
        <w:tc>
          <w:tcPr>
            <w:tcW w:w="44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5"/>
                <w:szCs w:val="15"/>
                <w:b w:val="1"/>
                <w:bCs w:val="1"/>
                <w:color w:val="auto"/>
              </w:rPr>
              <w:t>5% Stockholders</w:t>
            </w:r>
          </w:p>
        </w:tc>
        <w:tc>
          <w:tcPr>
            <w:tcW w:w="1440" w:type="dxa"/>
            <w:vAlign w:val="bottom"/>
            <w:tcBorders>
              <w:bottom w:val="single" w:sz="8" w:color="E8F0F8"/>
            </w:tcBorders>
            <w:shd w:val="clear" w:color="auto" w:fill="E8F0F8"/>
          </w:tcPr>
          <w:p>
            <w:pPr>
              <w:spacing w:after="0"/>
              <w:rPr>
                <w:sz w:val="24"/>
                <w:szCs w:val="24"/>
                <w:color w:val="auto"/>
              </w:rPr>
            </w:pPr>
          </w:p>
        </w:tc>
        <w:tc>
          <w:tcPr>
            <w:tcW w:w="1920" w:type="dxa"/>
            <w:vAlign w:val="bottom"/>
            <w:tcBorders>
              <w:bottom w:val="single" w:sz="8" w:color="E8F0F8"/>
            </w:tcBorders>
            <w:shd w:val="clear" w:color="auto" w:fill="E8F0F8"/>
          </w:tcPr>
          <w:p>
            <w:pPr>
              <w:spacing w:after="0"/>
              <w:rPr>
                <w:sz w:val="24"/>
                <w:szCs w:val="24"/>
                <w:color w:val="auto"/>
              </w:rPr>
            </w:pPr>
          </w:p>
        </w:tc>
        <w:tc>
          <w:tcPr>
            <w:tcW w:w="1800" w:type="dxa"/>
            <w:vAlign w:val="bottom"/>
            <w:tcBorders>
              <w:bottom w:val="single" w:sz="8" w:color="E8F0F8"/>
            </w:tcBorders>
            <w:shd w:val="clear" w:color="auto" w:fill="E8F0F8"/>
          </w:tcPr>
          <w:p>
            <w:pPr>
              <w:spacing w:after="0"/>
              <w:rPr>
                <w:sz w:val="24"/>
                <w:szCs w:val="24"/>
                <w:color w:val="auto"/>
              </w:rPr>
            </w:pPr>
          </w:p>
        </w:tc>
        <w:tc>
          <w:tcPr>
            <w:tcW w:w="1440" w:type="dxa"/>
            <w:vAlign w:val="bottom"/>
            <w:tcBorders>
              <w:bottom w:val="single" w:sz="8" w:color="E8F0F8"/>
            </w:tcBorders>
            <w:shd w:val="clear" w:color="auto" w:fill="E8F0F8"/>
          </w:tcPr>
          <w:p>
            <w:pPr>
              <w:spacing w:after="0"/>
              <w:rPr>
                <w:sz w:val="24"/>
                <w:szCs w:val="24"/>
                <w:color w:val="auto"/>
              </w:rPr>
            </w:pPr>
          </w:p>
        </w:tc>
      </w:tr>
      <w:tr>
        <w:trPr>
          <w:trHeight w:val="242"/>
        </w:trPr>
        <w:tc>
          <w:tcPr>
            <w:tcW w:w="4420" w:type="dxa"/>
            <w:vAlign w:val="bottom"/>
            <w:shd w:val="clear" w:color="auto" w:fill="BAD3EA"/>
          </w:tcPr>
          <w:p>
            <w:pPr>
              <w:ind w:left="60"/>
              <w:spacing w:after="0" w:line="242" w:lineRule="exact"/>
              <w:rPr>
                <w:sz w:val="20"/>
                <w:szCs w:val="20"/>
                <w:color w:val="auto"/>
              </w:rPr>
            </w:pPr>
            <w:r>
              <w:rPr>
                <w:rFonts w:ascii="Arial" w:cs="Arial" w:eastAsia="Arial" w:hAnsi="Arial"/>
                <w:sz w:val="16"/>
                <w:szCs w:val="16"/>
                <w:color w:val="auto"/>
              </w:rPr>
              <w:t>PRIMECAP Management Company</w:t>
            </w:r>
            <w:r>
              <w:rPr>
                <w:rFonts w:ascii="Arial" w:cs="Arial" w:eastAsia="Arial" w:hAnsi="Arial"/>
                <w:sz w:val="27"/>
                <w:szCs w:val="27"/>
                <w:color w:val="auto"/>
                <w:vertAlign w:val="superscript"/>
              </w:rPr>
              <w:t>(4)</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15,757,405</w:t>
            </w:r>
          </w:p>
        </w:tc>
        <w:tc>
          <w:tcPr>
            <w:tcW w:w="192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15,757,405</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10.7%</w:t>
            </w:r>
          </w:p>
        </w:tc>
      </w:tr>
      <w:tr>
        <w:trPr>
          <w:trHeight w:val="188"/>
        </w:trPr>
        <w:tc>
          <w:tcPr>
            <w:tcW w:w="4420" w:type="dxa"/>
            <w:vAlign w:val="bottom"/>
            <w:shd w:val="clear" w:color="auto" w:fill="BAD3EA"/>
          </w:tcPr>
          <w:p>
            <w:pPr>
              <w:ind w:left="240"/>
              <w:spacing w:after="0"/>
              <w:rPr>
                <w:sz w:val="20"/>
                <w:szCs w:val="20"/>
                <w:color w:val="auto"/>
              </w:rPr>
            </w:pPr>
            <w:r>
              <w:rPr>
                <w:rFonts w:ascii="Arial" w:cs="Arial" w:eastAsia="Arial" w:hAnsi="Arial"/>
                <w:sz w:val="16"/>
                <w:szCs w:val="16"/>
                <w:color w:val="auto"/>
              </w:rPr>
              <w:t>177 East Colorado Boulevard</w:t>
            </w:r>
          </w:p>
        </w:tc>
        <w:tc>
          <w:tcPr>
            <w:tcW w:w="1440" w:type="dxa"/>
            <w:vAlign w:val="bottom"/>
            <w:shd w:val="clear" w:color="auto" w:fill="BAD3EA"/>
          </w:tcPr>
          <w:p>
            <w:pPr>
              <w:spacing w:after="0"/>
              <w:rPr>
                <w:sz w:val="16"/>
                <w:szCs w:val="16"/>
                <w:color w:val="auto"/>
              </w:rPr>
            </w:pPr>
          </w:p>
        </w:tc>
        <w:tc>
          <w:tcPr>
            <w:tcW w:w="1920" w:type="dxa"/>
            <w:vAlign w:val="bottom"/>
            <w:shd w:val="clear" w:color="auto" w:fill="BAD3EA"/>
          </w:tcPr>
          <w:p>
            <w:pPr>
              <w:spacing w:after="0"/>
              <w:rPr>
                <w:sz w:val="16"/>
                <w:szCs w:val="16"/>
                <w:color w:val="auto"/>
              </w:rPr>
            </w:pPr>
          </w:p>
        </w:tc>
        <w:tc>
          <w:tcPr>
            <w:tcW w:w="1800" w:type="dxa"/>
            <w:vAlign w:val="bottom"/>
            <w:shd w:val="clear" w:color="auto" w:fill="BAD3EA"/>
          </w:tcPr>
          <w:p>
            <w:pPr>
              <w:spacing w:after="0"/>
              <w:rPr>
                <w:sz w:val="16"/>
                <w:szCs w:val="16"/>
                <w:color w:val="auto"/>
              </w:rPr>
            </w:pPr>
          </w:p>
        </w:tc>
        <w:tc>
          <w:tcPr>
            <w:tcW w:w="1440" w:type="dxa"/>
            <w:vAlign w:val="bottom"/>
            <w:shd w:val="clear" w:color="auto" w:fill="BAD3EA"/>
          </w:tcPr>
          <w:p>
            <w:pPr>
              <w:spacing w:after="0"/>
              <w:rPr>
                <w:sz w:val="16"/>
                <w:szCs w:val="16"/>
                <w:color w:val="auto"/>
              </w:rPr>
            </w:pPr>
          </w:p>
        </w:tc>
      </w:tr>
      <w:tr>
        <w:trPr>
          <w:trHeight w:val="190"/>
        </w:trPr>
        <w:tc>
          <w:tcPr>
            <w:tcW w:w="4420" w:type="dxa"/>
            <w:vAlign w:val="bottom"/>
            <w:shd w:val="clear" w:color="auto" w:fill="BAD3EA"/>
          </w:tcPr>
          <w:p>
            <w:pPr>
              <w:ind w:left="240"/>
              <w:spacing w:after="0" w:line="190" w:lineRule="exact"/>
              <w:rPr>
                <w:sz w:val="20"/>
                <w:szCs w:val="20"/>
                <w:color w:val="auto"/>
              </w:rPr>
            </w:pPr>
            <w:r>
              <w:rPr>
                <w:rFonts w:ascii="Arial" w:cs="Arial" w:eastAsia="Arial" w:hAnsi="Arial"/>
                <w:sz w:val="14"/>
                <w:szCs w:val="14"/>
                <w:color w:val="auto"/>
              </w:rPr>
              <w:t>11</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1440" w:type="dxa"/>
            <w:vAlign w:val="bottom"/>
            <w:shd w:val="clear" w:color="auto" w:fill="BAD3EA"/>
          </w:tcPr>
          <w:p>
            <w:pPr>
              <w:spacing w:after="0"/>
              <w:rPr>
                <w:sz w:val="16"/>
                <w:szCs w:val="16"/>
                <w:color w:val="auto"/>
              </w:rPr>
            </w:pPr>
          </w:p>
        </w:tc>
        <w:tc>
          <w:tcPr>
            <w:tcW w:w="1920" w:type="dxa"/>
            <w:vAlign w:val="bottom"/>
            <w:shd w:val="clear" w:color="auto" w:fill="BAD3EA"/>
          </w:tcPr>
          <w:p>
            <w:pPr>
              <w:spacing w:after="0"/>
              <w:rPr>
                <w:sz w:val="16"/>
                <w:szCs w:val="16"/>
                <w:color w:val="auto"/>
              </w:rPr>
            </w:pPr>
          </w:p>
        </w:tc>
        <w:tc>
          <w:tcPr>
            <w:tcW w:w="1800" w:type="dxa"/>
            <w:vAlign w:val="bottom"/>
            <w:shd w:val="clear" w:color="auto" w:fill="BAD3EA"/>
          </w:tcPr>
          <w:p>
            <w:pPr>
              <w:spacing w:after="0"/>
              <w:rPr>
                <w:sz w:val="16"/>
                <w:szCs w:val="16"/>
                <w:color w:val="auto"/>
              </w:rPr>
            </w:pPr>
          </w:p>
        </w:tc>
        <w:tc>
          <w:tcPr>
            <w:tcW w:w="1440" w:type="dxa"/>
            <w:vAlign w:val="bottom"/>
            <w:shd w:val="clear" w:color="auto" w:fill="BAD3EA"/>
          </w:tcPr>
          <w:p>
            <w:pPr>
              <w:spacing w:after="0"/>
              <w:rPr>
                <w:sz w:val="16"/>
                <w:szCs w:val="16"/>
                <w:color w:val="auto"/>
              </w:rPr>
            </w:pPr>
          </w:p>
        </w:tc>
      </w:tr>
      <w:tr>
        <w:trPr>
          <w:trHeight w:val="224"/>
        </w:trPr>
        <w:tc>
          <w:tcPr>
            <w:tcW w:w="4420" w:type="dxa"/>
            <w:vAlign w:val="bottom"/>
            <w:tcBorders>
              <w:bottom w:val="single" w:sz="8" w:color="BAD3EA"/>
            </w:tcBorders>
            <w:shd w:val="clear" w:color="auto" w:fill="BAD3EA"/>
          </w:tcPr>
          <w:p>
            <w:pPr>
              <w:ind w:left="240"/>
              <w:spacing w:after="0"/>
              <w:rPr>
                <w:sz w:val="20"/>
                <w:szCs w:val="20"/>
                <w:color w:val="auto"/>
              </w:rPr>
            </w:pPr>
            <w:r>
              <w:rPr>
                <w:rFonts w:ascii="Arial" w:cs="Arial" w:eastAsia="Arial" w:hAnsi="Arial"/>
                <w:sz w:val="16"/>
                <w:szCs w:val="16"/>
                <w:color w:val="auto"/>
              </w:rPr>
              <w:t>Pasadena, CA 91105</w:t>
            </w:r>
          </w:p>
        </w:tc>
        <w:tc>
          <w:tcPr>
            <w:tcW w:w="1440" w:type="dxa"/>
            <w:vAlign w:val="bottom"/>
            <w:tcBorders>
              <w:bottom w:val="single" w:sz="8" w:color="BAD3EA"/>
            </w:tcBorders>
            <w:shd w:val="clear" w:color="auto" w:fill="BAD3EA"/>
          </w:tcPr>
          <w:p>
            <w:pPr>
              <w:spacing w:after="0"/>
              <w:rPr>
                <w:sz w:val="19"/>
                <w:szCs w:val="19"/>
                <w:color w:val="auto"/>
              </w:rPr>
            </w:pPr>
          </w:p>
        </w:tc>
        <w:tc>
          <w:tcPr>
            <w:tcW w:w="1920" w:type="dxa"/>
            <w:vAlign w:val="bottom"/>
            <w:tcBorders>
              <w:bottom w:val="single" w:sz="8" w:color="BAD3EA"/>
            </w:tcBorders>
            <w:shd w:val="clear" w:color="auto" w:fill="BAD3EA"/>
          </w:tcPr>
          <w:p>
            <w:pPr>
              <w:spacing w:after="0"/>
              <w:rPr>
                <w:sz w:val="19"/>
                <w:szCs w:val="19"/>
                <w:color w:val="auto"/>
              </w:rPr>
            </w:pPr>
          </w:p>
        </w:tc>
        <w:tc>
          <w:tcPr>
            <w:tcW w:w="1800" w:type="dxa"/>
            <w:vAlign w:val="bottom"/>
            <w:tcBorders>
              <w:bottom w:val="single" w:sz="8" w:color="BAD3EA"/>
            </w:tcBorders>
            <w:shd w:val="clear" w:color="auto" w:fill="BAD3EA"/>
          </w:tcPr>
          <w:p>
            <w:pPr>
              <w:spacing w:after="0"/>
              <w:rPr>
                <w:sz w:val="19"/>
                <w:szCs w:val="19"/>
                <w:color w:val="auto"/>
              </w:rPr>
            </w:pPr>
          </w:p>
        </w:tc>
        <w:tc>
          <w:tcPr>
            <w:tcW w:w="1440" w:type="dxa"/>
            <w:vAlign w:val="bottom"/>
            <w:tcBorders>
              <w:bottom w:val="single" w:sz="8" w:color="BAD3EA"/>
            </w:tcBorders>
            <w:shd w:val="clear" w:color="auto" w:fill="BAD3EA"/>
          </w:tcPr>
          <w:p>
            <w:pPr>
              <w:spacing w:after="0"/>
              <w:rPr>
                <w:sz w:val="19"/>
                <w:szCs w:val="19"/>
                <w:color w:val="auto"/>
              </w:rPr>
            </w:pPr>
          </w:p>
        </w:tc>
      </w:tr>
      <w:tr>
        <w:trPr>
          <w:trHeight w:val="241"/>
        </w:trPr>
        <w:tc>
          <w:tcPr>
            <w:tcW w:w="4420" w:type="dxa"/>
            <w:vAlign w:val="bottom"/>
            <w:shd w:val="clear" w:color="auto" w:fill="E8F0F8"/>
          </w:tcPr>
          <w:p>
            <w:pPr>
              <w:ind w:left="60"/>
              <w:spacing w:after="0" w:line="241"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(5)</w:t>
            </w:r>
          </w:p>
        </w:tc>
        <w:tc>
          <w:tcPr>
            <w:tcW w:w="14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13,736,954</w:t>
            </w:r>
          </w:p>
        </w:tc>
        <w:tc>
          <w:tcPr>
            <w:tcW w:w="1920" w:type="dxa"/>
            <w:vAlign w:val="bottom"/>
            <w:shd w:val="clear" w:color="auto" w:fill="E8F0F8"/>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E8F0F8"/>
          </w:tcPr>
          <w:p>
            <w:pPr>
              <w:jc w:val="right"/>
              <w:ind w:right="200"/>
              <w:spacing w:after="0"/>
              <w:rPr>
                <w:sz w:val="20"/>
                <w:szCs w:val="20"/>
                <w:color w:val="auto"/>
              </w:rPr>
            </w:pPr>
            <w:r>
              <w:rPr>
                <w:rFonts w:ascii="Arial" w:cs="Arial" w:eastAsia="Arial" w:hAnsi="Arial"/>
                <w:sz w:val="16"/>
                <w:szCs w:val="16"/>
                <w:color w:val="auto"/>
              </w:rPr>
              <w:t>13,736,954</w:t>
            </w:r>
          </w:p>
        </w:tc>
        <w:tc>
          <w:tcPr>
            <w:tcW w:w="14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9.3%</w:t>
            </w:r>
          </w:p>
        </w:tc>
      </w:tr>
      <w:tr>
        <w:trPr>
          <w:trHeight w:val="190"/>
        </w:trPr>
        <w:tc>
          <w:tcPr>
            <w:tcW w:w="4420" w:type="dxa"/>
            <w:vAlign w:val="bottom"/>
            <w:shd w:val="clear" w:color="auto" w:fill="E8F0F8"/>
          </w:tcPr>
          <w:p>
            <w:pPr>
              <w:ind w:left="240"/>
              <w:spacing w:after="0" w:line="190"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1440" w:type="dxa"/>
            <w:vAlign w:val="bottom"/>
            <w:shd w:val="clear" w:color="auto" w:fill="E8F0F8"/>
          </w:tcPr>
          <w:p>
            <w:pPr>
              <w:spacing w:after="0"/>
              <w:rPr>
                <w:sz w:val="16"/>
                <w:szCs w:val="16"/>
                <w:color w:val="auto"/>
              </w:rPr>
            </w:pPr>
          </w:p>
        </w:tc>
        <w:tc>
          <w:tcPr>
            <w:tcW w:w="1920" w:type="dxa"/>
            <w:vAlign w:val="bottom"/>
            <w:shd w:val="clear" w:color="auto" w:fill="E8F0F8"/>
          </w:tcPr>
          <w:p>
            <w:pPr>
              <w:spacing w:after="0"/>
              <w:rPr>
                <w:sz w:val="16"/>
                <w:szCs w:val="16"/>
                <w:color w:val="auto"/>
              </w:rPr>
            </w:pPr>
          </w:p>
        </w:tc>
        <w:tc>
          <w:tcPr>
            <w:tcW w:w="1800" w:type="dxa"/>
            <w:vAlign w:val="bottom"/>
            <w:shd w:val="clear" w:color="auto" w:fill="E8F0F8"/>
          </w:tcPr>
          <w:p>
            <w:pPr>
              <w:spacing w:after="0"/>
              <w:rPr>
                <w:sz w:val="16"/>
                <w:szCs w:val="16"/>
                <w:color w:val="auto"/>
              </w:rPr>
            </w:pPr>
          </w:p>
        </w:tc>
        <w:tc>
          <w:tcPr>
            <w:tcW w:w="1440" w:type="dxa"/>
            <w:vAlign w:val="bottom"/>
            <w:shd w:val="clear" w:color="auto" w:fill="E8F0F8"/>
          </w:tcPr>
          <w:p>
            <w:pPr>
              <w:spacing w:after="0"/>
              <w:rPr>
                <w:sz w:val="16"/>
                <w:szCs w:val="16"/>
                <w:color w:val="auto"/>
              </w:rPr>
            </w:pPr>
          </w:p>
        </w:tc>
      </w:tr>
      <w:tr>
        <w:trPr>
          <w:trHeight w:val="224"/>
        </w:trPr>
        <w:tc>
          <w:tcPr>
            <w:tcW w:w="4420" w:type="dxa"/>
            <w:vAlign w:val="bottom"/>
            <w:tcBorders>
              <w:bottom w:val="single" w:sz="8" w:color="E8F0F8"/>
            </w:tcBorders>
            <w:shd w:val="clear" w:color="auto" w:fill="E8F0F8"/>
          </w:tcPr>
          <w:p>
            <w:pPr>
              <w:ind w:left="240"/>
              <w:spacing w:after="0"/>
              <w:rPr>
                <w:sz w:val="20"/>
                <w:szCs w:val="20"/>
                <w:color w:val="auto"/>
              </w:rPr>
            </w:pPr>
            <w:r>
              <w:rPr>
                <w:rFonts w:ascii="Arial" w:cs="Arial" w:eastAsia="Arial" w:hAnsi="Arial"/>
                <w:sz w:val="16"/>
                <w:szCs w:val="16"/>
                <w:color w:val="auto"/>
              </w:rPr>
              <w:t>New York, NY 10055</w:t>
            </w:r>
          </w:p>
        </w:tc>
        <w:tc>
          <w:tcPr>
            <w:tcW w:w="1440" w:type="dxa"/>
            <w:vAlign w:val="bottom"/>
            <w:tcBorders>
              <w:bottom w:val="single" w:sz="8" w:color="E8F0F8"/>
            </w:tcBorders>
            <w:shd w:val="clear" w:color="auto" w:fill="E8F0F8"/>
          </w:tcPr>
          <w:p>
            <w:pPr>
              <w:spacing w:after="0"/>
              <w:rPr>
                <w:sz w:val="19"/>
                <w:szCs w:val="19"/>
                <w:color w:val="auto"/>
              </w:rPr>
            </w:pPr>
          </w:p>
        </w:tc>
        <w:tc>
          <w:tcPr>
            <w:tcW w:w="1920" w:type="dxa"/>
            <w:vAlign w:val="bottom"/>
            <w:tcBorders>
              <w:bottom w:val="single" w:sz="8" w:color="E8F0F8"/>
            </w:tcBorders>
            <w:shd w:val="clear" w:color="auto" w:fill="E8F0F8"/>
          </w:tcPr>
          <w:p>
            <w:pPr>
              <w:spacing w:after="0"/>
              <w:rPr>
                <w:sz w:val="19"/>
                <w:szCs w:val="19"/>
                <w:color w:val="auto"/>
              </w:rPr>
            </w:pPr>
          </w:p>
        </w:tc>
        <w:tc>
          <w:tcPr>
            <w:tcW w:w="1800" w:type="dxa"/>
            <w:vAlign w:val="bottom"/>
            <w:tcBorders>
              <w:bottom w:val="single" w:sz="8" w:color="E8F0F8"/>
            </w:tcBorders>
            <w:shd w:val="clear" w:color="auto" w:fill="E8F0F8"/>
          </w:tcPr>
          <w:p>
            <w:pPr>
              <w:spacing w:after="0"/>
              <w:rPr>
                <w:sz w:val="19"/>
                <w:szCs w:val="19"/>
                <w:color w:val="auto"/>
              </w:rPr>
            </w:pPr>
          </w:p>
        </w:tc>
        <w:tc>
          <w:tcPr>
            <w:tcW w:w="1440" w:type="dxa"/>
            <w:vAlign w:val="bottom"/>
            <w:tcBorders>
              <w:bottom w:val="single" w:sz="8" w:color="E8F0F8"/>
            </w:tcBorders>
            <w:shd w:val="clear" w:color="auto" w:fill="E8F0F8"/>
          </w:tcPr>
          <w:p>
            <w:pPr>
              <w:spacing w:after="0"/>
              <w:rPr>
                <w:sz w:val="19"/>
                <w:szCs w:val="19"/>
                <w:color w:val="auto"/>
              </w:rPr>
            </w:pPr>
          </w:p>
        </w:tc>
      </w:tr>
      <w:tr>
        <w:trPr>
          <w:trHeight w:val="242"/>
        </w:trPr>
        <w:tc>
          <w:tcPr>
            <w:tcW w:w="4420" w:type="dxa"/>
            <w:vAlign w:val="bottom"/>
            <w:shd w:val="clear" w:color="auto" w:fill="BAD3EA"/>
          </w:tcPr>
          <w:p>
            <w:pPr>
              <w:ind w:left="60"/>
              <w:spacing w:after="0" w:line="24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(6)</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11,537,299</w:t>
            </w:r>
          </w:p>
        </w:tc>
        <w:tc>
          <w:tcPr>
            <w:tcW w:w="192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11,537,299</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7.8%</w:t>
            </w:r>
          </w:p>
        </w:tc>
      </w:tr>
      <w:tr>
        <w:trPr>
          <w:trHeight w:val="189"/>
        </w:trPr>
        <w:tc>
          <w:tcPr>
            <w:tcW w:w="4420" w:type="dxa"/>
            <w:vAlign w:val="bottom"/>
            <w:shd w:val="clear" w:color="auto" w:fill="BAD3EA"/>
          </w:tcPr>
          <w:p>
            <w:pPr>
              <w:ind w:left="240"/>
              <w:spacing w:after="0"/>
              <w:rPr>
                <w:sz w:val="20"/>
                <w:szCs w:val="20"/>
                <w:color w:val="auto"/>
              </w:rPr>
            </w:pPr>
            <w:r>
              <w:rPr>
                <w:rFonts w:ascii="Arial" w:cs="Arial" w:eastAsia="Arial" w:hAnsi="Arial"/>
                <w:sz w:val="16"/>
                <w:szCs w:val="16"/>
                <w:color w:val="auto"/>
              </w:rPr>
              <w:t>100 Vanguard Boulevard</w:t>
            </w:r>
          </w:p>
        </w:tc>
        <w:tc>
          <w:tcPr>
            <w:tcW w:w="1440" w:type="dxa"/>
            <w:vAlign w:val="bottom"/>
            <w:shd w:val="clear" w:color="auto" w:fill="BAD3EA"/>
          </w:tcPr>
          <w:p>
            <w:pPr>
              <w:spacing w:after="0"/>
              <w:rPr>
                <w:sz w:val="16"/>
                <w:szCs w:val="16"/>
                <w:color w:val="auto"/>
              </w:rPr>
            </w:pPr>
          </w:p>
        </w:tc>
        <w:tc>
          <w:tcPr>
            <w:tcW w:w="1920" w:type="dxa"/>
            <w:vAlign w:val="bottom"/>
            <w:shd w:val="clear" w:color="auto" w:fill="BAD3EA"/>
          </w:tcPr>
          <w:p>
            <w:pPr>
              <w:spacing w:after="0"/>
              <w:rPr>
                <w:sz w:val="16"/>
                <w:szCs w:val="16"/>
                <w:color w:val="auto"/>
              </w:rPr>
            </w:pPr>
          </w:p>
        </w:tc>
        <w:tc>
          <w:tcPr>
            <w:tcW w:w="1800" w:type="dxa"/>
            <w:vAlign w:val="bottom"/>
            <w:shd w:val="clear" w:color="auto" w:fill="BAD3EA"/>
          </w:tcPr>
          <w:p>
            <w:pPr>
              <w:spacing w:after="0"/>
              <w:rPr>
                <w:sz w:val="16"/>
                <w:szCs w:val="16"/>
                <w:color w:val="auto"/>
              </w:rPr>
            </w:pPr>
          </w:p>
        </w:tc>
        <w:tc>
          <w:tcPr>
            <w:tcW w:w="1440" w:type="dxa"/>
            <w:vAlign w:val="bottom"/>
            <w:shd w:val="clear" w:color="auto" w:fill="BAD3EA"/>
          </w:tcPr>
          <w:p>
            <w:pPr>
              <w:spacing w:after="0"/>
              <w:rPr>
                <w:sz w:val="16"/>
                <w:szCs w:val="16"/>
                <w:color w:val="auto"/>
              </w:rPr>
            </w:pPr>
          </w:p>
        </w:tc>
      </w:tr>
      <w:tr>
        <w:trPr>
          <w:trHeight w:val="224"/>
        </w:trPr>
        <w:tc>
          <w:tcPr>
            <w:tcW w:w="4420" w:type="dxa"/>
            <w:vAlign w:val="bottom"/>
            <w:tcBorders>
              <w:bottom w:val="single" w:sz="8" w:color="BAD3EA"/>
            </w:tcBorders>
            <w:shd w:val="clear" w:color="auto" w:fill="BAD3EA"/>
          </w:tcPr>
          <w:p>
            <w:pPr>
              <w:ind w:left="240"/>
              <w:spacing w:after="0"/>
              <w:rPr>
                <w:sz w:val="20"/>
                <w:szCs w:val="20"/>
                <w:color w:val="auto"/>
              </w:rPr>
            </w:pPr>
            <w:r>
              <w:rPr>
                <w:rFonts w:ascii="Arial" w:cs="Arial" w:eastAsia="Arial" w:hAnsi="Arial"/>
                <w:sz w:val="16"/>
                <w:szCs w:val="16"/>
                <w:color w:val="auto"/>
              </w:rPr>
              <w:t>Malvern, PA 19355</w:t>
            </w:r>
          </w:p>
        </w:tc>
        <w:tc>
          <w:tcPr>
            <w:tcW w:w="1440" w:type="dxa"/>
            <w:vAlign w:val="bottom"/>
            <w:tcBorders>
              <w:bottom w:val="single" w:sz="8" w:color="BAD3EA"/>
            </w:tcBorders>
            <w:shd w:val="clear" w:color="auto" w:fill="BAD3EA"/>
          </w:tcPr>
          <w:p>
            <w:pPr>
              <w:spacing w:after="0"/>
              <w:rPr>
                <w:sz w:val="19"/>
                <w:szCs w:val="19"/>
                <w:color w:val="auto"/>
              </w:rPr>
            </w:pPr>
          </w:p>
        </w:tc>
        <w:tc>
          <w:tcPr>
            <w:tcW w:w="1920" w:type="dxa"/>
            <w:vAlign w:val="bottom"/>
            <w:tcBorders>
              <w:bottom w:val="single" w:sz="8" w:color="BAD3EA"/>
            </w:tcBorders>
            <w:shd w:val="clear" w:color="auto" w:fill="BAD3EA"/>
          </w:tcPr>
          <w:p>
            <w:pPr>
              <w:spacing w:after="0"/>
              <w:rPr>
                <w:sz w:val="19"/>
                <w:szCs w:val="19"/>
                <w:color w:val="auto"/>
              </w:rPr>
            </w:pPr>
          </w:p>
        </w:tc>
        <w:tc>
          <w:tcPr>
            <w:tcW w:w="1800" w:type="dxa"/>
            <w:vAlign w:val="bottom"/>
            <w:tcBorders>
              <w:bottom w:val="single" w:sz="8" w:color="BAD3EA"/>
            </w:tcBorders>
            <w:shd w:val="clear" w:color="auto" w:fill="BAD3EA"/>
          </w:tcPr>
          <w:p>
            <w:pPr>
              <w:spacing w:after="0"/>
              <w:rPr>
                <w:sz w:val="19"/>
                <w:szCs w:val="19"/>
                <w:color w:val="auto"/>
              </w:rPr>
            </w:pPr>
          </w:p>
        </w:tc>
        <w:tc>
          <w:tcPr>
            <w:tcW w:w="1440" w:type="dxa"/>
            <w:vAlign w:val="bottom"/>
            <w:tcBorders>
              <w:bottom w:val="single" w:sz="8" w:color="BAD3EA"/>
            </w:tcBorders>
            <w:shd w:val="clear" w:color="auto" w:fill="BAD3EA"/>
          </w:tcPr>
          <w:p>
            <w:pPr>
              <w:spacing w:after="0"/>
              <w:rPr>
                <w:sz w:val="19"/>
                <w:szCs w:val="19"/>
                <w:color w:val="auto"/>
              </w:rPr>
            </w:pPr>
          </w:p>
        </w:tc>
      </w:tr>
      <w:tr>
        <w:trPr>
          <w:trHeight w:val="345"/>
        </w:trPr>
        <w:tc>
          <w:tcPr>
            <w:tcW w:w="44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5"/>
                <w:szCs w:val="15"/>
                <w:b w:val="1"/>
                <w:bCs w:val="1"/>
                <w:color w:val="auto"/>
              </w:rPr>
              <w:t>Named Executive Officers</w:t>
            </w:r>
          </w:p>
        </w:tc>
        <w:tc>
          <w:tcPr>
            <w:tcW w:w="1440" w:type="dxa"/>
            <w:vAlign w:val="bottom"/>
            <w:tcBorders>
              <w:bottom w:val="single" w:sz="8" w:color="E8F0F8"/>
            </w:tcBorders>
            <w:shd w:val="clear" w:color="auto" w:fill="E8F0F8"/>
          </w:tcPr>
          <w:p>
            <w:pPr>
              <w:spacing w:after="0"/>
              <w:rPr>
                <w:sz w:val="24"/>
                <w:szCs w:val="24"/>
                <w:color w:val="auto"/>
              </w:rPr>
            </w:pPr>
          </w:p>
        </w:tc>
        <w:tc>
          <w:tcPr>
            <w:tcW w:w="1920" w:type="dxa"/>
            <w:vAlign w:val="bottom"/>
            <w:tcBorders>
              <w:bottom w:val="single" w:sz="8" w:color="E8F0F8"/>
            </w:tcBorders>
            <w:shd w:val="clear" w:color="auto" w:fill="E8F0F8"/>
          </w:tcPr>
          <w:p>
            <w:pPr>
              <w:spacing w:after="0"/>
              <w:rPr>
                <w:sz w:val="24"/>
                <w:szCs w:val="24"/>
                <w:color w:val="auto"/>
              </w:rPr>
            </w:pPr>
          </w:p>
        </w:tc>
        <w:tc>
          <w:tcPr>
            <w:tcW w:w="1800" w:type="dxa"/>
            <w:vAlign w:val="bottom"/>
            <w:tcBorders>
              <w:bottom w:val="single" w:sz="8" w:color="E8F0F8"/>
            </w:tcBorders>
            <w:shd w:val="clear" w:color="auto" w:fill="E8F0F8"/>
          </w:tcPr>
          <w:p>
            <w:pPr>
              <w:spacing w:after="0"/>
              <w:rPr>
                <w:sz w:val="24"/>
                <w:szCs w:val="24"/>
                <w:color w:val="auto"/>
              </w:rPr>
            </w:pPr>
          </w:p>
        </w:tc>
        <w:tc>
          <w:tcPr>
            <w:tcW w:w="1440" w:type="dxa"/>
            <w:vAlign w:val="bottom"/>
            <w:tcBorders>
              <w:bottom w:val="single" w:sz="8" w:color="E8F0F8"/>
            </w:tcBorders>
            <w:shd w:val="clear" w:color="auto" w:fill="E8F0F8"/>
          </w:tcPr>
          <w:p>
            <w:pPr>
              <w:spacing w:after="0"/>
              <w:rPr>
                <w:sz w:val="24"/>
                <w:szCs w:val="24"/>
                <w:color w:val="auto"/>
              </w:rPr>
            </w:pPr>
          </w:p>
        </w:tc>
      </w:tr>
      <w:tr>
        <w:trPr>
          <w:trHeight w:val="345"/>
        </w:trPr>
        <w:tc>
          <w:tcPr>
            <w:tcW w:w="442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Michel Vounatsos</w:t>
            </w:r>
          </w:p>
        </w:tc>
        <w:tc>
          <w:tcPr>
            <w:tcW w:w="1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67,364</w:t>
            </w:r>
          </w:p>
        </w:tc>
        <w:tc>
          <w:tcPr>
            <w:tcW w:w="192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67,364</w:t>
            </w:r>
          </w:p>
        </w:tc>
        <w:tc>
          <w:tcPr>
            <w:tcW w:w="14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Michael R. McDonnell</w:t>
            </w:r>
          </w:p>
        </w:tc>
        <w:tc>
          <w:tcPr>
            <w:tcW w:w="1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4,427</w:t>
            </w:r>
          </w:p>
        </w:tc>
        <w:tc>
          <w:tcPr>
            <w:tcW w:w="192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4,427</w:t>
            </w:r>
          </w:p>
        </w:tc>
        <w:tc>
          <w:tcPr>
            <w:tcW w:w="14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65"/>
        </w:trPr>
        <w:tc>
          <w:tcPr>
            <w:tcW w:w="4420" w:type="dxa"/>
            <w:vAlign w:val="bottom"/>
            <w:shd w:val="clear" w:color="auto" w:fill="BAD3EA"/>
          </w:tcPr>
          <w:p>
            <w:pPr>
              <w:ind w:left="60"/>
              <w:spacing w:after="0"/>
              <w:rPr>
                <w:sz w:val="20"/>
                <w:szCs w:val="20"/>
                <w:color w:val="auto"/>
              </w:rPr>
            </w:pPr>
            <w:r>
              <w:rPr>
                <w:rFonts w:ascii="Arial" w:cs="Arial" w:eastAsia="Arial" w:hAnsi="Arial"/>
                <w:sz w:val="16"/>
                <w:szCs w:val="16"/>
                <w:color w:val="auto"/>
              </w:rPr>
              <w:t xml:space="preserve">Alfred W. Sandrock, Jr. </w:t>
            </w:r>
            <w:r>
              <w:rPr>
                <w:rFonts w:ascii="Arial" w:cs="Arial" w:eastAsia="Arial" w:hAnsi="Arial"/>
                <w:sz w:val="27"/>
                <w:szCs w:val="27"/>
                <w:color w:val="auto"/>
                <w:vertAlign w:val="superscript"/>
              </w:rPr>
              <w:t>(7)</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10,170</w:t>
            </w:r>
          </w:p>
        </w:tc>
        <w:tc>
          <w:tcPr>
            <w:tcW w:w="192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10,170</w:t>
            </w:r>
          </w:p>
        </w:tc>
        <w:tc>
          <w:tcPr>
            <w:tcW w:w="1440" w:type="dxa"/>
            <w:vAlign w:val="bottom"/>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5"/>
        </w:trPr>
        <w:tc>
          <w:tcPr>
            <w:tcW w:w="442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Susan H. Alexander</w:t>
            </w:r>
          </w:p>
        </w:tc>
        <w:tc>
          <w:tcPr>
            <w:tcW w:w="1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44,928</w:t>
            </w:r>
          </w:p>
        </w:tc>
        <w:tc>
          <w:tcPr>
            <w:tcW w:w="192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44,928</w:t>
            </w:r>
          </w:p>
        </w:tc>
        <w:tc>
          <w:tcPr>
            <w:tcW w:w="14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45"/>
        </w:trPr>
        <w:tc>
          <w:tcPr>
            <w:tcW w:w="442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Chirfi Guindo</w:t>
            </w:r>
          </w:p>
        </w:tc>
        <w:tc>
          <w:tcPr>
            <w:tcW w:w="1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7,364</w:t>
            </w:r>
          </w:p>
        </w:tc>
        <w:tc>
          <w:tcPr>
            <w:tcW w:w="192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7,364</w:t>
            </w:r>
          </w:p>
        </w:tc>
        <w:tc>
          <w:tcPr>
            <w:tcW w:w="14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5"/>
                <w:szCs w:val="15"/>
                <w:b w:val="1"/>
                <w:bCs w:val="1"/>
                <w:color w:val="auto"/>
              </w:rPr>
              <w:t>Directors</w:t>
            </w:r>
          </w:p>
        </w:tc>
        <w:tc>
          <w:tcPr>
            <w:tcW w:w="1440" w:type="dxa"/>
            <w:vAlign w:val="bottom"/>
            <w:tcBorders>
              <w:bottom w:val="single" w:sz="8" w:color="E8F0F8"/>
            </w:tcBorders>
            <w:shd w:val="clear" w:color="auto" w:fill="E8F0F8"/>
          </w:tcPr>
          <w:p>
            <w:pPr>
              <w:spacing w:after="0"/>
              <w:rPr>
                <w:sz w:val="24"/>
                <w:szCs w:val="24"/>
                <w:color w:val="auto"/>
              </w:rPr>
            </w:pPr>
          </w:p>
        </w:tc>
        <w:tc>
          <w:tcPr>
            <w:tcW w:w="1920" w:type="dxa"/>
            <w:vAlign w:val="bottom"/>
            <w:tcBorders>
              <w:bottom w:val="single" w:sz="8" w:color="E8F0F8"/>
            </w:tcBorders>
            <w:shd w:val="clear" w:color="auto" w:fill="E8F0F8"/>
          </w:tcPr>
          <w:p>
            <w:pPr>
              <w:spacing w:after="0"/>
              <w:rPr>
                <w:sz w:val="24"/>
                <w:szCs w:val="24"/>
                <w:color w:val="auto"/>
              </w:rPr>
            </w:pPr>
          </w:p>
        </w:tc>
        <w:tc>
          <w:tcPr>
            <w:tcW w:w="1800" w:type="dxa"/>
            <w:vAlign w:val="bottom"/>
            <w:tcBorders>
              <w:bottom w:val="single" w:sz="8" w:color="E8F0F8"/>
            </w:tcBorders>
            <w:shd w:val="clear" w:color="auto" w:fill="E8F0F8"/>
          </w:tcPr>
          <w:p>
            <w:pPr>
              <w:spacing w:after="0"/>
              <w:rPr>
                <w:sz w:val="24"/>
                <w:szCs w:val="24"/>
                <w:color w:val="auto"/>
              </w:rPr>
            </w:pPr>
          </w:p>
        </w:tc>
        <w:tc>
          <w:tcPr>
            <w:tcW w:w="1440" w:type="dxa"/>
            <w:vAlign w:val="bottom"/>
            <w:tcBorders>
              <w:bottom w:val="single" w:sz="8" w:color="E8F0F8"/>
            </w:tcBorders>
            <w:shd w:val="clear" w:color="auto" w:fill="E8F0F8"/>
          </w:tcPr>
          <w:p>
            <w:pPr>
              <w:spacing w:after="0"/>
              <w:rPr>
                <w:sz w:val="24"/>
                <w:szCs w:val="24"/>
                <w:color w:val="auto"/>
              </w:rPr>
            </w:pPr>
          </w:p>
        </w:tc>
      </w:tr>
      <w:tr>
        <w:trPr>
          <w:trHeight w:val="365"/>
        </w:trPr>
        <w:tc>
          <w:tcPr>
            <w:tcW w:w="4420" w:type="dxa"/>
            <w:vAlign w:val="bottom"/>
            <w:shd w:val="clear" w:color="auto" w:fill="BAD3EA"/>
          </w:tcPr>
          <w:p>
            <w:pPr>
              <w:ind w:left="60"/>
              <w:spacing w:after="0"/>
              <w:rPr>
                <w:sz w:val="20"/>
                <w:szCs w:val="20"/>
                <w:color w:val="auto"/>
              </w:rPr>
            </w:pPr>
            <w:r>
              <w:rPr>
                <w:rFonts w:ascii="Arial" w:cs="Arial" w:eastAsia="Arial" w:hAnsi="Arial"/>
                <w:sz w:val="16"/>
                <w:szCs w:val="16"/>
                <w:color w:val="auto"/>
              </w:rPr>
              <w:t>Alexander J. Denner</w:t>
            </w:r>
            <w:r>
              <w:rPr>
                <w:rFonts w:ascii="Arial" w:cs="Arial" w:eastAsia="Arial" w:hAnsi="Arial"/>
                <w:sz w:val="27"/>
                <w:szCs w:val="27"/>
                <w:color w:val="auto"/>
                <w:vertAlign w:val="superscript"/>
              </w:rPr>
              <w:t>(8)</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655,954</w:t>
            </w:r>
          </w:p>
        </w:tc>
        <w:tc>
          <w:tcPr>
            <w:tcW w:w="192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656,729</w:t>
            </w:r>
          </w:p>
        </w:tc>
        <w:tc>
          <w:tcPr>
            <w:tcW w:w="1440" w:type="dxa"/>
            <w:vAlign w:val="bottom"/>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5"/>
        </w:trPr>
        <w:tc>
          <w:tcPr>
            <w:tcW w:w="442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Caroline D. Dorsa</w:t>
            </w:r>
          </w:p>
        </w:tc>
        <w:tc>
          <w:tcPr>
            <w:tcW w:w="1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21,097</w:t>
            </w:r>
          </w:p>
        </w:tc>
        <w:tc>
          <w:tcPr>
            <w:tcW w:w="192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21,872</w:t>
            </w:r>
          </w:p>
        </w:tc>
        <w:tc>
          <w:tcPr>
            <w:tcW w:w="14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Maria C. Freire</w:t>
            </w:r>
          </w:p>
        </w:tc>
        <w:tc>
          <w:tcPr>
            <w:tcW w:w="1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4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5"/>
        </w:trPr>
        <w:tc>
          <w:tcPr>
            <w:tcW w:w="442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William A. Hawkins</w:t>
            </w:r>
          </w:p>
        </w:tc>
        <w:tc>
          <w:tcPr>
            <w:tcW w:w="1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2,045</w:t>
            </w:r>
          </w:p>
        </w:tc>
        <w:tc>
          <w:tcPr>
            <w:tcW w:w="192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2,820</w:t>
            </w:r>
          </w:p>
        </w:tc>
        <w:tc>
          <w:tcPr>
            <w:tcW w:w="14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William D. Jones</w:t>
            </w:r>
          </w:p>
        </w:tc>
        <w:tc>
          <w:tcPr>
            <w:tcW w:w="1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4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65"/>
        </w:trPr>
        <w:tc>
          <w:tcPr>
            <w:tcW w:w="4420" w:type="dxa"/>
            <w:vAlign w:val="bottom"/>
            <w:shd w:val="clear" w:color="auto" w:fill="E8F0F8"/>
          </w:tcPr>
          <w:p>
            <w:pPr>
              <w:ind w:left="60"/>
              <w:spacing w:after="0"/>
              <w:rPr>
                <w:sz w:val="20"/>
                <w:szCs w:val="20"/>
                <w:color w:val="auto"/>
              </w:rPr>
            </w:pPr>
            <w:r>
              <w:rPr>
                <w:rFonts w:ascii="Arial" w:cs="Arial" w:eastAsia="Arial" w:hAnsi="Arial"/>
                <w:sz w:val="16"/>
                <w:szCs w:val="16"/>
                <w:color w:val="auto"/>
              </w:rPr>
              <w:t>Nancy L. Leaming</w:t>
            </w:r>
            <w:r>
              <w:rPr>
                <w:rFonts w:ascii="Arial" w:cs="Arial" w:eastAsia="Arial" w:hAnsi="Arial"/>
                <w:sz w:val="27"/>
                <w:szCs w:val="27"/>
                <w:color w:val="auto"/>
                <w:vertAlign w:val="superscript"/>
              </w:rPr>
              <w:t>(9)</w:t>
            </w:r>
          </w:p>
        </w:tc>
        <w:tc>
          <w:tcPr>
            <w:tcW w:w="14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12,988</w:t>
            </w:r>
          </w:p>
        </w:tc>
        <w:tc>
          <w:tcPr>
            <w:tcW w:w="1920" w:type="dxa"/>
            <w:vAlign w:val="bottom"/>
            <w:shd w:val="clear" w:color="auto" w:fill="E8F0F8"/>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shd w:val="clear" w:color="auto" w:fill="E8F0F8"/>
          </w:tcPr>
          <w:p>
            <w:pPr>
              <w:jc w:val="right"/>
              <w:ind w:right="200"/>
              <w:spacing w:after="0"/>
              <w:rPr>
                <w:sz w:val="20"/>
                <w:szCs w:val="20"/>
                <w:color w:val="auto"/>
              </w:rPr>
            </w:pPr>
            <w:r>
              <w:rPr>
                <w:rFonts w:ascii="Arial" w:cs="Arial" w:eastAsia="Arial" w:hAnsi="Arial"/>
                <w:sz w:val="16"/>
                <w:szCs w:val="16"/>
                <w:color w:val="auto"/>
              </w:rPr>
              <w:t>13,763</w:t>
            </w:r>
          </w:p>
        </w:tc>
        <w:tc>
          <w:tcPr>
            <w:tcW w:w="1440" w:type="dxa"/>
            <w:vAlign w:val="bottom"/>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Jesus B. Mantas</w:t>
            </w:r>
          </w:p>
        </w:tc>
        <w:tc>
          <w:tcPr>
            <w:tcW w:w="1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2,943</w:t>
            </w:r>
          </w:p>
        </w:tc>
        <w:tc>
          <w:tcPr>
            <w:tcW w:w="192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3,718</w:t>
            </w:r>
          </w:p>
        </w:tc>
        <w:tc>
          <w:tcPr>
            <w:tcW w:w="14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Richard C. Mulligan</w:t>
            </w:r>
          </w:p>
        </w:tc>
        <w:tc>
          <w:tcPr>
            <w:tcW w:w="1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12,954</w:t>
            </w:r>
          </w:p>
        </w:tc>
        <w:tc>
          <w:tcPr>
            <w:tcW w:w="192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13,729</w:t>
            </w:r>
          </w:p>
        </w:tc>
        <w:tc>
          <w:tcPr>
            <w:tcW w:w="14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65"/>
        </w:trPr>
        <w:tc>
          <w:tcPr>
            <w:tcW w:w="4420" w:type="dxa"/>
            <w:vAlign w:val="bottom"/>
            <w:shd w:val="clear" w:color="auto" w:fill="BAD3EA"/>
          </w:tcPr>
          <w:p>
            <w:pPr>
              <w:ind w:left="60"/>
              <w:spacing w:after="0"/>
              <w:rPr>
                <w:sz w:val="20"/>
                <w:szCs w:val="20"/>
                <w:color w:val="auto"/>
              </w:rPr>
            </w:pPr>
            <w:r>
              <w:rPr>
                <w:rFonts w:ascii="Arial" w:cs="Arial" w:eastAsia="Arial" w:hAnsi="Arial"/>
                <w:sz w:val="16"/>
                <w:szCs w:val="16"/>
                <w:color w:val="auto"/>
              </w:rPr>
              <w:t>Stelios Papadopoulos</w:t>
            </w:r>
            <w:r>
              <w:rPr>
                <w:rFonts w:ascii="Arial" w:cs="Arial" w:eastAsia="Arial" w:hAnsi="Arial"/>
                <w:sz w:val="27"/>
                <w:szCs w:val="27"/>
                <w:color w:val="auto"/>
                <w:vertAlign w:val="superscript"/>
              </w:rPr>
              <w:t>(10)</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34,771</w:t>
            </w:r>
          </w:p>
        </w:tc>
        <w:tc>
          <w:tcPr>
            <w:tcW w:w="192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1,275</w:t>
            </w:r>
          </w:p>
        </w:tc>
        <w:tc>
          <w:tcPr>
            <w:tcW w:w="180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36,046</w:t>
            </w:r>
          </w:p>
        </w:tc>
        <w:tc>
          <w:tcPr>
            <w:tcW w:w="1440" w:type="dxa"/>
            <w:vAlign w:val="bottom"/>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64"/>
        </w:trPr>
        <w:tc>
          <w:tcPr>
            <w:tcW w:w="4420" w:type="dxa"/>
            <w:vAlign w:val="bottom"/>
            <w:shd w:val="clear" w:color="auto" w:fill="E8F0F8"/>
          </w:tcPr>
          <w:p>
            <w:pPr>
              <w:ind w:left="60"/>
              <w:spacing w:after="0"/>
              <w:rPr>
                <w:sz w:val="20"/>
                <w:szCs w:val="20"/>
                <w:color w:val="auto"/>
              </w:rPr>
            </w:pPr>
            <w:r>
              <w:rPr>
                <w:rFonts w:ascii="Arial" w:cs="Arial" w:eastAsia="Arial" w:hAnsi="Arial"/>
                <w:sz w:val="16"/>
                <w:szCs w:val="16"/>
                <w:color w:val="auto"/>
              </w:rPr>
              <w:t>Brian S. Posner</w:t>
            </w:r>
            <w:r>
              <w:rPr>
                <w:rFonts w:ascii="Arial" w:cs="Arial" w:eastAsia="Arial" w:hAnsi="Arial"/>
                <w:sz w:val="27"/>
                <w:szCs w:val="27"/>
                <w:color w:val="auto"/>
                <w:vertAlign w:val="superscript"/>
              </w:rPr>
              <w:t>(11)</w:t>
            </w:r>
          </w:p>
        </w:tc>
        <w:tc>
          <w:tcPr>
            <w:tcW w:w="14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7,400</w:t>
            </w:r>
          </w:p>
        </w:tc>
        <w:tc>
          <w:tcPr>
            <w:tcW w:w="1920" w:type="dxa"/>
            <w:vAlign w:val="bottom"/>
            <w:shd w:val="clear" w:color="auto" w:fill="E8F0F8"/>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shd w:val="clear" w:color="auto" w:fill="E8F0F8"/>
          </w:tcPr>
          <w:p>
            <w:pPr>
              <w:jc w:val="right"/>
              <w:ind w:right="200"/>
              <w:spacing w:after="0"/>
              <w:rPr>
                <w:sz w:val="20"/>
                <w:szCs w:val="20"/>
                <w:color w:val="auto"/>
              </w:rPr>
            </w:pPr>
            <w:r>
              <w:rPr>
                <w:rFonts w:ascii="Arial" w:cs="Arial" w:eastAsia="Arial" w:hAnsi="Arial"/>
                <w:sz w:val="16"/>
                <w:szCs w:val="16"/>
                <w:color w:val="auto"/>
              </w:rPr>
              <w:t>8,175</w:t>
            </w:r>
          </w:p>
        </w:tc>
        <w:tc>
          <w:tcPr>
            <w:tcW w:w="1440" w:type="dxa"/>
            <w:vAlign w:val="bottom"/>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Eric K. Rowinsky</w:t>
            </w:r>
          </w:p>
        </w:tc>
        <w:tc>
          <w:tcPr>
            <w:tcW w:w="1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17,069</w:t>
            </w:r>
          </w:p>
        </w:tc>
        <w:tc>
          <w:tcPr>
            <w:tcW w:w="192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BAD3EA"/>
            </w:tcBorders>
            <w:shd w:val="clear" w:color="auto" w:fill="BAD3EA"/>
          </w:tcPr>
          <w:p>
            <w:pPr>
              <w:jc w:val="right"/>
              <w:ind w:right="200"/>
              <w:spacing w:after="0"/>
              <w:rPr>
                <w:sz w:val="20"/>
                <w:szCs w:val="20"/>
                <w:color w:val="auto"/>
              </w:rPr>
            </w:pPr>
            <w:r>
              <w:rPr>
                <w:rFonts w:ascii="Arial" w:cs="Arial" w:eastAsia="Arial" w:hAnsi="Arial"/>
                <w:sz w:val="16"/>
                <w:szCs w:val="16"/>
                <w:color w:val="auto"/>
              </w:rPr>
              <w:t>17,844</w:t>
            </w:r>
          </w:p>
        </w:tc>
        <w:tc>
          <w:tcPr>
            <w:tcW w:w="14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344"/>
        </w:trPr>
        <w:tc>
          <w:tcPr>
            <w:tcW w:w="442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Stephen A. Sherwin</w:t>
            </w:r>
          </w:p>
        </w:tc>
        <w:tc>
          <w:tcPr>
            <w:tcW w:w="1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16,328</w:t>
            </w:r>
          </w:p>
        </w:tc>
        <w:tc>
          <w:tcPr>
            <w:tcW w:w="192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775</w:t>
            </w:r>
          </w:p>
        </w:tc>
        <w:tc>
          <w:tcPr>
            <w:tcW w:w="1800" w:type="dxa"/>
            <w:vAlign w:val="bottom"/>
            <w:tcBorders>
              <w:bottom w:val="single" w:sz="8" w:color="E8F0F8"/>
            </w:tcBorders>
            <w:shd w:val="clear" w:color="auto" w:fill="E8F0F8"/>
          </w:tcPr>
          <w:p>
            <w:pPr>
              <w:jc w:val="right"/>
              <w:ind w:right="200"/>
              <w:spacing w:after="0"/>
              <w:rPr>
                <w:sz w:val="20"/>
                <w:szCs w:val="20"/>
                <w:color w:val="auto"/>
              </w:rPr>
            </w:pPr>
            <w:r>
              <w:rPr>
                <w:rFonts w:ascii="Arial" w:cs="Arial" w:eastAsia="Arial" w:hAnsi="Arial"/>
                <w:sz w:val="16"/>
                <w:szCs w:val="16"/>
                <w:color w:val="auto"/>
              </w:rPr>
              <w:t>17,103</w:t>
            </w:r>
          </w:p>
        </w:tc>
        <w:tc>
          <w:tcPr>
            <w:tcW w:w="14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w:t>
            </w:r>
          </w:p>
        </w:tc>
      </w:tr>
      <w:tr>
        <w:trPr>
          <w:trHeight w:val="308"/>
        </w:trPr>
        <w:tc>
          <w:tcPr>
            <w:tcW w:w="4420" w:type="dxa"/>
            <w:vAlign w:val="bottom"/>
            <w:shd w:val="clear" w:color="auto" w:fill="BAD3EA"/>
          </w:tcPr>
          <w:p>
            <w:pPr>
              <w:ind w:left="80"/>
              <w:spacing w:after="0"/>
              <w:rPr>
                <w:sz w:val="20"/>
                <w:szCs w:val="20"/>
                <w:color w:val="auto"/>
              </w:rPr>
            </w:pPr>
            <w:r>
              <w:rPr>
                <w:rFonts w:ascii="Arial" w:cs="Arial" w:eastAsia="Arial" w:hAnsi="Arial"/>
                <w:sz w:val="16"/>
                <w:szCs w:val="16"/>
                <w:color w:val="auto"/>
              </w:rPr>
              <w:t>All executive officers and directors as a group (22 persons)</w:t>
            </w:r>
          </w:p>
        </w:tc>
        <w:tc>
          <w:tcPr>
            <w:tcW w:w="14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940,512</w:t>
            </w:r>
          </w:p>
        </w:tc>
        <w:tc>
          <w:tcPr>
            <w:tcW w:w="192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9,800</w:t>
            </w:r>
          </w:p>
        </w:tc>
        <w:tc>
          <w:tcPr>
            <w:tcW w:w="1800" w:type="dxa"/>
            <w:vAlign w:val="bottom"/>
            <w:shd w:val="clear" w:color="auto" w:fill="BAD3EA"/>
          </w:tcPr>
          <w:p>
            <w:pPr>
              <w:jc w:val="right"/>
              <w:ind w:right="200"/>
              <w:spacing w:after="0"/>
              <w:rPr>
                <w:sz w:val="20"/>
                <w:szCs w:val="20"/>
                <w:color w:val="auto"/>
              </w:rPr>
            </w:pPr>
            <w:r>
              <w:rPr>
                <w:rFonts w:ascii="Arial" w:cs="Arial" w:eastAsia="Arial" w:hAnsi="Arial"/>
                <w:sz w:val="16"/>
                <w:szCs w:val="16"/>
                <w:color w:val="auto"/>
              </w:rPr>
              <w:t>950,312</w:t>
            </w:r>
          </w:p>
        </w:tc>
        <w:tc>
          <w:tcPr>
            <w:tcW w:w="1440" w:type="dxa"/>
            <w:vAlign w:val="bottom"/>
            <w:shd w:val="clear" w:color="auto" w:fill="BAD3EA"/>
          </w:tcPr>
          <w:p>
            <w:pPr>
              <w:jc w:val="right"/>
              <w:ind w:right="140"/>
              <w:spacing w:after="0"/>
              <w:rPr>
                <w:sz w:val="20"/>
                <w:szCs w:val="20"/>
                <w:color w:val="auto"/>
              </w:rPr>
            </w:pPr>
            <w:r>
              <w:rPr>
                <w:rFonts w:ascii="Arial" w:cs="Arial" w:eastAsia="Arial" w:hAnsi="Arial"/>
                <w:sz w:val="16"/>
                <w:szCs w:val="16"/>
                <w:color w:val="auto"/>
              </w:rPr>
              <w:t>*</w:t>
            </w:r>
          </w:p>
        </w:tc>
      </w:tr>
      <w:tr>
        <w:trPr>
          <w:trHeight w:val="252"/>
        </w:trPr>
        <w:tc>
          <w:tcPr>
            <w:tcW w:w="4420" w:type="dxa"/>
            <w:vAlign w:val="bottom"/>
            <w:tcBorders>
              <w:bottom w:val="single" w:sz="8" w:color="BAD3EA"/>
            </w:tcBorders>
            <w:shd w:val="clear" w:color="auto" w:fill="BAD3EA"/>
          </w:tcPr>
          <w:p>
            <w:pPr>
              <w:ind w:left="320"/>
              <w:spacing w:after="0"/>
              <w:rPr>
                <w:sz w:val="20"/>
                <w:szCs w:val="20"/>
                <w:color w:val="auto"/>
              </w:rPr>
            </w:pPr>
            <w:r>
              <w:rPr>
                <w:rFonts w:ascii="Arial" w:cs="Arial" w:eastAsia="Arial" w:hAnsi="Arial"/>
                <w:sz w:val="14"/>
                <w:szCs w:val="14"/>
                <w:color w:val="auto"/>
              </w:rPr>
              <w:t>(12)</w:t>
            </w:r>
          </w:p>
        </w:tc>
        <w:tc>
          <w:tcPr>
            <w:tcW w:w="1440" w:type="dxa"/>
            <w:vAlign w:val="bottom"/>
            <w:tcBorders>
              <w:bottom w:val="single" w:sz="8" w:color="BAD3EA"/>
            </w:tcBorders>
            <w:shd w:val="clear" w:color="auto" w:fill="BAD3EA"/>
          </w:tcPr>
          <w:p>
            <w:pPr>
              <w:spacing w:after="0"/>
              <w:rPr>
                <w:sz w:val="21"/>
                <w:szCs w:val="21"/>
                <w:color w:val="auto"/>
              </w:rPr>
            </w:pPr>
          </w:p>
        </w:tc>
        <w:tc>
          <w:tcPr>
            <w:tcW w:w="1920" w:type="dxa"/>
            <w:vAlign w:val="bottom"/>
            <w:tcBorders>
              <w:bottom w:val="single" w:sz="8" w:color="BAD3EA"/>
            </w:tcBorders>
            <w:shd w:val="clear" w:color="auto" w:fill="BAD3EA"/>
          </w:tcPr>
          <w:p>
            <w:pPr>
              <w:spacing w:after="0"/>
              <w:rPr>
                <w:sz w:val="21"/>
                <w:szCs w:val="21"/>
                <w:color w:val="auto"/>
              </w:rPr>
            </w:pPr>
          </w:p>
        </w:tc>
        <w:tc>
          <w:tcPr>
            <w:tcW w:w="1800" w:type="dxa"/>
            <w:vAlign w:val="bottom"/>
            <w:tcBorders>
              <w:bottom w:val="single" w:sz="8" w:color="BAD3EA"/>
            </w:tcBorders>
            <w:shd w:val="clear" w:color="auto" w:fill="BAD3EA"/>
          </w:tcPr>
          <w:p>
            <w:pPr>
              <w:spacing w:after="0"/>
              <w:rPr>
                <w:sz w:val="21"/>
                <w:szCs w:val="21"/>
                <w:color w:val="auto"/>
              </w:rPr>
            </w:pPr>
          </w:p>
        </w:tc>
        <w:tc>
          <w:tcPr>
            <w:tcW w:w="1440" w:type="dxa"/>
            <w:vAlign w:val="bottom"/>
            <w:tcBorders>
              <w:bottom w:val="single" w:sz="8" w:color="BAD3EA"/>
            </w:tcBorders>
            <w:shd w:val="clear" w:color="auto" w:fill="BAD3EA"/>
          </w:tcPr>
          <w:p>
            <w:pPr>
              <w:spacing w:after="0"/>
              <w:rPr>
                <w:sz w:val="21"/>
                <w:szCs w:val="21"/>
                <w:color w:val="auto"/>
              </w:rPr>
            </w:pPr>
          </w:p>
        </w:tc>
      </w:tr>
      <w:tr>
        <w:trPr>
          <w:trHeight w:val="20"/>
        </w:trPr>
        <w:tc>
          <w:tcPr>
            <w:tcW w:w="4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29" w:lineRule="exact"/>
        <w:rPr>
          <w:sz w:val="20"/>
          <w:szCs w:val="20"/>
          <w:color w:val="auto"/>
        </w:rPr>
      </w:pPr>
    </w:p>
    <w:p>
      <w:pPr>
        <w:sectPr>
          <w:pgSz w:w="11900" w:h="16838" w:orient="portrait"/>
          <w:cols w:equalWidth="0" w:num="1">
            <w:col w:w="11140"/>
          </w:cols>
          <w:pgMar w:left="320" w:top="455" w:right="439" w:bottom="0" w:gutter="0" w:footer="0" w:header="0"/>
        </w:sectPr>
      </w:pPr>
    </w:p>
    <w:p>
      <w:pPr>
        <w:ind w:left="180"/>
        <w:spacing w:after="0"/>
        <w:rPr>
          <w:sz w:val="20"/>
          <w:szCs w:val="20"/>
          <w:color w:val="auto"/>
        </w:rPr>
      </w:pPr>
      <w:r>
        <w:rPr>
          <w:rFonts w:ascii="Arial" w:cs="Arial" w:eastAsia="Arial" w:hAnsi="Arial"/>
          <w:sz w:val="9"/>
          <w:szCs w:val="9"/>
          <w:color w:val="1A6DBB"/>
        </w:rPr>
        <w:t xml:space="preserve">26 </w:t>
      </w:r>
      <w:r>
        <w:rPr>
          <w:sz w:val="1"/>
          <w:szCs w:val="1"/>
          <w:color w:val="auto"/>
        </w:rPr>
        <w:drawing>
          <wp:inline distT="0" distB="0" distL="0" distR="0">
            <wp:extent cx="38735" cy="19685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67"/>
        </w:numPr>
        <w:rPr>
          <w:rFonts w:ascii="Arial" w:cs="Arial" w:eastAsia="Arial" w:hAnsi="Arial"/>
          <w:sz w:val="90"/>
          <w:szCs w:val="90"/>
          <w:color w:val="1A6DBB"/>
        </w:rPr>
      </w:pPr>
      <w:r>
        <w:rPr>
          <w:rFonts w:ascii="Arial" w:cs="Arial" w:eastAsia="Arial" w:hAnsi="Arial"/>
          <w:sz w:val="41"/>
          <w:szCs w:val="41"/>
          <w:color w:val="1A6DBB"/>
        </w:rPr>
        <w:t xml:space="preserve">Stock Ownership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399" w:lineRule="exact"/>
        <w:rPr>
          <w:rFonts w:ascii="Arial" w:cs="Arial" w:eastAsia="Arial" w:hAnsi="Arial"/>
          <w:sz w:val="90"/>
          <w:szCs w:val="90"/>
          <w:color w:val="1A6DBB"/>
        </w:rPr>
      </w:pPr>
    </w:p>
    <w:p>
      <w:pPr>
        <w:ind w:left="120"/>
        <w:spacing w:after="0"/>
        <w:rPr>
          <w:rFonts w:ascii="Arial" w:cs="Arial" w:eastAsia="Arial" w:hAnsi="Arial"/>
          <w:sz w:val="90"/>
          <w:szCs w:val="90"/>
          <w:color w:val="1A6DBB"/>
        </w:rPr>
      </w:pPr>
      <w:r>
        <w:rPr>
          <w:rFonts w:ascii="Arial" w:cs="Arial" w:eastAsia="Arial" w:hAnsi="Arial"/>
          <w:sz w:val="14"/>
          <w:szCs w:val="14"/>
          <w:color w:val="auto"/>
        </w:rPr>
        <w:t>*Represents beneficial ownership of less than 1% of our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-918845</wp:posOffset>
            </wp:positionV>
            <wp:extent cx="6995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shares described as “owned” are shares of our common stock directly or indirectly owned by each listed person, rounded up to the nearest whole share.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RSUs that will vest within 60 days of the Ownership Date.</w:t>
      </w:r>
    </w:p>
    <w:p>
      <w:pPr>
        <w:spacing w:after="0" w:line="1" w:lineRule="exact"/>
        <w:rPr>
          <w:rFonts w:ascii="Arial" w:cs="Arial" w:eastAsia="Arial" w:hAnsi="Arial"/>
          <w:sz w:val="14"/>
          <w:szCs w:val="14"/>
          <w:color w:val="auto"/>
        </w:rPr>
      </w:pPr>
    </w:p>
    <w:p>
      <w:pPr>
        <w:ind w:left="540" w:right="40" w:hanging="424"/>
        <w:spacing w:after="0" w:line="24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calculation of percentages is based upon 147,150,928 shares outstanding on the Ownership Date, plus for each of the individuals listed above the shares subject to RSUs exercisable within 60 days of the Ownership Date, as reflected in the column under the heading “Shares Subject to Options and Stock Units.”</w:t>
      </w:r>
    </w:p>
    <w:p>
      <w:pPr>
        <w:ind w:left="540" w:right="340" w:hanging="424"/>
        <w:spacing w:after="0" w:line="24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solely on information as of December 31, 2021, contained in a Schedule 13G/A filed with the SEC by PRIMECAP Management Company on February 10, 2022, which also indicates that it has sole voting power over 15,228,551 shares and sole dispositive power over 15,757,405 shares.</w:t>
      </w:r>
    </w:p>
    <w:p>
      <w:pPr>
        <w:ind w:left="540" w:hanging="424"/>
        <w:spacing w:after="0" w:line="24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solely on information as of December 31, 2021, contained in a Schedule 13G/A filed with the SEC by BlackRock, Inc. on February 8, 2022, which also indicates that it has sole voting power with respect to 13,736,954 shares and sole dispositive power with respect to 13,736,954 shares.</w:t>
      </w:r>
    </w:p>
    <w:p>
      <w:pPr>
        <w:jc w:val="both"/>
        <w:ind w:left="540" w:right="80" w:hanging="424"/>
        <w:spacing w:after="0" w:line="24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solely on information as of December 31, 2021, contained in a Schedule 13G/A filed with the SEC by The Vanguard Group on February 8, 2022 and amended on March 7, 2022, which also indicates that it has sole dispositive power with respect to 10,940,068 shares, shared voting power with respect to 238,436 shares and shared dispositive power with respect to 597,231 shares.</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w:t>
      </w:r>
    </w:p>
    <w:p>
      <w:pPr>
        <w:spacing w:after="0" w:line="1" w:lineRule="exact"/>
        <w:rPr>
          <w:rFonts w:ascii="Arial" w:cs="Arial" w:eastAsia="Arial" w:hAnsi="Arial"/>
          <w:sz w:val="14"/>
          <w:szCs w:val="14"/>
          <w:color w:val="auto"/>
        </w:rPr>
      </w:pPr>
    </w:p>
    <w:p>
      <w:pPr>
        <w:ind w:left="540" w:right="20" w:hanging="424"/>
        <w:spacing w:after="0" w:line="24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643,000 shares beneficially owned by funds and accounts managed by Sarissa Capital Management LP, a Delaware limited partnership (Sarissa Capital). Dr. Denner is the Chief Investment Officer of Sarissa Capital and ultimately controls the funds and accounts managed by Sarissa Capital. By virtue of the foregoing, Dr. Denner may be deemed to indirectly beneficially own (as that term is defined in Rule 13d-3 of the Exchange Act) the 643,000 shares that those entities beneficially own. Dr. Denner disclaims beneficial ownership of these shares except to the extent of any pecuniary interest therein.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Ms. Leaming is retiring from our Board of Directors, effective as of the 2022 Annual Meeting.</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28,206 shares held in limited liability companies of which Dr. Papadopoulos is the sole manager.</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Posner is retiring from our Board of Directors, effective as of the 2022 Annual Meeting.</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671,206 shares held indirectly through trusts, funds, defined benefit plans or limited liability companies.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color w:val="1A6DBB"/>
        </w:rPr>
        <w:t>Delinquent Section 16(a) Reports</w:t>
      </w:r>
    </w:p>
    <w:p>
      <w:pPr>
        <w:spacing w:after="0" w:line="110"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Section 16(a) of the Exchange Act requires our directors, officers and beneficial owners of 10% or more of our common stock to file reports with the SEC. We assist our directors and officers by monitoring transactions and completing and filing these reports on their behalf. Based on our records and other information, we believe that all reports, except two, that were required to be filed under Section 16(a) during 2021 were timely filed. A Form 3 filing for each of Dr. Freire and Mr. Jones, which reported that neither owned any shares of Biogen common stock at the time of their election to our Board of Directors, was inadvertently filed late.</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27 </w:t>
      </w:r>
      <w:r>
        <w:rPr>
          <w:sz w:val="1"/>
          <w:szCs w:val="1"/>
          <w:color w:val="auto"/>
        </w:rPr>
        <w:drawing>
          <wp:inline distT="0" distB="0" distL="0" distR="0">
            <wp:extent cx="38735" cy="19685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90"/>
          <w:szCs w:val="90"/>
          <w:color w:val="1A6DBB"/>
        </w:rPr>
        <w:t xml:space="preserve">5 </w:t>
      </w:r>
      <w:r>
        <w:rPr>
          <w:rFonts w:ascii="Arial" w:cs="Arial" w:eastAsia="Arial" w:hAnsi="Arial"/>
          <w:sz w:val="41"/>
          <w:szCs w:val="41"/>
          <w:color w:val="1A6DBB"/>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-639445</wp:posOffset>
            </wp:positionV>
            <wp:extent cx="6995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340" w:right="680"/>
        <w:spacing w:after="0" w:line="276" w:lineRule="auto"/>
        <w:rPr>
          <w:sz w:val="20"/>
          <w:szCs w:val="20"/>
          <w:color w:val="auto"/>
        </w:rPr>
      </w:pPr>
      <w:r>
        <w:rPr>
          <w:rFonts w:ascii="Arial" w:cs="Arial" w:eastAsia="Arial" w:hAnsi="Arial"/>
          <w:sz w:val="29"/>
          <w:szCs w:val="29"/>
          <w:color w:val="FFFFFF"/>
        </w:rPr>
        <w:t>Proposal 2 – Ratification of the Selection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-466090</wp:posOffset>
            </wp:positionV>
            <wp:extent cx="6995160" cy="6858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68580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Our Audit Committee is directly responsible for the appointment, compensation, retention and oversight of the independent registered public accounting firm retained to audit our consolidated financial statements. Our Audit Committee has selected PwC as our independent registered public accounting firm for the fiscal year ending December 31, 2022. PwC has served as our independent registered public accounting firm since 2003.</w:t>
      </w:r>
    </w:p>
    <w:p>
      <w:pPr>
        <w:spacing w:after="0" w:line="7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In order to assure continuing auditor independence, our Audit Committee periodically considers whether there should be a rotation of the independent registered public accounting firm. Further, in conjunction with the rotation of the auditing firm’s lead engagement partner required by applicable SEC rules, our Audit Committee and its Chair has in the past been, and in the future will be, directly involved in the selection of PwC’s new lead engagement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Audit Committee believes at this time that the continued retention of PwC to serve as our independent registered public accounting firm is in the best interest of Biogen and its stockholders.</w:t>
      </w:r>
    </w:p>
    <w:p>
      <w:pPr>
        <w:spacing w:after="0" w:line="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stockholder approval of our Audit Committee’s selection of PwC is not required, our Board of Directors believes that it is a matter of good corporate practice to solicit stockholder ratification of this selection. If our stockholders do not ratify the selection of PwC as our independent registered public accounting firm, our Audit Committee will reconsider its selection. Even if the selection is ratified, our Audit Committee always has the ability to change the engagement of PwC if it considers that a change is in Biogen’s best interest. Representatives of PwC will participate in the Annual Meeting, have the opportunity to make a statement if they so desire and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347980</wp:posOffset>
            </wp:positionV>
            <wp:extent cx="7020560" cy="436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020560" cy="436880"/>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186" w:lineRule="exact"/>
        <w:rPr>
          <w:sz w:val="20"/>
          <w:szCs w:val="20"/>
          <w:color w:val="auto"/>
        </w:rPr>
      </w:pPr>
    </w:p>
    <w:p>
      <w:pPr>
        <w:jc w:val="center"/>
        <w:ind w:left="1920"/>
        <w:spacing w:after="0" w:line="270" w:lineRule="auto"/>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1A6DBB"/>
        </w:rPr>
        <w:t>FOR</w:t>
      </w:r>
      <w:r>
        <w:rPr>
          <w:rFonts w:ascii="Arial" w:cs="Arial" w:eastAsia="Arial" w:hAnsi="Arial"/>
          <w:sz w:val="16"/>
          <w:szCs w:val="16"/>
          <w:b w:val="1"/>
          <w:bCs w:val="1"/>
          <w:i w:val="1"/>
          <w:iCs w:val="1"/>
          <w:color w:val="auto"/>
        </w:rPr>
        <w:t xml:space="preserve"> THE RATIFICATION OF THE SELECTION OF PRICEWATERHOUSECOOPERS LLP AS OUR INDEPENDENT REGISTERED PUBLIC ACCOUNTING FIRM FOR THE FISCAL YEAR ENDING DECEMBER 31, 2022.</w:t>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28 </w:t>
      </w:r>
      <w:r>
        <w:rPr>
          <w:sz w:val="1"/>
          <w:szCs w:val="1"/>
          <w:color w:val="auto"/>
        </w:rPr>
        <w:drawing>
          <wp:inline distT="0" distB="0" distL="0" distR="0">
            <wp:extent cx="38735" cy="19685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5 </w:t>
      </w:r>
      <w:r>
        <w:rPr>
          <w:rFonts w:ascii="Arial" w:cs="Arial" w:eastAsia="Arial" w:hAnsi="Arial"/>
          <w:sz w:val="39"/>
          <w:szCs w:val="39"/>
          <w:color w:val="1A6DBB"/>
        </w:rPr>
        <w:t>Audit Committee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227965</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22"/>
          <w:szCs w:val="22"/>
          <w:color w:val="1A6DBB"/>
        </w:rPr>
        <w:t>Audit Committee Report</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 xml:space="preserve">The Audit Committee’s role is to act on behalf of our Board of Directors in the oversight of Biogen’s financial reporting, internal control and audit functions. The roles and responsibilities of the Audit Committee are set forth in the written charter adopted by our Board of Directors, which is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 Management has primary responsibility for the financial statements and the reporting process, including the systems of internal control.</w:t>
      </w:r>
    </w:p>
    <w:p>
      <w:pPr>
        <w:spacing w:after="0" w:line="75"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In fulfilling its oversight responsibilities, the Audit Committee, among other things:</w:t>
      </w:r>
    </w:p>
    <w:p>
      <w:pPr>
        <w:spacing w:after="0" w:line="61" w:lineRule="exact"/>
        <w:rPr>
          <w:sz w:val="20"/>
          <w:szCs w:val="20"/>
          <w:color w:val="auto"/>
        </w:rPr>
      </w:pPr>
    </w:p>
    <w:p>
      <w:pPr>
        <w:ind w:left="380" w:right="80" w:hanging="264"/>
        <w:spacing w:after="0" w:line="253" w:lineRule="auto"/>
        <w:tabs>
          <w:tab w:leader="none" w:pos="380" w:val="left"/>
        </w:tabs>
        <w:numPr>
          <w:ilvl w:val="0"/>
          <w:numId w:val="69"/>
        </w:numPr>
        <w:rPr>
          <w:rFonts w:ascii="Arial" w:cs="Arial" w:eastAsia="Arial" w:hAnsi="Arial"/>
          <w:sz w:val="16"/>
          <w:szCs w:val="16"/>
          <w:color w:val="1A6DBB"/>
        </w:rPr>
      </w:pPr>
      <w:r>
        <w:rPr>
          <w:rFonts w:ascii="Arial" w:cs="Arial" w:eastAsia="Arial" w:hAnsi="Arial"/>
          <w:sz w:val="16"/>
          <w:szCs w:val="16"/>
          <w:color w:val="auto"/>
        </w:rPr>
        <w:t>Reviewed and discussed with management the audited consolidated financial statements contained in Biogen’s 2021 Annual Report on Form 10-K;</w:t>
      </w:r>
    </w:p>
    <w:p>
      <w:pPr>
        <w:spacing w:after="0" w:line="1" w:lineRule="exact"/>
        <w:rPr>
          <w:rFonts w:ascii="Arial" w:cs="Arial" w:eastAsia="Arial" w:hAnsi="Arial"/>
          <w:sz w:val="16"/>
          <w:szCs w:val="16"/>
          <w:color w:val="1A6DBB"/>
        </w:rPr>
      </w:pPr>
    </w:p>
    <w:p>
      <w:pPr>
        <w:ind w:left="380" w:right="640" w:hanging="264"/>
        <w:spacing w:after="0" w:line="246" w:lineRule="auto"/>
        <w:tabs>
          <w:tab w:leader="none" w:pos="380" w:val="left"/>
        </w:tabs>
        <w:numPr>
          <w:ilvl w:val="0"/>
          <w:numId w:val="69"/>
        </w:numPr>
        <w:rPr>
          <w:rFonts w:ascii="Arial" w:cs="Arial" w:eastAsia="Arial" w:hAnsi="Arial"/>
          <w:sz w:val="16"/>
          <w:szCs w:val="16"/>
          <w:color w:val="1A6DBB"/>
        </w:rPr>
      </w:pPr>
      <w:r>
        <w:rPr>
          <w:rFonts w:ascii="Arial" w:cs="Arial" w:eastAsia="Arial" w:hAnsi="Arial"/>
          <w:sz w:val="16"/>
          <w:szCs w:val="16"/>
          <w:color w:val="auto"/>
        </w:rPr>
        <w:t>Discussed with PwC, Biogen’s independent registered public accounting firm, the overall scope and plans for the audit;</w:t>
      </w:r>
    </w:p>
    <w:p>
      <w:pPr>
        <w:ind w:left="380" w:hanging="264"/>
        <w:spacing w:after="0" w:line="246" w:lineRule="auto"/>
        <w:tabs>
          <w:tab w:leader="none" w:pos="380" w:val="left"/>
        </w:tabs>
        <w:numPr>
          <w:ilvl w:val="0"/>
          <w:numId w:val="69"/>
        </w:numPr>
        <w:rPr>
          <w:rFonts w:ascii="Arial" w:cs="Arial" w:eastAsia="Arial" w:hAnsi="Arial"/>
          <w:sz w:val="16"/>
          <w:szCs w:val="16"/>
          <w:color w:val="1A6DBB"/>
        </w:rPr>
      </w:pPr>
      <w:r>
        <w:rPr>
          <w:rFonts w:ascii="Arial" w:cs="Arial" w:eastAsia="Arial" w:hAnsi="Arial"/>
          <w:sz w:val="16"/>
          <w:szCs w:val="16"/>
          <w:color w:val="auto"/>
        </w:rPr>
        <w:t>Met with PwC, with and without management present, to discuss the results of its examination, management’s response to any significant findings, its observations of Biogen’s internal control, the overall quality of Biogen’s financial reporting, the selection, application and disclosure of critical accounting policies, new accounting developments and accounting-related disclosures, the key accounting judgments and assumptions made in preparing the financial statements and whether the financial statements would have materially changed had different judgments and assumptions been made and other pertinent items related to Biogen’s accounting, internal control and financial reporting;</w:t>
      </w:r>
    </w:p>
    <w:p>
      <w:pPr>
        <w:spacing w:after="0" w:line="4" w:lineRule="exact"/>
        <w:rPr>
          <w:rFonts w:ascii="Arial" w:cs="Arial" w:eastAsia="Arial" w:hAnsi="Arial"/>
          <w:sz w:val="16"/>
          <w:szCs w:val="16"/>
          <w:color w:val="1A6DBB"/>
        </w:rPr>
      </w:pPr>
    </w:p>
    <w:p>
      <w:pPr>
        <w:ind w:left="380" w:right="80" w:hanging="264"/>
        <w:spacing w:after="0" w:line="256" w:lineRule="auto"/>
        <w:tabs>
          <w:tab w:leader="none" w:pos="380" w:val="left"/>
        </w:tabs>
        <w:numPr>
          <w:ilvl w:val="0"/>
          <w:numId w:val="69"/>
        </w:numPr>
        <w:rPr>
          <w:rFonts w:ascii="Arial" w:cs="Arial" w:eastAsia="Arial" w:hAnsi="Arial"/>
          <w:sz w:val="16"/>
          <w:szCs w:val="16"/>
          <w:color w:val="1A6DBB"/>
        </w:rPr>
      </w:pPr>
      <w:r>
        <w:rPr>
          <w:rFonts w:ascii="Arial" w:cs="Arial" w:eastAsia="Arial" w:hAnsi="Arial"/>
          <w:sz w:val="16"/>
          <w:szCs w:val="16"/>
          <w:color w:val="auto"/>
        </w:rPr>
        <w:t>Discussed with representatives of Biogen’s corporate internal audit staff, with and without management present, their purpose, authority, audit plan and reports;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29 </w:t>
      </w:r>
      <w:r>
        <w:rPr>
          <w:sz w:val="1"/>
          <w:szCs w:val="1"/>
          <w:color w:val="auto"/>
        </w:rPr>
        <w:drawing>
          <wp:inline distT="0" distB="0" distL="0" distR="0">
            <wp:extent cx="38735" cy="19685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6" w:right="160" w:hanging="266"/>
        <w:spacing w:after="0" w:line="256" w:lineRule="auto"/>
        <w:tabs>
          <w:tab w:leader="none" w:pos="266" w:val="left"/>
        </w:tabs>
        <w:numPr>
          <w:ilvl w:val="0"/>
          <w:numId w:val="70"/>
        </w:numPr>
        <w:rPr>
          <w:rFonts w:ascii="Arial" w:cs="Arial" w:eastAsia="Arial" w:hAnsi="Arial"/>
          <w:sz w:val="16"/>
          <w:szCs w:val="16"/>
          <w:color w:val="1A6DBB"/>
        </w:rPr>
      </w:pPr>
      <w:r>
        <w:rPr>
          <w:rFonts w:ascii="Arial" w:cs="Arial" w:eastAsia="Arial" w:hAnsi="Arial"/>
          <w:sz w:val="16"/>
          <w:szCs w:val="16"/>
          <w:color w:val="auto"/>
        </w:rPr>
        <w:t>Reviewed and discussed with PwC the matters required by the Public Company Accounting Oversight Board and the SEC;</w:t>
      </w:r>
    </w:p>
    <w:p>
      <w:pPr>
        <w:spacing w:after="0" w:line="1" w:lineRule="exact"/>
        <w:rPr>
          <w:rFonts w:ascii="Arial" w:cs="Arial" w:eastAsia="Arial" w:hAnsi="Arial"/>
          <w:sz w:val="16"/>
          <w:szCs w:val="16"/>
          <w:color w:val="1A6DBB"/>
        </w:rPr>
      </w:pPr>
    </w:p>
    <w:p>
      <w:pPr>
        <w:ind w:left="266" w:hanging="266"/>
        <w:spacing w:after="0" w:line="246" w:lineRule="auto"/>
        <w:tabs>
          <w:tab w:leader="none" w:pos="266" w:val="left"/>
        </w:tabs>
        <w:numPr>
          <w:ilvl w:val="0"/>
          <w:numId w:val="70"/>
        </w:numPr>
        <w:rPr>
          <w:rFonts w:ascii="Arial" w:cs="Arial" w:eastAsia="Arial" w:hAnsi="Arial"/>
          <w:sz w:val="16"/>
          <w:szCs w:val="16"/>
          <w:color w:val="1A6DBB"/>
        </w:rPr>
      </w:pPr>
      <w:r>
        <w:rPr>
          <w:rFonts w:ascii="Arial" w:cs="Arial" w:eastAsia="Arial" w:hAnsi="Arial"/>
          <w:sz w:val="16"/>
          <w:szCs w:val="16"/>
          <w:color w:val="auto"/>
        </w:rPr>
        <w:t>Discussed with PwC its independence from management and Biogen, including the written disclosures and letter concerning independence received from PwC under applicable requirements of the Public Company Accounting Oversight Board. The Audit Committee has determined that the provision of non-audit services to Biogen by PwC is compatible with its independence;</w:t>
      </w:r>
    </w:p>
    <w:p>
      <w:pPr>
        <w:spacing w:after="0" w:line="2" w:lineRule="exact"/>
        <w:rPr>
          <w:rFonts w:ascii="Arial" w:cs="Arial" w:eastAsia="Arial" w:hAnsi="Arial"/>
          <w:sz w:val="16"/>
          <w:szCs w:val="16"/>
          <w:color w:val="1A6DBB"/>
        </w:rPr>
      </w:pPr>
    </w:p>
    <w:p>
      <w:pPr>
        <w:ind w:left="266" w:right="100" w:hanging="266"/>
        <w:spacing w:after="0" w:line="246" w:lineRule="auto"/>
        <w:tabs>
          <w:tab w:leader="none" w:pos="266" w:val="left"/>
        </w:tabs>
        <w:numPr>
          <w:ilvl w:val="0"/>
          <w:numId w:val="70"/>
        </w:numPr>
        <w:rPr>
          <w:rFonts w:ascii="Arial" w:cs="Arial" w:eastAsia="Arial" w:hAnsi="Arial"/>
          <w:sz w:val="16"/>
          <w:szCs w:val="16"/>
          <w:color w:val="1A6DBB"/>
        </w:rPr>
      </w:pPr>
      <w:r>
        <w:rPr>
          <w:rFonts w:ascii="Arial" w:cs="Arial" w:eastAsia="Arial" w:hAnsi="Arial"/>
          <w:sz w:val="16"/>
          <w:szCs w:val="16"/>
          <w:color w:val="auto"/>
        </w:rPr>
        <w:t>Provided oversight and advice to management in connection with Biogen’s system of internal control over financial reporting in response to the requirements set forth in Section 404 of the Sarbanes-Oxley Act of 2002 and related regulations. In connection with this oversight, the Audit Committee reviewed a report by management on the effectiveness of Biogen’s internal control over financial reporting; and</w:t>
      </w:r>
    </w:p>
    <w:p>
      <w:pPr>
        <w:spacing w:after="0" w:line="2" w:lineRule="exact"/>
        <w:rPr>
          <w:rFonts w:ascii="Arial" w:cs="Arial" w:eastAsia="Arial" w:hAnsi="Arial"/>
          <w:sz w:val="16"/>
          <w:szCs w:val="16"/>
          <w:color w:val="1A6DBB"/>
        </w:rPr>
      </w:pPr>
    </w:p>
    <w:p>
      <w:pPr>
        <w:ind w:left="266" w:right="40" w:hanging="266"/>
        <w:spacing w:after="0" w:line="252" w:lineRule="auto"/>
        <w:tabs>
          <w:tab w:leader="none" w:pos="266" w:val="left"/>
        </w:tabs>
        <w:numPr>
          <w:ilvl w:val="0"/>
          <w:numId w:val="70"/>
        </w:numPr>
        <w:rPr>
          <w:rFonts w:ascii="Arial" w:cs="Arial" w:eastAsia="Arial" w:hAnsi="Arial"/>
          <w:sz w:val="16"/>
          <w:szCs w:val="16"/>
          <w:color w:val="1A6DBB"/>
        </w:rPr>
      </w:pPr>
      <w:r>
        <w:rPr>
          <w:rFonts w:ascii="Arial" w:cs="Arial" w:eastAsia="Arial" w:hAnsi="Arial"/>
          <w:sz w:val="16"/>
          <w:szCs w:val="16"/>
          <w:color w:val="auto"/>
        </w:rPr>
        <w:t>Reviewed PwC’s Report of Independent Registered Public Accounting Firm included in Biogen’s Annual Report on Form 10-K for the fiscal year ended December 31, 2021, related to its audit of the effectiveness of internal control over financial reporting.</w:t>
      </w:r>
    </w:p>
    <w:p>
      <w:pPr>
        <w:spacing w:after="0" w:line="75" w:lineRule="exact"/>
        <w:rPr>
          <w:sz w:val="20"/>
          <w:szCs w:val="20"/>
          <w:color w:val="auto"/>
        </w:rPr>
      </w:pPr>
    </w:p>
    <w:p>
      <w:pPr>
        <w:ind w:left="6" w:right="140"/>
        <w:spacing w:after="0" w:line="259" w:lineRule="auto"/>
        <w:rPr>
          <w:sz w:val="20"/>
          <w:szCs w:val="20"/>
          <w:color w:val="auto"/>
        </w:rPr>
      </w:pPr>
      <w:r>
        <w:rPr>
          <w:rFonts w:ascii="Arial" w:cs="Arial" w:eastAsia="Arial" w:hAnsi="Arial"/>
          <w:sz w:val="16"/>
          <w:szCs w:val="16"/>
          <w:color w:val="auto"/>
        </w:rPr>
        <w:t>In reliance on these reviews and discussions, the Audit Committee recommended to our Board of Directors that the audited consolidated financial statements be included in Biogen’s Annual Report on Form 10-K for the fiscal year ended December 31, 2021, for filing with the SEC.</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8"/>
          <w:szCs w:val="18"/>
          <w:color w:val="1A6DBB"/>
        </w:rPr>
        <w:t>The Audit Committee of our Board of Directors: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16"/>
          <w:szCs w:val="16"/>
          <w:color w:val="auto"/>
        </w:rPr>
        <w:t>Caroline D. Dorsa (Chair)</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6"/>
          <w:szCs w:val="16"/>
          <w:color w:val="auto"/>
        </w:rPr>
        <w:t>William A. Hawkins</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Nancy L. Leaming</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Stephen A. Sherwin,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525145</wp:posOffset>
            </wp:positionV>
            <wp:extent cx="102870" cy="939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60" w:space="374"/>
            <w:col w:w="5386"/>
          </w:cols>
          <w:pgMar w:left="320" w:top="455" w:right="4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5 </w:t>
      </w:r>
      <w:r>
        <w:rPr>
          <w:rFonts w:ascii="Arial" w:cs="Arial" w:eastAsia="Arial" w:hAnsi="Arial"/>
          <w:sz w:val="39"/>
          <w:szCs w:val="39"/>
          <w:color w:val="1A6DBB"/>
        </w:rPr>
        <w:t>Audit Committee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227965</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22"/>
          <w:szCs w:val="22"/>
          <w:color w:val="1A6DBB"/>
        </w:rPr>
        <w:t>Audit and Other Fees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following table shows fees for professional audit services billed to us by PwC for the audit of our annual consolidated financial statements for the years ended December 31, 2021 and December 31, 2020, and fees billed to us by PwC for other services provided during 2021 and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Reports on Form 10-K, reviews of our condensed consolidated financial statements included in our Quarterly Reports on Form 10-Q, review of the consolidated financial statements incorporated by reference into our outstanding registration statements and statutory audit fees in overseas jurisdictions.</w:t>
      </w:r>
    </w:p>
    <w:p>
      <w:pPr>
        <w:spacing w:after="0" w:line="32" w:lineRule="exact"/>
        <w:rPr>
          <w:sz w:val="20"/>
          <w:szCs w:val="20"/>
          <w:color w:val="auto"/>
        </w:rPr>
      </w:pPr>
    </w:p>
    <w:p>
      <w:pPr>
        <w:sectPr>
          <w:pgSz w:w="11900" w:h="16838" w:orient="portrait"/>
          <w:cols w:equalWidth="0" w:num="2">
            <w:col w:w="5320" w:space="420"/>
            <w:col w:w="5360"/>
          </w:cols>
          <w:pgMar w:left="320" w:top="455" w:right="479" w:bottom="1440" w:gutter="0" w:footer="0" w:header="0"/>
          <w:type w:val="continuous"/>
        </w:sectPr>
      </w:pPr>
    </w:p>
    <w:tbl>
      <w:tblPr>
        <w:tblLayout w:type="fixed"/>
        <w:tblInd w:w="120" w:type="dxa"/>
        <w:tblCellMar>
          <w:top w:w="0" w:type="dxa"/>
          <w:left w:w="0" w:type="dxa"/>
          <w:bottom w:w="0" w:type="dxa"/>
          <w:right w:w="0" w:type="dxa"/>
        </w:tblCellMar>
      </w:tblPr>
      <w:tr>
        <w:trPr>
          <w:trHeight w:val="168"/>
        </w:trPr>
        <w:tc>
          <w:tcPr>
            <w:tcW w:w="32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Fees</w:t>
            </w:r>
          </w:p>
        </w:tc>
        <w:tc>
          <w:tcPr>
            <w:tcW w:w="116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r>
      <w:tr>
        <w:trPr>
          <w:trHeight w:val="183"/>
        </w:trPr>
        <w:tc>
          <w:tcPr>
            <w:tcW w:w="3220" w:type="dxa"/>
            <w:vAlign w:val="bottom"/>
            <w:shd w:val="clear" w:color="auto" w:fill="1A6DBB"/>
          </w:tcPr>
          <w:p>
            <w:pPr>
              <w:ind w:left="80"/>
              <w:spacing w:after="0"/>
              <w:rPr>
                <w:sz w:val="20"/>
                <w:szCs w:val="20"/>
                <w:color w:val="auto"/>
              </w:rPr>
            </w:pPr>
            <w:r>
              <w:rPr>
                <w:rFonts w:ascii="Arial" w:cs="Arial" w:eastAsia="Arial" w:hAnsi="Arial"/>
                <w:sz w:val="14"/>
                <w:szCs w:val="14"/>
                <w:i w:val="1"/>
                <w:iCs w:val="1"/>
                <w:color w:val="FFFFFF"/>
              </w:rPr>
              <w:t>(amounts in thousands)</w:t>
            </w:r>
          </w:p>
        </w:tc>
        <w:tc>
          <w:tcPr>
            <w:tcW w:w="1160" w:type="dxa"/>
            <w:vAlign w:val="bottom"/>
            <w:shd w:val="clear" w:color="auto" w:fill="1A6DBB"/>
          </w:tcPr>
          <w:p>
            <w:pPr>
              <w:jc w:val="right"/>
              <w:ind w:right="241"/>
              <w:spacing w:after="0"/>
              <w:rPr>
                <w:sz w:val="20"/>
                <w:szCs w:val="20"/>
                <w:color w:val="auto"/>
              </w:rPr>
            </w:pPr>
            <w:r>
              <w:rPr>
                <w:rFonts w:ascii="Arial" w:cs="Arial" w:eastAsia="Arial" w:hAnsi="Arial"/>
                <w:sz w:val="14"/>
                <w:szCs w:val="14"/>
                <w:color w:val="FFFFFF"/>
              </w:rPr>
              <w:t>2021</w:t>
            </w:r>
          </w:p>
        </w:tc>
        <w:tc>
          <w:tcPr>
            <w:tcW w:w="900" w:type="dxa"/>
            <w:vAlign w:val="bottom"/>
            <w:shd w:val="clear" w:color="auto" w:fill="1A6DBB"/>
          </w:tcPr>
          <w:p>
            <w:pPr>
              <w:jc w:val="right"/>
              <w:ind w:right="181"/>
              <w:spacing w:after="0"/>
              <w:rPr>
                <w:sz w:val="20"/>
                <w:szCs w:val="20"/>
                <w:color w:val="auto"/>
              </w:rPr>
            </w:pPr>
            <w:r>
              <w:rPr>
                <w:rFonts w:ascii="Arial" w:cs="Arial" w:eastAsia="Arial" w:hAnsi="Arial"/>
                <w:sz w:val="14"/>
                <w:szCs w:val="14"/>
                <w:color w:val="FFFFFF"/>
              </w:rPr>
              <w:t>2020</w:t>
            </w:r>
          </w:p>
        </w:tc>
      </w:tr>
      <w:tr>
        <w:trPr>
          <w:trHeight w:val="189"/>
        </w:trPr>
        <w:tc>
          <w:tcPr>
            <w:tcW w:w="3220" w:type="dxa"/>
            <w:vAlign w:val="bottom"/>
            <w:shd w:val="clear" w:color="auto" w:fill="E8F0F8"/>
          </w:tcPr>
          <w:p>
            <w:pPr>
              <w:ind w:left="80"/>
              <w:spacing w:after="0"/>
              <w:rPr>
                <w:sz w:val="20"/>
                <w:szCs w:val="20"/>
                <w:color w:val="auto"/>
              </w:rPr>
            </w:pPr>
            <w:r>
              <w:rPr>
                <w:rFonts w:ascii="Arial" w:cs="Arial" w:eastAsia="Arial" w:hAnsi="Arial"/>
                <w:sz w:val="16"/>
                <w:szCs w:val="16"/>
                <w:color w:val="auto"/>
              </w:rPr>
              <w:t>Audit fees</w:t>
            </w:r>
          </w:p>
        </w:tc>
        <w:tc>
          <w:tcPr>
            <w:tcW w:w="1160" w:type="dxa"/>
            <w:vAlign w:val="bottom"/>
            <w:shd w:val="clear" w:color="auto" w:fill="E8F0F8"/>
          </w:tcPr>
          <w:p>
            <w:pPr>
              <w:jc w:val="right"/>
              <w:ind w:right="81"/>
              <w:spacing w:after="0"/>
              <w:rPr>
                <w:sz w:val="20"/>
                <w:szCs w:val="20"/>
                <w:color w:val="auto"/>
              </w:rPr>
            </w:pPr>
            <w:r>
              <w:rPr>
                <w:rFonts w:ascii="Arial" w:cs="Arial" w:eastAsia="Arial" w:hAnsi="Arial"/>
                <w:sz w:val="16"/>
                <w:szCs w:val="16"/>
                <w:color w:val="auto"/>
              </w:rPr>
              <w:t>$5,758.7</w:t>
            </w:r>
          </w:p>
        </w:tc>
        <w:tc>
          <w:tcPr>
            <w:tcW w:w="900" w:type="dxa"/>
            <w:vAlign w:val="bottom"/>
            <w:shd w:val="clear" w:color="auto" w:fill="E8F0F8"/>
          </w:tcPr>
          <w:p>
            <w:pPr>
              <w:jc w:val="right"/>
              <w:ind w:right="21"/>
              <w:spacing w:after="0"/>
              <w:rPr>
                <w:sz w:val="20"/>
                <w:szCs w:val="20"/>
                <w:color w:val="auto"/>
              </w:rPr>
            </w:pPr>
            <w:r>
              <w:rPr>
                <w:rFonts w:ascii="Arial" w:cs="Arial" w:eastAsia="Arial" w:hAnsi="Arial"/>
                <w:sz w:val="16"/>
                <w:szCs w:val="16"/>
                <w:color w:val="auto"/>
              </w:rPr>
              <w:t>$5,882.0</w:t>
            </w:r>
          </w:p>
        </w:tc>
      </w:tr>
      <w:tr>
        <w:trPr>
          <w:trHeight w:val="189"/>
        </w:trPr>
        <w:tc>
          <w:tcPr>
            <w:tcW w:w="3220" w:type="dxa"/>
            <w:vAlign w:val="bottom"/>
            <w:shd w:val="clear" w:color="auto" w:fill="BAD3EA"/>
          </w:tcPr>
          <w:p>
            <w:pPr>
              <w:ind w:left="80"/>
              <w:spacing w:after="0"/>
              <w:rPr>
                <w:sz w:val="20"/>
                <w:szCs w:val="20"/>
                <w:color w:val="auto"/>
              </w:rPr>
            </w:pPr>
            <w:r>
              <w:rPr>
                <w:rFonts w:ascii="Arial" w:cs="Arial" w:eastAsia="Arial" w:hAnsi="Arial"/>
                <w:sz w:val="16"/>
                <w:szCs w:val="16"/>
                <w:color w:val="auto"/>
              </w:rPr>
              <w:t>Audit-related fees</w:t>
            </w:r>
          </w:p>
        </w:tc>
        <w:tc>
          <w:tcPr>
            <w:tcW w:w="1160" w:type="dxa"/>
            <w:vAlign w:val="bottom"/>
            <w:shd w:val="clear" w:color="auto" w:fill="BAD3EA"/>
          </w:tcPr>
          <w:p>
            <w:pPr>
              <w:jc w:val="right"/>
              <w:ind w:right="81"/>
              <w:spacing w:after="0"/>
              <w:rPr>
                <w:sz w:val="20"/>
                <w:szCs w:val="20"/>
                <w:color w:val="auto"/>
              </w:rPr>
            </w:pPr>
            <w:r>
              <w:rPr>
                <w:rFonts w:ascii="Arial" w:cs="Arial" w:eastAsia="Arial" w:hAnsi="Arial"/>
                <w:sz w:val="16"/>
                <w:szCs w:val="16"/>
                <w:color w:val="auto"/>
              </w:rPr>
              <w:t>50.0</w:t>
            </w:r>
          </w:p>
        </w:tc>
        <w:tc>
          <w:tcPr>
            <w:tcW w:w="900" w:type="dxa"/>
            <w:vAlign w:val="bottom"/>
            <w:shd w:val="clear" w:color="auto" w:fill="BAD3EA"/>
          </w:tcPr>
          <w:p>
            <w:pPr>
              <w:jc w:val="right"/>
              <w:ind w:right="21"/>
              <w:spacing w:after="0"/>
              <w:rPr>
                <w:sz w:val="20"/>
                <w:szCs w:val="20"/>
                <w:color w:val="auto"/>
              </w:rPr>
            </w:pPr>
            <w:r>
              <w:rPr>
                <w:rFonts w:ascii="Arial" w:cs="Arial" w:eastAsia="Arial" w:hAnsi="Arial"/>
                <w:sz w:val="16"/>
                <w:szCs w:val="16"/>
                <w:color w:val="auto"/>
              </w:rPr>
              <w:t>48.2</w:t>
            </w:r>
          </w:p>
        </w:tc>
      </w:tr>
      <w:tr>
        <w:trPr>
          <w:trHeight w:val="189"/>
        </w:trPr>
        <w:tc>
          <w:tcPr>
            <w:tcW w:w="3220" w:type="dxa"/>
            <w:vAlign w:val="bottom"/>
            <w:shd w:val="clear" w:color="auto" w:fill="E8F0F8"/>
          </w:tcPr>
          <w:p>
            <w:pPr>
              <w:ind w:left="80"/>
              <w:spacing w:after="0"/>
              <w:rPr>
                <w:sz w:val="20"/>
                <w:szCs w:val="20"/>
                <w:color w:val="auto"/>
              </w:rPr>
            </w:pPr>
            <w:r>
              <w:rPr>
                <w:rFonts w:ascii="Arial" w:cs="Arial" w:eastAsia="Arial" w:hAnsi="Arial"/>
                <w:sz w:val="16"/>
                <w:szCs w:val="16"/>
                <w:color w:val="auto"/>
              </w:rPr>
              <w:t>Tax fees*</w:t>
            </w:r>
          </w:p>
        </w:tc>
        <w:tc>
          <w:tcPr>
            <w:tcW w:w="1160" w:type="dxa"/>
            <w:vAlign w:val="bottom"/>
            <w:shd w:val="clear" w:color="auto" w:fill="E8F0F8"/>
          </w:tcPr>
          <w:p>
            <w:pPr>
              <w:jc w:val="right"/>
              <w:ind w:right="81"/>
              <w:spacing w:after="0"/>
              <w:rPr>
                <w:sz w:val="20"/>
                <w:szCs w:val="20"/>
                <w:color w:val="auto"/>
              </w:rPr>
            </w:pPr>
            <w:r>
              <w:rPr>
                <w:rFonts w:ascii="Arial" w:cs="Arial" w:eastAsia="Arial" w:hAnsi="Arial"/>
                <w:sz w:val="16"/>
                <w:szCs w:val="16"/>
                <w:color w:val="auto"/>
              </w:rPr>
              <w:t>419.6</w:t>
            </w:r>
          </w:p>
        </w:tc>
        <w:tc>
          <w:tcPr>
            <w:tcW w:w="900" w:type="dxa"/>
            <w:vAlign w:val="bottom"/>
            <w:shd w:val="clear" w:color="auto" w:fill="E8F0F8"/>
          </w:tcPr>
          <w:p>
            <w:pPr>
              <w:jc w:val="right"/>
              <w:ind w:right="21"/>
              <w:spacing w:after="0"/>
              <w:rPr>
                <w:sz w:val="20"/>
                <w:szCs w:val="20"/>
                <w:color w:val="auto"/>
              </w:rPr>
            </w:pPr>
            <w:r>
              <w:rPr>
                <w:rFonts w:ascii="Arial" w:cs="Arial" w:eastAsia="Arial" w:hAnsi="Arial"/>
                <w:sz w:val="16"/>
                <w:szCs w:val="16"/>
                <w:color w:val="auto"/>
              </w:rPr>
              <w:t>392.5</w:t>
            </w:r>
          </w:p>
        </w:tc>
      </w:tr>
      <w:tr>
        <w:trPr>
          <w:trHeight w:val="189"/>
        </w:trPr>
        <w:tc>
          <w:tcPr>
            <w:tcW w:w="3220" w:type="dxa"/>
            <w:vAlign w:val="bottom"/>
            <w:shd w:val="clear" w:color="auto" w:fill="BAD3EA"/>
          </w:tcPr>
          <w:p>
            <w:pPr>
              <w:ind w:left="80"/>
              <w:spacing w:after="0"/>
              <w:rPr>
                <w:sz w:val="20"/>
                <w:szCs w:val="20"/>
                <w:color w:val="auto"/>
              </w:rPr>
            </w:pPr>
            <w:r>
              <w:rPr>
                <w:rFonts w:ascii="Arial" w:cs="Arial" w:eastAsia="Arial" w:hAnsi="Arial"/>
                <w:sz w:val="16"/>
                <w:szCs w:val="16"/>
                <w:color w:val="auto"/>
              </w:rPr>
              <w:t>All other fees</w:t>
            </w:r>
          </w:p>
        </w:tc>
        <w:tc>
          <w:tcPr>
            <w:tcW w:w="1160" w:type="dxa"/>
            <w:vAlign w:val="bottom"/>
            <w:shd w:val="clear" w:color="auto" w:fill="BAD3EA"/>
          </w:tcPr>
          <w:p>
            <w:pPr>
              <w:jc w:val="right"/>
              <w:ind w:right="81"/>
              <w:spacing w:after="0"/>
              <w:rPr>
                <w:sz w:val="20"/>
                <w:szCs w:val="20"/>
                <w:color w:val="auto"/>
              </w:rPr>
            </w:pPr>
            <w:r>
              <w:rPr>
                <w:rFonts w:ascii="Arial" w:cs="Arial" w:eastAsia="Arial" w:hAnsi="Arial"/>
                <w:sz w:val="16"/>
                <w:szCs w:val="16"/>
                <w:color w:val="auto"/>
              </w:rPr>
              <w:t>129.5</w:t>
            </w:r>
          </w:p>
        </w:tc>
        <w:tc>
          <w:tcPr>
            <w:tcW w:w="900" w:type="dxa"/>
            <w:vAlign w:val="bottom"/>
            <w:shd w:val="clear" w:color="auto" w:fill="BAD3EA"/>
          </w:tcPr>
          <w:p>
            <w:pPr>
              <w:jc w:val="right"/>
              <w:ind w:right="21"/>
              <w:spacing w:after="0"/>
              <w:rPr>
                <w:sz w:val="20"/>
                <w:szCs w:val="20"/>
                <w:color w:val="auto"/>
              </w:rPr>
            </w:pPr>
            <w:r>
              <w:rPr>
                <w:rFonts w:ascii="Arial" w:cs="Arial" w:eastAsia="Arial" w:hAnsi="Arial"/>
                <w:sz w:val="16"/>
                <w:szCs w:val="16"/>
                <w:color w:val="auto"/>
              </w:rPr>
              <w:t>9.9</w:t>
            </w:r>
          </w:p>
        </w:tc>
      </w:tr>
      <w:tr>
        <w:trPr>
          <w:trHeight w:val="189"/>
        </w:trPr>
        <w:tc>
          <w:tcPr>
            <w:tcW w:w="322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shd w:val="clear" w:color="auto" w:fill="E8F0F8"/>
          </w:tcPr>
          <w:p>
            <w:pPr>
              <w:jc w:val="right"/>
              <w:ind w:right="81"/>
              <w:spacing w:after="0"/>
              <w:rPr>
                <w:sz w:val="20"/>
                <w:szCs w:val="20"/>
                <w:color w:val="auto"/>
              </w:rPr>
            </w:pPr>
            <w:r>
              <w:rPr>
                <w:rFonts w:ascii="Arial" w:cs="Arial" w:eastAsia="Arial" w:hAnsi="Arial"/>
                <w:sz w:val="16"/>
                <w:szCs w:val="16"/>
                <w:b w:val="1"/>
                <w:bCs w:val="1"/>
                <w:color w:val="auto"/>
              </w:rPr>
              <w:t>$6,357.8</w:t>
            </w:r>
          </w:p>
        </w:tc>
        <w:tc>
          <w:tcPr>
            <w:tcW w:w="900" w:type="dxa"/>
            <w:vAlign w:val="bottom"/>
            <w:tcBorders>
              <w:bottom w:val="single" w:sz="8" w:color="auto"/>
            </w:tcBorders>
            <w:shd w:val="clear" w:color="auto" w:fill="E8F0F8"/>
          </w:tcPr>
          <w:p>
            <w:pPr>
              <w:jc w:val="right"/>
              <w:ind w:right="21"/>
              <w:spacing w:after="0"/>
              <w:rPr>
                <w:sz w:val="20"/>
                <w:szCs w:val="20"/>
                <w:color w:val="auto"/>
              </w:rPr>
            </w:pPr>
            <w:r>
              <w:rPr>
                <w:rFonts w:ascii="Arial" w:cs="Arial" w:eastAsia="Arial" w:hAnsi="Arial"/>
                <w:sz w:val="16"/>
                <w:szCs w:val="16"/>
                <w:b w:val="1"/>
                <w:bCs w:val="1"/>
                <w:color w:val="auto"/>
              </w:rPr>
              <w:t>$6,332.6</w:t>
            </w:r>
          </w:p>
        </w:tc>
      </w:tr>
    </w:tbl>
    <w:p>
      <w:pPr>
        <w:ind w:left="340" w:right="220" w:hanging="224"/>
        <w:spacing w:after="0" w:line="27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tax compliance fees of approximately $23,000 and $80,000 in 2021 and 2020, respectively.</w:t>
      </w:r>
    </w:p>
    <w:p>
      <w:pPr>
        <w:spacing w:after="0" w:line="54"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i w:val="1"/>
          <w:iCs w:val="1"/>
          <w:color w:val="1A6DBB"/>
        </w:rPr>
        <w:t xml:space="preserve">Audit fees </w:t>
      </w:r>
      <w:r>
        <w:rPr>
          <w:rFonts w:ascii="Arial" w:cs="Arial" w:eastAsia="Arial" w:hAnsi="Arial"/>
          <w:sz w:val="16"/>
          <w:szCs w:val="16"/>
          <w:color w:val="000000"/>
        </w:rPr>
        <w:t>are fees for the audit of our 2021 and 2020 consolidated</w:t>
      </w:r>
      <w:r>
        <w:rPr>
          <w:rFonts w:ascii="Arial" w:cs="Arial" w:eastAsia="Arial" w:hAnsi="Arial"/>
          <w:sz w:val="16"/>
          <w:szCs w:val="16"/>
          <w:i w:val="1"/>
          <w:iCs w:val="1"/>
          <w:color w:val="1A6DBB"/>
        </w:rPr>
        <w:t xml:space="preserve"> </w:t>
      </w:r>
      <w:r>
        <w:rPr>
          <w:rFonts w:ascii="Arial" w:cs="Arial" w:eastAsia="Arial" w:hAnsi="Arial"/>
          <w:sz w:val="16"/>
          <w:szCs w:val="16"/>
          <w:color w:val="000000"/>
        </w:rPr>
        <w:t>financial statements included in our Annual</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i w:val="1"/>
          <w:iCs w:val="1"/>
          <w:color w:val="1A6DBB"/>
        </w:rPr>
        <w:t xml:space="preserve">Audit-related fees </w:t>
      </w:r>
      <w:r>
        <w:rPr>
          <w:rFonts w:ascii="Arial" w:cs="Arial" w:eastAsia="Arial" w:hAnsi="Arial"/>
          <w:sz w:val="16"/>
          <w:szCs w:val="16"/>
          <w:color w:val="000000"/>
        </w:rPr>
        <w:t>are fees that principally relate to assurance and related</w:t>
      </w:r>
      <w:r>
        <w:rPr>
          <w:rFonts w:ascii="Arial" w:cs="Arial" w:eastAsia="Arial" w:hAnsi="Arial"/>
          <w:sz w:val="16"/>
          <w:szCs w:val="16"/>
          <w:i w:val="1"/>
          <w:iCs w:val="1"/>
          <w:color w:val="1A6DBB"/>
        </w:rPr>
        <w:t xml:space="preserve"> </w:t>
      </w:r>
      <w:r>
        <w:rPr>
          <w:rFonts w:ascii="Arial" w:cs="Arial" w:eastAsia="Arial" w:hAnsi="Arial"/>
          <w:sz w:val="16"/>
          <w:szCs w:val="16"/>
          <w:color w:val="000000"/>
        </w:rPr>
        <w:t>services that are also performed by our independent registered public accounting firm. More specifically, these services include audits of employee benefit plan information that are not required by statute or regulation.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1A6DBB"/>
        </w:rPr>
        <w:t xml:space="preserve">Tax fees </w:t>
      </w:r>
      <w:r>
        <w:rPr>
          <w:rFonts w:ascii="Arial" w:cs="Arial" w:eastAsia="Arial" w:hAnsi="Arial"/>
          <w:sz w:val="16"/>
          <w:szCs w:val="16"/>
          <w:color w:val="000000"/>
        </w:rPr>
        <w:t>are fees for tax compliance and planning services.</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1A6DBB"/>
        </w:rPr>
        <w:t xml:space="preserve">All other fees </w:t>
      </w:r>
      <w:r>
        <w:rPr>
          <w:rFonts w:ascii="Arial" w:cs="Arial" w:eastAsia="Arial" w:hAnsi="Arial"/>
          <w:sz w:val="16"/>
          <w:szCs w:val="16"/>
          <w:color w:val="000000"/>
        </w:rPr>
        <w:t>include accounting research software, information systems</w:t>
      </w:r>
      <w:r>
        <w:rPr>
          <w:rFonts w:ascii="Arial" w:cs="Arial" w:eastAsia="Arial" w:hAnsi="Arial"/>
          <w:sz w:val="16"/>
          <w:szCs w:val="16"/>
          <w:i w:val="1"/>
          <w:iCs w:val="1"/>
          <w:color w:val="1A6DBB"/>
        </w:rPr>
        <w:t xml:space="preserve"> </w:t>
      </w:r>
      <w:r>
        <w:rPr>
          <w:rFonts w:ascii="Arial" w:cs="Arial" w:eastAsia="Arial" w:hAnsi="Arial"/>
          <w:sz w:val="16"/>
          <w:szCs w:val="16"/>
          <w:color w:val="000000"/>
        </w:rPr>
        <w:t>reviews not performed in connection with the audit, and other advisory and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408940</wp:posOffset>
            </wp:positionV>
            <wp:extent cx="69951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5400" w:space="340"/>
            <w:col w:w="5360"/>
          </w:cols>
          <w:pgMar w:left="320" w:top="455" w:right="479" w:bottom="1440" w:gutter="0" w:footer="0" w:header="0"/>
          <w:type w:val="continuous"/>
        </w:sect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21"/>
          <w:szCs w:val="21"/>
          <w:color w:val="1A6DBB"/>
        </w:rPr>
        <w:t>Policy on Pre-Approval of Audit and Non-Audit Services</w:t>
      </w:r>
    </w:p>
    <w:p>
      <w:pPr>
        <w:spacing w:after="0" w:line="189"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Our Audit Committee has the sole authority to approve the scope of the audit and any audit-related services as well as all audit fees and terms. Our Audit Committee must pre-approve any audit and non-audit services provided by our independent registered public accounting firm. Our Audit Committee will not approve the engagement of the independent registered public accounting firm to perform any services that the independent registered public accounting firm would be prohibited from providing under applicable securities laws, Nasdaq requirements or Public Company Accounting Oversight Board rules. In assessing whether to approve the use of our independent registered public accounting firm to provide permitted non-audit services, our Audit Committee tries to minimize relationships that could appear to impair the objectivity of our independent registered public accounting firm. Our Audit Committee will approve permitted non-audit services by our independent registered public accounting firm only when it will be more effective or economical to have such services provided by our independent registered public accounting firm than by another firm.</w:t>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30 </w:t>
      </w:r>
      <w:r>
        <w:rPr>
          <w:sz w:val="1"/>
          <w:szCs w:val="1"/>
          <w:color w:val="auto"/>
        </w:rPr>
        <w:drawing>
          <wp:inline distT="0" distB="0" distL="0" distR="0">
            <wp:extent cx="38735" cy="19685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Audit Committee annually reviews and pre-approves the audit, audit-related, tax and other permissible non-audit services that can be provided by the independent registered public accounting firm. After the annual review, any proposed services exceeding pre-set levels or amounts, or additional services not previously approved requires separate pre-approval by our Audit Committee or the Chair of our Audit Committee. Any pre-approval decision made by the Chair of our Audit Committee is reported to our Audit Committee at the next regularly scheduled Audit Committee meeting. Our Chief Financial Officer and our Chief Accounting Officer can approve up to an additional $50,000 in the aggregate per calendar year for categories of services that our Audit Committee (or the Chair through its delegated authority) has pre-approved.</w:t>
      </w:r>
    </w:p>
    <w:p>
      <w:pPr>
        <w:spacing w:after="0" w:line="76"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All of the services provided by PwC during 2021 and 2020 were pre-approved in accordance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544830</wp:posOffset>
            </wp:positionV>
            <wp:extent cx="102870" cy="939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440" w:space="300"/>
            <w:col w:w="5360"/>
          </w:cols>
          <w:pgMar w:left="320" w:top="455" w:right="4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90"/>
          <w:szCs w:val="90"/>
          <w:color w:val="1A6DBB"/>
        </w:rPr>
        <w:t xml:space="preserve">6 </w:t>
      </w:r>
      <w:r>
        <w:rPr>
          <w:rFonts w:ascii="Arial" w:cs="Arial" w:eastAsia="Arial" w:hAnsi="Arial"/>
          <w:sz w:val="41"/>
          <w:szCs w:val="41"/>
          <w:color w:val="1A6DBB"/>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-639445</wp:posOffset>
            </wp:positionV>
            <wp:extent cx="6995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277495</wp:posOffset>
            </wp:positionV>
            <wp:extent cx="6858000" cy="1200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00" cy="120015"/>
                    </a:xfrm>
                    <a:prstGeom prst="rect">
                      <a:avLst/>
                    </a:prstGeom>
                    <a:noFill/>
                  </pic:spPr>
                </pic:pic>
              </a:graphicData>
            </a:graphic>
          </wp:anchor>
        </w:drawing>
      </w:r>
    </w:p>
    <w:p>
      <w:pPr>
        <w:spacing w:after="0" w:line="357" w:lineRule="exact"/>
        <w:rPr>
          <w:sz w:val="20"/>
          <w:szCs w:val="20"/>
          <w:color w:val="auto"/>
        </w:rPr>
      </w:pPr>
    </w:p>
    <w:p>
      <w:pPr>
        <w:ind w:left="120"/>
        <w:spacing w:after="0"/>
        <w:rPr>
          <w:sz w:val="20"/>
          <w:szCs w:val="20"/>
          <w:color w:val="auto"/>
        </w:rPr>
      </w:pPr>
      <w:r>
        <w:rPr>
          <w:sz w:val="1"/>
          <w:szCs w:val="1"/>
          <w:color w:val="auto"/>
        </w:rPr>
        <w:drawing>
          <wp:inline distT="0" distB="0" distL="0" distR="0">
            <wp:extent cx="77470" cy="47180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471805"/>
                    </a:xfrm>
                    <a:prstGeom prst="rect">
                      <a:avLst/>
                    </a:prstGeom>
                    <a:noFill/>
                    <a:ln>
                      <a:noFill/>
                    </a:ln>
                  </pic:spPr>
                </pic:pic>
              </a:graphicData>
            </a:graphic>
          </wp:inline>
        </w:drawing>
      </w:r>
      <w:r>
        <w:rPr>
          <w:rFonts w:ascii="Arial" w:cs="Arial" w:eastAsia="Arial" w:hAnsi="Arial"/>
          <w:sz w:val="28"/>
          <w:szCs w:val="28"/>
          <w:color w:val="FFFFFF"/>
        </w:rPr>
        <w:t xml:space="preserve"> Proposal 3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-351155</wp:posOffset>
            </wp:positionV>
            <wp:extent cx="6917690" cy="4718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17690" cy="47180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5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Our CD&amp;A, which appears below, describes our executive compensation programs and the compensation decisions that our C&amp;MD Committee and our Board of Directors made with respect to the 2021 compensation of our named executive officers. This year our CD&amp;A also includes a discussion of the focused stockholder engagement effort we undertook in 2021 related to executive compensation, a discussion of changes made by our C&amp;MD Committee to the executive compensation program for 2022, which was partially in response to that engagement effort, as well as an overview of our 2021 program design and performance to provide context for the compensation described in the CD&amp;A and in the tables that follow it. As required pursuant to Section 14A of the Exchange Act, our Board of Directors is asking that stockholders cast a non-binding, advisory vote FOR the following resolution:</w:t>
      </w:r>
    </w:p>
    <w:p>
      <w:pPr>
        <w:spacing w:after="0" w:line="83" w:lineRule="exact"/>
        <w:rPr>
          <w:sz w:val="20"/>
          <w:szCs w:val="20"/>
          <w:color w:val="auto"/>
        </w:rPr>
      </w:pPr>
    </w:p>
    <w:p>
      <w:pPr>
        <w:ind w:left="540"/>
        <w:spacing w:after="0" w:line="25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CD&amp;A, compensation tables and narrative discussion, is hereby APPROVED.”</w:t>
      </w:r>
    </w:p>
    <w:p>
      <w:pPr>
        <w:spacing w:after="0" w:line="70" w:lineRule="exact"/>
        <w:rPr>
          <w:sz w:val="20"/>
          <w:szCs w:val="20"/>
          <w:color w:val="auto"/>
        </w:rPr>
      </w:pPr>
    </w:p>
    <w:p>
      <w:pPr>
        <w:ind w:left="120" w:right="520"/>
        <w:spacing w:after="0" w:line="286" w:lineRule="auto"/>
        <w:rPr>
          <w:sz w:val="20"/>
          <w:szCs w:val="20"/>
          <w:color w:val="auto"/>
        </w:rPr>
      </w:pPr>
      <w:r>
        <w:rPr>
          <w:rFonts w:ascii="Arial" w:cs="Arial" w:eastAsia="Arial" w:hAnsi="Arial"/>
          <w:sz w:val="16"/>
          <w:szCs w:val="16"/>
          <w:color w:val="auto"/>
        </w:rPr>
        <w:t>Our Board of Directors is asking that our stockholders support this proposal. Although the vote you are being</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asked to cast is non-binding, we value the views of our stockholders, and our C&amp;MD Committee and our Board of Directors will consider the outcome of the vote when making future compensation decisions for our named executive officers. As we describe in our CD&amp;A, our executive compensation programs embody a pay-for-performance philosophy that supports our business strategy and aligns the interests of our executives with those of our stockholders. In particular, our executive compensation programs reward financial, strategic and operational performance, and the goals set under our plans support our short- and long-range plans. In addition, to discourage excessive risk taking, we maintain policies for stock ownership, and our equity and annual bonus incentive plans have provisions providing for the recoupment of compensation. We also cap payments under our annual bonus plan, and we generally require multi-year vesting periods for LTI awards.</w:t>
      </w:r>
    </w:p>
    <w:p>
      <w:pPr>
        <w:spacing w:after="0" w:line="8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will hold a non-binding, advisory vote of our stockholders on the compensation of our named executive officers every year until the next required stockholder vote on the frequency of such advisory vote. The next stockholder vote on the frequency of such advisory vote is expected to be held at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290195</wp:posOffset>
            </wp:positionV>
            <wp:extent cx="7020560" cy="3251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20560" cy="325120"/>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2">
            <w:col w:w="5360" w:space="380"/>
            <w:col w:w="5380"/>
          </w:cols>
          <w:pgMar w:left="320" w:top="455" w:right="459" w:bottom="1440" w:gutter="0" w:footer="0" w:header="0"/>
          <w:type w:val="continuous"/>
        </w:sectPr>
      </w:pP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OUR BOARD OF DIRECTORS RECOMMENDS THAT STOCKHOLDERS VOTE</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1A6DBB"/>
        </w:rPr>
        <w:t xml:space="preserve">FOR </w:t>
      </w:r>
      <w:r>
        <w:rPr>
          <w:rFonts w:ascii="Arial" w:cs="Arial" w:eastAsia="Arial" w:hAnsi="Arial"/>
          <w:sz w:val="16"/>
          <w:szCs w:val="16"/>
          <w:b w:val="1"/>
          <w:bCs w:val="1"/>
          <w:i w:val="1"/>
          <w:iCs w:val="1"/>
          <w:color w:val="000000"/>
        </w:rPr>
        <w:t>THE APPROVAL OF THE RESOLUTION SET FORTH ABOVE.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31 </w:t>
      </w:r>
      <w:r>
        <w:rPr>
          <w:sz w:val="1"/>
          <w:szCs w:val="1"/>
          <w:color w:val="auto"/>
        </w:rPr>
        <w:drawing>
          <wp:inline distT="0" distB="0" distL="0" distR="0">
            <wp:extent cx="38735" cy="19685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72"/>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1968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COMPENSATION DISCUSSION AND ANALYSIS</w:t>
      </w:r>
    </w:p>
    <w:p>
      <w:pPr>
        <w:spacing w:after="0" w:line="135"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This Compensation Discussion and Analysis (CD&amp;A) describes our compensation strategy and philosophy and the policies and practices underlying our executive compensation programs for 2021. It also provides information regarding the compensation that was earned by and awarded to our 2021 named executive officers, whom we refer to collectively as “named executive officers” or “NEOs.” It also explains the significant actions the Compensation Committee took based on its ongoing commitment to consider stockholder feedback. Our named executive officers include our current and former executive officers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711200" cy="8826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1200" cy="8826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140335</wp:posOffset>
            </wp:positionV>
            <wp:extent cx="711200" cy="8826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1200" cy="882650"/>
                    </a:xfrm>
                    <a:prstGeom prst="rect">
                      <a:avLst/>
                    </a:prstGeom>
                    <a:noFill/>
                  </pic:spPr>
                </pic:pic>
              </a:graphicData>
            </a:graphic>
          </wp:anchor>
        </w:drawing>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202"/>
        </w:trPr>
        <w:tc>
          <w:tcPr>
            <w:tcW w:w="3940" w:type="dxa"/>
            <w:vAlign w:val="bottom"/>
            <w:tcBorders>
              <w:top w:val="single" w:sz="8" w:color="1A6DBB"/>
            </w:tcBorders>
          </w:tcPr>
          <w:p>
            <w:pPr>
              <w:ind w:left="300"/>
              <w:spacing w:after="0" w:line="202" w:lineRule="exact"/>
              <w:rPr>
                <w:sz w:val="20"/>
                <w:szCs w:val="20"/>
                <w:color w:val="auto"/>
              </w:rPr>
            </w:pPr>
            <w:r>
              <w:rPr>
                <w:rFonts w:ascii="Arial" w:cs="Arial" w:eastAsia="Arial" w:hAnsi="Arial"/>
                <w:sz w:val="18"/>
                <w:szCs w:val="18"/>
                <w:b w:val="1"/>
                <w:bCs w:val="1"/>
                <w:color w:val="1A6DBB"/>
              </w:rPr>
              <w:t>Michel Vounatsos</w:t>
            </w:r>
          </w:p>
        </w:tc>
        <w:tc>
          <w:tcPr>
            <w:tcW w:w="2200" w:type="dxa"/>
            <w:vAlign w:val="bottom"/>
          </w:tcPr>
          <w:p>
            <w:pPr>
              <w:spacing w:after="0"/>
              <w:rPr>
                <w:sz w:val="17"/>
                <w:szCs w:val="17"/>
                <w:color w:val="auto"/>
              </w:rPr>
            </w:pPr>
          </w:p>
        </w:tc>
        <w:tc>
          <w:tcPr>
            <w:tcW w:w="3080" w:type="dxa"/>
            <w:vAlign w:val="bottom"/>
            <w:tcBorders>
              <w:top w:val="single" w:sz="8" w:color="1A6DBB"/>
            </w:tcBorders>
          </w:tcPr>
          <w:p>
            <w:pPr>
              <w:ind w:left="300"/>
              <w:spacing w:after="0" w:line="202" w:lineRule="exact"/>
              <w:rPr>
                <w:sz w:val="20"/>
                <w:szCs w:val="20"/>
                <w:color w:val="auto"/>
              </w:rPr>
            </w:pPr>
            <w:r>
              <w:rPr>
                <w:rFonts w:ascii="Arial" w:cs="Arial" w:eastAsia="Arial" w:hAnsi="Arial"/>
                <w:sz w:val="18"/>
                <w:szCs w:val="18"/>
                <w:b w:val="1"/>
                <w:bCs w:val="1"/>
                <w:color w:val="1A6DBB"/>
              </w:rPr>
              <w:t>Susan H. Alexander</w:t>
            </w:r>
          </w:p>
        </w:tc>
      </w:tr>
      <w:tr>
        <w:trPr>
          <w:trHeight w:val="215"/>
        </w:trPr>
        <w:tc>
          <w:tcPr>
            <w:tcW w:w="6140" w:type="dxa"/>
            <w:vAlign w:val="bottom"/>
            <w:gridSpan w:val="2"/>
          </w:tcPr>
          <w:p>
            <w:pPr>
              <w:ind w:left="280"/>
              <w:spacing w:after="0"/>
              <w:rPr>
                <w:sz w:val="20"/>
                <w:szCs w:val="20"/>
                <w:color w:val="auto"/>
              </w:rPr>
            </w:pPr>
            <w:r>
              <w:rPr>
                <w:rFonts w:ascii="Arial" w:cs="Arial" w:eastAsia="Arial" w:hAnsi="Arial"/>
                <w:sz w:val="16"/>
                <w:szCs w:val="16"/>
                <w:color w:val="auto"/>
              </w:rPr>
              <w:t>Chief Executive Officer</w:t>
            </w:r>
          </w:p>
        </w:tc>
        <w:tc>
          <w:tcPr>
            <w:tcW w:w="3080" w:type="dxa"/>
            <w:vAlign w:val="bottom"/>
          </w:tcPr>
          <w:p>
            <w:pPr>
              <w:ind w:left="280"/>
              <w:spacing w:after="0"/>
              <w:rPr>
                <w:sz w:val="20"/>
                <w:szCs w:val="20"/>
                <w:color w:val="auto"/>
              </w:rPr>
            </w:pPr>
            <w:r>
              <w:rPr>
                <w:rFonts w:ascii="Arial" w:cs="Arial" w:eastAsia="Arial" w:hAnsi="Arial"/>
                <w:sz w:val="16"/>
                <w:szCs w:val="16"/>
                <w:color w:val="auto"/>
              </w:rPr>
              <w:t>Chief Legal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738505</wp:posOffset>
            </wp:positionV>
            <wp:extent cx="711200" cy="8826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1200" cy="8826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738505</wp:posOffset>
            </wp:positionV>
            <wp:extent cx="711200" cy="8826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120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920" w:type="dxa"/>
        <w:tblCellMar>
          <w:top w:w="0" w:type="dxa"/>
          <w:left w:w="0" w:type="dxa"/>
          <w:bottom w:w="0" w:type="dxa"/>
          <w:right w:w="0" w:type="dxa"/>
        </w:tblCellMar>
      </w:tblPr>
      <w:tr>
        <w:trPr>
          <w:trHeight w:val="202"/>
        </w:trPr>
        <w:tc>
          <w:tcPr>
            <w:tcW w:w="3940" w:type="dxa"/>
            <w:vAlign w:val="bottom"/>
            <w:tcBorders>
              <w:top w:val="single" w:sz="8" w:color="1A6DBB"/>
            </w:tcBorders>
          </w:tcPr>
          <w:p>
            <w:pPr>
              <w:ind w:left="300"/>
              <w:spacing w:after="0" w:line="202" w:lineRule="exact"/>
              <w:rPr>
                <w:sz w:val="20"/>
                <w:szCs w:val="20"/>
                <w:color w:val="auto"/>
              </w:rPr>
            </w:pPr>
            <w:r>
              <w:rPr>
                <w:rFonts w:ascii="Arial" w:cs="Arial" w:eastAsia="Arial" w:hAnsi="Arial"/>
                <w:sz w:val="18"/>
                <w:szCs w:val="18"/>
                <w:b w:val="1"/>
                <w:bCs w:val="1"/>
                <w:color w:val="1A6DBB"/>
              </w:rPr>
              <w:t>Michael R. McDonnell</w:t>
            </w:r>
          </w:p>
        </w:tc>
        <w:tc>
          <w:tcPr>
            <w:tcW w:w="2200" w:type="dxa"/>
            <w:vAlign w:val="bottom"/>
          </w:tcPr>
          <w:p>
            <w:pPr>
              <w:spacing w:after="0"/>
              <w:rPr>
                <w:sz w:val="17"/>
                <w:szCs w:val="17"/>
                <w:color w:val="auto"/>
              </w:rPr>
            </w:pPr>
          </w:p>
        </w:tc>
        <w:tc>
          <w:tcPr>
            <w:tcW w:w="3080" w:type="dxa"/>
            <w:vAlign w:val="bottom"/>
            <w:tcBorders>
              <w:top w:val="single" w:sz="8" w:color="1A6DBB"/>
            </w:tcBorders>
          </w:tcPr>
          <w:p>
            <w:pPr>
              <w:ind w:left="300"/>
              <w:spacing w:after="0" w:line="202" w:lineRule="exact"/>
              <w:rPr>
                <w:sz w:val="20"/>
                <w:szCs w:val="20"/>
                <w:color w:val="auto"/>
              </w:rPr>
            </w:pPr>
            <w:r>
              <w:rPr>
                <w:rFonts w:ascii="Arial" w:cs="Arial" w:eastAsia="Arial" w:hAnsi="Arial"/>
                <w:sz w:val="18"/>
                <w:szCs w:val="18"/>
                <w:b w:val="1"/>
                <w:bCs w:val="1"/>
                <w:color w:val="1A6DBB"/>
              </w:rPr>
              <w:t>Chirfi Guindo</w:t>
            </w:r>
          </w:p>
        </w:tc>
      </w:tr>
      <w:tr>
        <w:trPr>
          <w:trHeight w:val="189"/>
        </w:trPr>
        <w:tc>
          <w:tcPr>
            <w:tcW w:w="6140" w:type="dxa"/>
            <w:vAlign w:val="bottom"/>
            <w:gridSpan w:val="2"/>
          </w:tcPr>
          <w:p>
            <w:pPr>
              <w:ind w:left="280"/>
              <w:spacing w:after="0"/>
              <w:rPr>
                <w:sz w:val="20"/>
                <w:szCs w:val="20"/>
                <w:color w:val="auto"/>
              </w:rPr>
            </w:pPr>
            <w:r>
              <w:rPr>
                <w:rFonts w:ascii="Arial" w:cs="Arial" w:eastAsia="Arial" w:hAnsi="Arial"/>
                <w:sz w:val="16"/>
                <w:szCs w:val="16"/>
                <w:color w:val="auto"/>
              </w:rPr>
              <w:t>Chief Financial Officer</w:t>
            </w:r>
          </w:p>
        </w:tc>
        <w:tc>
          <w:tcPr>
            <w:tcW w:w="3080" w:type="dxa"/>
            <w:vAlign w:val="bottom"/>
          </w:tcPr>
          <w:p>
            <w:pPr>
              <w:ind w:left="280"/>
              <w:spacing w:after="0"/>
              <w:rPr>
                <w:sz w:val="20"/>
                <w:szCs w:val="20"/>
                <w:color w:val="auto"/>
              </w:rPr>
            </w:pPr>
            <w:r>
              <w:rPr>
                <w:rFonts w:ascii="Arial" w:cs="Arial" w:eastAsia="Arial" w:hAnsi="Arial"/>
                <w:sz w:val="16"/>
                <w:szCs w:val="16"/>
                <w:color w:val="auto"/>
              </w:rPr>
              <w:t>Head of Global Product Strategy</w:t>
            </w:r>
          </w:p>
        </w:tc>
      </w:tr>
      <w:tr>
        <w:trPr>
          <w:trHeight w:val="215"/>
        </w:trPr>
        <w:tc>
          <w:tcPr>
            <w:tcW w:w="3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80" w:type="dxa"/>
            <w:vAlign w:val="bottom"/>
          </w:tcPr>
          <w:p>
            <w:pPr>
              <w:ind w:left="280"/>
              <w:spacing w:after="0"/>
              <w:rPr>
                <w:sz w:val="20"/>
                <w:szCs w:val="20"/>
                <w:color w:val="auto"/>
              </w:rPr>
            </w:pPr>
            <w:r>
              <w:rPr>
                <w:rFonts w:ascii="Arial" w:cs="Arial" w:eastAsia="Arial" w:hAnsi="Arial"/>
                <w:sz w:val="16"/>
                <w:szCs w:val="16"/>
                <w:color w:val="auto"/>
              </w:rPr>
              <w:t>and Commercialization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1A6DBB"/>
        </w:rPr>
        <w:t>Alfred W. Sandrock, Jr.,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651885" cy="8826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651885" cy="88265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6"/>
          <w:szCs w:val="16"/>
          <w:color w:val="auto"/>
        </w:rPr>
        <w:t>Former Head of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hanging="324"/>
        <w:spacing w:after="0"/>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2021 Advisory Vote on Executive Compensation</w:t>
      </w:r>
    </w:p>
    <w:p>
      <w:pPr>
        <w:spacing w:after="0" w:line="111"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For over the past four years, we have maintained a consistent approach to the design of our executive compensation programs with the intent to align executive pay to company performance. The history of our say-on-pay results before 2021 demonstrated strong stockholder support for our program for many years, averaging more than 95% say-on-pay support between 2011 and 2020.</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32 </w:t>
      </w:r>
      <w:r>
        <w:rPr>
          <w:sz w:val="1"/>
          <w:szCs w:val="1"/>
          <w:color w:val="auto"/>
        </w:rPr>
        <w:drawing>
          <wp:inline distT="0" distB="0" distL="0" distR="0">
            <wp:extent cx="38735" cy="1968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74"/>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Prior to the 2021 Annual Meeting and additionally in response to the lower level of support for our 2021 say-on-pay vote, with approximately 51% of the votes cast for approval, and pursuant to our ongoing commitment to engage with our stockholders, independent members of our Board and members of our management team, led by our C&amp;MD Committee chair Brian Posner, performed stockholder outreach to better understand the concerns and perspectives of our stockholders, including those who did not support our say-on-pay vote in 2021. As part of this outreach, our C&amp;MD Committee chair, independent members of our Board and members of management had meetings with shareholders holding approximately 42% of our outstanding shares, to listen to and receive feedback on our executive compensation programs and other matters. Meetings with stockholders were attended by our C&amp;MD Committee chair, members of our Board and management team, together with representatives from our legal and investor relations departments.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64135</wp:posOffset>
            </wp:positionV>
            <wp:extent cx="5314950" cy="291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314950" cy="291465"/>
                    </a:xfrm>
                    <a:prstGeom prst="rect">
                      <a:avLst/>
                    </a:prstGeom>
                    <a:noFill/>
                  </pic:spPr>
                </pic:pic>
              </a:graphicData>
            </a:graphic>
          </wp:anchor>
        </w:drawing>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Extensive Shareholder Outreach and Engagement</w:t>
      </w:r>
    </w:p>
    <w:p>
      <w:pPr>
        <w:spacing w:after="0" w:line="45" w:lineRule="exact"/>
        <w:rPr>
          <w:sz w:val="20"/>
          <w:szCs w:val="20"/>
          <w:color w:val="auto"/>
        </w:rPr>
      </w:pPr>
    </w:p>
    <w:tbl>
      <w:tblPr>
        <w:tblLayout w:type="fixed"/>
        <w:tblInd w:w="1440" w:type="dxa"/>
        <w:tblCellMar>
          <w:top w:w="0" w:type="dxa"/>
          <w:left w:w="0" w:type="dxa"/>
          <w:bottom w:w="0" w:type="dxa"/>
          <w:right w:w="0" w:type="dxa"/>
        </w:tblCellMar>
      </w:tblPr>
      <w:tr>
        <w:trPr>
          <w:trHeight w:val="333"/>
        </w:trPr>
        <w:tc>
          <w:tcPr>
            <w:tcW w:w="2860" w:type="dxa"/>
            <w:vAlign w:val="bottom"/>
          </w:tcPr>
          <w:p>
            <w:pPr>
              <w:jc w:val="center"/>
              <w:spacing w:after="0"/>
              <w:rPr>
                <w:sz w:val="20"/>
                <w:szCs w:val="20"/>
                <w:color w:val="auto"/>
              </w:rPr>
            </w:pPr>
            <w:r>
              <w:rPr>
                <w:rFonts w:ascii="Arial" w:cs="Arial" w:eastAsia="Arial" w:hAnsi="Arial"/>
                <w:sz w:val="29"/>
                <w:szCs w:val="29"/>
                <w:b w:val="1"/>
                <w:bCs w:val="1"/>
                <w:color w:val="1A6DBB"/>
                <w:w w:val="99"/>
              </w:rPr>
              <w:t>42%</w:t>
            </w:r>
          </w:p>
        </w:tc>
        <w:tc>
          <w:tcPr>
            <w:tcW w:w="2840" w:type="dxa"/>
            <w:vAlign w:val="bottom"/>
            <w:vMerge w:val="restart"/>
          </w:tcPr>
          <w:p>
            <w:pPr>
              <w:jc w:val="center"/>
              <w:ind w:left="138"/>
              <w:spacing w:after="0"/>
              <w:rPr>
                <w:sz w:val="20"/>
                <w:szCs w:val="20"/>
                <w:color w:val="auto"/>
              </w:rPr>
            </w:pPr>
            <w:r>
              <w:rPr>
                <w:rFonts w:ascii="Arial" w:cs="Arial" w:eastAsia="Arial" w:hAnsi="Arial"/>
                <w:sz w:val="16"/>
                <w:szCs w:val="16"/>
                <w:color w:val="1A6DBB"/>
              </w:rPr>
              <w:t>including</w:t>
            </w:r>
          </w:p>
        </w:tc>
        <w:tc>
          <w:tcPr>
            <w:tcW w:w="2660" w:type="dxa"/>
            <w:vAlign w:val="bottom"/>
          </w:tcPr>
          <w:p>
            <w:pPr>
              <w:jc w:val="center"/>
              <w:ind w:left="63"/>
              <w:spacing w:after="0"/>
              <w:rPr>
                <w:sz w:val="20"/>
                <w:szCs w:val="20"/>
                <w:color w:val="auto"/>
              </w:rPr>
            </w:pPr>
            <w:r>
              <w:rPr>
                <w:rFonts w:ascii="Arial" w:cs="Arial" w:eastAsia="Arial" w:hAnsi="Arial"/>
                <w:sz w:val="29"/>
                <w:szCs w:val="29"/>
                <w:b w:val="1"/>
                <w:bCs w:val="1"/>
                <w:color w:val="1A6DBB"/>
                <w:w w:val="99"/>
              </w:rPr>
              <w:t>32%</w:t>
            </w:r>
          </w:p>
        </w:tc>
        <w:tc>
          <w:tcPr>
            <w:tcW w:w="0" w:type="dxa"/>
            <w:vAlign w:val="bottom"/>
          </w:tcPr>
          <w:p>
            <w:pPr>
              <w:spacing w:after="0"/>
              <w:rPr>
                <w:sz w:val="1"/>
                <w:szCs w:val="1"/>
                <w:color w:val="auto"/>
              </w:rPr>
            </w:pPr>
          </w:p>
        </w:tc>
      </w:tr>
      <w:tr>
        <w:trPr>
          <w:trHeight w:val="52"/>
        </w:trPr>
        <w:tc>
          <w:tcPr>
            <w:tcW w:w="28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3"/>
        </w:trPr>
        <w:tc>
          <w:tcPr>
            <w:tcW w:w="2860" w:type="dxa"/>
            <w:vAlign w:val="bottom"/>
          </w:tcPr>
          <w:p>
            <w:pPr>
              <w:jc w:val="center"/>
              <w:spacing w:after="0"/>
              <w:rPr>
                <w:sz w:val="20"/>
                <w:szCs w:val="20"/>
                <w:color w:val="auto"/>
              </w:rPr>
            </w:pPr>
            <w:r>
              <w:rPr>
                <w:rFonts w:ascii="Arial" w:cs="Arial" w:eastAsia="Arial" w:hAnsi="Arial"/>
                <w:sz w:val="16"/>
                <w:szCs w:val="16"/>
                <w:color w:val="1A6DBB"/>
              </w:rPr>
              <w:t>of shares outstanding</w:t>
            </w:r>
          </w:p>
        </w:tc>
        <w:tc>
          <w:tcPr>
            <w:tcW w:w="2840" w:type="dxa"/>
            <w:vAlign w:val="bottom"/>
          </w:tcPr>
          <w:p>
            <w:pPr>
              <w:jc w:val="center"/>
              <w:ind w:left="138"/>
              <w:spacing w:after="0"/>
              <w:rPr>
                <w:sz w:val="20"/>
                <w:szCs w:val="20"/>
                <w:color w:val="auto"/>
              </w:rPr>
            </w:pPr>
            <w:r>
              <w:rPr>
                <w:rFonts w:ascii="Arial" w:cs="Arial" w:eastAsia="Arial" w:hAnsi="Arial"/>
                <w:sz w:val="29"/>
                <w:szCs w:val="29"/>
                <w:b w:val="1"/>
                <w:bCs w:val="1"/>
                <w:color w:val="1A6DBB"/>
                <w:w w:val="98"/>
              </w:rPr>
              <w:t>7</w:t>
            </w:r>
          </w:p>
        </w:tc>
        <w:tc>
          <w:tcPr>
            <w:tcW w:w="2660" w:type="dxa"/>
            <w:vAlign w:val="bottom"/>
          </w:tcPr>
          <w:p>
            <w:pPr>
              <w:jc w:val="center"/>
              <w:ind w:left="63"/>
              <w:spacing w:after="0"/>
              <w:rPr>
                <w:sz w:val="20"/>
                <w:szCs w:val="20"/>
                <w:color w:val="auto"/>
              </w:rPr>
            </w:pPr>
            <w:r>
              <w:rPr>
                <w:rFonts w:ascii="Arial" w:cs="Arial" w:eastAsia="Arial" w:hAnsi="Arial"/>
                <w:sz w:val="16"/>
                <w:szCs w:val="16"/>
                <w:color w:val="1A6DBB"/>
              </w:rPr>
              <w:t>of shares outstanding</w:t>
            </w:r>
          </w:p>
        </w:tc>
        <w:tc>
          <w:tcPr>
            <w:tcW w:w="0" w:type="dxa"/>
            <w:vAlign w:val="bottom"/>
          </w:tcPr>
          <w:p>
            <w:pPr>
              <w:spacing w:after="0"/>
              <w:rPr>
                <w:sz w:val="1"/>
                <w:szCs w:val="1"/>
                <w:color w:val="auto"/>
              </w:rPr>
            </w:pPr>
          </w:p>
        </w:tc>
      </w:tr>
      <w:tr>
        <w:trPr>
          <w:trHeight w:val="189"/>
        </w:trPr>
        <w:tc>
          <w:tcPr>
            <w:tcW w:w="2860" w:type="dxa"/>
            <w:vAlign w:val="bottom"/>
          </w:tcPr>
          <w:p>
            <w:pPr>
              <w:jc w:val="center"/>
              <w:spacing w:after="0"/>
              <w:rPr>
                <w:sz w:val="20"/>
                <w:szCs w:val="20"/>
                <w:color w:val="auto"/>
              </w:rPr>
            </w:pPr>
            <w:r>
              <w:rPr>
                <w:rFonts w:ascii="Arial" w:cs="Arial" w:eastAsia="Arial" w:hAnsi="Arial"/>
                <w:sz w:val="16"/>
                <w:szCs w:val="16"/>
                <w:color w:val="1A6DBB"/>
                <w:w w:val="99"/>
              </w:rPr>
              <w:t>engaged</w:t>
            </w:r>
          </w:p>
        </w:tc>
        <w:tc>
          <w:tcPr>
            <w:tcW w:w="2840" w:type="dxa"/>
            <w:vAlign w:val="bottom"/>
            <w:vMerge w:val="restart"/>
          </w:tcPr>
          <w:p>
            <w:pPr>
              <w:jc w:val="center"/>
              <w:ind w:left="138"/>
              <w:spacing w:after="0"/>
              <w:rPr>
                <w:sz w:val="20"/>
                <w:szCs w:val="20"/>
                <w:color w:val="auto"/>
              </w:rPr>
            </w:pPr>
            <w:r>
              <w:rPr>
                <w:rFonts w:ascii="Arial" w:cs="Arial" w:eastAsia="Arial" w:hAnsi="Arial"/>
                <w:sz w:val="16"/>
                <w:szCs w:val="16"/>
                <w:color w:val="1A6DBB"/>
              </w:rPr>
              <w:t>of our top 10 stockholders</w:t>
            </w:r>
          </w:p>
        </w:tc>
        <w:tc>
          <w:tcPr>
            <w:tcW w:w="2660" w:type="dxa"/>
            <w:vAlign w:val="bottom"/>
          </w:tcPr>
          <w:p>
            <w:pPr>
              <w:jc w:val="center"/>
              <w:ind w:left="83"/>
              <w:spacing w:after="0"/>
              <w:rPr>
                <w:sz w:val="20"/>
                <w:szCs w:val="20"/>
                <w:color w:val="auto"/>
              </w:rPr>
            </w:pPr>
            <w:r>
              <w:rPr>
                <w:rFonts w:ascii="Arial" w:cs="Arial" w:eastAsia="Arial" w:hAnsi="Arial"/>
                <w:sz w:val="16"/>
                <w:szCs w:val="16"/>
                <w:color w:val="1A6DBB"/>
              </w:rPr>
              <w:t>engaged with the Chair of our</w:t>
            </w:r>
          </w:p>
        </w:tc>
        <w:tc>
          <w:tcPr>
            <w:tcW w:w="0" w:type="dxa"/>
            <w:vAlign w:val="bottom"/>
          </w:tcPr>
          <w:p>
            <w:pPr>
              <w:spacing w:after="0"/>
              <w:rPr>
                <w:sz w:val="1"/>
                <w:szCs w:val="1"/>
                <w:color w:val="auto"/>
              </w:rPr>
            </w:pPr>
          </w:p>
        </w:tc>
      </w:tr>
      <w:tr>
        <w:trPr>
          <w:trHeight w:val="107"/>
        </w:trPr>
        <w:tc>
          <w:tcPr>
            <w:tcW w:w="286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2660" w:type="dxa"/>
            <w:vAlign w:val="bottom"/>
            <w:vMerge w:val="restart"/>
          </w:tcPr>
          <w:p>
            <w:pPr>
              <w:jc w:val="center"/>
              <w:ind w:left="63"/>
              <w:spacing w:after="0"/>
              <w:rPr>
                <w:sz w:val="20"/>
                <w:szCs w:val="20"/>
                <w:color w:val="auto"/>
              </w:rPr>
            </w:pPr>
            <w:r>
              <w:rPr>
                <w:rFonts w:ascii="Arial" w:cs="Arial" w:eastAsia="Arial" w:hAnsi="Arial"/>
                <w:sz w:val="16"/>
                <w:szCs w:val="16"/>
                <w:color w:val="1A6DBB"/>
              </w:rPr>
              <w:t>C&amp;MD Committee</w:t>
            </w:r>
          </w:p>
        </w:tc>
        <w:tc>
          <w:tcPr>
            <w:tcW w:w="0" w:type="dxa"/>
            <w:vAlign w:val="bottom"/>
          </w:tcPr>
          <w:p>
            <w:pPr>
              <w:spacing w:after="0"/>
              <w:rPr>
                <w:sz w:val="1"/>
                <w:szCs w:val="1"/>
                <w:color w:val="auto"/>
              </w:rPr>
            </w:pPr>
          </w:p>
        </w:tc>
      </w:tr>
      <w:tr>
        <w:trPr>
          <w:trHeight w:val="109"/>
        </w:trPr>
        <w:tc>
          <w:tcPr>
            <w:tcW w:w="2860" w:type="dxa"/>
            <w:vAlign w:val="bottom"/>
            <w:tcBorders>
              <w:bottom w:val="single" w:sz="8" w:color="1A6DBB"/>
            </w:tcBorders>
          </w:tcPr>
          <w:p>
            <w:pPr>
              <w:spacing w:after="0"/>
              <w:rPr>
                <w:sz w:val="9"/>
                <w:szCs w:val="9"/>
                <w:color w:val="auto"/>
              </w:rPr>
            </w:pPr>
          </w:p>
        </w:tc>
        <w:tc>
          <w:tcPr>
            <w:tcW w:w="2840" w:type="dxa"/>
            <w:vAlign w:val="bottom"/>
            <w:tcBorders>
              <w:bottom w:val="single" w:sz="8" w:color="1A6DBB"/>
            </w:tcBorders>
          </w:tcPr>
          <w:p>
            <w:pPr>
              <w:spacing w:after="0"/>
              <w:rPr>
                <w:sz w:val="9"/>
                <w:szCs w:val="9"/>
                <w:color w:val="auto"/>
              </w:rPr>
            </w:pPr>
          </w:p>
        </w:tc>
        <w:tc>
          <w:tcPr>
            <w:tcW w:w="2660" w:type="dxa"/>
            <w:vAlign w:val="bottom"/>
            <w:tcBorders>
              <w:bottom w:val="single" w:sz="8" w:color="1A6DBB"/>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Stockholders were generally supportive of our executive compensation programs and their focus on alignment of pay and performance, but did voice their perspectives on incentive plan design. Some stockholders did express concern about a cash severance payment made outside of our normal severance arrangements in 2020 to a former executive officer. To respond to this concern and to help ensure that our program continues to be aligned with stockholder interests and best practices, we worked closely with our independent compensation consultant to conduct a competitive review of our severance arrangements. We validated that our normal severance practices are competitive with organizations with whom we compete for executive talent. We discussed with our stockholders that the 2020 severance payment was one-time in nature based on the specific facts and circumstances of the transitioning executive and we do not intend to make a change to our existing practices. In addition, and based in part on the feedback we received and our market analysis, our C&amp;MD Committee took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1117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FFFFFF"/>
        </w:rPr>
        <w:t>Stockholder Feedback and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83820</wp:posOffset>
            </wp:positionV>
            <wp:extent cx="3745865" cy="31286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745865" cy="3128645"/>
                    </a:xfrm>
                    <a:prstGeom prst="rect">
                      <a:avLst/>
                    </a:prstGeom>
                    <a:noFill/>
                  </pic:spPr>
                </pic:pic>
              </a:graphicData>
            </a:graphic>
          </wp:anchor>
        </w:drawing>
      </w:r>
    </w:p>
    <w:p>
      <w:pPr>
        <w:spacing w:after="0" w:line="112" w:lineRule="exact"/>
        <w:rPr>
          <w:sz w:val="20"/>
          <w:szCs w:val="20"/>
          <w:color w:val="auto"/>
        </w:rPr>
      </w:pPr>
    </w:p>
    <w:tbl>
      <w:tblPr>
        <w:tblLayout w:type="fixed"/>
        <w:tblInd w:w="130" w:type="dxa"/>
        <w:tblCellMar>
          <w:top w:w="0" w:type="dxa"/>
          <w:left w:w="0" w:type="dxa"/>
          <w:bottom w:w="0" w:type="dxa"/>
          <w:right w:w="0" w:type="dxa"/>
        </w:tblCellMar>
      </w:tblPr>
      <w:tr>
        <w:trPr>
          <w:trHeight w:val="175"/>
        </w:trPr>
        <w:tc>
          <w:tcPr>
            <w:tcW w:w="280" w:type="dxa"/>
            <w:vAlign w:val="bottom"/>
            <w:tcBorders>
              <w:left w:val="single" w:sz="8" w:color="1A6DBB"/>
              <w:right w:val="single" w:sz="8" w:color="1A6DBB"/>
            </w:tcBorders>
            <w:shd w:val="clear" w:color="auto" w:fill="1A6DBB"/>
          </w:tcPr>
          <w:p>
            <w:pPr>
              <w:spacing w:after="0"/>
              <w:rPr>
                <w:sz w:val="15"/>
                <w:szCs w:val="15"/>
                <w:color w:val="auto"/>
              </w:rPr>
            </w:pPr>
          </w:p>
        </w:tc>
        <w:tc>
          <w:tcPr>
            <w:tcW w:w="4840" w:type="dxa"/>
            <w:vAlign w:val="bottom"/>
            <w:shd w:val="clear" w:color="auto" w:fill="1A6DBB"/>
          </w:tcPr>
          <w:p>
            <w:pPr>
              <w:ind w:left="1160"/>
              <w:spacing w:after="0"/>
              <w:rPr>
                <w:sz w:val="20"/>
                <w:szCs w:val="20"/>
                <w:color w:val="auto"/>
              </w:rPr>
            </w:pPr>
            <w:r>
              <w:rPr>
                <w:rFonts w:ascii="Arial" w:cs="Arial" w:eastAsia="Arial" w:hAnsi="Arial"/>
                <w:sz w:val="14"/>
                <w:szCs w:val="14"/>
                <w:color w:val="FFFFFF"/>
              </w:rPr>
              <w:t>What We Heard from Stockholders</w:t>
            </w:r>
          </w:p>
        </w:tc>
        <w:tc>
          <w:tcPr>
            <w:tcW w:w="5900" w:type="dxa"/>
            <w:vAlign w:val="bottom"/>
            <w:shd w:val="clear" w:color="auto" w:fill="1A6DBB"/>
          </w:tcPr>
          <w:p>
            <w:pPr>
              <w:ind w:left="2080"/>
              <w:spacing w:after="0"/>
              <w:rPr>
                <w:sz w:val="20"/>
                <w:szCs w:val="20"/>
                <w:color w:val="auto"/>
              </w:rPr>
            </w:pPr>
            <w:r>
              <w:rPr>
                <w:rFonts w:ascii="Arial" w:cs="Arial" w:eastAsia="Arial" w:hAnsi="Arial"/>
                <w:sz w:val="14"/>
                <w:szCs w:val="14"/>
                <w:color w:val="FFFFFF"/>
              </w:rPr>
              <w:t>Action We Took in Response</w:t>
            </w:r>
          </w:p>
        </w:tc>
        <w:tc>
          <w:tcPr>
            <w:tcW w:w="0" w:type="dxa"/>
            <w:vAlign w:val="bottom"/>
          </w:tcPr>
          <w:p>
            <w:pPr>
              <w:spacing w:after="0"/>
              <w:rPr>
                <w:sz w:val="1"/>
                <w:szCs w:val="1"/>
                <w:color w:val="auto"/>
              </w:rPr>
            </w:pPr>
          </w:p>
        </w:tc>
      </w:tr>
      <w:tr>
        <w:trPr>
          <w:trHeight w:val="283"/>
        </w:trPr>
        <w:tc>
          <w:tcPr>
            <w:tcW w:w="5120" w:type="dxa"/>
            <w:vAlign w:val="bottom"/>
            <w:tcBorders>
              <w:left w:val="single" w:sz="8" w:color="E8F0F8"/>
            </w:tcBorders>
            <w:gridSpan w:val="2"/>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 Preference for longer performance periods in long-term incentive</w:t>
            </w:r>
          </w:p>
        </w:tc>
        <w:tc>
          <w:tcPr>
            <w:tcW w:w="59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Starting with 2022 long-term incentives:</w:t>
            </w:r>
          </w:p>
        </w:tc>
        <w:tc>
          <w:tcPr>
            <w:tcW w:w="0" w:type="dxa"/>
            <w:vAlign w:val="bottom"/>
          </w:tcPr>
          <w:p>
            <w:pPr>
              <w:spacing w:after="0"/>
              <w:rPr>
                <w:sz w:val="1"/>
                <w:szCs w:val="1"/>
                <w:color w:val="auto"/>
              </w:rPr>
            </w:pPr>
          </w:p>
        </w:tc>
      </w:tr>
      <w:tr>
        <w:trPr>
          <w:trHeight w:val="215"/>
        </w:trPr>
        <w:tc>
          <w:tcPr>
            <w:tcW w:w="280" w:type="dxa"/>
            <w:vAlign w:val="bottom"/>
            <w:tcBorders>
              <w:left w:val="single" w:sz="8" w:color="E8F0F8"/>
              <w:right w:val="single" w:sz="8" w:color="E8F0F8"/>
            </w:tcBorders>
            <w:shd w:val="clear" w:color="auto" w:fill="E8F0F8"/>
          </w:tcPr>
          <w:p>
            <w:pPr>
              <w:spacing w:after="0"/>
              <w:rPr>
                <w:sz w:val="18"/>
                <w:szCs w:val="18"/>
                <w:color w:val="auto"/>
              </w:rPr>
            </w:pPr>
          </w:p>
        </w:tc>
        <w:tc>
          <w:tcPr>
            <w:tcW w:w="4840" w:type="dxa"/>
            <w:vAlign w:val="bottom"/>
            <w:shd w:val="clear" w:color="auto" w:fill="E8F0F8"/>
          </w:tcPr>
          <w:p>
            <w:pPr>
              <w:ind w:left="40"/>
              <w:spacing w:after="0"/>
              <w:rPr>
                <w:sz w:val="20"/>
                <w:szCs w:val="20"/>
                <w:color w:val="auto"/>
              </w:rPr>
            </w:pPr>
            <w:r>
              <w:rPr>
                <w:rFonts w:ascii="Arial" w:cs="Arial" w:eastAsia="Arial" w:hAnsi="Arial"/>
                <w:sz w:val="16"/>
                <w:szCs w:val="16"/>
                <w:color w:val="auto"/>
              </w:rPr>
              <w:t>plans</w:t>
            </w:r>
          </w:p>
        </w:tc>
        <w:tc>
          <w:tcPr>
            <w:tcW w:w="5900" w:type="dxa"/>
            <w:vAlign w:val="bottom"/>
            <w:vMerge w:val="restart"/>
            <w:shd w:val="clear" w:color="auto" w:fill="E8F0F8"/>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Removed one-year performance periods from long-term incentive plans</w:t>
            </w:r>
          </w:p>
        </w:tc>
        <w:tc>
          <w:tcPr>
            <w:tcW w:w="0" w:type="dxa"/>
            <w:vAlign w:val="bottom"/>
          </w:tcPr>
          <w:p>
            <w:pPr>
              <w:spacing w:after="0"/>
              <w:rPr>
                <w:sz w:val="1"/>
                <w:szCs w:val="1"/>
                <w:color w:val="auto"/>
              </w:rPr>
            </w:pPr>
          </w:p>
        </w:tc>
      </w:tr>
      <w:tr>
        <w:trPr>
          <w:trHeight w:val="95"/>
        </w:trPr>
        <w:tc>
          <w:tcPr>
            <w:tcW w:w="280" w:type="dxa"/>
            <w:vAlign w:val="bottom"/>
            <w:tcBorders>
              <w:left w:val="single" w:sz="8" w:color="E8F0F8"/>
              <w:right w:val="single" w:sz="8" w:color="E8F0F8"/>
            </w:tcBorders>
            <w:shd w:val="clear" w:color="auto" w:fill="E8F0F8"/>
          </w:tcPr>
          <w:p>
            <w:pPr>
              <w:spacing w:after="0"/>
              <w:rPr>
                <w:sz w:val="8"/>
                <w:szCs w:val="8"/>
                <w:color w:val="auto"/>
              </w:rPr>
            </w:pPr>
          </w:p>
        </w:tc>
        <w:tc>
          <w:tcPr>
            <w:tcW w:w="4840" w:type="dxa"/>
            <w:vAlign w:val="bottom"/>
            <w:shd w:val="clear" w:color="auto" w:fill="E8F0F8"/>
          </w:tcPr>
          <w:p>
            <w:pPr>
              <w:spacing w:after="0"/>
              <w:rPr>
                <w:sz w:val="8"/>
                <w:szCs w:val="8"/>
                <w:color w:val="auto"/>
              </w:rPr>
            </w:pPr>
          </w:p>
        </w:tc>
        <w:tc>
          <w:tcPr>
            <w:tcW w:w="5900" w:type="dxa"/>
            <w:vAlign w:val="bottom"/>
            <w:vMerge w:val="continue"/>
            <w:shd w:val="clear" w:color="auto" w:fill="E8F0F8"/>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80" w:type="dxa"/>
            <w:vAlign w:val="bottom"/>
            <w:tcBorders>
              <w:left w:val="single" w:sz="8" w:color="E8F0F8"/>
              <w:right w:val="single" w:sz="8" w:color="E8F0F8"/>
            </w:tcBorders>
            <w:shd w:val="clear" w:color="auto" w:fill="E8F0F8"/>
          </w:tcPr>
          <w:p>
            <w:pPr>
              <w:spacing w:after="0"/>
              <w:rPr>
                <w:sz w:val="22"/>
                <w:szCs w:val="22"/>
                <w:color w:val="auto"/>
              </w:rPr>
            </w:pPr>
          </w:p>
        </w:tc>
        <w:tc>
          <w:tcPr>
            <w:tcW w:w="4840" w:type="dxa"/>
            <w:vAlign w:val="bottom"/>
            <w:shd w:val="clear" w:color="auto" w:fill="E8F0F8"/>
          </w:tcPr>
          <w:p>
            <w:pPr>
              <w:spacing w:after="0"/>
              <w:rPr>
                <w:sz w:val="22"/>
                <w:szCs w:val="22"/>
                <w:color w:val="auto"/>
              </w:rPr>
            </w:pPr>
          </w:p>
        </w:tc>
        <w:tc>
          <w:tcPr>
            <w:tcW w:w="5900" w:type="dxa"/>
            <w:vAlign w:val="bottom"/>
            <w:shd w:val="clear" w:color="auto" w:fill="E8F0F8"/>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Implemented 3-year performance periods for all performance stock units</w:t>
            </w:r>
          </w:p>
        </w:tc>
        <w:tc>
          <w:tcPr>
            <w:tcW w:w="0" w:type="dxa"/>
            <w:vAlign w:val="bottom"/>
          </w:tcPr>
          <w:p>
            <w:pPr>
              <w:spacing w:after="0"/>
              <w:rPr>
                <w:sz w:val="1"/>
                <w:szCs w:val="1"/>
                <w:color w:val="auto"/>
              </w:rPr>
            </w:pPr>
          </w:p>
        </w:tc>
      </w:tr>
      <w:tr>
        <w:trPr>
          <w:trHeight w:val="215"/>
        </w:trPr>
        <w:tc>
          <w:tcPr>
            <w:tcW w:w="280" w:type="dxa"/>
            <w:vAlign w:val="bottom"/>
            <w:tcBorders>
              <w:left w:val="single" w:sz="8" w:color="E8F0F8"/>
              <w:right w:val="single" w:sz="8" w:color="E8F0F8"/>
            </w:tcBorders>
            <w:shd w:val="clear" w:color="auto" w:fill="E8F0F8"/>
          </w:tcPr>
          <w:p>
            <w:pPr>
              <w:spacing w:after="0"/>
              <w:rPr>
                <w:sz w:val="18"/>
                <w:szCs w:val="18"/>
                <w:color w:val="auto"/>
              </w:rPr>
            </w:pPr>
          </w:p>
        </w:tc>
        <w:tc>
          <w:tcPr>
            <w:tcW w:w="4840" w:type="dxa"/>
            <w:vAlign w:val="bottom"/>
            <w:shd w:val="clear" w:color="auto" w:fill="E8F0F8"/>
          </w:tcPr>
          <w:p>
            <w:pPr>
              <w:spacing w:after="0"/>
              <w:rPr>
                <w:sz w:val="18"/>
                <w:szCs w:val="18"/>
                <w:color w:val="auto"/>
              </w:rPr>
            </w:pPr>
          </w:p>
        </w:tc>
        <w:tc>
          <w:tcPr>
            <w:tcW w:w="59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(PSUs)</w:t>
            </w:r>
          </w:p>
        </w:tc>
        <w:tc>
          <w:tcPr>
            <w:tcW w:w="0" w:type="dxa"/>
            <w:vAlign w:val="bottom"/>
          </w:tcPr>
          <w:p>
            <w:pPr>
              <w:spacing w:after="0"/>
              <w:rPr>
                <w:sz w:val="1"/>
                <w:szCs w:val="1"/>
                <w:color w:val="auto"/>
              </w:rPr>
            </w:pPr>
          </w:p>
        </w:tc>
      </w:tr>
      <w:tr>
        <w:trPr>
          <w:trHeight w:val="70"/>
        </w:trPr>
        <w:tc>
          <w:tcPr>
            <w:tcW w:w="280" w:type="dxa"/>
            <w:vAlign w:val="bottom"/>
            <w:tcBorders>
              <w:left w:val="single" w:sz="8" w:color="E8F0F8"/>
              <w:right w:val="single" w:sz="8" w:color="E8F0F8"/>
            </w:tcBorders>
            <w:shd w:val="clear" w:color="auto" w:fill="E8F0F8"/>
          </w:tcPr>
          <w:p>
            <w:pPr>
              <w:spacing w:after="0"/>
              <w:rPr>
                <w:sz w:val="6"/>
                <w:szCs w:val="6"/>
                <w:color w:val="auto"/>
              </w:rPr>
            </w:pPr>
          </w:p>
        </w:tc>
        <w:tc>
          <w:tcPr>
            <w:tcW w:w="4840" w:type="dxa"/>
            <w:vAlign w:val="bottom"/>
            <w:shd w:val="clear" w:color="auto" w:fill="E8F0F8"/>
          </w:tcPr>
          <w:p>
            <w:pPr>
              <w:spacing w:after="0"/>
              <w:rPr>
                <w:sz w:val="6"/>
                <w:szCs w:val="6"/>
                <w:color w:val="auto"/>
              </w:rPr>
            </w:pPr>
          </w:p>
        </w:tc>
        <w:tc>
          <w:tcPr>
            <w:tcW w:w="5900" w:type="dxa"/>
            <w:vAlign w:val="bottom"/>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120" w:type="dxa"/>
            <w:vAlign w:val="bottom"/>
            <w:tcBorders>
              <w:left w:val="single" w:sz="8" w:color="BAD3EA"/>
            </w:tcBorders>
            <w:gridSpan w:val="2"/>
            <w:shd w:val="clear" w:color="auto" w:fill="BAD3EA"/>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 Increased alignment of executive compensation with long-term</w:t>
            </w:r>
          </w:p>
        </w:tc>
        <w:tc>
          <w:tcPr>
            <w:tcW w:w="59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Starting with 2022 long-term incentives:</w:t>
            </w:r>
          </w:p>
        </w:tc>
        <w:tc>
          <w:tcPr>
            <w:tcW w:w="0" w:type="dxa"/>
            <w:vAlign w:val="bottom"/>
          </w:tcPr>
          <w:p>
            <w:pPr>
              <w:spacing w:after="0"/>
              <w:rPr>
                <w:sz w:val="1"/>
                <w:szCs w:val="1"/>
                <w:color w:val="auto"/>
              </w:rPr>
            </w:pPr>
          </w:p>
        </w:tc>
      </w:tr>
      <w:tr>
        <w:trPr>
          <w:trHeight w:val="215"/>
        </w:trPr>
        <w:tc>
          <w:tcPr>
            <w:tcW w:w="280" w:type="dxa"/>
            <w:vAlign w:val="bottom"/>
            <w:tcBorders>
              <w:left w:val="single" w:sz="8" w:color="BAD3EA"/>
              <w:right w:val="single" w:sz="8" w:color="BAD3EA"/>
            </w:tcBorders>
            <w:shd w:val="clear" w:color="auto" w:fill="BAD3EA"/>
          </w:tcPr>
          <w:p>
            <w:pPr>
              <w:spacing w:after="0"/>
              <w:rPr>
                <w:sz w:val="18"/>
                <w:szCs w:val="18"/>
                <w:color w:val="auto"/>
              </w:rPr>
            </w:pPr>
          </w:p>
        </w:tc>
        <w:tc>
          <w:tcPr>
            <w:tcW w:w="4840" w:type="dxa"/>
            <w:vAlign w:val="bottom"/>
            <w:shd w:val="clear" w:color="auto" w:fill="BAD3EA"/>
          </w:tcPr>
          <w:p>
            <w:pPr>
              <w:ind w:left="40"/>
              <w:spacing w:after="0"/>
              <w:rPr>
                <w:sz w:val="20"/>
                <w:szCs w:val="20"/>
                <w:color w:val="auto"/>
              </w:rPr>
            </w:pPr>
            <w:r>
              <w:rPr>
                <w:rFonts w:ascii="Arial" w:cs="Arial" w:eastAsia="Arial" w:hAnsi="Arial"/>
                <w:sz w:val="16"/>
                <w:szCs w:val="16"/>
                <w:color w:val="auto"/>
              </w:rPr>
              <w:t>stockholder experience</w:t>
            </w:r>
          </w:p>
        </w:tc>
        <w:tc>
          <w:tcPr>
            <w:tcW w:w="5900" w:type="dxa"/>
            <w:vAlign w:val="bottom"/>
            <w:vMerge w:val="restart"/>
            <w:shd w:val="clear" w:color="auto" w:fill="BAD3EA"/>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Relative Total Shareholder Return (rTSR) introduced as a metric in the long-</w:t>
            </w:r>
          </w:p>
        </w:tc>
        <w:tc>
          <w:tcPr>
            <w:tcW w:w="0" w:type="dxa"/>
            <w:vAlign w:val="bottom"/>
          </w:tcPr>
          <w:p>
            <w:pPr>
              <w:spacing w:after="0"/>
              <w:rPr>
                <w:sz w:val="1"/>
                <w:szCs w:val="1"/>
                <w:color w:val="auto"/>
              </w:rPr>
            </w:pPr>
          </w:p>
        </w:tc>
      </w:tr>
      <w:tr>
        <w:trPr>
          <w:trHeight w:val="69"/>
        </w:trPr>
        <w:tc>
          <w:tcPr>
            <w:tcW w:w="280" w:type="dxa"/>
            <w:vAlign w:val="bottom"/>
            <w:tcBorders>
              <w:left w:val="single" w:sz="8" w:color="BAD3EA"/>
              <w:right w:val="single" w:sz="8" w:color="BAD3EA"/>
            </w:tcBorders>
            <w:shd w:val="clear" w:color="auto" w:fill="BAD3EA"/>
          </w:tcPr>
          <w:p>
            <w:pPr>
              <w:spacing w:after="0"/>
              <w:rPr>
                <w:sz w:val="5"/>
                <w:szCs w:val="5"/>
                <w:color w:val="auto"/>
              </w:rPr>
            </w:pPr>
          </w:p>
        </w:tc>
        <w:tc>
          <w:tcPr>
            <w:tcW w:w="4840" w:type="dxa"/>
            <w:vAlign w:val="bottom"/>
            <w:shd w:val="clear" w:color="auto" w:fill="BAD3EA"/>
          </w:tcPr>
          <w:p>
            <w:pPr>
              <w:spacing w:after="0"/>
              <w:rPr>
                <w:sz w:val="5"/>
                <w:szCs w:val="5"/>
                <w:color w:val="auto"/>
              </w:rPr>
            </w:pPr>
          </w:p>
        </w:tc>
        <w:tc>
          <w:tcPr>
            <w:tcW w:w="5900" w:type="dxa"/>
            <w:vAlign w:val="bottom"/>
            <w:vMerge w:val="continue"/>
            <w:shd w:val="clear" w:color="auto" w:fill="BAD3EA"/>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80" w:type="dxa"/>
            <w:vAlign w:val="bottom"/>
            <w:tcBorders>
              <w:left w:val="single" w:sz="8" w:color="BAD3EA"/>
              <w:right w:val="single" w:sz="8" w:color="BAD3EA"/>
            </w:tcBorders>
            <w:shd w:val="clear" w:color="auto" w:fill="BAD3EA"/>
          </w:tcPr>
          <w:p>
            <w:pPr>
              <w:spacing w:after="0"/>
              <w:rPr>
                <w:sz w:val="18"/>
                <w:szCs w:val="18"/>
                <w:color w:val="auto"/>
              </w:rPr>
            </w:pPr>
          </w:p>
        </w:tc>
        <w:tc>
          <w:tcPr>
            <w:tcW w:w="4840" w:type="dxa"/>
            <w:vAlign w:val="bottom"/>
            <w:shd w:val="clear" w:color="auto" w:fill="BAD3EA"/>
          </w:tcPr>
          <w:p>
            <w:pPr>
              <w:spacing w:after="0"/>
              <w:rPr>
                <w:sz w:val="18"/>
                <w:szCs w:val="18"/>
                <w:color w:val="auto"/>
              </w:rPr>
            </w:pPr>
          </w:p>
        </w:tc>
        <w:tc>
          <w:tcPr>
            <w:tcW w:w="5900" w:type="dxa"/>
            <w:vAlign w:val="bottom"/>
            <w:shd w:val="clear" w:color="auto" w:fill="BAD3EA"/>
          </w:tcPr>
          <w:p>
            <w:pPr>
              <w:ind w:left="320"/>
              <w:spacing w:after="0"/>
              <w:rPr>
                <w:sz w:val="20"/>
                <w:szCs w:val="20"/>
                <w:color w:val="auto"/>
              </w:rPr>
            </w:pPr>
            <w:r>
              <w:rPr>
                <w:rFonts w:ascii="Arial" w:cs="Arial" w:eastAsia="Arial" w:hAnsi="Arial"/>
                <w:sz w:val="16"/>
                <w:szCs w:val="16"/>
                <w:color w:val="auto"/>
              </w:rPr>
              <w:t>term incentive plan</w:t>
            </w:r>
          </w:p>
        </w:tc>
        <w:tc>
          <w:tcPr>
            <w:tcW w:w="0" w:type="dxa"/>
            <w:vAlign w:val="bottom"/>
          </w:tcPr>
          <w:p>
            <w:pPr>
              <w:spacing w:after="0"/>
              <w:rPr>
                <w:sz w:val="1"/>
                <w:szCs w:val="1"/>
                <w:color w:val="auto"/>
              </w:rPr>
            </w:pPr>
          </w:p>
        </w:tc>
      </w:tr>
      <w:tr>
        <w:trPr>
          <w:trHeight w:val="70"/>
        </w:trPr>
        <w:tc>
          <w:tcPr>
            <w:tcW w:w="280" w:type="dxa"/>
            <w:vAlign w:val="bottom"/>
            <w:tcBorders>
              <w:left w:val="single" w:sz="8" w:color="BAD3EA"/>
              <w:right w:val="single" w:sz="8" w:color="BAD3EA"/>
            </w:tcBorders>
            <w:shd w:val="clear" w:color="auto" w:fill="BAD3EA"/>
          </w:tcPr>
          <w:p>
            <w:pPr>
              <w:spacing w:after="0"/>
              <w:rPr>
                <w:sz w:val="6"/>
                <w:szCs w:val="6"/>
                <w:color w:val="auto"/>
              </w:rPr>
            </w:pPr>
          </w:p>
        </w:tc>
        <w:tc>
          <w:tcPr>
            <w:tcW w:w="4840" w:type="dxa"/>
            <w:vAlign w:val="bottom"/>
            <w:shd w:val="clear" w:color="auto" w:fill="BAD3EA"/>
          </w:tcPr>
          <w:p>
            <w:pPr>
              <w:spacing w:after="0"/>
              <w:rPr>
                <w:sz w:val="6"/>
                <w:szCs w:val="6"/>
                <w:color w:val="auto"/>
              </w:rPr>
            </w:pPr>
          </w:p>
        </w:tc>
        <w:tc>
          <w:tcPr>
            <w:tcW w:w="5900" w:type="dxa"/>
            <w:vAlign w:val="bottom"/>
            <w:shd w:val="clear" w:color="auto" w:fill="BAD3EA"/>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5120" w:type="dxa"/>
            <w:vAlign w:val="bottom"/>
            <w:tcBorders>
              <w:left w:val="single" w:sz="8" w:color="E8F0F8"/>
            </w:tcBorders>
            <w:gridSpan w:val="2"/>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 Stronger pay for performance alignment</w:t>
            </w:r>
          </w:p>
        </w:tc>
        <w:tc>
          <w:tcPr>
            <w:tcW w:w="59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For 2021 Annual Bonus Plan Funding and Payouts:</w:t>
            </w:r>
          </w:p>
        </w:tc>
        <w:tc>
          <w:tcPr>
            <w:tcW w:w="0" w:type="dxa"/>
            <w:vAlign w:val="bottom"/>
          </w:tcPr>
          <w:p>
            <w:pPr>
              <w:spacing w:after="0"/>
              <w:rPr>
                <w:sz w:val="1"/>
                <w:szCs w:val="1"/>
                <w:color w:val="auto"/>
              </w:rPr>
            </w:pPr>
          </w:p>
        </w:tc>
      </w:tr>
      <w:tr>
        <w:trPr>
          <w:trHeight w:val="258"/>
        </w:trPr>
        <w:tc>
          <w:tcPr>
            <w:tcW w:w="280" w:type="dxa"/>
            <w:vAlign w:val="bottom"/>
            <w:tcBorders>
              <w:left w:val="single" w:sz="8" w:color="E8F0F8"/>
              <w:right w:val="single" w:sz="8" w:color="E8F0F8"/>
            </w:tcBorders>
            <w:shd w:val="clear" w:color="auto" w:fill="E8F0F8"/>
          </w:tcPr>
          <w:p>
            <w:pPr>
              <w:spacing w:after="0"/>
              <w:rPr>
                <w:sz w:val="22"/>
                <w:szCs w:val="22"/>
                <w:color w:val="auto"/>
              </w:rPr>
            </w:pPr>
          </w:p>
        </w:tc>
        <w:tc>
          <w:tcPr>
            <w:tcW w:w="4840" w:type="dxa"/>
            <w:vAlign w:val="bottom"/>
            <w:shd w:val="clear" w:color="auto" w:fill="E8F0F8"/>
          </w:tcPr>
          <w:p>
            <w:pPr>
              <w:spacing w:after="0"/>
              <w:rPr>
                <w:sz w:val="22"/>
                <w:szCs w:val="22"/>
                <w:color w:val="auto"/>
              </w:rPr>
            </w:pPr>
          </w:p>
        </w:tc>
        <w:tc>
          <w:tcPr>
            <w:tcW w:w="5900" w:type="dxa"/>
            <w:vAlign w:val="bottom"/>
            <w:shd w:val="clear" w:color="auto" w:fill="E8F0F8"/>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Applied negative discretion to reduce overall Annual Bonus Plan funding for</w:t>
            </w:r>
          </w:p>
        </w:tc>
        <w:tc>
          <w:tcPr>
            <w:tcW w:w="0" w:type="dxa"/>
            <w:vAlign w:val="bottom"/>
          </w:tcPr>
          <w:p>
            <w:pPr>
              <w:spacing w:after="0"/>
              <w:rPr>
                <w:sz w:val="1"/>
                <w:szCs w:val="1"/>
                <w:color w:val="auto"/>
              </w:rPr>
            </w:pPr>
          </w:p>
        </w:tc>
      </w:tr>
      <w:tr>
        <w:trPr>
          <w:trHeight w:val="189"/>
        </w:trPr>
        <w:tc>
          <w:tcPr>
            <w:tcW w:w="280" w:type="dxa"/>
            <w:vAlign w:val="bottom"/>
            <w:tcBorders>
              <w:left w:val="single" w:sz="8" w:color="E8F0F8"/>
              <w:right w:val="single" w:sz="8" w:color="E8F0F8"/>
            </w:tcBorders>
            <w:shd w:val="clear" w:color="auto" w:fill="E8F0F8"/>
          </w:tcPr>
          <w:p>
            <w:pPr>
              <w:spacing w:after="0"/>
              <w:rPr>
                <w:sz w:val="16"/>
                <w:szCs w:val="16"/>
                <w:color w:val="auto"/>
              </w:rPr>
            </w:pPr>
          </w:p>
        </w:tc>
        <w:tc>
          <w:tcPr>
            <w:tcW w:w="4840" w:type="dxa"/>
            <w:vAlign w:val="bottom"/>
            <w:shd w:val="clear" w:color="auto" w:fill="E8F0F8"/>
          </w:tcPr>
          <w:p>
            <w:pPr>
              <w:spacing w:after="0"/>
              <w:rPr>
                <w:sz w:val="16"/>
                <w:szCs w:val="16"/>
                <w:color w:val="auto"/>
              </w:rPr>
            </w:pPr>
          </w:p>
        </w:tc>
        <w:tc>
          <w:tcPr>
            <w:tcW w:w="59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all participants and further reduced payouts for the Executive Committee,</w:t>
            </w:r>
          </w:p>
        </w:tc>
        <w:tc>
          <w:tcPr>
            <w:tcW w:w="0" w:type="dxa"/>
            <w:vAlign w:val="bottom"/>
          </w:tcPr>
          <w:p>
            <w:pPr>
              <w:spacing w:after="0"/>
              <w:rPr>
                <w:sz w:val="1"/>
                <w:szCs w:val="1"/>
                <w:color w:val="auto"/>
              </w:rPr>
            </w:pPr>
          </w:p>
        </w:tc>
      </w:tr>
      <w:tr>
        <w:trPr>
          <w:trHeight w:val="189"/>
        </w:trPr>
        <w:tc>
          <w:tcPr>
            <w:tcW w:w="280" w:type="dxa"/>
            <w:vAlign w:val="bottom"/>
            <w:tcBorders>
              <w:left w:val="single" w:sz="8" w:color="E8F0F8"/>
              <w:right w:val="single" w:sz="8" w:color="E8F0F8"/>
            </w:tcBorders>
            <w:shd w:val="clear" w:color="auto" w:fill="E8F0F8"/>
          </w:tcPr>
          <w:p>
            <w:pPr>
              <w:spacing w:after="0"/>
              <w:rPr>
                <w:sz w:val="16"/>
                <w:szCs w:val="16"/>
                <w:color w:val="auto"/>
              </w:rPr>
            </w:pPr>
          </w:p>
        </w:tc>
        <w:tc>
          <w:tcPr>
            <w:tcW w:w="4840" w:type="dxa"/>
            <w:vAlign w:val="bottom"/>
            <w:shd w:val="clear" w:color="auto" w:fill="E8F0F8"/>
          </w:tcPr>
          <w:p>
            <w:pPr>
              <w:spacing w:after="0"/>
              <w:rPr>
                <w:sz w:val="16"/>
                <w:szCs w:val="16"/>
                <w:color w:val="auto"/>
              </w:rPr>
            </w:pPr>
          </w:p>
        </w:tc>
        <w:tc>
          <w:tcPr>
            <w:tcW w:w="59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which includes all our NEOs (see 2021 Annual Bonus Plan Company</w:t>
            </w:r>
          </w:p>
        </w:tc>
        <w:tc>
          <w:tcPr>
            <w:tcW w:w="0" w:type="dxa"/>
            <w:vAlign w:val="bottom"/>
          </w:tcPr>
          <w:p>
            <w:pPr>
              <w:spacing w:after="0"/>
              <w:rPr>
                <w:sz w:val="1"/>
                <w:szCs w:val="1"/>
                <w:color w:val="auto"/>
              </w:rPr>
            </w:pPr>
          </w:p>
        </w:tc>
      </w:tr>
      <w:tr>
        <w:trPr>
          <w:trHeight w:val="215"/>
        </w:trPr>
        <w:tc>
          <w:tcPr>
            <w:tcW w:w="280" w:type="dxa"/>
            <w:vAlign w:val="bottom"/>
            <w:tcBorders>
              <w:left w:val="single" w:sz="8" w:color="E8F0F8"/>
              <w:right w:val="single" w:sz="8" w:color="E8F0F8"/>
            </w:tcBorders>
            <w:shd w:val="clear" w:color="auto" w:fill="E8F0F8"/>
          </w:tcPr>
          <w:p>
            <w:pPr>
              <w:spacing w:after="0"/>
              <w:rPr>
                <w:sz w:val="18"/>
                <w:szCs w:val="18"/>
                <w:color w:val="auto"/>
              </w:rPr>
            </w:pPr>
          </w:p>
        </w:tc>
        <w:tc>
          <w:tcPr>
            <w:tcW w:w="4840" w:type="dxa"/>
            <w:vAlign w:val="bottom"/>
            <w:shd w:val="clear" w:color="auto" w:fill="E8F0F8"/>
          </w:tcPr>
          <w:p>
            <w:pPr>
              <w:spacing w:after="0"/>
              <w:rPr>
                <w:sz w:val="18"/>
                <w:szCs w:val="18"/>
                <w:color w:val="auto"/>
              </w:rPr>
            </w:pPr>
          </w:p>
        </w:tc>
        <w:tc>
          <w:tcPr>
            <w:tcW w:w="59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Performance Targets and Results Table)</w:t>
            </w:r>
          </w:p>
        </w:tc>
        <w:tc>
          <w:tcPr>
            <w:tcW w:w="0" w:type="dxa"/>
            <w:vAlign w:val="bottom"/>
          </w:tcPr>
          <w:p>
            <w:pPr>
              <w:spacing w:after="0"/>
              <w:rPr>
                <w:sz w:val="1"/>
                <w:szCs w:val="1"/>
                <w:color w:val="auto"/>
              </w:rPr>
            </w:pPr>
          </w:p>
        </w:tc>
      </w:tr>
      <w:tr>
        <w:trPr>
          <w:trHeight w:val="70"/>
        </w:trPr>
        <w:tc>
          <w:tcPr>
            <w:tcW w:w="280" w:type="dxa"/>
            <w:vAlign w:val="bottom"/>
            <w:tcBorders>
              <w:left w:val="single" w:sz="8" w:color="E8F0F8"/>
              <w:right w:val="single" w:sz="8" w:color="E8F0F8"/>
            </w:tcBorders>
            <w:shd w:val="clear" w:color="auto" w:fill="E8F0F8"/>
          </w:tcPr>
          <w:p>
            <w:pPr>
              <w:spacing w:after="0"/>
              <w:rPr>
                <w:sz w:val="6"/>
                <w:szCs w:val="6"/>
                <w:color w:val="auto"/>
              </w:rPr>
            </w:pPr>
          </w:p>
        </w:tc>
        <w:tc>
          <w:tcPr>
            <w:tcW w:w="4840" w:type="dxa"/>
            <w:vAlign w:val="bottom"/>
            <w:shd w:val="clear" w:color="auto" w:fill="E8F0F8"/>
          </w:tcPr>
          <w:p>
            <w:pPr>
              <w:spacing w:after="0"/>
              <w:rPr>
                <w:sz w:val="6"/>
                <w:szCs w:val="6"/>
                <w:color w:val="auto"/>
              </w:rPr>
            </w:pPr>
          </w:p>
        </w:tc>
        <w:tc>
          <w:tcPr>
            <w:tcW w:w="5900" w:type="dxa"/>
            <w:vAlign w:val="bottom"/>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120" w:type="dxa"/>
            <w:vAlign w:val="bottom"/>
            <w:tcBorders>
              <w:left w:val="single" w:sz="8" w:color="BAD3EA"/>
            </w:tcBorders>
            <w:gridSpan w:val="2"/>
            <w:shd w:val="clear" w:color="auto" w:fill="BAD3EA"/>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 Reinforce focus on Environmental, Social, Governance (ESG)</w:t>
            </w:r>
          </w:p>
        </w:tc>
        <w:tc>
          <w:tcPr>
            <w:tcW w:w="5900" w:type="dxa"/>
            <w:vAlign w:val="bottom"/>
            <w:shd w:val="clear" w:color="auto" w:fill="BAD3EA"/>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Continued the inclusion of ESG metrics in Annual Bonus Plan to drive</w:t>
            </w:r>
          </w:p>
        </w:tc>
        <w:tc>
          <w:tcPr>
            <w:tcW w:w="0" w:type="dxa"/>
            <w:vAlign w:val="bottom"/>
          </w:tcPr>
          <w:p>
            <w:pPr>
              <w:spacing w:after="0"/>
              <w:rPr>
                <w:sz w:val="1"/>
                <w:szCs w:val="1"/>
                <w:color w:val="auto"/>
              </w:rPr>
            </w:pPr>
          </w:p>
        </w:tc>
      </w:tr>
      <w:tr>
        <w:trPr>
          <w:trHeight w:val="203"/>
        </w:trPr>
        <w:tc>
          <w:tcPr>
            <w:tcW w:w="280" w:type="dxa"/>
            <w:vAlign w:val="bottom"/>
            <w:tcBorders>
              <w:left w:val="single" w:sz="8" w:color="BAD3EA"/>
              <w:right w:val="single" w:sz="8" w:color="BAD3EA"/>
            </w:tcBorders>
            <w:shd w:val="clear" w:color="auto" w:fill="BAD3EA"/>
          </w:tcPr>
          <w:p>
            <w:pPr>
              <w:spacing w:after="0"/>
              <w:rPr>
                <w:sz w:val="17"/>
                <w:szCs w:val="17"/>
                <w:color w:val="auto"/>
              </w:rPr>
            </w:pPr>
          </w:p>
        </w:tc>
        <w:tc>
          <w:tcPr>
            <w:tcW w:w="4840" w:type="dxa"/>
            <w:vAlign w:val="bottom"/>
            <w:shd w:val="clear" w:color="auto" w:fill="BAD3EA"/>
          </w:tcPr>
          <w:p>
            <w:pPr>
              <w:ind w:left="40"/>
              <w:spacing w:after="0"/>
              <w:rPr>
                <w:sz w:val="20"/>
                <w:szCs w:val="20"/>
                <w:color w:val="auto"/>
              </w:rPr>
            </w:pPr>
            <w:r>
              <w:rPr>
                <w:rFonts w:ascii="Arial" w:cs="Arial" w:eastAsia="Arial" w:hAnsi="Arial"/>
                <w:sz w:val="16"/>
                <w:szCs w:val="16"/>
                <w:color w:val="auto"/>
              </w:rPr>
              <w:t>metrics</w:t>
            </w:r>
          </w:p>
        </w:tc>
        <w:tc>
          <w:tcPr>
            <w:tcW w:w="5900" w:type="dxa"/>
            <w:vAlign w:val="bottom"/>
            <w:shd w:val="clear" w:color="auto" w:fill="BAD3EA"/>
          </w:tcPr>
          <w:p>
            <w:pPr>
              <w:ind w:left="320"/>
              <w:spacing w:after="0"/>
              <w:rPr>
                <w:sz w:val="20"/>
                <w:szCs w:val="20"/>
                <w:color w:val="auto"/>
              </w:rPr>
            </w:pPr>
            <w:r>
              <w:rPr>
                <w:rFonts w:ascii="Arial" w:cs="Arial" w:eastAsia="Arial" w:hAnsi="Arial"/>
                <w:sz w:val="16"/>
                <w:szCs w:val="16"/>
                <w:color w:val="auto"/>
              </w:rPr>
              <w:t>initiatives surrounding the Company’s environmental sustainability, DE&amp;I and</w:t>
            </w:r>
          </w:p>
        </w:tc>
        <w:tc>
          <w:tcPr>
            <w:tcW w:w="0" w:type="dxa"/>
            <w:vAlign w:val="bottom"/>
          </w:tcPr>
          <w:p>
            <w:pPr>
              <w:spacing w:after="0"/>
              <w:rPr>
                <w:sz w:val="1"/>
                <w:szCs w:val="1"/>
                <w:color w:val="auto"/>
              </w:rPr>
            </w:pPr>
          </w:p>
        </w:tc>
      </w:tr>
      <w:tr>
        <w:trPr>
          <w:trHeight w:val="251"/>
        </w:trPr>
        <w:tc>
          <w:tcPr>
            <w:tcW w:w="280" w:type="dxa"/>
            <w:vAlign w:val="bottom"/>
            <w:tcBorders>
              <w:left w:val="single" w:sz="8" w:color="BAD3EA"/>
              <w:bottom w:val="single" w:sz="8" w:color="BAD3EA"/>
              <w:right w:val="single" w:sz="8" w:color="BAD3EA"/>
            </w:tcBorders>
            <w:shd w:val="clear" w:color="auto" w:fill="BAD3EA"/>
          </w:tcPr>
          <w:p>
            <w:pPr>
              <w:spacing w:after="0"/>
              <w:rPr>
                <w:sz w:val="21"/>
                <w:szCs w:val="21"/>
                <w:color w:val="auto"/>
              </w:rPr>
            </w:pPr>
          </w:p>
        </w:tc>
        <w:tc>
          <w:tcPr>
            <w:tcW w:w="4840" w:type="dxa"/>
            <w:vAlign w:val="bottom"/>
            <w:tcBorders>
              <w:bottom w:val="single" w:sz="8" w:color="BAD3EA"/>
            </w:tcBorders>
            <w:shd w:val="clear" w:color="auto" w:fill="BAD3EA"/>
          </w:tcPr>
          <w:p>
            <w:pPr>
              <w:spacing w:after="0"/>
              <w:rPr>
                <w:sz w:val="21"/>
                <w:szCs w:val="21"/>
                <w:color w:val="auto"/>
              </w:rPr>
            </w:pPr>
          </w:p>
        </w:tc>
        <w:tc>
          <w:tcPr>
            <w:tcW w:w="5900" w:type="dxa"/>
            <w:vAlign w:val="bottom"/>
            <w:tcBorders>
              <w:bottom w:val="single" w:sz="8" w:color="BAD3EA"/>
            </w:tcBorders>
            <w:shd w:val="clear" w:color="auto" w:fill="BAD3EA"/>
          </w:tcPr>
          <w:p>
            <w:pPr>
              <w:ind w:left="320"/>
              <w:spacing w:after="0"/>
              <w:rPr>
                <w:sz w:val="20"/>
                <w:szCs w:val="20"/>
                <w:color w:val="auto"/>
              </w:rPr>
            </w:pPr>
            <w:r>
              <w:rPr>
                <w:rFonts w:ascii="Arial" w:cs="Arial" w:eastAsia="Arial" w:hAnsi="Arial"/>
                <w:sz w:val="16"/>
                <w:szCs w:val="16"/>
                <w:color w:val="auto"/>
              </w:rPr>
              <w:t>broader employee engagement goals</w:t>
            </w:r>
          </w:p>
        </w:tc>
        <w:tc>
          <w:tcPr>
            <w:tcW w:w="0" w:type="dxa"/>
            <w:vAlign w:val="bottom"/>
          </w:tcPr>
          <w:p>
            <w:pPr>
              <w:spacing w:after="0"/>
              <w:rPr>
                <w:sz w:val="1"/>
                <w:szCs w:val="1"/>
                <w:color w:val="auto"/>
              </w:rPr>
            </w:pPr>
          </w:p>
        </w:tc>
      </w:tr>
      <w:tr>
        <w:trPr>
          <w:trHeight w:val="296"/>
        </w:trPr>
        <w:tc>
          <w:tcPr>
            <w:tcW w:w="5120" w:type="dxa"/>
            <w:vAlign w:val="bottom"/>
            <w:tcBorders>
              <w:left w:val="single" w:sz="8" w:color="E8F0F8"/>
            </w:tcBorders>
            <w:gridSpan w:val="2"/>
            <w:shd w:val="clear" w:color="auto" w:fill="E8F0F8"/>
          </w:tcPr>
          <w:p>
            <w:pPr>
              <w:ind w:left="100"/>
              <w:spacing w:after="0"/>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 Simplify incentive program structures</w:t>
            </w:r>
          </w:p>
        </w:tc>
        <w:tc>
          <w:tcPr>
            <w:tcW w:w="5900" w:type="dxa"/>
            <w:vAlign w:val="bottom"/>
            <w:shd w:val="clear" w:color="auto" w:fill="E8F0F8"/>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Revised the 2022 Annual Bonus Plan scorecard to include fewer metrics and</w:t>
            </w:r>
          </w:p>
        </w:tc>
        <w:tc>
          <w:tcPr>
            <w:tcW w:w="0" w:type="dxa"/>
            <w:vAlign w:val="bottom"/>
          </w:tcPr>
          <w:p>
            <w:pPr>
              <w:spacing w:after="0"/>
              <w:rPr>
                <w:sz w:val="1"/>
                <w:szCs w:val="1"/>
                <w:color w:val="auto"/>
              </w:rPr>
            </w:pPr>
          </w:p>
        </w:tc>
      </w:tr>
      <w:tr>
        <w:trPr>
          <w:trHeight w:val="163"/>
        </w:trPr>
        <w:tc>
          <w:tcPr>
            <w:tcW w:w="280" w:type="dxa"/>
            <w:vAlign w:val="bottom"/>
            <w:tcBorders>
              <w:left w:val="single" w:sz="8" w:color="E8F0F8"/>
              <w:right w:val="single" w:sz="8" w:color="E8F0F8"/>
            </w:tcBorders>
            <w:shd w:val="clear" w:color="auto" w:fill="E8F0F8"/>
          </w:tcPr>
          <w:p>
            <w:pPr>
              <w:spacing w:after="0"/>
              <w:rPr>
                <w:sz w:val="14"/>
                <w:szCs w:val="14"/>
                <w:color w:val="auto"/>
              </w:rPr>
            </w:pPr>
          </w:p>
        </w:tc>
        <w:tc>
          <w:tcPr>
            <w:tcW w:w="4840" w:type="dxa"/>
            <w:vAlign w:val="bottom"/>
            <w:shd w:val="clear" w:color="auto" w:fill="E8F0F8"/>
          </w:tcPr>
          <w:p>
            <w:pPr>
              <w:spacing w:after="0"/>
              <w:rPr>
                <w:sz w:val="14"/>
                <w:szCs w:val="14"/>
                <w:color w:val="auto"/>
              </w:rPr>
            </w:pPr>
          </w:p>
        </w:tc>
        <w:tc>
          <w:tcPr>
            <w:tcW w:w="5900" w:type="dxa"/>
            <w:vAlign w:val="bottom"/>
            <w:shd w:val="clear" w:color="auto" w:fill="E8F0F8"/>
          </w:tcPr>
          <w:p>
            <w:pPr>
              <w:ind w:left="320"/>
              <w:spacing w:after="0" w:line="163" w:lineRule="exact"/>
              <w:rPr>
                <w:sz w:val="20"/>
                <w:szCs w:val="20"/>
                <w:color w:val="auto"/>
              </w:rPr>
            </w:pPr>
            <w:r>
              <w:rPr>
                <w:rFonts w:ascii="Arial" w:cs="Arial" w:eastAsia="Arial" w:hAnsi="Arial"/>
                <w:sz w:val="16"/>
                <w:szCs w:val="16"/>
                <w:color w:val="auto"/>
              </w:rPr>
              <w:t>place heavier weightings on quantitative financial metrics</w:t>
            </w:r>
          </w:p>
        </w:tc>
        <w:tc>
          <w:tcPr>
            <w:tcW w:w="0" w:type="dxa"/>
            <w:vAlign w:val="bottom"/>
          </w:tcPr>
          <w:p>
            <w:pPr>
              <w:spacing w:after="0"/>
              <w:rPr>
                <w:sz w:val="1"/>
                <w:szCs w:val="1"/>
                <w:color w:val="auto"/>
              </w:rPr>
            </w:pPr>
          </w:p>
        </w:tc>
      </w:tr>
      <w:tr>
        <w:trPr>
          <w:trHeight w:val="254"/>
        </w:trPr>
        <w:tc>
          <w:tcPr>
            <w:tcW w:w="280" w:type="dxa"/>
            <w:vAlign w:val="bottom"/>
            <w:tcBorders>
              <w:left w:val="single" w:sz="8" w:color="E8F0F8"/>
              <w:right w:val="single" w:sz="8" w:color="E8F0F8"/>
            </w:tcBorders>
            <w:shd w:val="clear" w:color="auto" w:fill="E8F0F8"/>
          </w:tcPr>
          <w:p>
            <w:pPr>
              <w:spacing w:after="0"/>
              <w:rPr>
                <w:sz w:val="22"/>
                <w:szCs w:val="22"/>
                <w:color w:val="auto"/>
              </w:rPr>
            </w:pPr>
          </w:p>
        </w:tc>
        <w:tc>
          <w:tcPr>
            <w:tcW w:w="4840" w:type="dxa"/>
            <w:vAlign w:val="bottom"/>
            <w:shd w:val="clear" w:color="auto" w:fill="E8F0F8"/>
          </w:tcPr>
          <w:p>
            <w:pPr>
              <w:spacing w:after="0"/>
              <w:rPr>
                <w:sz w:val="22"/>
                <w:szCs w:val="22"/>
                <w:color w:val="auto"/>
              </w:rPr>
            </w:pPr>
          </w:p>
        </w:tc>
        <w:tc>
          <w:tcPr>
            <w:tcW w:w="5900" w:type="dxa"/>
            <w:vAlign w:val="bottom"/>
            <w:shd w:val="clear" w:color="auto" w:fill="E8F0F8"/>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Streamlined long-term incentive plan (see below)</w:t>
            </w:r>
          </w:p>
        </w:tc>
        <w:tc>
          <w:tcPr>
            <w:tcW w:w="0" w:type="dxa"/>
            <w:vAlign w:val="bottom"/>
          </w:tcPr>
          <w:p>
            <w:pPr>
              <w:spacing w:after="0"/>
              <w:rPr>
                <w:sz w:val="1"/>
                <w:szCs w:val="1"/>
                <w:color w:val="auto"/>
              </w:rPr>
            </w:pPr>
          </w:p>
        </w:tc>
      </w:tr>
      <w:tr>
        <w:trPr>
          <w:trHeight w:val="69"/>
        </w:trPr>
        <w:tc>
          <w:tcPr>
            <w:tcW w:w="280" w:type="dxa"/>
            <w:vAlign w:val="bottom"/>
            <w:tcBorders>
              <w:left w:val="single" w:sz="8" w:color="E8F0F8"/>
              <w:right w:val="single" w:sz="8" w:color="E8F0F8"/>
            </w:tcBorders>
            <w:shd w:val="clear" w:color="auto" w:fill="E8F0F8"/>
          </w:tcPr>
          <w:p>
            <w:pPr>
              <w:spacing w:after="0"/>
              <w:rPr>
                <w:sz w:val="6"/>
                <w:szCs w:val="6"/>
                <w:color w:val="auto"/>
              </w:rPr>
            </w:pPr>
          </w:p>
        </w:tc>
        <w:tc>
          <w:tcPr>
            <w:tcW w:w="4840" w:type="dxa"/>
            <w:vAlign w:val="bottom"/>
            <w:shd w:val="clear" w:color="auto" w:fill="E8F0F8"/>
          </w:tcPr>
          <w:p>
            <w:pPr>
              <w:spacing w:after="0"/>
              <w:rPr>
                <w:sz w:val="6"/>
                <w:szCs w:val="6"/>
                <w:color w:val="auto"/>
              </w:rPr>
            </w:pPr>
          </w:p>
        </w:tc>
        <w:tc>
          <w:tcPr>
            <w:tcW w:w="5900" w:type="dxa"/>
            <w:vAlign w:val="bottom"/>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4840" w:type="dxa"/>
            <w:vAlign w:val="bottom"/>
          </w:tcPr>
          <w:p>
            <w:pPr>
              <w:spacing w:after="0"/>
              <w:rPr>
                <w:sz w:val="5"/>
                <w:szCs w:val="5"/>
                <w:color w:val="auto"/>
              </w:rPr>
            </w:pPr>
          </w:p>
        </w:tc>
        <w:tc>
          <w:tcPr>
            <w:tcW w:w="5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80" w:type="dxa"/>
            <w:vAlign w:val="bottom"/>
            <w:tcBorders>
              <w:left w:val="single" w:sz="8" w:color="1A6DBB"/>
              <w:right w:val="single" w:sz="8" w:color="1A6DBB"/>
            </w:tcBorders>
          </w:tcPr>
          <w:p>
            <w:pPr>
              <w:ind w:left="60"/>
              <w:spacing w:after="0"/>
              <w:rPr>
                <w:sz w:val="20"/>
                <w:szCs w:val="20"/>
                <w:color w:val="auto"/>
              </w:rPr>
            </w:pPr>
            <w:r>
              <w:rPr>
                <w:rFonts w:ascii="Arial" w:cs="Arial" w:eastAsia="Arial" w:hAnsi="Arial"/>
                <w:sz w:val="12"/>
                <w:szCs w:val="12"/>
                <w:color w:val="1A6DBB"/>
              </w:rPr>
              <w:t>33</w:t>
            </w:r>
          </w:p>
        </w:tc>
        <w:tc>
          <w:tcPr>
            <w:tcW w:w="48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4840" w:type="dxa"/>
            <w:vAlign w:val="bottom"/>
          </w:tcPr>
          <w:p>
            <w:pPr>
              <w:spacing w:after="0"/>
              <w:rPr>
                <w:sz w:val="5"/>
                <w:szCs w:val="5"/>
                <w:color w:val="auto"/>
              </w:rPr>
            </w:pPr>
          </w:p>
        </w:tc>
        <w:tc>
          <w:tcPr>
            <w:tcW w:w="5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-196850</wp:posOffset>
            </wp:positionV>
            <wp:extent cx="419735"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75"/>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Our C&amp;MD Committee is committed to continually reviewing our executive compensation programs on a proactive basis to ensure the ongoing alignment of such programs with the interests of our stockholders.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A Closer Look at the 2022 LTI Program</w:t>
      </w:r>
    </w:p>
    <w:p>
      <w:pPr>
        <w:spacing w:after="0" w:line="125" w:lineRule="exact"/>
        <w:rPr>
          <w:sz w:val="20"/>
          <w:szCs w:val="20"/>
          <w:color w:val="auto"/>
        </w:rPr>
      </w:pPr>
    </w:p>
    <w:p>
      <w:pPr>
        <w:ind w:left="120" w:right="4260"/>
        <w:spacing w:after="0" w:line="254" w:lineRule="auto"/>
        <w:rPr>
          <w:sz w:val="20"/>
          <w:szCs w:val="20"/>
          <w:color w:val="auto"/>
        </w:rPr>
      </w:pPr>
      <w:r>
        <w:rPr>
          <w:rFonts w:ascii="Arial" w:cs="Arial" w:eastAsia="Arial" w:hAnsi="Arial"/>
          <w:sz w:val="16"/>
          <w:szCs w:val="16"/>
          <w:color w:val="auto"/>
        </w:rPr>
        <w:t>In connection with our stockholder outreach and engagement efforts, our C&amp;MD Committee, along with our internal compensation group and Pearl Meyer, assessed our executive compensation programs, with particular focus on our LTI program. Through this review, the C&amp;MD Committee identified opportunities to simplify our plan and strengthen alignment with stockholder interests, as well as continue to drive our long-term business strategy, support our retention objectives, and reflect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-655320</wp:posOffset>
            </wp:positionV>
            <wp:extent cx="2040255" cy="17227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40255" cy="1722755"/>
                    </a:xfrm>
                    <a:prstGeom prst="rect">
                      <a:avLst/>
                    </a:prstGeom>
                    <a:noFill/>
                  </pic:spPr>
                </pic:pic>
              </a:graphicData>
            </a:graphic>
          </wp:anchor>
        </w:drawing>
      </w:r>
    </w:p>
    <w:p>
      <w:pPr>
        <w:spacing w:after="0" w:line="67" w:lineRule="exact"/>
        <w:rPr>
          <w:sz w:val="20"/>
          <w:szCs w:val="20"/>
          <w:color w:val="auto"/>
        </w:rPr>
      </w:pPr>
    </w:p>
    <w:p>
      <w:pPr>
        <w:ind w:left="120" w:right="4160"/>
        <w:spacing w:after="0" w:line="251" w:lineRule="auto"/>
        <w:rPr>
          <w:sz w:val="20"/>
          <w:szCs w:val="20"/>
          <w:color w:val="auto"/>
        </w:rPr>
      </w:pPr>
      <w:r>
        <w:rPr>
          <w:rFonts w:ascii="Arial" w:cs="Arial" w:eastAsia="Arial" w:hAnsi="Arial"/>
          <w:sz w:val="16"/>
          <w:szCs w:val="16"/>
          <w:color w:val="auto"/>
        </w:rPr>
        <w:t>Awards under the 2022 LTI program are comprised of 50% Performance Stock Units (PSUs) and 50% time-based Restricted Stock Units (RSUs). Actual PSUs are earned based on three-year cumulative relative Total Shareholder Return (rTSR) performance after the end of a three-year performance period (1/1/22-12/31/24) and vest on the third anniversary of the date of grant. Relative TSR will be measured against the proxy peer group disclosed in the CD&amp;A as in effect on the date of grant. Target performance will be the 55th percentile of this peer group, with threshold and maximum performance at the 25th and 75th percentiles, with payouts of 25% at threshold and 200% at maximum, respectively. Awards are capped at target in the event of negative absolute TSR performance over the 3-year performance period.</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RSUs vest one third per year from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1968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CEO Pay At-A-Glance</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Total Target Direct Compensation and Realizable Pay</w:t>
      </w:r>
    </w:p>
    <w:p>
      <w:pPr>
        <w:spacing w:after="0" w:line="108"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stockholder value creation. As part of its review of executive compensation, our C&amp;MD Committee considers total target direct compensation (TTDC) opportunity, as well as realizable pay, to help illustrate the actual potential economic value delivered through our compensation programs relative to the intended value.</w:t>
      </w:r>
    </w:p>
    <w:p>
      <w:pPr>
        <w:spacing w:after="0" w:line="63"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Many of the required disclosures concerning CEO compensation describe pay elements or opportunities that may be earned by the CEO. Realizable pay, on the other hand, more closely considers actual compensation earned (or earnable) based on performance. To illustrate the differences, we compared total target direct compensation to realizable pay on a year-by-year basis; for this purpose, we use the following definitions:</w:t>
      </w:r>
    </w:p>
    <w:p>
      <w:pPr>
        <w:spacing w:after="0" w:line="77" w:lineRule="exact"/>
        <w:rPr>
          <w:sz w:val="20"/>
          <w:szCs w:val="20"/>
          <w:color w:val="auto"/>
        </w:rPr>
      </w:pPr>
    </w:p>
    <w:p>
      <w:pPr>
        <w:ind w:left="440" w:hanging="324"/>
        <w:spacing w:after="0"/>
        <w:tabs>
          <w:tab w:leader="none" w:pos="440" w:val="left"/>
        </w:tabs>
        <w:numPr>
          <w:ilvl w:val="0"/>
          <w:numId w:val="76"/>
        </w:numPr>
        <w:rPr>
          <w:rFonts w:ascii="Arial" w:cs="Arial" w:eastAsia="Arial" w:hAnsi="Arial"/>
          <w:sz w:val="16"/>
          <w:szCs w:val="16"/>
          <w:color w:val="1A6DBB"/>
        </w:rPr>
      </w:pPr>
      <w:r>
        <w:rPr>
          <w:rFonts w:ascii="Arial" w:cs="Arial" w:eastAsia="Arial" w:hAnsi="Arial"/>
          <w:sz w:val="16"/>
          <w:szCs w:val="16"/>
          <w:color w:val="auto"/>
        </w:rPr>
        <w:t>Total target direct compensation refers to the sum of salary, target bonus and target LTI awards.</w:t>
      </w:r>
    </w:p>
    <w:p>
      <w:pPr>
        <w:spacing w:after="0" w:line="21" w:lineRule="exact"/>
        <w:rPr>
          <w:rFonts w:ascii="Arial" w:cs="Arial" w:eastAsia="Arial" w:hAnsi="Arial"/>
          <w:sz w:val="16"/>
          <w:szCs w:val="16"/>
          <w:color w:val="1A6DBB"/>
        </w:rPr>
      </w:pPr>
    </w:p>
    <w:p>
      <w:pPr>
        <w:ind w:left="440" w:right="360" w:hanging="324"/>
        <w:spacing w:after="0" w:line="265" w:lineRule="auto"/>
        <w:tabs>
          <w:tab w:leader="none" w:pos="440" w:val="left"/>
        </w:tabs>
        <w:numPr>
          <w:ilvl w:val="0"/>
          <w:numId w:val="76"/>
        </w:numPr>
        <w:rPr>
          <w:rFonts w:ascii="Arial" w:cs="Arial" w:eastAsia="Arial" w:hAnsi="Arial"/>
          <w:sz w:val="16"/>
          <w:szCs w:val="16"/>
          <w:color w:val="1A6DBB"/>
        </w:rPr>
      </w:pPr>
      <w:r>
        <w:rPr>
          <w:rFonts w:ascii="Arial" w:cs="Arial" w:eastAsia="Arial" w:hAnsi="Arial"/>
          <w:sz w:val="16"/>
          <w:szCs w:val="16"/>
          <w:color w:val="auto"/>
        </w:rPr>
        <w:t>Realizable pay refers to the sum of salary, actual bonus and the tracked potential payout value of LTI awards, including performance criteria and stock price.</w:t>
      </w:r>
    </w:p>
    <w:p>
      <w:pPr>
        <w:spacing w:after="0" w:line="64"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Other elements such as changes in pension value and nonqualified deferred compensation earnings, shown in the Summary Compensation Table, are not considered in these analyses because they are program-based benefits whose plan designs are not typically subject to annual change.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34 </w:t>
      </w:r>
      <w:r>
        <w:rPr>
          <w:sz w:val="1"/>
          <w:szCs w:val="1"/>
          <w:color w:val="auto"/>
        </w:rPr>
        <w:drawing>
          <wp:inline distT="0" distB="0" distL="0" distR="0">
            <wp:extent cx="38735" cy="19685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77"/>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The chart below illustrates Mr. Vounatsos’ realizable pay compared to his total target direct compensation opportunity for 2021. It shows his total target direct compensation was $16.34 million. As of December 31, 2021, his realizable pay was calculated at $13.25 million, which reflects 81% of the target intended value to be delivered, approximately $3.09 million less than the intended total target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2057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Executive Summary</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continued to execute well against our corporate strategy despite the challenges we faced in 2021. Our full year revenue for 2021 was $11.0 billion, an 18% decrease from the prior year primarily due to continued TECFIDERA generic entrants in the U.S. market with deeply discounted prices compared to TECFIDERA. The generic competition for TECFIDERA has significantly reduced our TECFIDERA revenue during the year ended December 31, 2021, and is expected to continue to have a substantial and increasing negative impact on our U.S. TECFIDERA revenue in the future.</w:t>
      </w:r>
    </w:p>
    <w:p>
      <w:pPr>
        <w:spacing w:after="0" w:line="7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Excluding TECFIDERA in the U.S., our global MS revenue, including OCREVUS royalties, remained relatively stable for 2021, as compared to 2020, demonstrating the resilience of our MS business in a competitive market. We continued our launch of VUMERITY in the U.S., which was the number two MS product and the number one new oral prescription in the U.S. as of December 31, 2021. During the fourth quarter of 2021 VUMERITY was approved for the treatment of relapsing-remitting MS (RRMS) in the European Union (E.U.), Switzerland and the United Kingdom (U.K.).</w:t>
      </w:r>
    </w:p>
    <w:p>
      <w:pPr>
        <w:spacing w:after="0" w:line="7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In June 2021 ADUHELM, the first approved and only approved Alzheimer’s disease treatment to address a defining pathology of the disease by reducing amyloid beta plaques in the brain, was approved by the FDA. The ADUHELM launch has proceeded slower than expected as a result of lower than expected patient uptake, which we believe stems from questions about the product profile and uncertainty regarding reimbursement.</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35 </w:t>
      </w:r>
      <w:r>
        <w:rPr>
          <w:sz w:val="1"/>
          <w:szCs w:val="1"/>
          <w:color w:val="auto"/>
        </w:rPr>
        <w:drawing>
          <wp:inline distT="0" distB="0" distL="0" distR="0">
            <wp:extent cx="38735" cy="19685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maintained our leadership in our SMA business despite increased competition against SPINRAZA. Although our full year 2021 SPINRAZA revenue decreased 7% as compared to 2020, we continued to see growth outside of the U.S., with full year 2021 revenue outside the U.S. growing 4% as compared to 2020, and we believe that SPINRAZA will remain a foundation of care in the treatment of SMA. Our full year 2021 biosimilars revenue increased 4% as compared to 2020. Although our biosimilars business was negatively impacted by pricing pressure in certain markets, we were the leading anti-TNF biosimilar provider in Europe in 2021 and BENEPALI was the #1 prescribed etanercept product across Europe.</w:t>
      </w:r>
    </w:p>
    <w:p>
      <w:pPr>
        <w:spacing w:after="0" w:line="8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also made significant progress toward building a multi- franchise portfolio, with 10 programs now in either Phase 3 or filed across a number of key therapeutic areas. We added or advanced 5 clinical programs in Alzheimer’s disease, MS and biosimilars and had a strong year for business development, including multiple new strategic collaborations.</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provided value to our stockholders through the return of approximately $1.8 billion in capital through share repurchases, and we continued our leading efforts in environmental, sustainability and diversity issues.</w:t>
      </w:r>
    </w:p>
    <w:p>
      <w:pPr>
        <w:spacing w:after="0" w:line="63"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Our C&amp;MD Committee considered all of these achievements, and challenges, as they navigated compensation decisions not just for our executive officers but for all of our employees.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described below, our C&amp;MD Committee exercised its discretion and made adjustments to take into account overall company outcomes as well as pre-determined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271780</wp:posOffset>
            </wp:positionV>
            <wp:extent cx="102870" cy="939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40" w:space="400"/>
            <w:col w:w="5320"/>
          </w:cols>
          <w:pgMar w:left="320" w:top="455" w:right="5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38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ance goals when determining achievement of objectives. Notwithstanding the attainment of our performance goals and the strength of management’s performance, our C&amp;MD Committee also believed it was important to hold the members of our Executive Committee, which includes all of our NEOs, accountable for the Company’s overall financial results and business performance. As a result, our C&amp;MD Committee exercised its discretion and decreased the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payouts under our 2021 annual bonus plan for the members of our Executive Committee, including all of our NEOs, as described below.</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C&amp;MD Committee believes that our executive compensation program for 2021 is consistent with our compensation philosophies and principles described below and demonstrates our commitment to linking compensation to Company performance and strategy during a challenging year.</w:t>
      </w:r>
    </w:p>
    <w:p>
      <w:pPr>
        <w:spacing w:after="0" w:line="200" w:lineRule="exact"/>
        <w:rPr>
          <w:sz w:val="20"/>
          <w:szCs w:val="20"/>
          <w:color w:val="auto"/>
        </w:rPr>
      </w:pPr>
    </w:p>
    <w:p>
      <w:pPr>
        <w:sectPr>
          <w:pgSz w:w="11900" w:h="16838" w:orient="portrait"/>
          <w:cols w:equalWidth="0" w:num="2">
            <w:col w:w="5380" w:space="360"/>
            <w:col w:w="5340"/>
          </w:cols>
          <w:pgMar w:left="320" w:top="455" w:right="499" w:bottom="1440" w:gutter="0" w:footer="0" w:header="0"/>
          <w:type w:val="continuous"/>
        </w:sectPr>
      </w:pP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Highlights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brief summary of our 2021 business, financial and executive compensation highlights is as follows: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Financial Performance</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chart provides a summary of our financial performance for 2021</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compared to 2020</w:t>
      </w:r>
      <w:r>
        <w:rPr>
          <w:rFonts w:ascii="Arial" w:cs="Arial" w:eastAsia="Arial" w:hAnsi="Arial"/>
          <w:sz w:val="27"/>
          <w:szCs w:val="27"/>
          <w:color w:val="auto"/>
          <w:vertAlign w:val="superscript"/>
        </w:rPr>
        <w:t>(1)(2)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86995</wp:posOffset>
            </wp:positionV>
            <wp:extent cx="3051810" cy="16459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05181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60" w:hanging="220"/>
        <w:spacing w:after="0" w:line="213" w:lineRule="auto"/>
        <w:tabs>
          <w:tab w:leader="none" w:pos="66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Beginning in the second quarter of 2021 material upfront payments and premiums paid on the acquisition of common stock associated with significant collaboration and licensing arrangements along with the related transaction costs incurred are no longer excluded from Non-GAAP research and development expense and selling, general and administrative expense. Non-GAAP financial results for 2020 have been updated to include payments related to our collaborations with Sage Therapeutics, Inc. (Sage), Denali Therapeutics, Inc. and Sangamo Therapeutics, Inc. along with the associated transaction costs and income tax effect.</w:t>
      </w:r>
    </w:p>
    <w:p>
      <w:pPr>
        <w:spacing w:after="0" w:line="95" w:lineRule="exact"/>
        <w:rPr>
          <w:rFonts w:ascii="Arial" w:cs="Arial" w:eastAsia="Arial" w:hAnsi="Arial"/>
          <w:sz w:val="24"/>
          <w:szCs w:val="24"/>
          <w:color w:val="auto"/>
          <w:vertAlign w:val="superscript"/>
        </w:rPr>
      </w:pPr>
    </w:p>
    <w:p>
      <w:pPr>
        <w:ind w:left="660" w:right="780" w:hanging="220"/>
        <w:spacing w:after="0" w:line="193" w:lineRule="auto"/>
        <w:tabs>
          <w:tab w:leader="none" w:pos="66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Beginning in the first quarter of 2022 material payments on the acquisition of in-process research and development assets are no longer excluded in the determination of Non-GAAP net income. Non-GAAP financial results for 2021 and 2020 have been updated to reflect this change.</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reconciliation of our GAAP to Non-GAAP financial measures is provided in Appendix A to this Proxy Statement.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Product and Pipeline Developments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provides a summary of our product and pipeline developments for 2021:</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427F3D"/>
        </w:rPr>
        <w:t>Applications for Marketing and Agency Actions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ADUHELM (aducanumab)</w:t>
      </w:r>
    </w:p>
    <w:p>
      <w:pPr>
        <w:spacing w:after="0" w:line="125" w:lineRule="exact"/>
        <w:rPr>
          <w:sz w:val="20"/>
          <w:szCs w:val="20"/>
          <w:color w:val="auto"/>
        </w:rPr>
      </w:pPr>
    </w:p>
    <w:p>
      <w:pPr>
        <w:ind w:left="440" w:hanging="324"/>
        <w:spacing w:after="0" w:line="256" w:lineRule="auto"/>
        <w:tabs>
          <w:tab w:leader="none" w:pos="440" w:val="left"/>
        </w:tabs>
        <w:numPr>
          <w:ilvl w:val="0"/>
          <w:numId w:val="79"/>
        </w:numPr>
        <w:rPr>
          <w:rFonts w:ascii="Arial" w:cs="Arial" w:eastAsia="Arial" w:hAnsi="Arial"/>
          <w:sz w:val="16"/>
          <w:szCs w:val="16"/>
          <w:color w:val="1A6DBB"/>
        </w:rPr>
      </w:pPr>
      <w:r>
        <w:rPr>
          <w:rFonts w:ascii="Arial" w:cs="Arial" w:eastAsia="Arial" w:hAnsi="Arial"/>
          <w:sz w:val="16"/>
          <w:szCs w:val="16"/>
          <w:color w:val="auto"/>
        </w:rPr>
        <w:t>In June 2021 the FDA granted accelerated approval of ADUHELM, which we are developing and commercializing in collaboration with Eisai Co., Ltd. (Eisai), based on reduction in amyloid beta plaques observed in patients treated with ADUHELM. As part of the accelerated approval, we are required to conduct a confirmatory trial to verify the clinical benefit of ADUHELM in patients with Alzheimer’s disease. The FDA may withdraw approval if, among other things, the confirmatory trial fails to verify clinical benefit of ADUHELM, ADUHELM’s benefit-risk is no longer positive or we fail to comply with the conditions of the accelerated approval.</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36 </w:t>
      </w:r>
      <w:r>
        <w:rPr>
          <w:sz w:val="1"/>
          <w:szCs w:val="1"/>
          <w:color w:val="auto"/>
        </w:rPr>
        <w:drawing>
          <wp:inline distT="0" distB="0" distL="0" distR="0">
            <wp:extent cx="38735" cy="19685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80"/>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394" w:lineRule="exact"/>
        <w:rPr>
          <w:rFonts w:ascii="Arial" w:cs="Arial" w:eastAsia="Arial" w:hAnsi="Arial"/>
          <w:sz w:val="90"/>
          <w:szCs w:val="90"/>
          <w:color w:val="1A6DBB"/>
        </w:rPr>
      </w:pPr>
    </w:p>
    <w:p>
      <w:pPr>
        <w:ind w:left="440" w:right="360" w:hanging="324"/>
        <w:spacing w:after="0" w:line="256" w:lineRule="auto"/>
        <w:tabs>
          <w:tab w:leader="none" w:pos="440" w:val="left"/>
        </w:tabs>
        <w:numPr>
          <w:ilvl w:val="0"/>
          <w:numId w:val="80"/>
        </w:numPr>
        <w:rPr>
          <w:rFonts w:ascii="Arial" w:cs="Arial" w:eastAsia="Arial" w:hAnsi="Arial"/>
          <w:sz w:val="16"/>
          <w:szCs w:val="16"/>
          <w:color w:val="1A6DBB"/>
        </w:rPr>
      </w:pPr>
      <w:r>
        <w:rPr>
          <w:rFonts w:ascii="Arial" w:cs="Arial" w:eastAsia="Arial" w:hAnsi="Arial"/>
          <w:sz w:val="16"/>
          <w:szCs w:val="16"/>
          <w:color w:val="auto"/>
        </w:rPr>
        <w:t>In December 2021 the Committee for Medicinal Products for Human Use (CHMP) of the European Medicines Agency (EMA) adopted a negative opinion on the Marketing Authorization Application (MAA) for aducanumab in Europe. We withdrew our application in April 2022.</w:t>
      </w:r>
    </w:p>
    <w:p>
      <w:pPr>
        <w:spacing w:after="0" w:line="1" w:lineRule="exact"/>
        <w:rPr>
          <w:rFonts w:ascii="Arial" w:cs="Arial" w:eastAsia="Arial" w:hAnsi="Arial"/>
          <w:sz w:val="16"/>
          <w:szCs w:val="16"/>
          <w:color w:val="1A6DBB"/>
        </w:rPr>
      </w:pPr>
    </w:p>
    <w:p>
      <w:pPr>
        <w:jc w:val="both"/>
        <w:ind w:left="440" w:right="160" w:hanging="324"/>
        <w:spacing w:after="0" w:line="246" w:lineRule="auto"/>
        <w:tabs>
          <w:tab w:leader="none" w:pos="440" w:val="left"/>
        </w:tabs>
        <w:numPr>
          <w:ilvl w:val="0"/>
          <w:numId w:val="80"/>
        </w:numPr>
        <w:rPr>
          <w:rFonts w:ascii="Arial" w:cs="Arial" w:eastAsia="Arial" w:hAnsi="Arial"/>
          <w:sz w:val="16"/>
          <w:szCs w:val="16"/>
          <w:color w:val="1A6DBB"/>
        </w:rPr>
      </w:pPr>
      <w:r>
        <w:rPr>
          <w:rFonts w:ascii="Arial" w:cs="Arial" w:eastAsia="Arial" w:hAnsi="Arial"/>
          <w:sz w:val="16"/>
          <w:szCs w:val="16"/>
          <w:color w:val="auto"/>
        </w:rPr>
        <w:t>In December 2021 the First Committee on New Drugs (NDC) of the Pharmaceutical Affairs and Food Sanitation Council that advises the Ministry of Health, Labour and Welfare (MHLW) in Japan decided to continue deliberations on the application for the manufacturing and marketing approval of aducanumab for the treatment of Alzheimer’s disease.</w:t>
      </w:r>
    </w:p>
    <w:p>
      <w:pPr>
        <w:spacing w:after="0" w:line="1" w:lineRule="exact"/>
        <w:rPr>
          <w:rFonts w:ascii="Arial" w:cs="Arial" w:eastAsia="Arial" w:hAnsi="Arial"/>
          <w:sz w:val="16"/>
          <w:szCs w:val="16"/>
          <w:color w:val="1A6DBB"/>
        </w:rPr>
      </w:pPr>
    </w:p>
    <w:p>
      <w:pPr>
        <w:jc w:val="both"/>
        <w:ind w:left="440" w:right="400" w:hanging="324"/>
        <w:spacing w:after="0" w:line="252" w:lineRule="auto"/>
        <w:tabs>
          <w:tab w:leader="none" w:pos="440" w:val="left"/>
        </w:tabs>
        <w:numPr>
          <w:ilvl w:val="0"/>
          <w:numId w:val="80"/>
        </w:numPr>
        <w:rPr>
          <w:rFonts w:ascii="Arial" w:cs="Arial" w:eastAsia="Arial" w:hAnsi="Arial"/>
          <w:sz w:val="16"/>
          <w:szCs w:val="16"/>
          <w:color w:val="1A6DBB"/>
        </w:rPr>
      </w:pPr>
      <w:r>
        <w:rPr>
          <w:rFonts w:ascii="Arial" w:cs="Arial" w:eastAsia="Arial" w:hAnsi="Arial"/>
          <w:sz w:val="16"/>
          <w:szCs w:val="16"/>
          <w:color w:val="auto"/>
        </w:rPr>
        <w:t>In January 2022 the Centers for Medicare and Medicaid Services (CMS) released a proposed National Coverage Determination (NCD) decision memorandum stating the proposed NCD would cover FDA approved monoclonal antibodies that target amyloid for the treatment of Alzheimer’s disease for people with Medicare only if they are enrolled in qualifying clinical trials. In April 2022, the Centers for Medicare &amp; Medicaid Services (CMS) issued a final coverage determination that substantially limits Medicare beneficiaries access to ADUHELM.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-1914525</wp:posOffset>
            </wp:positionV>
            <wp:extent cx="6995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-1219835</wp:posOffset>
            </wp:positionV>
            <wp:extent cx="6995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lecanemab (BAN2401)</w:t>
      </w:r>
    </w:p>
    <w:p>
      <w:pPr>
        <w:spacing w:after="0" w:line="125" w:lineRule="exact"/>
        <w:rPr>
          <w:sz w:val="20"/>
          <w:szCs w:val="20"/>
          <w:color w:val="auto"/>
        </w:rPr>
      </w:pPr>
    </w:p>
    <w:p>
      <w:pPr>
        <w:ind w:left="440" w:right="100" w:hanging="324"/>
        <w:spacing w:after="0" w:line="256" w:lineRule="auto"/>
        <w:tabs>
          <w:tab w:leader="none" w:pos="440" w:val="left"/>
        </w:tabs>
        <w:numPr>
          <w:ilvl w:val="0"/>
          <w:numId w:val="81"/>
        </w:numPr>
        <w:rPr>
          <w:rFonts w:ascii="Arial" w:cs="Arial" w:eastAsia="Arial" w:hAnsi="Arial"/>
          <w:sz w:val="16"/>
          <w:szCs w:val="16"/>
          <w:color w:val="1A6DBB"/>
        </w:rPr>
      </w:pPr>
      <w:r>
        <w:rPr>
          <w:rFonts w:ascii="Arial" w:cs="Arial" w:eastAsia="Arial" w:hAnsi="Arial"/>
          <w:sz w:val="16"/>
          <w:szCs w:val="16"/>
          <w:color w:val="auto"/>
        </w:rPr>
        <w:t>In June 2021 the FDA granted Breakthrough Therapy designation for lecanemab, an anti-amyloid antibody for the potential treatment of Alzheimer’s disease, which we are developing in collaboration with Eisai.</w:t>
      </w:r>
    </w:p>
    <w:p>
      <w:pPr>
        <w:spacing w:after="0" w:line="1" w:lineRule="exact"/>
        <w:rPr>
          <w:rFonts w:ascii="Arial" w:cs="Arial" w:eastAsia="Arial" w:hAnsi="Arial"/>
          <w:sz w:val="16"/>
          <w:szCs w:val="16"/>
          <w:color w:val="1A6DBB"/>
        </w:rPr>
      </w:pPr>
    </w:p>
    <w:p>
      <w:pPr>
        <w:ind w:left="440" w:hanging="324"/>
        <w:spacing w:after="0" w:line="246" w:lineRule="auto"/>
        <w:tabs>
          <w:tab w:leader="none" w:pos="440" w:val="left"/>
        </w:tabs>
        <w:numPr>
          <w:ilvl w:val="0"/>
          <w:numId w:val="81"/>
        </w:numPr>
        <w:rPr>
          <w:rFonts w:ascii="Arial" w:cs="Arial" w:eastAsia="Arial" w:hAnsi="Arial"/>
          <w:sz w:val="16"/>
          <w:szCs w:val="16"/>
          <w:color w:val="1A6DBB"/>
        </w:rPr>
      </w:pPr>
      <w:r>
        <w:rPr>
          <w:rFonts w:ascii="Arial" w:cs="Arial" w:eastAsia="Arial" w:hAnsi="Arial"/>
          <w:sz w:val="16"/>
          <w:szCs w:val="16"/>
          <w:color w:val="auto"/>
        </w:rPr>
        <w:t>In September 2021 Eisai initiated a rolling submission to the FDA of a Biologics License Application (BLA) for lecanemab. The BLA is being submitted under the accelerated approval pathway and is primarily based on clinical, biomarker and safety data from the Phase 2b clinical trial (Study 201) in patients with early Alzheimer’s disease and confirmed amyloid pathology.</w:t>
      </w:r>
    </w:p>
    <w:p>
      <w:pPr>
        <w:spacing w:after="0" w:line="1" w:lineRule="exact"/>
        <w:rPr>
          <w:rFonts w:ascii="Arial" w:cs="Arial" w:eastAsia="Arial" w:hAnsi="Arial"/>
          <w:sz w:val="16"/>
          <w:szCs w:val="16"/>
          <w:color w:val="1A6DBB"/>
        </w:rPr>
      </w:pPr>
    </w:p>
    <w:p>
      <w:pPr>
        <w:ind w:left="440" w:hanging="324"/>
        <w:spacing w:after="0"/>
        <w:tabs>
          <w:tab w:leader="none" w:pos="440" w:val="left"/>
        </w:tabs>
        <w:numPr>
          <w:ilvl w:val="0"/>
          <w:numId w:val="81"/>
        </w:numPr>
        <w:rPr>
          <w:rFonts w:ascii="Arial" w:cs="Arial" w:eastAsia="Arial" w:hAnsi="Arial"/>
          <w:sz w:val="16"/>
          <w:szCs w:val="16"/>
          <w:color w:val="1A6DBB"/>
        </w:rPr>
      </w:pPr>
      <w:r>
        <w:rPr>
          <w:rFonts w:ascii="Arial" w:cs="Arial" w:eastAsia="Arial" w:hAnsi="Arial"/>
          <w:sz w:val="16"/>
          <w:szCs w:val="16"/>
          <w:color w:val="auto"/>
        </w:rPr>
        <w:t>In December 2021 we and Eisai announced that lecanemab was granted Fast Track designation by the FDA.</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BYOOVIZ (referencing LUCENTIS)</w:t>
      </w:r>
    </w:p>
    <w:p>
      <w:pPr>
        <w:spacing w:after="0" w:line="125" w:lineRule="exact"/>
        <w:rPr>
          <w:sz w:val="20"/>
          <w:szCs w:val="20"/>
          <w:color w:val="auto"/>
        </w:rPr>
      </w:pPr>
    </w:p>
    <w:p>
      <w:pPr>
        <w:jc w:val="both"/>
        <w:ind w:left="440" w:right="120" w:hanging="324"/>
        <w:spacing w:after="0" w:line="266" w:lineRule="auto"/>
        <w:tabs>
          <w:tab w:leader="none" w:pos="440" w:val="left"/>
        </w:tabs>
        <w:numPr>
          <w:ilvl w:val="0"/>
          <w:numId w:val="82"/>
        </w:numPr>
        <w:rPr>
          <w:rFonts w:ascii="Arial" w:cs="Arial" w:eastAsia="Arial" w:hAnsi="Arial"/>
          <w:sz w:val="16"/>
          <w:szCs w:val="16"/>
          <w:color w:val="1A6DBB"/>
        </w:rPr>
      </w:pPr>
      <w:r>
        <w:rPr>
          <w:rFonts w:ascii="Arial" w:cs="Arial" w:eastAsia="Arial" w:hAnsi="Arial"/>
          <w:sz w:val="16"/>
          <w:szCs w:val="16"/>
          <w:color w:val="auto"/>
        </w:rPr>
        <w:t>In September 2021 we announced that the FDA has approved BYOOVIZ (ranibizumab-nuna), a biosimilar referencing LUCENTIS for the treatment of neovascular (wet) age-related macular degeneration, macular edema following retinal vein occlusion and myopic choroidal neovascularization. In addition to the U.S. approval, BYOOVIZ was approved in the E.U. and the U.K. during the third quarter of 2021.</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BIIB125 (zuranolone)</w:t>
      </w:r>
    </w:p>
    <w:p>
      <w:pPr>
        <w:spacing w:after="0" w:line="125" w:lineRule="exact"/>
        <w:rPr>
          <w:sz w:val="20"/>
          <w:szCs w:val="20"/>
          <w:color w:val="auto"/>
        </w:rPr>
      </w:pPr>
    </w:p>
    <w:p>
      <w:pPr>
        <w:ind w:left="440" w:right="80" w:hanging="324"/>
        <w:spacing w:after="0" w:line="259" w:lineRule="auto"/>
        <w:tabs>
          <w:tab w:leader="none" w:pos="440" w:val="left"/>
        </w:tabs>
        <w:numPr>
          <w:ilvl w:val="0"/>
          <w:numId w:val="83"/>
        </w:numPr>
        <w:rPr>
          <w:rFonts w:ascii="Arial" w:cs="Arial" w:eastAsia="Arial" w:hAnsi="Arial"/>
          <w:sz w:val="16"/>
          <w:szCs w:val="16"/>
          <w:color w:val="1A6DBB"/>
        </w:rPr>
      </w:pPr>
      <w:r>
        <w:rPr>
          <w:rFonts w:ascii="Arial" w:cs="Arial" w:eastAsia="Arial" w:hAnsi="Arial"/>
          <w:sz w:val="16"/>
          <w:szCs w:val="16"/>
          <w:color w:val="auto"/>
        </w:rPr>
        <w:t>In October 2021 we and Sage announced plans to submit a New Drug Application (NDA) to the FDA for zuranolone for the potential treatment of MDD in the second half of 2022, with rolling submission expected to start in the first half of 2022. The planned initial submission package will seek approval of zuranolone for major depressive disorder (MDD) and an additional filing for postpartum depression (PPD) is anticipated in the first half of 2023.</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MS</w:t>
      </w:r>
    </w:p>
    <w:p>
      <w:pPr>
        <w:spacing w:after="0" w:line="125" w:lineRule="exact"/>
        <w:rPr>
          <w:sz w:val="20"/>
          <w:szCs w:val="20"/>
          <w:color w:val="auto"/>
        </w:rPr>
      </w:pPr>
    </w:p>
    <w:p>
      <w:pPr>
        <w:ind w:left="440" w:hanging="324"/>
        <w:spacing w:after="0"/>
        <w:tabs>
          <w:tab w:leader="none" w:pos="440" w:val="left"/>
        </w:tabs>
        <w:numPr>
          <w:ilvl w:val="0"/>
          <w:numId w:val="84"/>
        </w:numPr>
        <w:rPr>
          <w:rFonts w:ascii="Arial" w:cs="Arial" w:eastAsia="Arial" w:hAnsi="Arial"/>
          <w:sz w:val="16"/>
          <w:szCs w:val="16"/>
          <w:color w:val="1A6DBB"/>
        </w:rPr>
      </w:pPr>
      <w:r>
        <w:rPr>
          <w:rFonts w:ascii="Arial" w:cs="Arial" w:eastAsia="Arial" w:hAnsi="Arial"/>
          <w:sz w:val="16"/>
          <w:szCs w:val="16"/>
          <w:color w:val="auto"/>
        </w:rPr>
        <w:t>In January 2021 the FDA approved a new intramuscular (IM) injection route of administration for PLEGRIDY for the treatment of RRMS.</w:t>
      </w:r>
    </w:p>
    <w:p>
      <w:pPr>
        <w:spacing w:after="0" w:line="21" w:lineRule="exact"/>
        <w:rPr>
          <w:rFonts w:ascii="Arial" w:cs="Arial" w:eastAsia="Arial" w:hAnsi="Arial"/>
          <w:sz w:val="16"/>
          <w:szCs w:val="16"/>
          <w:color w:val="1A6DBB"/>
        </w:rPr>
      </w:pPr>
    </w:p>
    <w:p>
      <w:pPr>
        <w:ind w:left="440" w:hanging="324"/>
        <w:spacing w:after="0"/>
        <w:tabs>
          <w:tab w:leader="none" w:pos="440" w:val="left"/>
        </w:tabs>
        <w:numPr>
          <w:ilvl w:val="0"/>
          <w:numId w:val="84"/>
        </w:numPr>
        <w:rPr>
          <w:rFonts w:ascii="Arial" w:cs="Arial" w:eastAsia="Arial" w:hAnsi="Arial"/>
          <w:sz w:val="16"/>
          <w:szCs w:val="16"/>
          <w:color w:val="1A6DBB"/>
        </w:rPr>
      </w:pPr>
      <w:r>
        <w:rPr>
          <w:rFonts w:ascii="Arial" w:cs="Arial" w:eastAsia="Arial" w:hAnsi="Arial"/>
          <w:sz w:val="16"/>
          <w:szCs w:val="16"/>
          <w:color w:val="auto"/>
        </w:rPr>
        <w:t>In April 2021 China’s National Medical Products Administration approved TECFIDERA for the treatment of RMS.</w:t>
      </w:r>
    </w:p>
    <w:p>
      <w:pPr>
        <w:spacing w:after="0" w:line="5" w:lineRule="exact"/>
        <w:rPr>
          <w:rFonts w:ascii="Arial" w:cs="Arial" w:eastAsia="Arial" w:hAnsi="Arial"/>
          <w:sz w:val="16"/>
          <w:szCs w:val="16"/>
          <w:color w:val="1A6DBB"/>
        </w:rPr>
      </w:pPr>
    </w:p>
    <w:p>
      <w:pPr>
        <w:ind w:left="440" w:right="460" w:hanging="324"/>
        <w:spacing w:after="0" w:line="246" w:lineRule="auto"/>
        <w:tabs>
          <w:tab w:leader="none" w:pos="440" w:val="left"/>
        </w:tabs>
        <w:numPr>
          <w:ilvl w:val="0"/>
          <w:numId w:val="84"/>
        </w:numPr>
        <w:rPr>
          <w:rFonts w:ascii="Arial" w:cs="Arial" w:eastAsia="Arial" w:hAnsi="Arial"/>
          <w:sz w:val="16"/>
          <w:szCs w:val="16"/>
          <w:color w:val="1A6DBB"/>
        </w:rPr>
      </w:pPr>
      <w:r>
        <w:rPr>
          <w:rFonts w:ascii="Arial" w:cs="Arial" w:eastAsia="Arial" w:hAnsi="Arial"/>
          <w:sz w:val="16"/>
          <w:szCs w:val="16"/>
          <w:color w:val="auto"/>
        </w:rPr>
        <w:t>In April 2021 the European Commission (EC) granted marketing authorization for a new subcutaneous (SC) injection route of administration for TYSABRI for the treatment of RRMS.</w:t>
      </w:r>
    </w:p>
    <w:p>
      <w:pPr>
        <w:ind w:left="440" w:hanging="324"/>
        <w:spacing w:after="0"/>
        <w:tabs>
          <w:tab w:leader="none" w:pos="440" w:val="left"/>
        </w:tabs>
        <w:numPr>
          <w:ilvl w:val="0"/>
          <w:numId w:val="84"/>
        </w:numPr>
        <w:rPr>
          <w:rFonts w:ascii="Arial" w:cs="Arial" w:eastAsia="Arial" w:hAnsi="Arial"/>
          <w:sz w:val="16"/>
          <w:szCs w:val="16"/>
          <w:color w:val="1A6DBB"/>
        </w:rPr>
      </w:pPr>
      <w:r>
        <w:rPr>
          <w:rFonts w:ascii="Arial" w:cs="Arial" w:eastAsia="Arial" w:hAnsi="Arial"/>
          <w:sz w:val="16"/>
          <w:szCs w:val="16"/>
          <w:color w:val="auto"/>
        </w:rPr>
        <w:t>In November 2021 the EC granted marketing authorization for VUMERITY in the E.U. for the treatment of RRMS.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Biosimilars – BAT1806</w:t>
      </w:r>
    </w:p>
    <w:p>
      <w:pPr>
        <w:spacing w:after="0" w:line="125" w:lineRule="exact"/>
        <w:rPr>
          <w:sz w:val="20"/>
          <w:szCs w:val="20"/>
          <w:color w:val="auto"/>
        </w:rPr>
      </w:pPr>
    </w:p>
    <w:p>
      <w:pPr>
        <w:ind w:left="440" w:right="120" w:hanging="324"/>
        <w:spacing w:after="0" w:line="266" w:lineRule="auto"/>
        <w:tabs>
          <w:tab w:leader="none" w:pos="440" w:val="left"/>
        </w:tabs>
        <w:numPr>
          <w:ilvl w:val="0"/>
          <w:numId w:val="85"/>
        </w:numPr>
        <w:rPr>
          <w:rFonts w:ascii="Arial" w:cs="Arial" w:eastAsia="Arial" w:hAnsi="Arial"/>
          <w:sz w:val="16"/>
          <w:szCs w:val="16"/>
          <w:color w:val="1A6DBB"/>
        </w:rPr>
      </w:pPr>
      <w:r>
        <w:rPr>
          <w:rFonts w:ascii="Arial" w:cs="Arial" w:eastAsia="Arial" w:hAnsi="Arial"/>
          <w:sz w:val="16"/>
          <w:szCs w:val="16"/>
          <w:color w:val="auto"/>
        </w:rPr>
        <w:t>In April 2021 we entered into a commercialization and license agreement with Bio-Thera Solutions, Ltd. to develop, manufacture and commercialize BAT1806, a Phase 3 clinical stage anti-interleukin-6 (IL-6) receptor monoclonal antibody that is a proposed biosimilar referencing ACTEMRA (tocilizumab).</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427F3D"/>
        </w:rPr>
        <w:t>Clinical Trials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Neuromuscular Disorders</w:t>
      </w:r>
    </w:p>
    <w:p>
      <w:pPr>
        <w:spacing w:after="0" w:line="125" w:lineRule="exact"/>
        <w:rPr>
          <w:sz w:val="20"/>
          <w:szCs w:val="20"/>
          <w:color w:val="auto"/>
        </w:rPr>
      </w:pPr>
    </w:p>
    <w:p>
      <w:pPr>
        <w:ind w:left="440" w:hanging="324"/>
        <w:spacing w:after="0" w:line="286" w:lineRule="auto"/>
        <w:tabs>
          <w:tab w:leader="none" w:pos="440" w:val="left"/>
        </w:tabs>
        <w:numPr>
          <w:ilvl w:val="0"/>
          <w:numId w:val="86"/>
        </w:numPr>
        <w:rPr>
          <w:rFonts w:ascii="Arial" w:cs="Arial" w:eastAsia="Arial" w:hAnsi="Arial"/>
          <w:sz w:val="16"/>
          <w:szCs w:val="16"/>
          <w:color w:val="1A6DBB"/>
        </w:rPr>
      </w:pPr>
      <w:r>
        <w:rPr>
          <w:rFonts w:ascii="Arial" w:cs="Arial" w:eastAsia="Arial" w:hAnsi="Arial"/>
          <w:sz w:val="16"/>
          <w:szCs w:val="16"/>
          <w:color w:val="auto"/>
        </w:rPr>
        <w:t>In January 2021 the first patient was dosed in the global RESPOND study, which will examine the clinical benefit and assess the safety of SPINRAZA in infants and children with SMA.</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37 </w:t>
      </w:r>
      <w:r>
        <w:rPr>
          <w:sz w:val="1"/>
          <w:szCs w:val="1"/>
          <w:color w:val="auto"/>
        </w:rPr>
        <w:drawing>
          <wp:inline distT="0" distB="0" distL="0" distR="0">
            <wp:extent cx="38735" cy="19685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87"/>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394" w:lineRule="exact"/>
        <w:rPr>
          <w:rFonts w:ascii="Arial" w:cs="Arial" w:eastAsia="Arial" w:hAnsi="Arial"/>
          <w:sz w:val="90"/>
          <w:szCs w:val="90"/>
          <w:color w:val="1A6DBB"/>
        </w:rPr>
      </w:pPr>
    </w:p>
    <w:p>
      <w:pPr>
        <w:ind w:left="440" w:hanging="324"/>
        <w:spacing w:after="0" w:line="286" w:lineRule="auto"/>
        <w:tabs>
          <w:tab w:leader="none" w:pos="440" w:val="left"/>
        </w:tabs>
        <w:numPr>
          <w:ilvl w:val="0"/>
          <w:numId w:val="87"/>
        </w:numPr>
        <w:rPr>
          <w:rFonts w:ascii="Arial" w:cs="Arial" w:eastAsia="Arial" w:hAnsi="Arial"/>
          <w:sz w:val="16"/>
          <w:szCs w:val="16"/>
          <w:color w:val="1A6DBB"/>
        </w:rPr>
      </w:pPr>
      <w:r>
        <w:rPr>
          <w:rFonts w:ascii="Arial" w:cs="Arial" w:eastAsia="Arial" w:hAnsi="Arial"/>
          <w:sz w:val="16"/>
          <w:szCs w:val="16"/>
          <w:color w:val="auto"/>
        </w:rPr>
        <w:t>In September 2021 we announced plans to initiate a global Phase 3b clinical study, ASCEND. The ASCEND study is designed to evaluate the clinical outcomes and assess the safety of a higher dose of SPINRAZA in children, teens and adults with later-onset SMA following treatment of Evrysdi.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-1091565</wp:posOffset>
            </wp:positionV>
            <wp:extent cx="6995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-397510</wp:posOffset>
            </wp:positionV>
            <wp:extent cx="6995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Neuropsychiatry</w:t>
      </w:r>
    </w:p>
    <w:p>
      <w:pPr>
        <w:spacing w:after="0" w:line="125" w:lineRule="exact"/>
        <w:rPr>
          <w:sz w:val="20"/>
          <w:szCs w:val="20"/>
          <w:color w:val="auto"/>
        </w:rPr>
      </w:pPr>
    </w:p>
    <w:p>
      <w:pPr>
        <w:ind w:left="440" w:right="100" w:hanging="324"/>
        <w:spacing w:after="0" w:line="256" w:lineRule="auto"/>
        <w:tabs>
          <w:tab w:leader="none" w:pos="440" w:val="left"/>
        </w:tabs>
        <w:numPr>
          <w:ilvl w:val="0"/>
          <w:numId w:val="88"/>
        </w:numPr>
        <w:rPr>
          <w:rFonts w:ascii="Arial" w:cs="Arial" w:eastAsia="Arial" w:hAnsi="Arial"/>
          <w:sz w:val="16"/>
          <w:szCs w:val="16"/>
          <w:color w:val="1A6DBB"/>
        </w:rPr>
      </w:pPr>
      <w:r>
        <w:rPr>
          <w:rFonts w:ascii="Arial" w:cs="Arial" w:eastAsia="Arial" w:hAnsi="Arial"/>
          <w:sz w:val="16"/>
          <w:szCs w:val="16"/>
          <w:color w:val="auto"/>
        </w:rPr>
        <w:t>In June 2021 we and Sage announced positive results from the Phase 3 WATERFALL study for zuranolone, an investigational two-week, once-daily therapeutic being evaluated for MDD.</w:t>
      </w:r>
    </w:p>
    <w:p>
      <w:pPr>
        <w:spacing w:after="0" w:line="1" w:lineRule="exact"/>
        <w:rPr>
          <w:rFonts w:ascii="Arial" w:cs="Arial" w:eastAsia="Arial" w:hAnsi="Arial"/>
          <w:sz w:val="16"/>
          <w:szCs w:val="16"/>
          <w:color w:val="1A6DBB"/>
        </w:rPr>
      </w:pPr>
    </w:p>
    <w:p>
      <w:pPr>
        <w:ind w:left="440" w:right="580" w:hanging="324"/>
        <w:spacing w:after="0" w:line="246" w:lineRule="auto"/>
        <w:tabs>
          <w:tab w:leader="none" w:pos="440" w:val="left"/>
        </w:tabs>
        <w:numPr>
          <w:ilvl w:val="0"/>
          <w:numId w:val="88"/>
        </w:numPr>
        <w:rPr>
          <w:rFonts w:ascii="Arial" w:cs="Arial" w:eastAsia="Arial" w:hAnsi="Arial"/>
          <w:sz w:val="16"/>
          <w:szCs w:val="16"/>
          <w:color w:val="1A6DBB"/>
        </w:rPr>
      </w:pPr>
      <w:r>
        <w:rPr>
          <w:rFonts w:ascii="Arial" w:cs="Arial" w:eastAsia="Arial" w:hAnsi="Arial"/>
          <w:sz w:val="16"/>
          <w:szCs w:val="16"/>
          <w:color w:val="auto"/>
        </w:rPr>
        <w:t>In October 2021 we and Sage shared positive data from the LANDSCAPE and NEST clinical development program. This study evaluated the efficacy and safety of zuranolone for the treatment of MDD and PPD.</w:t>
      </w:r>
    </w:p>
    <w:p>
      <w:pPr>
        <w:ind w:left="440" w:right="40" w:hanging="324"/>
        <w:spacing w:after="0" w:line="256" w:lineRule="auto"/>
        <w:tabs>
          <w:tab w:leader="none" w:pos="440" w:val="left"/>
        </w:tabs>
        <w:numPr>
          <w:ilvl w:val="0"/>
          <w:numId w:val="88"/>
        </w:numPr>
        <w:rPr>
          <w:rFonts w:ascii="Arial" w:cs="Arial" w:eastAsia="Arial" w:hAnsi="Arial"/>
          <w:sz w:val="16"/>
          <w:szCs w:val="16"/>
          <w:color w:val="1A6DBB"/>
        </w:rPr>
      </w:pPr>
      <w:r>
        <w:rPr>
          <w:rFonts w:ascii="Arial" w:cs="Arial" w:eastAsia="Arial" w:hAnsi="Arial"/>
          <w:sz w:val="16"/>
          <w:szCs w:val="16"/>
          <w:color w:val="auto"/>
        </w:rPr>
        <w:t>In December 2021 we and Sage announced positive data from the 12-month Phase 3 open-label SHORELINE study for zuranolone. The SHORELINE study, part of the LANDSCAPE clinical program, was designed to naturalistically follow adult patients with MDD and evaluate the safety and tolerability of zuranolone as well as the need for repeat dosing for up to one year.</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Movement Disorders</w:t>
      </w:r>
    </w:p>
    <w:p>
      <w:pPr>
        <w:spacing w:after="0" w:line="125" w:lineRule="exact"/>
        <w:rPr>
          <w:sz w:val="20"/>
          <w:szCs w:val="20"/>
          <w:color w:val="auto"/>
        </w:rPr>
      </w:pPr>
    </w:p>
    <w:p>
      <w:pPr>
        <w:ind w:left="440" w:right="180" w:hanging="324"/>
        <w:spacing w:after="0" w:line="286" w:lineRule="auto"/>
        <w:tabs>
          <w:tab w:leader="none" w:pos="440" w:val="left"/>
        </w:tabs>
        <w:numPr>
          <w:ilvl w:val="0"/>
          <w:numId w:val="89"/>
        </w:numPr>
        <w:rPr>
          <w:rFonts w:ascii="Arial" w:cs="Arial" w:eastAsia="Arial" w:hAnsi="Arial"/>
          <w:sz w:val="16"/>
          <w:szCs w:val="16"/>
          <w:color w:val="1A6DBB"/>
        </w:rPr>
      </w:pPr>
      <w:r>
        <w:rPr>
          <w:rFonts w:ascii="Arial" w:cs="Arial" w:eastAsia="Arial" w:hAnsi="Arial"/>
          <w:sz w:val="16"/>
          <w:szCs w:val="16"/>
          <w:color w:val="auto"/>
        </w:rPr>
        <w:t>In April 2021 we and Sage reported that the Phase 2 KINETIC study evaluating SAGE-324 (GABA</w:t>
      </w:r>
      <w:r>
        <w:rPr>
          <w:rFonts w:ascii="Arial" w:cs="Arial" w:eastAsia="Arial" w:hAnsi="Arial"/>
          <w:sz w:val="13"/>
          <w:szCs w:val="13"/>
          <w:color w:val="auto"/>
        </w:rPr>
        <w:t>A</w:t>
      </w:r>
      <w:r>
        <w:rPr>
          <w:rFonts w:ascii="Arial" w:cs="Arial" w:eastAsia="Arial" w:hAnsi="Arial"/>
          <w:sz w:val="16"/>
          <w:szCs w:val="16"/>
          <w:color w:val="auto"/>
        </w:rPr>
        <w:t xml:space="preserve"> receptor PAM) in the treatment of patients with essential tremor (ET) met its primary endpoint.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Immunology</w:t>
      </w:r>
    </w:p>
    <w:p>
      <w:pPr>
        <w:spacing w:after="0" w:line="125" w:lineRule="exact"/>
        <w:rPr>
          <w:sz w:val="20"/>
          <w:szCs w:val="20"/>
          <w:color w:val="auto"/>
        </w:rPr>
      </w:pPr>
    </w:p>
    <w:p>
      <w:pPr>
        <w:ind w:left="440" w:right="20" w:hanging="324"/>
        <w:spacing w:after="0" w:line="286" w:lineRule="auto"/>
        <w:tabs>
          <w:tab w:leader="none" w:pos="440" w:val="left"/>
        </w:tabs>
        <w:numPr>
          <w:ilvl w:val="0"/>
          <w:numId w:val="90"/>
        </w:numPr>
        <w:rPr>
          <w:rFonts w:ascii="Arial" w:cs="Arial" w:eastAsia="Arial" w:hAnsi="Arial"/>
          <w:sz w:val="16"/>
          <w:szCs w:val="16"/>
          <w:color w:val="1A6DBB"/>
        </w:rPr>
      </w:pPr>
      <w:r>
        <w:rPr>
          <w:rFonts w:ascii="Arial" w:cs="Arial" w:eastAsia="Arial" w:hAnsi="Arial"/>
          <w:sz w:val="16"/>
          <w:szCs w:val="16"/>
          <w:color w:val="auto"/>
        </w:rPr>
        <w:t>In June 2021 the first patient was dosed in the Phase 3 TOPAZ-1 study of BIIB059 (anti-BDCA2) for SLE. The Phase 3 study will evaluate the clinical efficacy and assess the safety of BIIB059 in participants with active SLE.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Discontinued or Suspended Programs</w:t>
      </w:r>
    </w:p>
    <w:p>
      <w:pPr>
        <w:spacing w:after="0" w:line="125" w:lineRule="exact"/>
        <w:rPr>
          <w:sz w:val="20"/>
          <w:szCs w:val="20"/>
          <w:color w:val="auto"/>
        </w:rPr>
      </w:pPr>
    </w:p>
    <w:p>
      <w:pPr>
        <w:ind w:left="440" w:right="20" w:hanging="324"/>
        <w:spacing w:after="0" w:line="253" w:lineRule="auto"/>
        <w:tabs>
          <w:tab w:leader="none" w:pos="440" w:val="left"/>
        </w:tabs>
        <w:numPr>
          <w:ilvl w:val="0"/>
          <w:numId w:val="91"/>
        </w:numPr>
        <w:rPr>
          <w:rFonts w:ascii="Arial" w:cs="Arial" w:eastAsia="Arial" w:hAnsi="Arial"/>
          <w:sz w:val="16"/>
          <w:szCs w:val="16"/>
          <w:color w:val="1A6DBB"/>
        </w:rPr>
      </w:pPr>
      <w:r>
        <w:rPr>
          <w:rFonts w:ascii="Arial" w:cs="Arial" w:eastAsia="Arial" w:hAnsi="Arial"/>
          <w:sz w:val="16"/>
          <w:szCs w:val="16"/>
          <w:color w:val="auto"/>
        </w:rPr>
        <w:t>In May 2021 we announced that the Phase 2/3 XIRIUS study of cotoretigene toliparvovec (BIIB112), a gene therapy being investigated as a one-time therapy for patients with X-linked retinitis pigmentosa, did not meet its primary endpoint. Based on these results, we suspended further development based on the decision of management as part of its strategic review process.</w:t>
      </w:r>
    </w:p>
    <w:p>
      <w:pPr>
        <w:spacing w:after="0" w:line="1" w:lineRule="exact"/>
        <w:rPr>
          <w:rFonts w:ascii="Arial" w:cs="Arial" w:eastAsia="Arial" w:hAnsi="Arial"/>
          <w:sz w:val="16"/>
          <w:szCs w:val="16"/>
          <w:color w:val="1A6DBB"/>
        </w:rPr>
      </w:pPr>
    </w:p>
    <w:p>
      <w:pPr>
        <w:ind w:left="440" w:right="140" w:hanging="324"/>
        <w:spacing w:after="0" w:line="246" w:lineRule="auto"/>
        <w:tabs>
          <w:tab w:leader="none" w:pos="440" w:val="left"/>
        </w:tabs>
        <w:numPr>
          <w:ilvl w:val="0"/>
          <w:numId w:val="91"/>
        </w:numPr>
        <w:rPr>
          <w:rFonts w:ascii="Arial" w:cs="Arial" w:eastAsia="Arial" w:hAnsi="Arial"/>
          <w:sz w:val="16"/>
          <w:szCs w:val="16"/>
          <w:color w:val="1A6DBB"/>
        </w:rPr>
      </w:pPr>
      <w:r>
        <w:rPr>
          <w:rFonts w:ascii="Arial" w:cs="Arial" w:eastAsia="Arial" w:hAnsi="Arial"/>
          <w:sz w:val="16"/>
          <w:szCs w:val="16"/>
          <w:color w:val="auto"/>
        </w:rPr>
        <w:t>In June 2021 we announced that the Phase 3 STAR study of timrepigene emparvovec (BIIB111), an investigational gene therapy for the potential treatment of choroideremia, did not meet its primary endpoint. Based on these results, we suspended further development based on the decision of management as part of its strategic review process.</w:t>
      </w:r>
    </w:p>
    <w:p>
      <w:pPr>
        <w:spacing w:after="0" w:line="1" w:lineRule="exact"/>
        <w:rPr>
          <w:rFonts w:ascii="Arial" w:cs="Arial" w:eastAsia="Arial" w:hAnsi="Arial"/>
          <w:sz w:val="16"/>
          <w:szCs w:val="16"/>
          <w:color w:val="1A6DBB"/>
        </w:rPr>
      </w:pPr>
    </w:p>
    <w:p>
      <w:pPr>
        <w:ind w:left="440" w:right="20" w:hanging="324"/>
        <w:spacing w:after="0" w:line="256" w:lineRule="auto"/>
        <w:tabs>
          <w:tab w:leader="none" w:pos="440" w:val="left"/>
        </w:tabs>
        <w:numPr>
          <w:ilvl w:val="0"/>
          <w:numId w:val="91"/>
        </w:numPr>
        <w:rPr>
          <w:rFonts w:ascii="Arial" w:cs="Arial" w:eastAsia="Arial" w:hAnsi="Arial"/>
          <w:sz w:val="16"/>
          <w:szCs w:val="16"/>
          <w:color w:val="1A6DBB"/>
        </w:rPr>
      </w:pPr>
      <w:r>
        <w:rPr>
          <w:rFonts w:ascii="Arial" w:cs="Arial" w:eastAsia="Arial" w:hAnsi="Arial"/>
          <w:sz w:val="16"/>
          <w:szCs w:val="16"/>
          <w:color w:val="auto"/>
        </w:rPr>
        <w:t>In June 2021 we announced that the Phase 2 TANGO study of BIIB092 (gosuranemab), an investigational anti-tau antibody that was being evaluated as a potential treatment for Alzheimer’s disease, did not meet its primary endpoint. Based on these results, we discontinued development of gosuranemab.</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Business Development</w:t>
      </w:r>
    </w:p>
    <w:p>
      <w:pPr>
        <w:spacing w:after="0" w:line="125" w:lineRule="exact"/>
        <w:rPr>
          <w:sz w:val="20"/>
          <w:szCs w:val="20"/>
          <w:color w:val="auto"/>
        </w:rPr>
      </w:pPr>
    </w:p>
    <w:p>
      <w:pPr>
        <w:ind w:left="440" w:right="40" w:hanging="324"/>
        <w:spacing w:after="0" w:line="250" w:lineRule="auto"/>
        <w:tabs>
          <w:tab w:leader="none" w:pos="440" w:val="left"/>
        </w:tabs>
        <w:numPr>
          <w:ilvl w:val="0"/>
          <w:numId w:val="92"/>
        </w:numPr>
        <w:rPr>
          <w:rFonts w:ascii="Arial" w:cs="Arial" w:eastAsia="Arial" w:hAnsi="Arial"/>
          <w:sz w:val="16"/>
          <w:szCs w:val="16"/>
          <w:color w:val="1A6DBB"/>
        </w:rPr>
      </w:pPr>
      <w:r>
        <w:rPr>
          <w:rFonts w:ascii="Arial" w:cs="Arial" w:eastAsia="Arial" w:hAnsi="Arial"/>
          <w:sz w:val="16"/>
          <w:szCs w:val="16"/>
          <w:color w:val="auto"/>
        </w:rPr>
        <w:t>In August 2021 we closed a collaboration and license agreement with InnoCare for orelabrutinib, an oral small molecule Bruton’s tyrosine kinase inhibitor for the potential treatment of MS. Orelabrutinib is currently being studied in a multi-country, placebo-controlled Phase 2 trial in RRMS. Under the terms of this collaboration, we have exclusive rights to orelabrutinib in the field of MS worldwide and certain autoimmune diseases outside of China (including Hong Kong, Macau and Taiwan), while InnoCare retains exclusive worldwide rights to orelabrutinib in the field of oncology and certain autoimmune diseases in China (including Hong Kong, Macau and Taiwan).</w:t>
      </w:r>
    </w:p>
    <w:p>
      <w:pPr>
        <w:spacing w:after="0" w:line="2" w:lineRule="exact"/>
        <w:rPr>
          <w:rFonts w:ascii="Arial" w:cs="Arial" w:eastAsia="Arial" w:hAnsi="Arial"/>
          <w:sz w:val="16"/>
          <w:szCs w:val="16"/>
          <w:color w:val="1A6DBB"/>
        </w:rPr>
      </w:pPr>
    </w:p>
    <w:p>
      <w:pPr>
        <w:ind w:left="440" w:right="180" w:hanging="324"/>
        <w:spacing w:after="0" w:line="246" w:lineRule="auto"/>
        <w:tabs>
          <w:tab w:leader="none" w:pos="440" w:val="left"/>
        </w:tabs>
        <w:numPr>
          <w:ilvl w:val="0"/>
          <w:numId w:val="92"/>
        </w:numPr>
        <w:rPr>
          <w:rFonts w:ascii="Arial" w:cs="Arial" w:eastAsia="Arial" w:hAnsi="Arial"/>
          <w:sz w:val="16"/>
          <w:szCs w:val="16"/>
          <w:color w:val="1A6DBB"/>
        </w:rPr>
      </w:pPr>
      <w:r>
        <w:rPr>
          <w:rFonts w:ascii="Arial" w:cs="Arial" w:eastAsia="Arial" w:hAnsi="Arial"/>
          <w:sz w:val="16"/>
          <w:szCs w:val="16"/>
          <w:color w:val="auto"/>
        </w:rPr>
        <w:t>In December 2021 we exercised our option with Ionis Pharmaceuticals Inc. and obtained a worldwide, exclusive, royalty-bearing license to develop and commercialize BIIB115, a preclinical investigational ASO in development for SMA.</w:t>
      </w:r>
    </w:p>
    <w:p>
      <w:pPr>
        <w:ind w:left="440" w:right="240" w:hanging="324"/>
        <w:spacing w:after="0" w:line="265" w:lineRule="auto"/>
        <w:tabs>
          <w:tab w:leader="none" w:pos="440" w:val="left"/>
        </w:tabs>
        <w:numPr>
          <w:ilvl w:val="0"/>
          <w:numId w:val="92"/>
        </w:numPr>
        <w:rPr>
          <w:rFonts w:ascii="Arial" w:cs="Arial" w:eastAsia="Arial" w:hAnsi="Arial"/>
          <w:sz w:val="16"/>
          <w:szCs w:val="16"/>
          <w:color w:val="1A6DBB"/>
        </w:rPr>
      </w:pPr>
      <w:r>
        <w:rPr>
          <w:rFonts w:ascii="Arial" w:cs="Arial" w:eastAsia="Arial" w:hAnsi="Arial"/>
          <w:sz w:val="16"/>
          <w:szCs w:val="16"/>
          <w:color w:val="auto"/>
        </w:rPr>
        <w:t>In January 2022 we and Samsung BioLogics Co., Ltd (Samsung BioLogics) entered into an agreement whereby we will sell our equity stake in the Samsung Bioepis Co. Ltd. joint venture to Samsung BioLogics.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Share Repurchase Activity</w:t>
      </w:r>
    </w:p>
    <w:p>
      <w:pPr>
        <w:spacing w:after="0" w:line="125" w:lineRule="exact"/>
        <w:rPr>
          <w:sz w:val="20"/>
          <w:szCs w:val="20"/>
          <w:color w:val="auto"/>
        </w:rPr>
      </w:pPr>
    </w:p>
    <w:p>
      <w:pPr>
        <w:ind w:left="440" w:right="120" w:hanging="324"/>
        <w:spacing w:after="0" w:line="286" w:lineRule="auto"/>
        <w:tabs>
          <w:tab w:leader="none" w:pos="44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We returned approximately $1.8 billion to stockholders in 2021 through share repurchases under our program to repurchase up to $5.0 billion of our common stock (2020 Share Repurchase Program).</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Other Notable Achievements in the Workplace and Community</w:t>
      </w:r>
    </w:p>
    <w:p>
      <w:pPr>
        <w:spacing w:after="0" w:line="125" w:lineRule="exact"/>
        <w:rPr>
          <w:sz w:val="20"/>
          <w:szCs w:val="20"/>
          <w:color w:val="auto"/>
        </w:rPr>
      </w:pPr>
    </w:p>
    <w:p>
      <w:pPr>
        <w:ind w:left="440" w:hanging="324"/>
        <w:spacing w:after="0"/>
        <w:tabs>
          <w:tab w:leader="none" w:pos="440" w:val="left"/>
        </w:tabs>
        <w:numPr>
          <w:ilvl w:val="0"/>
          <w:numId w:val="94"/>
        </w:numPr>
        <w:rPr>
          <w:rFonts w:ascii="Arial" w:cs="Arial" w:eastAsia="Arial" w:hAnsi="Arial"/>
          <w:sz w:val="16"/>
          <w:szCs w:val="16"/>
          <w:color w:val="1A6DBB"/>
        </w:rPr>
      </w:pPr>
      <w:r>
        <w:rPr>
          <w:rFonts w:ascii="Arial" w:cs="Arial" w:eastAsia="Arial" w:hAnsi="Arial"/>
          <w:sz w:val="16"/>
          <w:szCs w:val="16"/>
          <w:color w:val="auto"/>
        </w:rPr>
        <w:t xml:space="preserve">Our three anti-TNF biosimilars contributed an estimated </w:t>
      </w:r>
      <w:r>
        <w:rPr>
          <w:rFonts w:ascii="Times New Roman" w:cs="Times New Roman" w:eastAsia="Times New Roman" w:hAnsi="Times New Roman"/>
          <w:sz w:val="16"/>
          <w:szCs w:val="16"/>
          <w:color w:val="auto"/>
        </w:rPr>
        <w:t>€</w:t>
      </w:r>
      <w:r>
        <w:rPr>
          <w:rFonts w:ascii="Arial" w:cs="Arial" w:eastAsia="Arial" w:hAnsi="Arial"/>
          <w:sz w:val="16"/>
          <w:szCs w:val="16"/>
          <w:color w:val="auto"/>
        </w:rPr>
        <w:t>2.6 billion of healthcare savings across Europe in 2021.</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38 </w:t>
      </w:r>
      <w:r>
        <w:rPr>
          <w:sz w:val="1"/>
          <w:szCs w:val="1"/>
          <w:color w:val="auto"/>
        </w:rPr>
        <w:drawing>
          <wp:inline distT="0" distB="0" distL="0" distR="0">
            <wp:extent cx="38735" cy="19685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95"/>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394" w:lineRule="exact"/>
        <w:rPr>
          <w:rFonts w:ascii="Arial" w:cs="Arial" w:eastAsia="Arial" w:hAnsi="Arial"/>
          <w:sz w:val="90"/>
          <w:szCs w:val="90"/>
          <w:color w:val="1A6DBB"/>
        </w:rPr>
      </w:pPr>
    </w:p>
    <w:p>
      <w:pPr>
        <w:ind w:left="440" w:hanging="324"/>
        <w:spacing w:after="0"/>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Named the number one biotechnology company on the Dow Jones Sustainability World Index for the seventh time.</w:t>
      </w:r>
    </w:p>
    <w:p>
      <w:pPr>
        <w:spacing w:after="0" w:line="21" w:lineRule="exact"/>
        <w:rPr>
          <w:rFonts w:ascii="Arial" w:cs="Arial" w:eastAsia="Arial" w:hAnsi="Arial"/>
          <w:sz w:val="16"/>
          <w:szCs w:val="16"/>
          <w:color w:val="1A6DBB"/>
        </w:rPr>
      </w:pPr>
    </w:p>
    <w:p>
      <w:pPr>
        <w:ind w:left="440" w:hanging="324"/>
        <w:spacing w:after="0"/>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Launched our electric vehicle fleet program, expanding our electric vehicles to 12 countries as of December 31, 2021.</w:t>
      </w:r>
    </w:p>
    <w:p>
      <w:pPr>
        <w:spacing w:after="0" w:line="5" w:lineRule="exact"/>
        <w:rPr>
          <w:rFonts w:ascii="Arial" w:cs="Arial" w:eastAsia="Arial" w:hAnsi="Arial"/>
          <w:sz w:val="16"/>
          <w:szCs w:val="16"/>
          <w:color w:val="1A6DBB"/>
        </w:rPr>
      </w:pPr>
    </w:p>
    <w:p>
      <w:pPr>
        <w:ind w:left="440" w:hanging="324"/>
        <w:spacing w:after="0"/>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Used green chemistry processes and techniques to reduce our waste and energy consumption.</w:t>
      </w:r>
    </w:p>
    <w:p>
      <w:pPr>
        <w:spacing w:after="0" w:line="5" w:lineRule="exact"/>
        <w:rPr>
          <w:rFonts w:ascii="Arial" w:cs="Arial" w:eastAsia="Arial" w:hAnsi="Arial"/>
          <w:sz w:val="16"/>
          <w:szCs w:val="16"/>
          <w:color w:val="1A6DBB"/>
        </w:rPr>
      </w:pPr>
    </w:p>
    <w:p>
      <w:pPr>
        <w:ind w:left="440" w:hanging="324"/>
        <w:spacing w:after="0"/>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Committed to a climate target consistent with reductions required to keep warming to 1.5°C and joined the Business Ambition to 1.5°C.</w:t>
      </w:r>
    </w:p>
    <w:p>
      <w:pPr>
        <w:spacing w:after="0" w:line="5" w:lineRule="exact"/>
        <w:rPr>
          <w:rFonts w:ascii="Arial" w:cs="Arial" w:eastAsia="Arial" w:hAnsi="Arial"/>
          <w:sz w:val="16"/>
          <w:szCs w:val="16"/>
          <w:color w:val="1A6DBB"/>
        </w:rPr>
      </w:pPr>
    </w:p>
    <w:p>
      <w:pPr>
        <w:ind w:left="440" w:right="80" w:hanging="324"/>
        <w:spacing w:after="0" w:line="246" w:lineRule="auto"/>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Continued engaging our employees and suppliers in the transition to a fossil fuel-free future with 100% renewable electricity targets for suppliers and sustainable benefit programs for employees.</w:t>
      </w:r>
    </w:p>
    <w:p>
      <w:pPr>
        <w:ind w:left="440" w:right="220" w:hanging="324"/>
        <w:spacing w:after="0" w:line="246" w:lineRule="auto"/>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Received 100% on the Human Rights Campaign’s Corporate Equality Index (a national benchmarking tool on corporate policies and practices pertinent to LGBTQ+ employees) for the eighth consecutive year and scoring 100% on the Disability Equality Index for the fourth consecutive year.</w:t>
      </w:r>
    </w:p>
    <w:p>
      <w:pPr>
        <w:ind w:left="440" w:right="20" w:hanging="324"/>
        <w:spacing w:after="0" w:line="246" w:lineRule="auto"/>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Continued our commitment to DE&amp;I. As of December 31, 2021, 48% of director-level positions and above were held by women, and, in the U.S., 29% of manager-level positions and above were held by ethnic or racial minorities.</w:t>
      </w:r>
    </w:p>
    <w:p>
      <w:pPr>
        <w:ind w:left="440" w:right="400" w:hanging="324"/>
        <w:spacing w:after="0" w:line="248" w:lineRule="auto"/>
        <w:tabs>
          <w:tab w:leader="none" w:pos="44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Engaged more than 61,000 students in hands-on learning to inspire their passion for science since the inception of Biogen’s Community Labs in 2002 with priority focus on underrepresented students.</w:t>
      </w:r>
    </w:p>
    <w:p>
      <w:pPr>
        <w:ind w:left="440"/>
        <w:spacing w:after="0"/>
        <w:rPr>
          <w:rFonts w:ascii="Arial" w:cs="Arial" w:eastAsia="Arial" w:hAnsi="Arial"/>
          <w:sz w:val="16"/>
          <w:szCs w:val="16"/>
          <w:color w:val="1A6DBB"/>
        </w:rPr>
      </w:pPr>
      <w:r>
        <w:rPr>
          <w:rFonts w:ascii="Arial" w:cs="Arial" w:eastAsia="Arial" w:hAnsi="Arial"/>
          <w:sz w:val="14"/>
          <w:szCs w:val="14"/>
          <w:color w:val="auto"/>
        </w:rPr>
        <w:t>*  Percent of U.S. manager positions and above held by Black, African American, Hispanic or Latino as well as Asian employees where underrepresented.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-2367915</wp:posOffset>
            </wp:positionV>
            <wp:extent cx="6995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-1673225</wp:posOffset>
            </wp:positionV>
            <wp:extent cx="69951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Executive Compensation Programs and Pay-for-Performance Alignment</w:t>
      </w:r>
    </w:p>
    <w:p>
      <w:pPr>
        <w:spacing w:after="0" w:line="108"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We believe our executive compensation programs are effectively designed and have worked well to implement a pay-for-performance culture that is aligned with the interests of our stockholders. Our executive compensation program has three primary elements: base salary, annual cash incentives (as part of our Performance-Based Management Incentive Plan), and long-term incentives (as part of our LTI Plan). Each of these compensation elements serves a specific purpose in our compensation strategy. Base salary is an essential component to any market-competitive compensation program. Annual incentives reward the achievement of short-term goals, while long- term incentives drive our NEOs to focus on long-term sustainable shareholder value creation. For 2021, awards to our NEOs under our annual bonus plan were made under our 2021 Performance-Based Management Incentive Plan, and awards under our LTI plan were granted under our 2017 Omnibus Equity Plan</w:t>
      </w:r>
    </w:p>
    <w:p>
      <w:pPr>
        <w:spacing w:after="0" w:line="75"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i w:val="1"/>
          <w:iCs w:val="1"/>
          <w:color w:val="1A6DBB"/>
        </w:rPr>
        <w:t>91% of our CEO’s and 84% of our other currently-employed NEOs’ (other than our CEO) 2021 target compensation was performance-based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38735</wp:posOffset>
            </wp:positionV>
            <wp:extent cx="4663440" cy="13112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66344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 w:right="4740"/>
        <w:spacing w:after="0" w:line="285" w:lineRule="auto"/>
        <w:tabs>
          <w:tab w:leader="none" w:pos="656"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Reflects annual salary, target bonus and target grant value of the 2021 annual LTI awards. ** The numbers above may not recalculate due to rounding.</w:t>
      </w:r>
    </w:p>
    <w:p>
      <w:pPr>
        <w:spacing w:after="0" w:line="45"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Based on our performance and consistent with the design of our 2021 program, the C&amp;MD Committee made the following executive compensation decisions for fiscal 2021:</w:t>
      </w:r>
    </w:p>
    <w:p>
      <w:pPr>
        <w:spacing w:after="0" w:line="61" w:lineRule="exact"/>
        <w:rPr>
          <w:sz w:val="20"/>
          <w:szCs w:val="20"/>
          <w:color w:val="auto"/>
        </w:rPr>
      </w:pPr>
    </w:p>
    <w:p>
      <w:pPr>
        <w:ind w:left="760" w:right="160" w:hanging="320"/>
        <w:spacing w:after="0" w:line="256" w:lineRule="auto"/>
        <w:tabs>
          <w:tab w:leader="none" w:pos="760" w:val="left"/>
        </w:tabs>
        <w:numPr>
          <w:ilvl w:val="0"/>
          <w:numId w:val="97"/>
        </w:numPr>
        <w:rPr>
          <w:rFonts w:ascii="Arial" w:cs="Arial" w:eastAsia="Arial" w:hAnsi="Arial"/>
          <w:sz w:val="16"/>
          <w:szCs w:val="16"/>
          <w:color w:val="1A6DBB"/>
        </w:rPr>
      </w:pPr>
      <w:r>
        <w:rPr>
          <w:rFonts w:ascii="Arial" w:cs="Arial" w:eastAsia="Arial" w:hAnsi="Arial"/>
          <w:sz w:val="16"/>
          <w:szCs w:val="16"/>
          <w:b w:val="1"/>
          <w:bCs w:val="1"/>
          <w:color w:val="1A6DBB"/>
        </w:rPr>
        <w:t xml:space="preserve">Salary: </w:t>
      </w:r>
      <w:r>
        <w:rPr>
          <w:rFonts w:ascii="Arial" w:cs="Arial" w:eastAsia="Arial" w:hAnsi="Arial"/>
          <w:sz w:val="16"/>
          <w:szCs w:val="16"/>
          <w:color w:val="000000"/>
        </w:rPr>
        <w:t>Approved annual merit increases of 2.5% for all of the NEOs and, in the case of Mr. Guindo, an additional market adjustment based on</w:t>
      </w:r>
      <w:r>
        <w:rPr>
          <w:rFonts w:ascii="Arial" w:cs="Arial" w:eastAsia="Arial" w:hAnsi="Arial"/>
          <w:sz w:val="16"/>
          <w:szCs w:val="16"/>
          <w:b w:val="1"/>
          <w:bCs w:val="1"/>
          <w:color w:val="1A6DBB"/>
        </w:rPr>
        <w:t xml:space="preserve"> </w:t>
      </w:r>
      <w:r>
        <w:rPr>
          <w:rFonts w:ascii="Arial" w:cs="Arial" w:eastAsia="Arial" w:hAnsi="Arial"/>
          <w:sz w:val="16"/>
          <w:szCs w:val="16"/>
          <w:color w:val="000000"/>
        </w:rPr>
        <w:t>peer group and survey data. See “2021 Base Salary” section below for more detail.</w:t>
      </w:r>
    </w:p>
    <w:p>
      <w:pPr>
        <w:spacing w:after="0" w:line="1" w:lineRule="exact"/>
        <w:rPr>
          <w:rFonts w:ascii="Arial" w:cs="Arial" w:eastAsia="Arial" w:hAnsi="Arial"/>
          <w:sz w:val="16"/>
          <w:szCs w:val="16"/>
          <w:color w:val="1A6DBB"/>
        </w:rPr>
      </w:pPr>
    </w:p>
    <w:p>
      <w:pPr>
        <w:ind w:left="760" w:right="160" w:hanging="320"/>
        <w:spacing w:after="0" w:line="256" w:lineRule="auto"/>
        <w:tabs>
          <w:tab w:leader="none" w:pos="760" w:val="left"/>
        </w:tabs>
        <w:numPr>
          <w:ilvl w:val="0"/>
          <w:numId w:val="97"/>
        </w:numPr>
        <w:rPr>
          <w:rFonts w:ascii="Arial" w:cs="Arial" w:eastAsia="Arial" w:hAnsi="Arial"/>
          <w:sz w:val="16"/>
          <w:szCs w:val="16"/>
          <w:color w:val="1A6DBB"/>
        </w:rPr>
      </w:pPr>
      <w:r>
        <w:rPr>
          <w:rFonts w:ascii="Arial" w:cs="Arial" w:eastAsia="Arial" w:hAnsi="Arial"/>
          <w:sz w:val="16"/>
          <w:szCs w:val="16"/>
          <w:b w:val="1"/>
          <w:bCs w:val="1"/>
          <w:color w:val="1A6DBB"/>
        </w:rPr>
        <w:t xml:space="preserve">Annual Bonus Plan: </w:t>
      </w:r>
      <w:r>
        <w:rPr>
          <w:rFonts w:ascii="Arial" w:cs="Arial" w:eastAsia="Arial" w:hAnsi="Arial"/>
          <w:sz w:val="16"/>
          <w:szCs w:val="16"/>
          <w:color w:val="000000"/>
        </w:rPr>
        <w:t>Applied negative discretion to reduce over Annual Bonus Plan funding for all participants and further reduced payouts for</w:t>
      </w:r>
      <w:r>
        <w:rPr>
          <w:rFonts w:ascii="Arial" w:cs="Arial" w:eastAsia="Arial" w:hAnsi="Arial"/>
          <w:sz w:val="16"/>
          <w:szCs w:val="16"/>
          <w:b w:val="1"/>
          <w:bCs w:val="1"/>
          <w:color w:val="1A6DBB"/>
        </w:rPr>
        <w:t xml:space="preserve"> </w:t>
      </w:r>
      <w:r>
        <w:rPr>
          <w:rFonts w:ascii="Arial" w:cs="Arial" w:eastAsia="Arial" w:hAnsi="Arial"/>
          <w:sz w:val="16"/>
          <w:szCs w:val="16"/>
          <w:color w:val="000000"/>
        </w:rPr>
        <w:t>the Executive Committee, which includes all our NEOs. See “2021 Annual Bonus Plan Company Performance Targets and Results Table” section below for more details.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39 </w:t>
      </w:r>
      <w:r>
        <w:rPr>
          <w:sz w:val="1"/>
          <w:szCs w:val="1"/>
          <w:color w:val="auto"/>
        </w:rPr>
        <w:drawing>
          <wp:inline distT="0" distB="0" distL="0" distR="0">
            <wp:extent cx="38735" cy="19685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98"/>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760" w:right="600" w:hanging="320"/>
        <w:spacing w:after="0" w:line="286" w:lineRule="auto"/>
        <w:tabs>
          <w:tab w:leader="none" w:pos="760" w:val="left"/>
        </w:tabs>
        <w:numPr>
          <w:ilvl w:val="0"/>
          <w:numId w:val="99"/>
        </w:numPr>
        <w:rPr>
          <w:rFonts w:ascii="Arial" w:cs="Arial" w:eastAsia="Arial" w:hAnsi="Arial"/>
          <w:sz w:val="16"/>
          <w:szCs w:val="16"/>
          <w:color w:val="1A6DBB"/>
        </w:rPr>
      </w:pPr>
      <w:r>
        <w:rPr>
          <w:rFonts w:ascii="Arial" w:cs="Arial" w:eastAsia="Arial" w:hAnsi="Arial"/>
          <w:sz w:val="16"/>
          <w:szCs w:val="16"/>
          <w:b w:val="1"/>
          <w:bCs w:val="1"/>
          <w:color w:val="1A6DBB"/>
        </w:rPr>
        <w:t xml:space="preserve">LTI Plan: </w:t>
      </w:r>
      <w:r>
        <w:rPr>
          <w:rFonts w:ascii="Arial" w:cs="Arial" w:eastAsia="Arial" w:hAnsi="Arial"/>
          <w:sz w:val="16"/>
          <w:szCs w:val="16"/>
          <w:color w:val="000000"/>
        </w:rPr>
        <w:t>Granted 2021 LTI awards consisting of 50% PSUs and 50% MSUs, with payouts tied to stock performance and the Company’s</w:t>
      </w:r>
      <w:r>
        <w:rPr>
          <w:rFonts w:ascii="Arial" w:cs="Arial" w:eastAsia="Arial" w:hAnsi="Arial"/>
          <w:sz w:val="16"/>
          <w:szCs w:val="16"/>
          <w:b w:val="1"/>
          <w:bCs w:val="1"/>
          <w:color w:val="1A6DBB"/>
        </w:rPr>
        <w:t xml:space="preserve"> </w:t>
      </w:r>
      <w:r>
        <w:rPr>
          <w:rFonts w:ascii="Arial" w:cs="Arial" w:eastAsia="Arial" w:hAnsi="Arial"/>
          <w:sz w:val="16"/>
          <w:szCs w:val="16"/>
          <w:color w:val="000000"/>
        </w:rPr>
        <w:t>financial performance, as described below under “Long-Term Incentives – 2021 PSUs.”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Best Compensation Practices &amp; Policies</w:t>
      </w:r>
    </w:p>
    <w:p>
      <w:pPr>
        <w:spacing w:after="0" w:line="108"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We also believe the Company’s practices and policies promote sound compensation governance and are in the best interests of our shareholders and executives:</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5500" w:type="dxa"/>
            <w:vAlign w:val="bottom"/>
            <w:shd w:val="clear" w:color="auto" w:fill="1A6DBB"/>
          </w:tcPr>
          <w:p>
            <w:pPr>
              <w:ind w:left="2340"/>
              <w:spacing w:after="0"/>
              <w:rPr>
                <w:sz w:val="20"/>
                <w:szCs w:val="20"/>
                <w:color w:val="auto"/>
              </w:rPr>
            </w:pPr>
            <w:r>
              <w:rPr>
                <w:rFonts w:ascii="Arial" w:cs="Arial" w:eastAsia="Arial" w:hAnsi="Arial"/>
                <w:sz w:val="14"/>
                <w:szCs w:val="14"/>
                <w:color w:val="FFFFFF"/>
              </w:rPr>
              <w:t>What We Do</w:t>
            </w:r>
          </w:p>
        </w:tc>
        <w:tc>
          <w:tcPr>
            <w:tcW w:w="5520" w:type="dxa"/>
            <w:vAlign w:val="bottom"/>
            <w:shd w:val="clear" w:color="auto" w:fill="1A6DBB"/>
          </w:tcPr>
          <w:p>
            <w:pPr>
              <w:ind w:left="2160"/>
              <w:spacing w:after="0"/>
              <w:rPr>
                <w:sz w:val="20"/>
                <w:szCs w:val="20"/>
                <w:color w:val="auto"/>
              </w:rPr>
            </w:pPr>
            <w:r>
              <w:rPr>
                <w:rFonts w:ascii="Arial" w:cs="Arial" w:eastAsia="Arial" w:hAnsi="Arial"/>
                <w:sz w:val="14"/>
                <w:szCs w:val="14"/>
                <w:color w:val="FFFFFF"/>
              </w:rPr>
              <w:t>What We Do Not Do</w:t>
            </w:r>
          </w:p>
        </w:tc>
      </w:tr>
      <w:tr>
        <w:trPr>
          <w:trHeight w:val="244"/>
        </w:trPr>
        <w:tc>
          <w:tcPr>
            <w:tcW w:w="55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Double-trigger equity acceleration in a change-in-control.</w:t>
            </w:r>
          </w:p>
        </w:tc>
        <w:tc>
          <w:tcPr>
            <w:tcW w:w="5520" w:type="dxa"/>
            <w:vAlign w:val="bottom"/>
          </w:tcPr>
          <w:p>
            <w:pPr>
              <w:ind w:left="120"/>
              <w:spacing w:after="0"/>
              <w:rPr>
                <w:sz w:val="20"/>
                <w:szCs w:val="20"/>
                <w:color w:val="auto"/>
              </w:rPr>
            </w:pPr>
            <w:r>
              <w:rPr>
                <w:rFonts w:ascii="Arial" w:cs="Arial" w:eastAsia="Arial" w:hAnsi="Arial"/>
                <w:sz w:val="16"/>
                <w:szCs w:val="16"/>
                <w:color w:val="auto"/>
              </w:rPr>
              <w:t>Ø  280G tax gross-up payments.</w:t>
            </w:r>
          </w:p>
        </w:tc>
      </w:tr>
      <w:tr>
        <w:trPr>
          <w:trHeight w:val="254"/>
        </w:trPr>
        <w:tc>
          <w:tcPr>
            <w:tcW w:w="55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Maintain stock ownership guidelines for all NEOs.</w:t>
            </w:r>
          </w:p>
        </w:tc>
        <w:tc>
          <w:tcPr>
            <w:tcW w:w="5520" w:type="dxa"/>
            <w:vAlign w:val="bottom"/>
          </w:tcPr>
          <w:p>
            <w:pPr>
              <w:ind w:left="120"/>
              <w:spacing w:after="0"/>
              <w:rPr>
                <w:sz w:val="20"/>
                <w:szCs w:val="20"/>
                <w:color w:val="auto"/>
              </w:rPr>
            </w:pPr>
            <w:r>
              <w:rPr>
                <w:rFonts w:ascii="Arial" w:cs="Arial" w:eastAsia="Arial" w:hAnsi="Arial"/>
                <w:sz w:val="16"/>
                <w:szCs w:val="16"/>
                <w:color w:val="auto"/>
              </w:rPr>
              <w:t>Ø  Allow hedging of the Company’s equity securities.</w:t>
            </w:r>
          </w:p>
        </w:tc>
      </w:tr>
      <w:tr>
        <w:trPr>
          <w:trHeight w:val="230"/>
        </w:trPr>
        <w:tc>
          <w:tcPr>
            <w:tcW w:w="55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Clawback compensation from executive officers who engage in</w:t>
            </w:r>
          </w:p>
        </w:tc>
        <w:tc>
          <w:tcPr>
            <w:tcW w:w="5520" w:type="dxa"/>
            <w:vAlign w:val="bottom"/>
          </w:tcPr>
          <w:p>
            <w:pPr>
              <w:ind w:left="120"/>
              <w:spacing w:after="0"/>
              <w:rPr>
                <w:sz w:val="20"/>
                <w:szCs w:val="20"/>
                <w:color w:val="auto"/>
              </w:rPr>
            </w:pPr>
            <w:r>
              <w:rPr>
                <w:rFonts w:ascii="Arial" w:cs="Arial" w:eastAsia="Arial" w:hAnsi="Arial"/>
                <w:sz w:val="16"/>
                <w:szCs w:val="16"/>
                <w:color w:val="auto"/>
              </w:rPr>
              <w:t>Ø  Offer additional special perquisites to our executive officers that are not</w:t>
            </w:r>
          </w:p>
        </w:tc>
      </w:tr>
      <w:tr>
        <w:trPr>
          <w:trHeight w:val="242"/>
        </w:trPr>
        <w:tc>
          <w:tcPr>
            <w:tcW w:w="5500" w:type="dxa"/>
            <w:vAlign w:val="bottom"/>
          </w:tcPr>
          <w:p>
            <w:pPr>
              <w:ind w:left="220"/>
              <w:spacing w:after="0"/>
              <w:rPr>
                <w:sz w:val="20"/>
                <w:szCs w:val="20"/>
                <w:color w:val="auto"/>
              </w:rPr>
            </w:pPr>
            <w:r>
              <w:rPr>
                <w:rFonts w:ascii="Arial" w:cs="Arial" w:eastAsia="Arial" w:hAnsi="Arial"/>
                <w:sz w:val="16"/>
                <w:szCs w:val="16"/>
                <w:color w:val="auto"/>
              </w:rPr>
              <w:t>detrimental or competitive activity.</w:t>
            </w:r>
          </w:p>
        </w:tc>
        <w:tc>
          <w:tcPr>
            <w:tcW w:w="5520" w:type="dxa"/>
            <w:vAlign w:val="bottom"/>
          </w:tcPr>
          <w:p>
            <w:pPr>
              <w:ind w:left="320"/>
              <w:spacing w:after="0"/>
              <w:rPr>
                <w:sz w:val="20"/>
                <w:szCs w:val="20"/>
                <w:color w:val="auto"/>
              </w:rPr>
            </w:pPr>
            <w:r>
              <w:rPr>
                <w:rFonts w:ascii="Arial" w:cs="Arial" w:eastAsia="Arial" w:hAnsi="Arial"/>
                <w:sz w:val="16"/>
                <w:szCs w:val="16"/>
                <w:color w:val="auto"/>
              </w:rPr>
              <w:t>offered to our broad employee base or senior management populations.</w:t>
            </w:r>
          </w:p>
        </w:tc>
      </w:tr>
      <w:tr>
        <w:trPr>
          <w:trHeight w:val="274"/>
        </w:trPr>
        <w:tc>
          <w:tcPr>
            <w:tcW w:w="55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Anti-Overboarding Policy limiting the number of other public company</w:t>
            </w:r>
          </w:p>
        </w:tc>
        <w:tc>
          <w:tcPr>
            <w:tcW w:w="5520" w:type="dxa"/>
            <w:vAlign w:val="bottom"/>
          </w:tcPr>
          <w:p>
            <w:pPr>
              <w:ind w:left="120"/>
              <w:spacing w:after="0"/>
              <w:rPr>
                <w:sz w:val="20"/>
                <w:szCs w:val="20"/>
                <w:color w:val="auto"/>
              </w:rPr>
            </w:pPr>
            <w:r>
              <w:rPr>
                <w:rFonts w:ascii="Arial" w:cs="Arial" w:eastAsia="Arial" w:hAnsi="Arial"/>
                <w:sz w:val="16"/>
                <w:szCs w:val="16"/>
                <w:color w:val="auto"/>
              </w:rPr>
              <w:t>Ø  Encourage unnecessary and excessive risk taking.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-789305</wp:posOffset>
            </wp:positionV>
            <wp:extent cx="6995160" cy="18688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18688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boards on which our directors may serve.</w:t>
      </w:r>
    </w:p>
    <w:p>
      <w:pPr>
        <w:spacing w:after="0" w:line="44"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Payments under our annual bonus and LTI plan are performance-based</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and capped.</w:t>
      </w:r>
    </w:p>
    <w:p>
      <w:pPr>
        <w:spacing w:after="0" w:line="44"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independent compensation consultant assists the C&amp;MD Committee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evaluating and setting executive and non-employee director</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compensation.</w:t>
      </w:r>
    </w:p>
    <w:p>
      <w:pPr>
        <w:spacing w:after="0" w:line="44"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Conduct annual risk assessments of our compensation programs.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100% of our NEOs’ 2021 annual LTI grants were performance-based and at-risk</w:t>
      </w:r>
    </w:p>
    <w:p>
      <w:pPr>
        <w:spacing w:after="0" w:line="125" w:lineRule="exact"/>
        <w:rPr>
          <w:sz w:val="20"/>
          <w:szCs w:val="20"/>
          <w:color w:val="auto"/>
        </w:rPr>
      </w:pPr>
    </w:p>
    <w:p>
      <w:pPr>
        <w:ind w:left="5960" w:right="360" w:hanging="214"/>
        <w:spacing w:after="0" w:line="25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 60% earned based on achievement of three-year pipeline milestone</w:t>
      </w:r>
      <w:r>
        <w:rPr>
          <w:rFonts w:ascii="Arial" w:cs="Arial" w:eastAsia="Arial" w:hAnsi="Arial"/>
          <w:sz w:val="16"/>
          <w:szCs w:val="16"/>
          <w:color w:val="1A6DBB"/>
        </w:rPr>
        <w:t xml:space="preserve"> </w:t>
      </w:r>
      <w:r>
        <w:rPr>
          <w:rFonts w:ascii="Arial" w:cs="Arial" w:eastAsia="Arial" w:hAnsi="Arial"/>
          <w:sz w:val="16"/>
          <w:szCs w:val="16"/>
          <w:color w:val="000000"/>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2785745" cy="16973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85745" cy="1697355"/>
                    </a:xfrm>
                    <a:prstGeom prst="rect">
                      <a:avLst/>
                    </a:prstGeom>
                    <a:noFill/>
                  </pic:spPr>
                </pic:pic>
              </a:graphicData>
            </a:graphic>
          </wp:anchor>
        </w:drawing>
      </w:r>
    </w:p>
    <w:p>
      <w:pPr>
        <w:ind w:left="5960" w:right="320" w:hanging="214"/>
        <w:spacing w:after="0" w:line="265"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 40% earned based on achievement of three one-year financial goals</w:t>
      </w:r>
      <w:r>
        <w:rPr>
          <w:rFonts w:ascii="Arial" w:cs="Arial" w:eastAsia="Arial" w:hAnsi="Arial"/>
          <w:sz w:val="16"/>
          <w:szCs w:val="16"/>
          <w:color w:val="1A6DBB"/>
        </w:rPr>
        <w:t xml:space="preserve"> </w:t>
      </w:r>
      <w:r>
        <w:rPr>
          <w:rFonts w:ascii="Arial" w:cs="Arial" w:eastAsia="Arial" w:hAnsi="Arial"/>
          <w:sz w:val="16"/>
          <w:szCs w:val="16"/>
          <w:color w:val="000000"/>
        </w:rPr>
        <w:t>relating to Non-GAAP adjusted free cash flow and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960" w:right="300" w:hanging="214"/>
        <w:spacing w:after="0" w:line="28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 Earned based on stock price performance over one-, two- and three-year periods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Our 2021 performance-based compensation payouts align with our commitment to strong performance and accountability.</w:t>
      </w:r>
    </w:p>
    <w:p>
      <w:pPr>
        <w:spacing w:after="0" w:line="111" w:lineRule="exact"/>
        <w:rPr>
          <w:sz w:val="20"/>
          <w:szCs w:val="20"/>
          <w:color w:val="auto"/>
        </w:rPr>
      </w:pPr>
    </w:p>
    <w:p>
      <w:pPr>
        <w:ind w:left="120" w:right="240"/>
        <w:spacing w:after="0" w:line="254" w:lineRule="auto"/>
        <w:rPr>
          <w:sz w:val="20"/>
          <w:szCs w:val="20"/>
          <w:color w:val="auto"/>
        </w:rPr>
      </w:pPr>
      <w:r>
        <w:rPr>
          <w:rFonts w:ascii="Arial" w:cs="Arial" w:eastAsia="Arial" w:hAnsi="Arial"/>
          <w:sz w:val="16"/>
          <w:szCs w:val="16"/>
          <w:color w:val="auto"/>
        </w:rPr>
        <w:t>Our executive compensation program is structured to closely align with our business purpose and commitment to drive the creation of long-term stockholder value. At the time our C&amp;MD Committee established the Company performance goals at the beginning of the year, we did not know the impact of certain decisions by regulatory agencies, such as the FDA and Centers for Medicare &amp; Medicaid Services, would have on our 2021 performance results as they relate to our Alzheimer’s disease leadership goals. Due to this uncertainty, our C&amp;MD Committee exercised discretion to make certain adjustments to the achievement of certain performance goals to take into account the outcome of these regulatory decisions on company performance.</w:t>
      </w:r>
    </w:p>
    <w:p>
      <w:pPr>
        <w:spacing w:after="0" w:line="7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Our C&amp;MD Committee believed these adjustments were appropriate in order to balance the Alzheimer’s disease leadership goal performance and overall business impact. As a result of the C&amp;MD Committee discretion, the Company Multiplier was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40 </w:t>
      </w:r>
      <w:r>
        <w:rPr>
          <w:sz w:val="1"/>
          <w:szCs w:val="1"/>
          <w:color w:val="auto"/>
        </w:rPr>
        <w:drawing>
          <wp:inline distT="0" distB="0" distL="0" distR="0">
            <wp:extent cx="38735" cy="19685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00"/>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6"/>
          <w:szCs w:val="16"/>
          <w:color w:val="auto"/>
        </w:rPr>
        <w:t>decreased by 10% for all participants, which resulted in a Company Multiplier of 120%. Additionally, our C&amp;MD Committee believed it was important to hold the members of our Executive Committee, which includes all of our NEOs, accountable for the Company’s business performance. As a result, the C&amp;MD Committee exercised additional discretion and decreased the Company Multiplier of our NEOs by an additional twenty percentage points, which resulted in a Company Multiplier of 100% for our NEOs.</w:t>
      </w:r>
    </w:p>
    <w:p>
      <w:pPr>
        <w:spacing w:after="0" w:line="70"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We believe that our 2021 executive compensation program, including the adjustments made by our C&amp;MD Committee, demonstrates our commitment to linking compensation to Company performance and strategy during a challenging year while holding our executive officers accountable.</w:t>
      </w:r>
    </w:p>
    <w:p>
      <w:pPr>
        <w:sectPr>
          <w:pgSz w:w="11900" w:h="16838" w:orient="portrait"/>
          <w:cols w:equalWidth="0" w:num="1">
            <w:col w:w="11120"/>
          </w:cols>
          <w:pgMar w:left="320" w:top="455" w:right="459" w:bottom="1440" w:gutter="0" w:footer="0" w:header="0"/>
        </w:sect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Roles and Responsibilities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Role of our C&amp;MD Committee</w:t>
      </w:r>
    </w:p>
    <w:p>
      <w:pPr>
        <w:spacing w:after="0" w:line="11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Our C&amp;MD Committee, which is composed of four independent directors, oversees and administers our executive compensation programs. In making executive compensation decisions, our C&amp;MD Committee reviews a variety of factors and data, most importantly our performance and individual executive performance, and considers the totality of compensation that may be paid and the value short- and long-term incentives that may be granted. In addition, our C&amp;MD Committee administers our annual bonus plan and our equity plans, reviews business achievements relevant to payouts under our compensation plans, makes recommendations to our Board of Directors with respect to compensation policies and practices as well as the compensation of our CEO and seeks to ensure that total compensation paid to our executive officers is fair, competitive and aligned with stockholder interests. Our C&amp;MD Committee hires outside advisors, when it deems appropriate, to assist it in reviewing and revising our executive compensation programs.</w:t>
      </w:r>
    </w:p>
    <w:p>
      <w:pPr>
        <w:spacing w:after="0" w:line="8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 xml:space="preserve">The duties and responsibilities of our C&amp;MD Committee are described on page 19 and can be found in our C&amp;MD Committee’s written charter adopted by our Board of Directors, which is available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section.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Role of the Independent Compensation Consultant</w:t>
      </w:r>
    </w:p>
    <w:p>
      <w:pPr>
        <w:spacing w:after="0" w:line="111"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Our C&amp;MD Committee believes that independent advice is important in developing and overseeing our executive compensation programs. Pearl Meyer is currently engaged as our C&amp;MD Committee’s independent compensation consultant. Pearl Meyer does not provide any other services to Biogen and engages in other matters as needed and as directed solely by our C&amp;MD Committee.</w:t>
      </w:r>
    </w:p>
    <w:p>
      <w:pPr>
        <w:spacing w:after="0" w:line="74" w:lineRule="exact"/>
        <w:rPr>
          <w:sz w:val="20"/>
          <w:szCs w:val="20"/>
          <w:color w:val="auto"/>
        </w:rPr>
      </w:pPr>
    </w:p>
    <w:p>
      <w:pPr>
        <w:jc w:val="both"/>
        <w:ind w:left="120" w:right="560"/>
        <w:spacing w:after="0" w:line="266" w:lineRule="auto"/>
        <w:rPr>
          <w:sz w:val="20"/>
          <w:szCs w:val="20"/>
          <w:color w:val="auto"/>
        </w:rPr>
      </w:pPr>
      <w:r>
        <w:rPr>
          <w:rFonts w:ascii="Arial" w:cs="Arial" w:eastAsia="Arial" w:hAnsi="Arial"/>
          <w:sz w:val="16"/>
          <w:szCs w:val="16"/>
          <w:color w:val="auto"/>
        </w:rPr>
        <w:t>Reporting directly to our C&amp;MD Committee, Pearl Meyer provides guidance on trends in CEO, executive and non-employee director compensation, the development of</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41 </w:t>
      </w:r>
      <w:r>
        <w:rPr>
          <w:sz w:val="1"/>
          <w:szCs w:val="1"/>
          <w:color w:val="auto"/>
        </w:rPr>
        <w:drawing>
          <wp:inline distT="0" distB="0" distL="0" distR="0">
            <wp:extent cx="38735" cy="19685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6" w:right="80"/>
        <w:spacing w:after="0" w:line="250" w:lineRule="auto"/>
        <w:rPr>
          <w:sz w:val="20"/>
          <w:szCs w:val="20"/>
          <w:color w:val="auto"/>
        </w:rPr>
      </w:pPr>
      <w:r>
        <w:rPr>
          <w:rFonts w:ascii="Arial" w:cs="Arial" w:eastAsia="Arial" w:hAnsi="Arial"/>
          <w:sz w:val="16"/>
          <w:szCs w:val="16"/>
          <w:color w:val="auto"/>
        </w:rPr>
        <w:t>specific executive compensation programs and the composition of the Company’s compensation peer group used for market comparisons. Additionally, Pearl Meyer prepares a comprehensive report on CEO pay that compares each element of our CEO’s compensation to that of CEOs at companies in our peer group. Using this and other similar information, our C&amp;MD Committee recommends, and our Board of Directors approves, the elements and target levels of our CEO’s compensation and our C&amp;MD Committee approves the elements and target levels of compensation for our other executive officers. During 2021, Pearl Meyer also provided guidance to our C&amp;MD Committee regarding the impact of the COVID-19 pandemic on executive compensation programs, including at peer group companies.</w:t>
      </w:r>
    </w:p>
    <w:p>
      <w:pPr>
        <w:spacing w:after="0" w:line="76" w:lineRule="exact"/>
        <w:rPr>
          <w:sz w:val="20"/>
          <w:szCs w:val="20"/>
          <w:color w:val="auto"/>
        </w:rPr>
      </w:pPr>
    </w:p>
    <w:p>
      <w:pPr>
        <w:ind w:left="6" w:right="80"/>
        <w:spacing w:after="0" w:line="259" w:lineRule="auto"/>
        <w:rPr>
          <w:sz w:val="20"/>
          <w:szCs w:val="20"/>
          <w:color w:val="auto"/>
        </w:rPr>
      </w:pPr>
      <w:r>
        <w:rPr>
          <w:rFonts w:ascii="Arial" w:cs="Arial" w:eastAsia="Arial" w:hAnsi="Arial"/>
          <w:sz w:val="16"/>
          <w:szCs w:val="16"/>
          <w:color w:val="auto"/>
        </w:rPr>
        <w:t>Our C&amp;MD Committee assesses Pearl Meyer’s independence annually and, in accordance with applicable SEC and Nasdaq rules, confirmed in December 2021 that Pearl Meyer’s work did not raise any conflicts of interest and that Pearl Meyer remains independent under applicable rules.</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1A6DBB"/>
        </w:rPr>
        <w:t>Role of our CEO</w:t>
      </w:r>
    </w:p>
    <w:p>
      <w:pPr>
        <w:spacing w:after="0" w:line="111" w:lineRule="exact"/>
        <w:rPr>
          <w:sz w:val="20"/>
          <w:szCs w:val="20"/>
          <w:color w:val="auto"/>
        </w:rPr>
      </w:pPr>
    </w:p>
    <w:p>
      <w:pPr>
        <w:ind w:left="6" w:right="20"/>
        <w:spacing w:after="0" w:line="256" w:lineRule="auto"/>
        <w:rPr>
          <w:sz w:val="20"/>
          <w:szCs w:val="20"/>
          <w:color w:val="auto"/>
        </w:rPr>
      </w:pPr>
      <w:r>
        <w:rPr>
          <w:rFonts w:ascii="Arial" w:cs="Arial" w:eastAsia="Arial" w:hAnsi="Arial"/>
          <w:sz w:val="16"/>
          <w:szCs w:val="16"/>
          <w:color w:val="auto"/>
        </w:rPr>
        <w:t>Each year our CEO provides an assessment of the performance of each executive officer, other than himself, during the prior year and recommends to our C&amp;MD Committee the compensation to be paid or awarded to each executive. Our CEO’s recommendations are based on numerous factors, including:</w:t>
      </w:r>
    </w:p>
    <w:p>
      <w:pPr>
        <w:spacing w:after="0" w:line="85" w:lineRule="exact"/>
        <w:rPr>
          <w:sz w:val="20"/>
          <w:szCs w:val="20"/>
          <w:color w:val="auto"/>
        </w:rPr>
      </w:pPr>
    </w:p>
    <w:p>
      <w:pPr>
        <w:ind w:left="266" w:hanging="266"/>
        <w:spacing w:after="0"/>
        <w:tabs>
          <w:tab w:leader="none" w:pos="266"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Company, team and individual performance;</w:t>
      </w:r>
    </w:p>
    <w:p>
      <w:pPr>
        <w:spacing w:after="0" w:line="21" w:lineRule="exact"/>
        <w:rPr>
          <w:rFonts w:ascii="Arial" w:cs="Arial" w:eastAsia="Arial" w:hAnsi="Arial"/>
          <w:sz w:val="16"/>
          <w:szCs w:val="16"/>
          <w:color w:val="1A6DBB"/>
        </w:rPr>
      </w:pPr>
    </w:p>
    <w:p>
      <w:pPr>
        <w:ind w:left="266" w:hanging="266"/>
        <w:spacing w:after="0"/>
        <w:tabs>
          <w:tab w:leader="none" w:pos="266"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potential for future contributions;</w:t>
      </w:r>
    </w:p>
    <w:p>
      <w:pPr>
        <w:spacing w:after="0" w:line="5" w:lineRule="exact"/>
        <w:rPr>
          <w:rFonts w:ascii="Arial" w:cs="Arial" w:eastAsia="Arial" w:hAnsi="Arial"/>
          <w:sz w:val="16"/>
          <w:szCs w:val="16"/>
          <w:color w:val="1A6DBB"/>
        </w:rPr>
      </w:pPr>
    </w:p>
    <w:p>
      <w:pPr>
        <w:ind w:left="266" w:hanging="266"/>
        <w:spacing w:after="0"/>
        <w:tabs>
          <w:tab w:leader="none" w:pos="266"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leadership competencies, skills and experience;</w:t>
      </w:r>
    </w:p>
    <w:p>
      <w:pPr>
        <w:spacing w:after="0" w:line="5" w:lineRule="exact"/>
        <w:rPr>
          <w:rFonts w:ascii="Arial" w:cs="Arial" w:eastAsia="Arial" w:hAnsi="Arial"/>
          <w:sz w:val="16"/>
          <w:szCs w:val="16"/>
          <w:color w:val="1A6DBB"/>
        </w:rPr>
      </w:pPr>
    </w:p>
    <w:p>
      <w:pPr>
        <w:ind w:left="266" w:hanging="266"/>
        <w:spacing w:after="0"/>
        <w:tabs>
          <w:tab w:leader="none" w:pos="266"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external market competitiveness;</w:t>
      </w:r>
    </w:p>
    <w:p>
      <w:pPr>
        <w:spacing w:after="0" w:line="5" w:lineRule="exact"/>
        <w:rPr>
          <w:rFonts w:ascii="Arial" w:cs="Arial" w:eastAsia="Arial" w:hAnsi="Arial"/>
          <w:sz w:val="16"/>
          <w:szCs w:val="16"/>
          <w:color w:val="1A6DBB"/>
        </w:rPr>
      </w:pPr>
    </w:p>
    <w:p>
      <w:pPr>
        <w:ind w:left="266" w:hanging="266"/>
        <w:spacing w:after="0"/>
        <w:tabs>
          <w:tab w:leader="none" w:pos="266"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internal pay comparisons; and</w:t>
      </w:r>
    </w:p>
    <w:p>
      <w:pPr>
        <w:spacing w:after="0" w:line="5" w:lineRule="exact"/>
        <w:rPr>
          <w:rFonts w:ascii="Arial" w:cs="Arial" w:eastAsia="Arial" w:hAnsi="Arial"/>
          <w:sz w:val="16"/>
          <w:szCs w:val="16"/>
          <w:color w:val="1A6DBB"/>
        </w:rPr>
      </w:pPr>
    </w:p>
    <w:p>
      <w:pPr>
        <w:ind w:left="266" w:hanging="266"/>
        <w:spacing w:after="0"/>
        <w:tabs>
          <w:tab w:leader="none" w:pos="266"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other factors deemed relevant.</w:t>
      </w:r>
    </w:p>
    <w:p>
      <w:pPr>
        <w:spacing w:after="0" w:line="97" w:lineRule="exact"/>
        <w:rPr>
          <w:sz w:val="20"/>
          <w:szCs w:val="20"/>
          <w:color w:val="auto"/>
        </w:rPr>
      </w:pPr>
    </w:p>
    <w:p>
      <w:pPr>
        <w:ind w:left="6"/>
        <w:spacing w:after="0" w:line="259" w:lineRule="auto"/>
        <w:rPr>
          <w:sz w:val="20"/>
          <w:szCs w:val="20"/>
          <w:color w:val="auto"/>
        </w:rPr>
      </w:pPr>
      <w:r>
        <w:rPr>
          <w:rFonts w:ascii="Arial" w:cs="Arial" w:eastAsia="Arial" w:hAnsi="Arial"/>
          <w:sz w:val="16"/>
          <w:szCs w:val="16"/>
          <w:color w:val="auto"/>
        </w:rPr>
        <w:t>To understand the external market competitiveness of the compensation for our executive officers, our CEO and our C&amp;MD Committee review a report analyzing publicly-available information and surveys prepared by our internal compensation group and reviewed by Pearl Meyer.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344805</wp:posOffset>
            </wp:positionV>
            <wp:extent cx="102870" cy="939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60" w:space="374"/>
            <w:col w:w="5386"/>
          </w:cols>
          <w:pgMar w:left="320" w:top="455" w:right="4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5"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report compares the compensation of each executive officer, other than our CEO, to data available for comparable positions at companies in our peer group and, in certain circumstances, the broader market, by compensation element (please see “External Market Competitiveness and Peer Group” below for further details). Our C&amp;MD Committee considers all of the information presented, discusses the recommendations with our CEO and with Pearl Meyer and applies its judgment to determine the elements of compensation and target compensation levels for each executive officer, other than the CEO.</w:t>
      </w:r>
    </w:p>
    <w:p>
      <w:pPr>
        <w:spacing w:after="0" w:line="77"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Our CEO also provides a self-assessment of his achievements for the prior year. Our C&amp;MD Committee reviews and considers this in analyzing the CEO’s performance, and in recommending the compensation of our CEO for approval by our Board of Directors. Our CEO does not participate in any deliberations regarding his own compensation.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Executive Compensation Philosophy and Objectives</w:t>
      </w:r>
    </w:p>
    <w:p>
      <w:pPr>
        <w:spacing w:after="0" w:line="108"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Our executive compensation programs are designed to drive the creation of long-term stockholder value by delivering performance-based compensation that is competitive with our peer group in order to attract and retain extraordinary leaders who can perform at high levels and succeed in a demanding business environment. We aim to achieve this by designing programs that are:</w:t>
      </w:r>
    </w:p>
    <w:p>
      <w:pPr>
        <w:spacing w:after="0" w:line="87" w:lineRule="exact"/>
        <w:rPr>
          <w:sz w:val="20"/>
          <w:szCs w:val="20"/>
          <w:color w:val="auto"/>
        </w:rPr>
      </w:pPr>
    </w:p>
    <w:p>
      <w:pPr>
        <w:ind w:left="380" w:hanging="264"/>
        <w:spacing w:after="0" w:line="251" w:lineRule="auto"/>
        <w:tabs>
          <w:tab w:leader="none" w:pos="380" w:val="left"/>
        </w:tabs>
        <w:numPr>
          <w:ilvl w:val="0"/>
          <w:numId w:val="102"/>
        </w:numPr>
        <w:rPr>
          <w:rFonts w:ascii="Arial" w:cs="Arial" w:eastAsia="Arial" w:hAnsi="Arial"/>
          <w:sz w:val="16"/>
          <w:szCs w:val="16"/>
          <w:color w:val="1A6DBB"/>
        </w:rPr>
      </w:pPr>
      <w:r>
        <w:rPr>
          <w:rFonts w:ascii="Arial" w:cs="Arial" w:eastAsia="Arial" w:hAnsi="Arial"/>
          <w:sz w:val="16"/>
          <w:szCs w:val="16"/>
          <w:i w:val="1"/>
          <w:iCs w:val="1"/>
          <w:color w:val="427F3D"/>
        </w:rPr>
        <w:t xml:space="preserve">Mission Focused and Business Driven. </w:t>
      </w:r>
      <w:r>
        <w:rPr>
          <w:rFonts w:ascii="Arial" w:cs="Arial" w:eastAsia="Arial" w:hAnsi="Arial"/>
          <w:sz w:val="16"/>
          <w:szCs w:val="16"/>
          <w:color w:val="000000"/>
        </w:rPr>
        <w:t>Our executive compensation</w:t>
      </w:r>
      <w:r>
        <w:rPr>
          <w:rFonts w:ascii="Arial" w:cs="Arial" w:eastAsia="Arial" w:hAnsi="Arial"/>
          <w:sz w:val="16"/>
          <w:szCs w:val="16"/>
          <w:i w:val="1"/>
          <w:iCs w:val="1"/>
          <w:color w:val="427F3D"/>
        </w:rPr>
        <w:t xml:space="preserve"> </w:t>
      </w:r>
      <w:r>
        <w:rPr>
          <w:rFonts w:ascii="Arial" w:cs="Arial" w:eastAsia="Arial" w:hAnsi="Arial"/>
          <w:sz w:val="16"/>
          <w:szCs w:val="16"/>
          <w:color w:val="000000"/>
        </w:rPr>
        <w:t>programs support the relentless pursuit of delivering meaningful and innovative therapies to patients by providing our executives with incentives to achieve the near- and long-term objectives of our business. Substantially all of our incentive compensation programs for our executives are tied directly, and meaningfully, to Company performance. Our objective is to emphasize the importance of achieving short-term goals while building and sustaining a foundation for long-term success.</w:t>
      </w:r>
    </w:p>
    <w:p>
      <w:pPr>
        <w:spacing w:after="0" w:line="90" w:lineRule="exact"/>
        <w:rPr>
          <w:rFonts w:ascii="Arial" w:cs="Arial" w:eastAsia="Arial" w:hAnsi="Arial"/>
          <w:sz w:val="16"/>
          <w:szCs w:val="16"/>
          <w:color w:val="1A6DBB"/>
        </w:rPr>
      </w:pPr>
    </w:p>
    <w:p>
      <w:pPr>
        <w:ind w:left="380" w:right="100" w:hanging="264"/>
        <w:spacing w:after="0" w:line="250" w:lineRule="auto"/>
        <w:tabs>
          <w:tab w:leader="none" w:pos="380" w:val="left"/>
        </w:tabs>
        <w:numPr>
          <w:ilvl w:val="0"/>
          <w:numId w:val="102"/>
        </w:numPr>
        <w:rPr>
          <w:rFonts w:ascii="Arial" w:cs="Arial" w:eastAsia="Arial" w:hAnsi="Arial"/>
          <w:sz w:val="16"/>
          <w:szCs w:val="16"/>
          <w:color w:val="1A6DBB"/>
        </w:rPr>
      </w:pPr>
      <w:r>
        <w:rPr>
          <w:rFonts w:ascii="Arial" w:cs="Arial" w:eastAsia="Arial" w:hAnsi="Arial"/>
          <w:sz w:val="16"/>
          <w:szCs w:val="16"/>
          <w:i w:val="1"/>
          <w:iCs w:val="1"/>
          <w:color w:val="427F3D"/>
        </w:rPr>
        <w:t xml:space="preserve">Competitively Advantageous. </w:t>
      </w:r>
      <w:r>
        <w:rPr>
          <w:rFonts w:ascii="Arial" w:cs="Arial" w:eastAsia="Arial" w:hAnsi="Arial"/>
          <w:sz w:val="16"/>
          <w:szCs w:val="16"/>
          <w:color w:val="000000"/>
        </w:rPr>
        <w:t>We benchmark our executive</w:t>
      </w:r>
      <w:r>
        <w:rPr>
          <w:rFonts w:ascii="Arial" w:cs="Arial" w:eastAsia="Arial" w:hAnsi="Arial"/>
          <w:sz w:val="16"/>
          <w:szCs w:val="16"/>
          <w:i w:val="1"/>
          <w:iCs w:val="1"/>
          <w:color w:val="427F3D"/>
        </w:rPr>
        <w:t xml:space="preserve"> </w:t>
      </w:r>
      <w:r>
        <w:rPr>
          <w:rFonts w:ascii="Arial" w:cs="Arial" w:eastAsia="Arial" w:hAnsi="Arial"/>
          <w:sz w:val="16"/>
          <w:szCs w:val="16"/>
          <w:color w:val="000000"/>
        </w:rPr>
        <w:t>compensation programs against a peer group of biotechnology and pharmaceutical companies that we believe are representative of the companies we primarily compete with for talent, that are similar to us in business scope and size, including revenue and market capitalization, business focus and geographic scope of operations. We also review broader market data, as further described below, to provide additional context for compensation decisions. Peer group and market practices are among the many factors we take into account in</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42 </w:t>
      </w:r>
      <w:r>
        <w:rPr>
          <w:sz w:val="1"/>
          <w:szCs w:val="1"/>
          <w:color w:val="auto"/>
        </w:rPr>
        <w:drawing>
          <wp:inline distT="0" distB="0" distL="0" distR="0">
            <wp:extent cx="38735" cy="19685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66" w:right="40"/>
        <w:spacing w:after="0" w:line="266" w:lineRule="auto"/>
        <w:rPr>
          <w:sz w:val="20"/>
          <w:szCs w:val="20"/>
          <w:color w:val="auto"/>
        </w:rPr>
      </w:pPr>
      <w:r>
        <w:rPr>
          <w:rFonts w:ascii="Arial" w:cs="Arial" w:eastAsia="Arial" w:hAnsi="Arial"/>
          <w:sz w:val="16"/>
          <w:szCs w:val="16"/>
          <w:color w:val="auto"/>
        </w:rPr>
        <w:t>developing executive compensation programs that we believe are most effective, and which enable us to recruit, retain and motivate our leadership team to achieve their best for Biogen and our stockholders.</w:t>
      </w:r>
    </w:p>
    <w:p>
      <w:pPr>
        <w:spacing w:after="0" w:line="77" w:lineRule="exact"/>
        <w:rPr>
          <w:sz w:val="20"/>
          <w:szCs w:val="20"/>
          <w:color w:val="auto"/>
        </w:rPr>
      </w:pPr>
    </w:p>
    <w:p>
      <w:pPr>
        <w:ind w:left="266" w:hanging="266"/>
        <w:spacing w:after="0" w:line="256" w:lineRule="auto"/>
        <w:tabs>
          <w:tab w:leader="none" w:pos="266" w:val="left"/>
        </w:tabs>
        <w:numPr>
          <w:ilvl w:val="0"/>
          <w:numId w:val="103"/>
        </w:numPr>
        <w:rPr>
          <w:rFonts w:ascii="Arial" w:cs="Arial" w:eastAsia="Arial" w:hAnsi="Arial"/>
          <w:sz w:val="16"/>
          <w:szCs w:val="16"/>
          <w:color w:val="1A6DBB"/>
        </w:rPr>
      </w:pPr>
      <w:r>
        <w:rPr>
          <w:rFonts w:ascii="Arial" w:cs="Arial" w:eastAsia="Arial" w:hAnsi="Arial"/>
          <w:sz w:val="16"/>
          <w:szCs w:val="16"/>
          <w:i w:val="1"/>
          <w:iCs w:val="1"/>
          <w:color w:val="427F3D"/>
        </w:rPr>
        <w:t xml:space="preserve">Performance Differentiated. </w:t>
      </w:r>
      <w:r>
        <w:rPr>
          <w:rFonts w:ascii="Arial" w:cs="Arial" w:eastAsia="Arial" w:hAnsi="Arial"/>
          <w:sz w:val="16"/>
          <w:szCs w:val="16"/>
          <w:color w:val="000000"/>
        </w:rPr>
        <w:t>We believe strongly in pay-for-performance</w:t>
      </w:r>
      <w:r>
        <w:rPr>
          <w:rFonts w:ascii="Arial" w:cs="Arial" w:eastAsia="Arial" w:hAnsi="Arial"/>
          <w:sz w:val="16"/>
          <w:szCs w:val="16"/>
          <w:i w:val="1"/>
          <w:iCs w:val="1"/>
          <w:color w:val="427F3D"/>
        </w:rPr>
        <w:t xml:space="preserve"> </w:t>
      </w:r>
      <w:r>
        <w:rPr>
          <w:rFonts w:ascii="Arial" w:cs="Arial" w:eastAsia="Arial" w:hAnsi="Arial"/>
          <w:sz w:val="16"/>
          <w:szCs w:val="16"/>
          <w:color w:val="000000"/>
        </w:rPr>
        <w:t>and endeavor to significantly differentiate rewards by delivering the highest rewards to our best performers that exceed our expectations and lesser rewards to those who meet or do not meet our performance expectations.</w:t>
      </w:r>
    </w:p>
    <w:p>
      <w:pPr>
        <w:spacing w:after="0" w:line="85" w:lineRule="exact"/>
        <w:rPr>
          <w:rFonts w:ascii="Arial" w:cs="Arial" w:eastAsia="Arial" w:hAnsi="Arial"/>
          <w:sz w:val="16"/>
          <w:szCs w:val="16"/>
          <w:color w:val="1A6DBB"/>
        </w:rPr>
      </w:pPr>
    </w:p>
    <w:p>
      <w:pPr>
        <w:ind w:left="266" w:right="80" w:hanging="266"/>
        <w:spacing w:after="0" w:line="250" w:lineRule="auto"/>
        <w:tabs>
          <w:tab w:leader="none" w:pos="266" w:val="left"/>
        </w:tabs>
        <w:numPr>
          <w:ilvl w:val="0"/>
          <w:numId w:val="103"/>
        </w:numPr>
        <w:rPr>
          <w:rFonts w:ascii="Arial" w:cs="Arial" w:eastAsia="Arial" w:hAnsi="Arial"/>
          <w:sz w:val="16"/>
          <w:szCs w:val="16"/>
          <w:color w:val="1A6DBB"/>
        </w:rPr>
      </w:pPr>
      <w:r>
        <w:rPr>
          <w:rFonts w:ascii="Arial" w:cs="Arial" w:eastAsia="Arial" w:hAnsi="Arial"/>
          <w:sz w:val="16"/>
          <w:szCs w:val="16"/>
          <w:i w:val="1"/>
          <w:iCs w:val="1"/>
          <w:color w:val="427F3D"/>
        </w:rPr>
        <w:t xml:space="preserve">Ownership Aligned. </w:t>
      </w:r>
      <w:r>
        <w:rPr>
          <w:rFonts w:ascii="Arial" w:cs="Arial" w:eastAsia="Arial" w:hAnsi="Arial"/>
          <w:sz w:val="16"/>
          <w:szCs w:val="16"/>
          <w:color w:val="000000"/>
        </w:rPr>
        <w:t>At Biogen, we believe every employee contributes</w:t>
      </w:r>
      <w:r>
        <w:rPr>
          <w:rFonts w:ascii="Arial" w:cs="Arial" w:eastAsia="Arial" w:hAnsi="Arial"/>
          <w:sz w:val="16"/>
          <w:szCs w:val="16"/>
          <w:i w:val="1"/>
          <w:iCs w:val="1"/>
          <w:color w:val="427F3D"/>
        </w:rPr>
        <w:t xml:space="preserve"> </w:t>
      </w:r>
      <w:r>
        <w:rPr>
          <w:rFonts w:ascii="Arial" w:cs="Arial" w:eastAsia="Arial" w:hAnsi="Arial"/>
          <w:sz w:val="16"/>
          <w:szCs w:val="16"/>
          <w:color w:val="000000"/>
        </w:rPr>
        <w:t>to the success of the Company and, as such, every employee has a vested interest in the Company’s success. To reinforce this alignment with our stockholders, we strongly encourage stock ownership through our equity-based compensation programs. For members of our executive team, including our NEOs, who set and lead the future strategic direction of our Company, we ensure that a significant portion of their total pay opportunities are equity-based to maintain alignment between the interests of our executive officers and our stockholders and we maintain stock ownership guidelines to strengthen and reinforce the link our compensation programs create between our executives and our stockholders.</w:t>
      </w:r>
    </w:p>
    <w:p>
      <w:pPr>
        <w:spacing w:after="0" w:line="89" w:lineRule="exact"/>
        <w:rPr>
          <w:rFonts w:ascii="Arial" w:cs="Arial" w:eastAsia="Arial" w:hAnsi="Arial"/>
          <w:sz w:val="16"/>
          <w:szCs w:val="16"/>
          <w:color w:val="1A6DBB"/>
        </w:rPr>
      </w:pPr>
    </w:p>
    <w:p>
      <w:pPr>
        <w:ind w:left="266" w:right="160" w:hanging="266"/>
        <w:spacing w:after="0" w:line="259" w:lineRule="auto"/>
        <w:tabs>
          <w:tab w:leader="none" w:pos="266" w:val="left"/>
        </w:tabs>
        <w:numPr>
          <w:ilvl w:val="0"/>
          <w:numId w:val="103"/>
        </w:numPr>
        <w:rPr>
          <w:rFonts w:ascii="Arial" w:cs="Arial" w:eastAsia="Arial" w:hAnsi="Arial"/>
          <w:sz w:val="16"/>
          <w:szCs w:val="16"/>
          <w:color w:val="1A6DBB"/>
        </w:rPr>
      </w:pPr>
      <w:r>
        <w:rPr>
          <w:rFonts w:ascii="Arial" w:cs="Arial" w:eastAsia="Arial" w:hAnsi="Arial"/>
          <w:sz w:val="16"/>
          <w:szCs w:val="16"/>
          <w:i w:val="1"/>
          <w:iCs w:val="1"/>
          <w:color w:val="427F3D"/>
        </w:rPr>
        <w:t xml:space="preserve">Flexible. </w:t>
      </w:r>
      <w:r>
        <w:rPr>
          <w:rFonts w:ascii="Arial" w:cs="Arial" w:eastAsia="Arial" w:hAnsi="Arial"/>
          <w:sz w:val="16"/>
          <w:szCs w:val="16"/>
          <w:color w:val="000000"/>
        </w:rPr>
        <w:t>We are committed to providing flexible benefits designed to</w:t>
      </w:r>
      <w:r>
        <w:rPr>
          <w:rFonts w:ascii="Arial" w:cs="Arial" w:eastAsia="Arial" w:hAnsi="Arial"/>
          <w:sz w:val="16"/>
          <w:szCs w:val="16"/>
          <w:i w:val="1"/>
          <w:iCs w:val="1"/>
          <w:color w:val="427F3D"/>
        </w:rPr>
        <w:t xml:space="preserve"> </w:t>
      </w:r>
      <w:r>
        <w:rPr>
          <w:rFonts w:ascii="Arial" w:cs="Arial" w:eastAsia="Arial" w:hAnsi="Arial"/>
          <w:sz w:val="16"/>
          <w:szCs w:val="16"/>
          <w:color w:val="000000"/>
        </w:rPr>
        <w:t>allow our diverse global workforce to have reward opportunities that meet their varied needs so that they are inspired to perform their very best on behalf of patients and stockholders each day.</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1A6DBB"/>
        </w:rPr>
        <w:t>External Market Competitiveness and Peer Group</w:t>
      </w:r>
    </w:p>
    <w:p>
      <w:pPr>
        <w:spacing w:after="0" w:line="108" w:lineRule="exact"/>
        <w:rPr>
          <w:sz w:val="20"/>
          <w:szCs w:val="20"/>
          <w:color w:val="auto"/>
        </w:rPr>
      </w:pPr>
    </w:p>
    <w:p>
      <w:pPr>
        <w:ind w:left="6" w:right="20"/>
        <w:spacing w:after="0" w:line="251" w:lineRule="auto"/>
        <w:rPr>
          <w:sz w:val="20"/>
          <w:szCs w:val="20"/>
          <w:color w:val="auto"/>
        </w:rPr>
      </w:pPr>
      <w:r>
        <w:rPr>
          <w:rFonts w:ascii="Arial" w:cs="Arial" w:eastAsia="Arial" w:hAnsi="Arial"/>
          <w:sz w:val="16"/>
          <w:szCs w:val="16"/>
          <w:color w:val="auto"/>
        </w:rPr>
        <w:t>We consider market practices and trends when determining executive compensation levels and compensation program designs at Biogen. We do not target a specific market percentile or simply replicate the market practice. Instead, we review external market practices as a reference point to assist us in providing programs designed to attract, retain and inspire extraordinary talent. Our C&amp;MD Committee also uses a peer group and other market data to provide context for its executive compensation decision-making. Each year Pearl Meyer reviews the external market data and evaluates the composition of our peer group for appropriateness.</w:t>
      </w:r>
    </w:p>
    <w:p>
      <w:pPr>
        <w:spacing w:after="0" w:line="77" w:lineRule="exact"/>
        <w:rPr>
          <w:sz w:val="20"/>
          <w:szCs w:val="20"/>
          <w:color w:val="auto"/>
        </w:rPr>
      </w:pPr>
    </w:p>
    <w:p>
      <w:pPr>
        <w:ind w:left="6" w:right="220"/>
        <w:spacing w:after="0" w:line="256" w:lineRule="auto"/>
        <w:rPr>
          <w:sz w:val="20"/>
          <w:szCs w:val="20"/>
          <w:color w:val="auto"/>
        </w:rPr>
      </w:pPr>
      <w:r>
        <w:rPr>
          <w:rFonts w:ascii="Arial" w:cs="Arial" w:eastAsia="Arial" w:hAnsi="Arial"/>
          <w:sz w:val="16"/>
          <w:szCs w:val="16"/>
          <w:color w:val="auto"/>
        </w:rPr>
        <w:t>Our C&amp;MD Committee reviews the information provided from internal sources as well as the information provided by Pearl Meyer to select our peer group based on comparable companies that approximate (1) our scope of business, including revenue and market capitalization, (2) our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320040</wp:posOffset>
            </wp:positionV>
            <wp:extent cx="102870" cy="939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80" w:space="354"/>
            <w:col w:w="5386"/>
          </w:cols>
          <w:pgMar w:left="320" w:top="455" w:right="4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5"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geographical reach, (3) our research-based business with multiple marketed products and (4) a comparable pool of talent for which we compete.</w:t>
      </w:r>
    </w:p>
    <w:p>
      <w:pPr>
        <w:spacing w:after="0" w:line="6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setting 2021 target compensation levels for the NEOs, the Company used the peer group detailed below. This peer group was determined by the C&amp;MD Committee based on an in-depth review by its independent compensation consultant, Pearl Meyer, which included an assessment of</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potential comparators to evaluate the degree to which the current peers are generally reflective of Biogen’s profile in terms of valuation, size, maturity, global scale and complexity. The assessment also included an examination of the broader marketplace to identify appropriate and relevant removals and/or additions to the peer group. For 2021, based on Pearl Meyer’s analysis, the C&amp;MD Committee approved the following changes to the peer group:</w:t>
      </w:r>
    </w:p>
    <w:p>
      <w:pPr>
        <w:spacing w:after="0" w:line="311" w:lineRule="exact"/>
        <w:rPr>
          <w:sz w:val="20"/>
          <w:szCs w:val="20"/>
          <w:color w:val="auto"/>
        </w:rPr>
      </w:pPr>
    </w:p>
    <w:p>
      <w:pPr>
        <w:sectPr>
          <w:pgSz w:w="11900" w:h="16838" w:orient="portrait"/>
          <w:cols w:equalWidth="0" w:num="2">
            <w:col w:w="5320" w:space="420"/>
            <w:col w:w="5400"/>
          </w:cols>
          <w:pgMar w:left="320" w:top="455" w:right="439" w:bottom="1440" w:gutter="0" w:footer="0" w:header="0"/>
          <w:type w:val="continuous"/>
        </w:sectPr>
      </w:pPr>
    </w:p>
    <w:p>
      <w:pPr>
        <w:spacing w:after="0" w:line="26" w:lineRule="exact"/>
        <w:rPr>
          <w:sz w:val="20"/>
          <w:szCs w:val="20"/>
          <w:color w:val="auto"/>
        </w:rPr>
      </w:pPr>
    </w:p>
    <w:tbl>
      <w:tblPr>
        <w:tblLayout w:type="fixed"/>
        <w:tblInd w:w="130" w:type="dxa"/>
        <w:tblCellMar>
          <w:top w:w="0" w:type="dxa"/>
          <w:left w:w="0" w:type="dxa"/>
          <w:bottom w:w="0" w:type="dxa"/>
          <w:right w:w="0" w:type="dxa"/>
        </w:tblCellMar>
      </w:tblPr>
      <w:tr>
        <w:trPr>
          <w:trHeight w:val="253"/>
        </w:trPr>
        <w:tc>
          <w:tcPr>
            <w:tcW w:w="5520" w:type="dxa"/>
            <w:vAlign w:val="bottom"/>
            <w:tcBorders>
              <w:top w:val="single" w:sz="8" w:color="auto"/>
              <w:left w:val="single" w:sz="8" w:color="auto"/>
              <w:bottom w:val="single" w:sz="8" w:color="auto"/>
              <w:right w:val="single" w:sz="8" w:color="auto"/>
            </w:tcBorders>
            <w:shd w:val="clear" w:color="auto" w:fill="1A6DBB"/>
          </w:tcPr>
          <w:p>
            <w:pPr>
              <w:ind w:left="2540"/>
              <w:spacing w:after="0"/>
              <w:rPr>
                <w:sz w:val="20"/>
                <w:szCs w:val="20"/>
                <w:color w:val="auto"/>
              </w:rPr>
            </w:pPr>
            <w:r>
              <w:rPr>
                <w:rFonts w:ascii="Arial" w:cs="Arial" w:eastAsia="Arial" w:hAnsi="Arial"/>
                <w:sz w:val="14"/>
                <w:szCs w:val="14"/>
                <w:color w:val="FFFFFF"/>
              </w:rPr>
              <w:t>Additions</w:t>
            </w:r>
          </w:p>
        </w:tc>
        <w:tc>
          <w:tcPr>
            <w:tcW w:w="5500" w:type="dxa"/>
            <w:vAlign w:val="bottom"/>
            <w:tcBorders>
              <w:top w:val="single" w:sz="8" w:color="auto"/>
              <w:bottom w:val="single" w:sz="8" w:color="auto"/>
              <w:right w:val="single" w:sz="8" w:color="auto"/>
            </w:tcBorders>
            <w:shd w:val="clear" w:color="auto" w:fill="1A6DBB"/>
          </w:tcPr>
          <w:p>
            <w:pPr>
              <w:ind w:left="2440"/>
              <w:spacing w:after="0"/>
              <w:rPr>
                <w:sz w:val="20"/>
                <w:szCs w:val="20"/>
                <w:color w:val="auto"/>
              </w:rPr>
            </w:pPr>
            <w:r>
              <w:rPr>
                <w:rFonts w:ascii="Arial" w:cs="Arial" w:eastAsia="Arial" w:hAnsi="Arial"/>
                <w:sz w:val="14"/>
                <w:szCs w:val="14"/>
                <w:color w:val="FFFFFF"/>
              </w:rPr>
              <w:t>Removals</w:t>
            </w:r>
          </w:p>
        </w:tc>
      </w:tr>
      <w:tr>
        <w:trPr>
          <w:trHeight w:val="226"/>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BioMarin Pharmaceutical Inc.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Allergan plc</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Incyte Corporation</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Alexion Pharmaceuticals, Inc.</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Jazz Pharmaceuticals plc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Bausch Health Companies Inc</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Moderna, Inc.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Mylan N.V. (now Viatris).</w:t>
            </w:r>
          </w:p>
        </w:tc>
      </w:tr>
      <w:tr>
        <w:trPr>
          <w:trHeight w:val="215"/>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Seagen Inc.</w:t>
            </w:r>
          </w:p>
        </w:tc>
        <w:tc>
          <w:tcPr>
            <w:tcW w:w="5500" w:type="dxa"/>
            <w:vAlign w:val="bottom"/>
            <w:tcBorders>
              <w:right w:val="single" w:sz="8" w:color="auto"/>
            </w:tcBorders>
          </w:tcPr>
          <w:p>
            <w:pPr>
              <w:spacing w:after="0"/>
              <w:rPr>
                <w:sz w:val="18"/>
                <w:szCs w:val="18"/>
                <w:color w:val="auto"/>
              </w:rPr>
            </w:pPr>
          </w:p>
        </w:tc>
      </w:tr>
      <w:tr>
        <w:trPr>
          <w:trHeight w:val="29"/>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peer group used for our 2021 compensation decisions consisted of the biotechnology and pharmaceutical companies listed below, as we compete with companies in both of these sectors for executive talent.</w:t>
      </w:r>
    </w:p>
    <w:p>
      <w:pPr>
        <w:spacing w:after="0" w:line="177" w:lineRule="exact"/>
        <w:rPr>
          <w:sz w:val="20"/>
          <w:szCs w:val="20"/>
          <w:color w:val="auto"/>
        </w:rPr>
      </w:pPr>
    </w:p>
    <w:tbl>
      <w:tblPr>
        <w:tblLayout w:type="fixed"/>
        <w:tblInd w:w="130" w:type="dxa"/>
        <w:tblCellMar>
          <w:top w:w="0" w:type="dxa"/>
          <w:left w:w="0" w:type="dxa"/>
          <w:bottom w:w="0" w:type="dxa"/>
          <w:right w:w="0" w:type="dxa"/>
        </w:tblCellMar>
      </w:tblPr>
      <w:tr>
        <w:trPr>
          <w:trHeight w:val="253"/>
        </w:trPr>
        <w:tc>
          <w:tcPr>
            <w:tcW w:w="5520" w:type="dxa"/>
            <w:vAlign w:val="bottom"/>
            <w:tcBorders>
              <w:top w:val="single" w:sz="8" w:color="auto"/>
              <w:left w:val="single" w:sz="8" w:color="auto"/>
              <w:bottom w:val="single" w:sz="8" w:color="auto"/>
              <w:right w:val="single" w:sz="8" w:color="auto"/>
            </w:tcBorders>
            <w:shd w:val="clear" w:color="auto" w:fill="1A6DBB"/>
          </w:tcPr>
          <w:p>
            <w:pPr>
              <w:ind w:left="2160"/>
              <w:spacing w:after="0"/>
              <w:rPr>
                <w:sz w:val="20"/>
                <w:szCs w:val="20"/>
                <w:color w:val="auto"/>
              </w:rPr>
            </w:pPr>
            <w:r>
              <w:rPr>
                <w:rFonts w:ascii="Arial" w:cs="Arial" w:eastAsia="Arial" w:hAnsi="Arial"/>
                <w:sz w:val="14"/>
                <w:szCs w:val="14"/>
                <w:color w:val="FFFFFF"/>
              </w:rPr>
              <w:t>Biotechnology Peers</w:t>
            </w:r>
          </w:p>
        </w:tc>
        <w:tc>
          <w:tcPr>
            <w:tcW w:w="5500" w:type="dxa"/>
            <w:vAlign w:val="bottom"/>
            <w:tcBorders>
              <w:top w:val="single" w:sz="8" w:color="auto"/>
              <w:bottom w:val="single" w:sz="8" w:color="auto"/>
              <w:right w:val="single" w:sz="8" w:color="auto"/>
            </w:tcBorders>
            <w:shd w:val="clear" w:color="auto" w:fill="1A6DBB"/>
          </w:tcPr>
          <w:p>
            <w:pPr>
              <w:ind w:left="2060"/>
              <w:spacing w:after="0"/>
              <w:rPr>
                <w:sz w:val="20"/>
                <w:szCs w:val="20"/>
                <w:color w:val="auto"/>
              </w:rPr>
            </w:pPr>
            <w:r>
              <w:rPr>
                <w:rFonts w:ascii="Arial" w:cs="Arial" w:eastAsia="Arial" w:hAnsi="Arial"/>
                <w:sz w:val="14"/>
                <w:szCs w:val="14"/>
                <w:color w:val="FFFFFF"/>
              </w:rPr>
              <w:t>Pharmaceutical Peers</w:t>
            </w:r>
          </w:p>
        </w:tc>
      </w:tr>
      <w:tr>
        <w:trPr>
          <w:trHeight w:val="226"/>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Amgen Inc.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AbbVie Inc.</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BioMarin Pharmaceutical Inc.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Bristol-Myers Squibb Company</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Gilead Sciences Inc.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Eli Lilly and Company</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Incyte Corporation</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Jazz Pharmaceuticals plc</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Moderna, Inc.</w:t>
            </w:r>
          </w:p>
        </w:tc>
        <w:tc>
          <w:tcPr>
            <w:tcW w:w="5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Merck &amp; Co, Inc.</w:t>
            </w: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Regeneron Pharmaceuticals, Inc.</w:t>
            </w:r>
          </w:p>
        </w:tc>
        <w:tc>
          <w:tcPr>
            <w:tcW w:w="5500" w:type="dxa"/>
            <w:vAlign w:val="bottom"/>
            <w:tcBorders>
              <w:right w:val="single" w:sz="8" w:color="auto"/>
            </w:tcBorders>
          </w:tcPr>
          <w:p>
            <w:pPr>
              <w:spacing w:after="0"/>
              <w:rPr>
                <w:sz w:val="16"/>
                <w:szCs w:val="16"/>
                <w:color w:val="auto"/>
              </w:rPr>
            </w:pPr>
          </w:p>
        </w:tc>
      </w:tr>
      <w:tr>
        <w:trPr>
          <w:trHeight w:val="189"/>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Seagen Inc.</w:t>
            </w:r>
          </w:p>
        </w:tc>
        <w:tc>
          <w:tcPr>
            <w:tcW w:w="5500" w:type="dxa"/>
            <w:vAlign w:val="bottom"/>
            <w:tcBorders>
              <w:right w:val="single" w:sz="8" w:color="auto"/>
            </w:tcBorders>
          </w:tcPr>
          <w:p>
            <w:pPr>
              <w:spacing w:after="0"/>
              <w:rPr>
                <w:sz w:val="16"/>
                <w:szCs w:val="16"/>
                <w:color w:val="auto"/>
              </w:rPr>
            </w:pPr>
          </w:p>
        </w:tc>
      </w:tr>
      <w:tr>
        <w:trPr>
          <w:trHeight w:val="215"/>
        </w:trPr>
        <w:tc>
          <w:tcPr>
            <w:tcW w:w="5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Vertex Pharmaceuticals Incorporated</w:t>
            </w:r>
          </w:p>
        </w:tc>
        <w:tc>
          <w:tcPr>
            <w:tcW w:w="5500" w:type="dxa"/>
            <w:vAlign w:val="bottom"/>
            <w:tcBorders>
              <w:right w:val="single" w:sz="8" w:color="auto"/>
            </w:tcBorders>
          </w:tcPr>
          <w:p>
            <w:pPr>
              <w:spacing w:after="0"/>
              <w:rPr>
                <w:sz w:val="18"/>
                <w:szCs w:val="18"/>
                <w:color w:val="auto"/>
              </w:rPr>
            </w:pPr>
          </w:p>
        </w:tc>
      </w:tr>
      <w:tr>
        <w:trPr>
          <w:trHeight w:val="29"/>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sectPr>
          <w:pgSz w:w="11900" w:h="16838" w:orient="portrait"/>
          <w:cols w:equalWidth="0" w:num="1">
            <w:col w:w="11140"/>
          </w:cols>
          <w:pgMar w:left="320" w:top="455" w:right="439" w:bottom="1440" w:gutter="0" w:footer="0" w:header="0"/>
          <w:type w:val="continuous"/>
        </w:sectPr>
      </w:pPr>
    </w:p>
    <w:p>
      <w:pPr>
        <w:ind w:left="120"/>
        <w:spacing w:after="0" w:line="252" w:lineRule="auto"/>
        <w:rPr>
          <w:sz w:val="20"/>
          <w:szCs w:val="20"/>
          <w:color w:val="auto"/>
        </w:rPr>
      </w:pPr>
      <w:r>
        <w:rPr>
          <w:rFonts w:ascii="Arial" w:cs="Arial" w:eastAsia="Arial" w:hAnsi="Arial"/>
          <w:sz w:val="16"/>
          <w:szCs w:val="16"/>
          <w:color w:val="auto"/>
        </w:rPr>
        <w:t>For each of the companies in our peer group, when available, we analyze the company’s CD&amp;A and other data publicly filed during the prior year to identify the executives at such companies whose positions are comparable to those held by our executive officers, including our CEO. We then compile and analyze the data for each comparable position. Our competitive analysis includes the structure and design of the executive compensation programs as well as the targeted value of the compensation under these programs.</w:t>
      </w:r>
    </w:p>
    <w:p>
      <w:pPr>
        <w:spacing w:after="0" w:line="75"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 xml:space="preserve">For our executive officers, other than our CEO, we may supplement the data from our peer group with published compensation surveys. For 2021, consistent with past years, we used the </w:t>
      </w:r>
      <w:r>
        <w:rPr>
          <w:rFonts w:ascii="Arial" w:cs="Arial" w:eastAsia="Arial" w:hAnsi="Arial"/>
          <w:sz w:val="16"/>
          <w:szCs w:val="16"/>
          <w:i w:val="1"/>
          <w:iCs w:val="1"/>
          <w:color w:val="auto"/>
        </w:rPr>
        <w:t>Willis Towers Watson</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43 </w:t>
      </w:r>
      <w:r>
        <w:rPr>
          <w:sz w:val="1"/>
          <w:szCs w:val="1"/>
          <w:color w:val="auto"/>
        </w:rPr>
        <w:drawing>
          <wp:inline distT="0" distB="0" distL="0" distR="0">
            <wp:extent cx="38735" cy="19685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6"/>
          <w:szCs w:val="16"/>
          <w:i w:val="1"/>
          <w:iCs w:val="1"/>
          <w:color w:val="auto"/>
        </w:rPr>
        <w:t xml:space="preserve">and Health Sciences Executive Compensation </w:t>
      </w:r>
      <w:r>
        <w:rPr>
          <w:rFonts w:ascii="Arial" w:cs="Arial" w:eastAsia="Arial" w:hAnsi="Arial"/>
          <w:sz w:val="16"/>
          <w:szCs w:val="16"/>
          <w:color w:val="auto"/>
        </w:rPr>
        <w:t>survey (which we refer to as</w:t>
      </w:r>
      <w:r>
        <w:rPr>
          <w:rFonts w:ascii="Arial" w:cs="Arial" w:eastAsia="Arial" w:hAnsi="Arial"/>
          <w:sz w:val="16"/>
          <w:szCs w:val="16"/>
          <w:i w:val="1"/>
          <w:iCs w:val="1"/>
          <w:color w:val="auto"/>
        </w:rPr>
        <w:t xml:space="preserve"> </w:t>
      </w:r>
      <w:r>
        <w:rPr>
          <w:rFonts w:ascii="Arial" w:cs="Arial" w:eastAsia="Arial" w:hAnsi="Arial"/>
          <w:sz w:val="16"/>
          <w:szCs w:val="16"/>
          <w:color w:val="auto"/>
        </w:rPr>
        <w:t>the Willis Towers Watson survey). We chose the Willis Towers Watson survey because of the number of companies in our peer group that participate in it, the number of positions reported by the survey that continue to be comparable to our executive positions and the high standards under which we understand the survey is conducted (including data collection and analysis methodologies). All of the companies in our peer group are represented in a special cross-section of the Willis Towers Watson survey focused on our peer group other than BioMarin Pharmaceutical Inc., Incyte Corporation, Jazz Pharmaceuticals plc, Regeneron Pharmaceuticals, Inc. and Seagen Inc., none of which participated in the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340360</wp:posOffset>
            </wp:positionV>
            <wp:extent cx="102870" cy="939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80" w:space="360"/>
            <w:col w:w="5400"/>
          </w:cols>
          <w:pgMar w:left="320" w:top="455"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Compensation Elements</w:t>
      </w:r>
    </w:p>
    <w:p>
      <w:pPr>
        <w:spacing w:after="0" w:line="108"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Our C&amp;MD Committee determines the elements of compensation we provide to our executive officers. The elements of our executive compensation programs and their objectives are as follows: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20" w:type="dxa"/>
            <w:vAlign w:val="bottom"/>
            <w:shd w:val="clear" w:color="auto" w:fill="1A6DBB"/>
          </w:tcPr>
          <w:p>
            <w:pPr>
              <w:ind w:left="260"/>
              <w:spacing w:after="0"/>
              <w:rPr>
                <w:sz w:val="20"/>
                <w:szCs w:val="20"/>
                <w:color w:val="auto"/>
              </w:rPr>
            </w:pPr>
            <w:r>
              <w:rPr>
                <w:rFonts w:ascii="Arial" w:cs="Arial" w:eastAsia="Arial" w:hAnsi="Arial"/>
                <w:sz w:val="14"/>
                <w:szCs w:val="14"/>
                <w:color w:val="FFFFFF"/>
              </w:rPr>
              <w:t>Element</w:t>
            </w:r>
          </w:p>
        </w:tc>
        <w:tc>
          <w:tcPr>
            <w:tcW w:w="80" w:type="dxa"/>
            <w:vAlign w:val="bottom"/>
            <w:shd w:val="clear" w:color="auto" w:fill="1A6DBB"/>
          </w:tcPr>
          <w:p>
            <w:pPr>
              <w:spacing w:after="0"/>
              <w:rPr>
                <w:sz w:val="17"/>
                <w:szCs w:val="17"/>
                <w:color w:val="auto"/>
              </w:rPr>
            </w:pPr>
          </w:p>
        </w:tc>
        <w:tc>
          <w:tcPr>
            <w:tcW w:w="4280" w:type="dxa"/>
            <w:vAlign w:val="bottom"/>
            <w:shd w:val="clear" w:color="auto" w:fill="1A6DBB"/>
          </w:tcPr>
          <w:p>
            <w:pPr>
              <w:ind w:left="1800"/>
              <w:spacing w:after="0"/>
              <w:rPr>
                <w:sz w:val="20"/>
                <w:szCs w:val="20"/>
                <w:color w:val="auto"/>
              </w:rPr>
            </w:pPr>
            <w:r>
              <w:rPr>
                <w:rFonts w:ascii="Arial" w:cs="Arial" w:eastAsia="Arial" w:hAnsi="Arial"/>
                <w:sz w:val="14"/>
                <w:szCs w:val="14"/>
                <w:color w:val="FFFFFF"/>
              </w:rPr>
              <w:t>Objective(s)</w:t>
            </w:r>
          </w:p>
        </w:tc>
        <w:tc>
          <w:tcPr>
            <w:tcW w:w="0" w:type="dxa"/>
            <w:vAlign w:val="bottom"/>
          </w:tcPr>
          <w:p>
            <w:pPr>
              <w:spacing w:after="0"/>
              <w:rPr>
                <w:sz w:val="1"/>
                <w:szCs w:val="1"/>
                <w:color w:val="auto"/>
              </w:rPr>
            </w:pPr>
          </w:p>
        </w:tc>
      </w:tr>
      <w:tr>
        <w:trPr>
          <w:trHeight w:val="175"/>
        </w:trPr>
        <w:tc>
          <w:tcPr>
            <w:tcW w:w="920" w:type="dxa"/>
            <w:vAlign w:val="bottom"/>
            <w:shd w:val="clear" w:color="auto" w:fill="E8F0F8"/>
          </w:tcPr>
          <w:p>
            <w:pPr>
              <w:ind w:left="100"/>
              <w:spacing w:after="0" w:line="175" w:lineRule="exact"/>
              <w:rPr>
                <w:sz w:val="20"/>
                <w:szCs w:val="20"/>
                <w:color w:val="auto"/>
              </w:rPr>
            </w:pPr>
            <w:r>
              <w:rPr>
                <w:rFonts w:ascii="Arial" w:cs="Arial" w:eastAsia="Arial" w:hAnsi="Arial"/>
                <w:sz w:val="16"/>
                <w:szCs w:val="16"/>
                <w:color w:val="auto"/>
              </w:rPr>
              <w:t>Base</w:t>
            </w:r>
          </w:p>
        </w:tc>
        <w:tc>
          <w:tcPr>
            <w:tcW w:w="4360" w:type="dxa"/>
            <w:vAlign w:val="bottom"/>
            <w:gridSpan w:val="2"/>
            <w:shd w:val="clear" w:color="auto" w:fill="E8F0F8"/>
          </w:tcPr>
          <w:p>
            <w:pPr>
              <w:ind w:left="20"/>
              <w:spacing w:after="0" w:line="175" w:lineRule="exact"/>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Provides a fixed level of compensation that is</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Salary</w:t>
            </w: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competitive with the external market and reflects each</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executive’s contributions, experience, skills,</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responsibilities and potential to contribute to our future</w:t>
            </w:r>
          </w:p>
        </w:tc>
        <w:tc>
          <w:tcPr>
            <w:tcW w:w="0" w:type="dxa"/>
            <w:vAlign w:val="bottom"/>
          </w:tcPr>
          <w:p>
            <w:pPr>
              <w:spacing w:after="0"/>
              <w:rPr>
                <w:sz w:val="1"/>
                <w:szCs w:val="1"/>
                <w:color w:val="auto"/>
              </w:rPr>
            </w:pPr>
          </w:p>
        </w:tc>
      </w:tr>
      <w:tr>
        <w:trPr>
          <w:trHeight w:val="215"/>
        </w:trPr>
        <w:tc>
          <w:tcPr>
            <w:tcW w:w="920" w:type="dxa"/>
            <w:vAlign w:val="bottom"/>
            <w:shd w:val="clear" w:color="auto" w:fill="E8F0F8"/>
          </w:tcPr>
          <w:p>
            <w:pPr>
              <w:spacing w:after="0"/>
              <w:rPr>
                <w:sz w:val="18"/>
                <w:szCs w:val="18"/>
                <w:color w:val="auto"/>
              </w:rPr>
            </w:pPr>
          </w:p>
        </w:tc>
        <w:tc>
          <w:tcPr>
            <w:tcW w:w="80" w:type="dxa"/>
            <w:vAlign w:val="bottom"/>
            <w:shd w:val="clear" w:color="auto" w:fill="E8F0F8"/>
          </w:tcPr>
          <w:p>
            <w:pPr>
              <w:spacing w:after="0"/>
              <w:rPr>
                <w:sz w:val="18"/>
                <w:szCs w:val="18"/>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success.</w:t>
            </w:r>
          </w:p>
        </w:tc>
        <w:tc>
          <w:tcPr>
            <w:tcW w:w="0" w:type="dxa"/>
            <w:vAlign w:val="bottom"/>
          </w:tcPr>
          <w:p>
            <w:pPr>
              <w:spacing w:after="0"/>
              <w:rPr>
                <w:sz w:val="1"/>
                <w:szCs w:val="1"/>
                <w:color w:val="auto"/>
              </w:rPr>
            </w:pPr>
          </w:p>
        </w:tc>
      </w:tr>
      <w:tr>
        <w:trPr>
          <w:trHeight w:val="69"/>
        </w:trPr>
        <w:tc>
          <w:tcPr>
            <w:tcW w:w="920" w:type="dxa"/>
            <w:vAlign w:val="bottom"/>
            <w:shd w:val="clear" w:color="auto" w:fill="E8F0F8"/>
          </w:tcPr>
          <w:p>
            <w:pPr>
              <w:spacing w:after="0"/>
              <w:rPr>
                <w:sz w:val="6"/>
                <w:szCs w:val="6"/>
                <w:color w:val="auto"/>
              </w:rPr>
            </w:pPr>
          </w:p>
        </w:tc>
        <w:tc>
          <w:tcPr>
            <w:tcW w:w="80" w:type="dxa"/>
            <w:vAlign w:val="bottom"/>
            <w:shd w:val="clear" w:color="auto" w:fill="E8F0F8"/>
          </w:tcPr>
          <w:p>
            <w:pPr>
              <w:spacing w:after="0"/>
              <w:rPr>
                <w:sz w:val="6"/>
                <w:szCs w:val="6"/>
                <w:color w:val="auto"/>
              </w:rPr>
            </w:pPr>
          </w:p>
        </w:tc>
        <w:tc>
          <w:tcPr>
            <w:tcW w:w="4280" w:type="dxa"/>
            <w:vAlign w:val="bottom"/>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BAD3EA"/>
          </w:tcPr>
          <w:p>
            <w:pPr>
              <w:ind w:left="80"/>
              <w:spacing w:after="0" w:line="175" w:lineRule="exact"/>
              <w:rPr>
                <w:sz w:val="20"/>
                <w:szCs w:val="20"/>
                <w:color w:val="auto"/>
              </w:rPr>
            </w:pPr>
            <w:r>
              <w:rPr>
                <w:rFonts w:ascii="Arial" w:cs="Arial" w:eastAsia="Arial" w:hAnsi="Arial"/>
                <w:sz w:val="16"/>
                <w:szCs w:val="16"/>
                <w:color w:val="auto"/>
              </w:rPr>
              <w:t>Annual</w:t>
            </w:r>
          </w:p>
        </w:tc>
        <w:tc>
          <w:tcPr>
            <w:tcW w:w="4360" w:type="dxa"/>
            <w:vAlign w:val="bottom"/>
            <w:gridSpan w:val="2"/>
            <w:shd w:val="clear" w:color="auto" w:fill="BAD3EA"/>
          </w:tcPr>
          <w:p>
            <w:pPr>
              <w:ind w:left="20"/>
              <w:spacing w:after="0" w:line="175" w:lineRule="exact"/>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Aligns short-term compensation with the annual goals</w:t>
            </w: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Bonus</w:t>
            </w:r>
          </w:p>
        </w:tc>
        <w:tc>
          <w:tcPr>
            <w:tcW w:w="80" w:type="dxa"/>
            <w:vAlign w:val="bottom"/>
            <w:shd w:val="clear" w:color="auto" w:fill="BAD3EA"/>
          </w:tcPr>
          <w:p>
            <w:pPr>
              <w:spacing w:after="0"/>
              <w:rPr>
                <w:sz w:val="16"/>
                <w:szCs w:val="16"/>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of the Company.</w:t>
            </w:r>
          </w:p>
        </w:tc>
        <w:tc>
          <w:tcPr>
            <w:tcW w:w="0" w:type="dxa"/>
            <w:vAlign w:val="bottom"/>
          </w:tcPr>
          <w:p>
            <w:pPr>
              <w:spacing w:after="0"/>
              <w:rPr>
                <w:sz w:val="1"/>
                <w:szCs w:val="1"/>
                <w:color w:val="auto"/>
              </w:rPr>
            </w:pPr>
          </w:p>
        </w:tc>
      </w:tr>
      <w:tr>
        <w:trPr>
          <w:trHeight w:val="215"/>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Plan</w:t>
            </w:r>
          </w:p>
        </w:tc>
        <w:tc>
          <w:tcPr>
            <w:tcW w:w="4360" w:type="dxa"/>
            <w:vAlign w:val="bottom"/>
            <w:gridSpan w:val="2"/>
            <w:vMerge w:val="restart"/>
            <w:shd w:val="clear" w:color="auto" w:fill="BAD3EA"/>
          </w:tcPr>
          <w:p>
            <w:pPr>
              <w:ind w:left="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Motivates and rewards the achievement of annual</w:t>
            </w:r>
          </w:p>
        </w:tc>
        <w:tc>
          <w:tcPr>
            <w:tcW w:w="0" w:type="dxa"/>
            <w:vAlign w:val="bottom"/>
          </w:tcPr>
          <w:p>
            <w:pPr>
              <w:spacing w:after="0"/>
              <w:rPr>
                <w:sz w:val="1"/>
                <w:szCs w:val="1"/>
                <w:color w:val="auto"/>
              </w:rPr>
            </w:pPr>
          </w:p>
        </w:tc>
      </w:tr>
      <w:tr>
        <w:trPr>
          <w:trHeight w:val="69"/>
        </w:trPr>
        <w:tc>
          <w:tcPr>
            <w:tcW w:w="920" w:type="dxa"/>
            <w:vAlign w:val="bottom"/>
            <w:shd w:val="clear" w:color="auto" w:fill="BAD3EA"/>
          </w:tcPr>
          <w:p>
            <w:pPr>
              <w:spacing w:after="0"/>
              <w:rPr>
                <w:sz w:val="5"/>
                <w:szCs w:val="5"/>
                <w:color w:val="auto"/>
              </w:rPr>
            </w:pPr>
          </w:p>
        </w:tc>
        <w:tc>
          <w:tcPr>
            <w:tcW w:w="4360" w:type="dxa"/>
            <w:vAlign w:val="bottom"/>
            <w:gridSpan w:val="2"/>
            <w:vMerge w:val="continue"/>
            <w:shd w:val="clear" w:color="auto" w:fill="BAD3EA"/>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Company and individual performance goals that</w:t>
            </w:r>
          </w:p>
        </w:tc>
        <w:tc>
          <w:tcPr>
            <w:tcW w:w="0" w:type="dxa"/>
            <w:vAlign w:val="bottom"/>
          </w:tcPr>
          <w:p>
            <w:pPr>
              <w:spacing w:after="0"/>
              <w:rPr>
                <w:sz w:val="1"/>
                <w:szCs w:val="1"/>
                <w:color w:val="auto"/>
              </w:rPr>
            </w:pPr>
          </w:p>
        </w:tc>
      </w:tr>
      <w:tr>
        <w:trPr>
          <w:trHeight w:val="215"/>
        </w:trPr>
        <w:tc>
          <w:tcPr>
            <w:tcW w:w="920" w:type="dxa"/>
            <w:vAlign w:val="bottom"/>
            <w:shd w:val="clear" w:color="auto" w:fill="BAD3EA"/>
          </w:tcPr>
          <w:p>
            <w:pPr>
              <w:spacing w:after="0"/>
              <w:rPr>
                <w:sz w:val="18"/>
                <w:szCs w:val="18"/>
                <w:color w:val="auto"/>
              </w:rPr>
            </w:pPr>
          </w:p>
        </w:tc>
        <w:tc>
          <w:tcPr>
            <w:tcW w:w="80" w:type="dxa"/>
            <w:vAlign w:val="bottom"/>
            <w:shd w:val="clear" w:color="auto" w:fill="BAD3EA"/>
          </w:tcPr>
          <w:p>
            <w:pPr>
              <w:spacing w:after="0"/>
              <w:rPr>
                <w:sz w:val="18"/>
                <w:szCs w:val="18"/>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support short- and long-term value creation.</w:t>
            </w:r>
          </w:p>
        </w:tc>
        <w:tc>
          <w:tcPr>
            <w:tcW w:w="0" w:type="dxa"/>
            <w:vAlign w:val="bottom"/>
          </w:tcPr>
          <w:p>
            <w:pPr>
              <w:spacing w:after="0"/>
              <w:rPr>
                <w:sz w:val="1"/>
                <w:szCs w:val="1"/>
                <w:color w:val="auto"/>
              </w:rPr>
            </w:pPr>
          </w:p>
        </w:tc>
      </w:tr>
      <w:tr>
        <w:trPr>
          <w:trHeight w:val="83"/>
        </w:trPr>
        <w:tc>
          <w:tcPr>
            <w:tcW w:w="920" w:type="dxa"/>
            <w:vAlign w:val="bottom"/>
            <w:shd w:val="clear" w:color="auto" w:fill="BAD3EA"/>
          </w:tcPr>
          <w:p>
            <w:pPr>
              <w:spacing w:after="0"/>
              <w:rPr>
                <w:sz w:val="7"/>
                <w:szCs w:val="7"/>
                <w:color w:val="auto"/>
              </w:rPr>
            </w:pPr>
          </w:p>
        </w:tc>
        <w:tc>
          <w:tcPr>
            <w:tcW w:w="80" w:type="dxa"/>
            <w:vAlign w:val="bottom"/>
            <w:shd w:val="clear" w:color="auto" w:fill="BAD3EA"/>
          </w:tcPr>
          <w:p>
            <w:pPr>
              <w:spacing w:after="0"/>
              <w:rPr>
                <w:sz w:val="7"/>
                <w:szCs w:val="7"/>
                <w:color w:val="auto"/>
              </w:rPr>
            </w:pPr>
          </w:p>
        </w:tc>
        <w:tc>
          <w:tcPr>
            <w:tcW w:w="4280" w:type="dxa"/>
            <w:vAlign w:val="bottom"/>
            <w:shd w:val="clear" w:color="auto" w:fill="BAD3EA"/>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E8F0F8"/>
          </w:tcPr>
          <w:p>
            <w:pPr>
              <w:ind w:left="80"/>
              <w:spacing w:after="0" w:line="175" w:lineRule="exact"/>
              <w:rPr>
                <w:sz w:val="20"/>
                <w:szCs w:val="20"/>
                <w:color w:val="auto"/>
              </w:rPr>
            </w:pPr>
            <w:r>
              <w:rPr>
                <w:rFonts w:ascii="Arial" w:cs="Arial" w:eastAsia="Arial" w:hAnsi="Arial"/>
                <w:sz w:val="16"/>
                <w:szCs w:val="16"/>
                <w:color w:val="auto"/>
              </w:rPr>
              <w:t>Long-term</w:t>
            </w:r>
          </w:p>
        </w:tc>
        <w:tc>
          <w:tcPr>
            <w:tcW w:w="4360" w:type="dxa"/>
            <w:vAlign w:val="bottom"/>
            <w:gridSpan w:val="2"/>
            <w:shd w:val="clear" w:color="auto" w:fill="E8F0F8"/>
          </w:tcPr>
          <w:p>
            <w:pPr>
              <w:ind w:left="20"/>
              <w:spacing w:after="0" w:line="175" w:lineRule="exact"/>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Aligns executives’ interests with the long-term interests</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ind w:left="80"/>
              <w:spacing w:after="0"/>
              <w:rPr>
                <w:sz w:val="20"/>
                <w:szCs w:val="20"/>
                <w:color w:val="auto"/>
              </w:rPr>
            </w:pPr>
            <w:r>
              <w:rPr>
                <w:rFonts w:ascii="Arial" w:cs="Arial" w:eastAsia="Arial" w:hAnsi="Arial"/>
                <w:sz w:val="16"/>
                <w:szCs w:val="16"/>
                <w:color w:val="auto"/>
              </w:rPr>
              <w:t>Incentives</w:t>
            </w: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of our stockholders by linking the value of awards to</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increases in our stock price and the achievement of</w:t>
            </w:r>
          </w:p>
        </w:tc>
        <w:tc>
          <w:tcPr>
            <w:tcW w:w="0" w:type="dxa"/>
            <w:vAlign w:val="bottom"/>
          </w:tcPr>
          <w:p>
            <w:pPr>
              <w:spacing w:after="0"/>
              <w:rPr>
                <w:sz w:val="1"/>
                <w:szCs w:val="1"/>
                <w:color w:val="auto"/>
              </w:rPr>
            </w:pPr>
          </w:p>
        </w:tc>
      </w:tr>
      <w:tr>
        <w:trPr>
          <w:trHeight w:val="215"/>
        </w:trPr>
        <w:tc>
          <w:tcPr>
            <w:tcW w:w="920" w:type="dxa"/>
            <w:vAlign w:val="bottom"/>
            <w:shd w:val="clear" w:color="auto" w:fill="E8F0F8"/>
          </w:tcPr>
          <w:p>
            <w:pPr>
              <w:spacing w:after="0"/>
              <w:rPr>
                <w:sz w:val="18"/>
                <w:szCs w:val="18"/>
                <w:color w:val="auto"/>
              </w:rPr>
            </w:pPr>
          </w:p>
        </w:tc>
        <w:tc>
          <w:tcPr>
            <w:tcW w:w="80" w:type="dxa"/>
            <w:vAlign w:val="bottom"/>
            <w:shd w:val="clear" w:color="auto" w:fill="E8F0F8"/>
          </w:tcPr>
          <w:p>
            <w:pPr>
              <w:spacing w:after="0"/>
              <w:rPr>
                <w:sz w:val="18"/>
                <w:szCs w:val="18"/>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other key performance goals.</w:t>
            </w:r>
          </w:p>
        </w:tc>
        <w:tc>
          <w:tcPr>
            <w:tcW w:w="0" w:type="dxa"/>
            <w:vAlign w:val="bottom"/>
          </w:tcPr>
          <w:p>
            <w:pPr>
              <w:spacing w:after="0"/>
              <w:rPr>
                <w:sz w:val="1"/>
                <w:szCs w:val="1"/>
                <w:color w:val="auto"/>
              </w:rPr>
            </w:pPr>
          </w:p>
        </w:tc>
      </w:tr>
      <w:tr>
        <w:trPr>
          <w:trHeight w:val="258"/>
        </w:trPr>
        <w:tc>
          <w:tcPr>
            <w:tcW w:w="920" w:type="dxa"/>
            <w:vAlign w:val="bottom"/>
            <w:shd w:val="clear" w:color="auto" w:fill="E8F0F8"/>
          </w:tcPr>
          <w:p>
            <w:pPr>
              <w:spacing w:after="0"/>
              <w:rPr>
                <w:sz w:val="22"/>
                <w:szCs w:val="22"/>
                <w:color w:val="auto"/>
              </w:rPr>
            </w:pPr>
          </w:p>
        </w:tc>
        <w:tc>
          <w:tcPr>
            <w:tcW w:w="4360" w:type="dxa"/>
            <w:vAlign w:val="bottom"/>
            <w:gridSpan w:val="2"/>
            <w:shd w:val="clear" w:color="auto" w:fill="E8F0F8"/>
          </w:tcPr>
          <w:p>
            <w:pPr>
              <w:ind w:left="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Motivates and rewards the achievement of stock price</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growth and pre-established Company performance</w:t>
            </w:r>
          </w:p>
        </w:tc>
        <w:tc>
          <w:tcPr>
            <w:tcW w:w="0" w:type="dxa"/>
            <w:vAlign w:val="bottom"/>
          </w:tcPr>
          <w:p>
            <w:pPr>
              <w:spacing w:after="0"/>
              <w:rPr>
                <w:sz w:val="1"/>
                <w:szCs w:val="1"/>
                <w:color w:val="auto"/>
              </w:rPr>
            </w:pPr>
          </w:p>
        </w:tc>
      </w:tr>
      <w:tr>
        <w:trPr>
          <w:trHeight w:val="215"/>
        </w:trPr>
        <w:tc>
          <w:tcPr>
            <w:tcW w:w="920" w:type="dxa"/>
            <w:vAlign w:val="bottom"/>
            <w:shd w:val="clear" w:color="auto" w:fill="E8F0F8"/>
          </w:tcPr>
          <w:p>
            <w:pPr>
              <w:spacing w:after="0"/>
              <w:rPr>
                <w:sz w:val="18"/>
                <w:szCs w:val="18"/>
                <w:color w:val="auto"/>
              </w:rPr>
            </w:pPr>
          </w:p>
        </w:tc>
        <w:tc>
          <w:tcPr>
            <w:tcW w:w="80" w:type="dxa"/>
            <w:vAlign w:val="bottom"/>
            <w:shd w:val="clear" w:color="auto" w:fill="E8F0F8"/>
          </w:tcPr>
          <w:p>
            <w:pPr>
              <w:spacing w:after="0"/>
              <w:rPr>
                <w:sz w:val="18"/>
                <w:szCs w:val="18"/>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goals, including those with a longer-term focus.</w:t>
            </w:r>
          </w:p>
        </w:tc>
        <w:tc>
          <w:tcPr>
            <w:tcW w:w="0" w:type="dxa"/>
            <w:vAlign w:val="bottom"/>
          </w:tcPr>
          <w:p>
            <w:pPr>
              <w:spacing w:after="0"/>
              <w:rPr>
                <w:sz w:val="1"/>
                <w:szCs w:val="1"/>
                <w:color w:val="auto"/>
              </w:rPr>
            </w:pPr>
          </w:p>
        </w:tc>
      </w:tr>
      <w:tr>
        <w:trPr>
          <w:trHeight w:val="258"/>
        </w:trPr>
        <w:tc>
          <w:tcPr>
            <w:tcW w:w="920" w:type="dxa"/>
            <w:vAlign w:val="bottom"/>
            <w:shd w:val="clear" w:color="auto" w:fill="E8F0F8"/>
          </w:tcPr>
          <w:p>
            <w:pPr>
              <w:spacing w:after="0"/>
              <w:rPr>
                <w:sz w:val="22"/>
                <w:szCs w:val="22"/>
                <w:color w:val="auto"/>
              </w:rPr>
            </w:pPr>
          </w:p>
        </w:tc>
        <w:tc>
          <w:tcPr>
            <w:tcW w:w="80" w:type="dxa"/>
            <w:vAlign w:val="bottom"/>
            <w:shd w:val="clear" w:color="auto" w:fill="E8F0F8"/>
          </w:tcPr>
          <w:p>
            <w:pPr>
              <w:ind w:left="20"/>
              <w:spacing w:after="0"/>
              <w:rPr>
                <w:sz w:val="20"/>
                <w:szCs w:val="20"/>
                <w:color w:val="auto"/>
              </w:rPr>
            </w:pPr>
            <w:r>
              <w:rPr>
                <w:rFonts w:ascii="Arial" w:cs="Arial" w:eastAsia="Arial" w:hAnsi="Arial"/>
                <w:sz w:val="16"/>
                <w:szCs w:val="16"/>
                <w:color w:val="1A6DBB"/>
                <w:w w:val="70"/>
              </w:rPr>
              <w:t>•</w:t>
            </w: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Promotes executive retention and stock ownership and</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focuses executives on enhancing long-term</w:t>
            </w:r>
          </w:p>
        </w:tc>
        <w:tc>
          <w:tcPr>
            <w:tcW w:w="0" w:type="dxa"/>
            <w:vAlign w:val="bottom"/>
          </w:tcPr>
          <w:p>
            <w:pPr>
              <w:spacing w:after="0"/>
              <w:rPr>
                <w:sz w:val="1"/>
                <w:szCs w:val="1"/>
                <w:color w:val="auto"/>
              </w:rPr>
            </w:pPr>
          </w:p>
        </w:tc>
      </w:tr>
      <w:tr>
        <w:trPr>
          <w:trHeight w:val="215"/>
        </w:trPr>
        <w:tc>
          <w:tcPr>
            <w:tcW w:w="920" w:type="dxa"/>
            <w:vAlign w:val="bottom"/>
            <w:shd w:val="clear" w:color="auto" w:fill="E8F0F8"/>
          </w:tcPr>
          <w:p>
            <w:pPr>
              <w:spacing w:after="0"/>
              <w:rPr>
                <w:sz w:val="18"/>
                <w:szCs w:val="18"/>
                <w:color w:val="auto"/>
              </w:rPr>
            </w:pPr>
          </w:p>
        </w:tc>
        <w:tc>
          <w:tcPr>
            <w:tcW w:w="80" w:type="dxa"/>
            <w:vAlign w:val="bottom"/>
            <w:shd w:val="clear" w:color="auto" w:fill="E8F0F8"/>
          </w:tcPr>
          <w:p>
            <w:pPr>
              <w:spacing w:after="0"/>
              <w:rPr>
                <w:sz w:val="18"/>
                <w:szCs w:val="18"/>
                <w:color w:val="auto"/>
              </w:rPr>
            </w:pPr>
          </w:p>
        </w:tc>
        <w:tc>
          <w:tcPr>
            <w:tcW w:w="4280" w:type="dxa"/>
            <w:vAlign w:val="bottom"/>
            <w:shd w:val="clear" w:color="auto" w:fill="E8F0F8"/>
          </w:tcPr>
          <w:p>
            <w:pPr>
              <w:ind w:left="200"/>
              <w:spacing w:after="0"/>
              <w:rPr>
                <w:sz w:val="20"/>
                <w:szCs w:val="20"/>
                <w:color w:val="auto"/>
              </w:rPr>
            </w:pPr>
            <w:r>
              <w:rPr>
                <w:rFonts w:ascii="Arial" w:cs="Arial" w:eastAsia="Arial" w:hAnsi="Arial"/>
                <w:sz w:val="16"/>
                <w:szCs w:val="16"/>
                <w:color w:val="auto"/>
              </w:rPr>
              <w:t>stockholder value.</w:t>
            </w:r>
          </w:p>
        </w:tc>
        <w:tc>
          <w:tcPr>
            <w:tcW w:w="0" w:type="dxa"/>
            <w:vAlign w:val="bottom"/>
          </w:tcPr>
          <w:p>
            <w:pPr>
              <w:spacing w:after="0"/>
              <w:rPr>
                <w:sz w:val="1"/>
                <w:szCs w:val="1"/>
                <w:color w:val="auto"/>
              </w:rPr>
            </w:pPr>
          </w:p>
        </w:tc>
      </w:tr>
      <w:tr>
        <w:trPr>
          <w:trHeight w:val="83"/>
        </w:trPr>
        <w:tc>
          <w:tcPr>
            <w:tcW w:w="920" w:type="dxa"/>
            <w:vAlign w:val="bottom"/>
            <w:shd w:val="clear" w:color="auto" w:fill="E8F0F8"/>
          </w:tcPr>
          <w:p>
            <w:pPr>
              <w:spacing w:after="0"/>
              <w:rPr>
                <w:sz w:val="7"/>
                <w:szCs w:val="7"/>
                <w:color w:val="auto"/>
              </w:rPr>
            </w:pPr>
          </w:p>
        </w:tc>
        <w:tc>
          <w:tcPr>
            <w:tcW w:w="80" w:type="dxa"/>
            <w:vAlign w:val="bottom"/>
            <w:shd w:val="clear" w:color="auto" w:fill="E8F0F8"/>
          </w:tcPr>
          <w:p>
            <w:pPr>
              <w:spacing w:after="0"/>
              <w:rPr>
                <w:sz w:val="7"/>
                <w:szCs w:val="7"/>
                <w:color w:val="auto"/>
              </w:rPr>
            </w:pPr>
          </w:p>
        </w:tc>
        <w:tc>
          <w:tcPr>
            <w:tcW w:w="4280" w:type="dxa"/>
            <w:vAlign w:val="bottom"/>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Benefits</w:t>
            </w:r>
          </w:p>
        </w:tc>
        <w:tc>
          <w:tcPr>
            <w:tcW w:w="80" w:type="dxa"/>
            <w:vAlign w:val="bottom"/>
            <w:shd w:val="clear" w:color="auto" w:fill="BAD3EA"/>
          </w:tcPr>
          <w:p>
            <w:pPr>
              <w:ind w:left="20"/>
              <w:spacing w:after="0"/>
              <w:rPr>
                <w:sz w:val="20"/>
                <w:szCs w:val="20"/>
                <w:color w:val="auto"/>
              </w:rPr>
            </w:pPr>
            <w:r>
              <w:rPr>
                <w:rFonts w:ascii="Arial" w:cs="Arial" w:eastAsia="Arial" w:hAnsi="Arial"/>
                <w:sz w:val="16"/>
                <w:szCs w:val="16"/>
                <w:color w:val="1A6DBB"/>
                <w:w w:val="70"/>
              </w:rPr>
              <w:t>•</w:t>
            </w: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Promotes health and wellness.</w:t>
            </w:r>
          </w:p>
        </w:tc>
        <w:tc>
          <w:tcPr>
            <w:tcW w:w="0" w:type="dxa"/>
            <w:vAlign w:val="bottom"/>
          </w:tcPr>
          <w:p>
            <w:pPr>
              <w:spacing w:after="0"/>
              <w:rPr>
                <w:sz w:val="1"/>
                <w:szCs w:val="1"/>
                <w:color w:val="auto"/>
              </w:rPr>
            </w:pPr>
          </w:p>
        </w:tc>
      </w:tr>
      <w:tr>
        <w:trPr>
          <w:trHeight w:val="284"/>
        </w:trPr>
        <w:tc>
          <w:tcPr>
            <w:tcW w:w="920" w:type="dxa"/>
            <w:vAlign w:val="bottom"/>
            <w:shd w:val="clear" w:color="auto" w:fill="BAD3EA"/>
          </w:tcPr>
          <w:p>
            <w:pPr>
              <w:spacing w:after="0"/>
              <w:rPr>
                <w:sz w:val="24"/>
                <w:szCs w:val="24"/>
                <w:color w:val="auto"/>
              </w:rPr>
            </w:pPr>
          </w:p>
        </w:tc>
        <w:tc>
          <w:tcPr>
            <w:tcW w:w="80" w:type="dxa"/>
            <w:vAlign w:val="bottom"/>
            <w:shd w:val="clear" w:color="auto" w:fill="BAD3EA"/>
          </w:tcPr>
          <w:p>
            <w:pPr>
              <w:ind w:left="20"/>
              <w:spacing w:after="0"/>
              <w:rPr>
                <w:sz w:val="20"/>
                <w:szCs w:val="20"/>
                <w:color w:val="auto"/>
              </w:rPr>
            </w:pPr>
            <w:r>
              <w:rPr>
                <w:rFonts w:ascii="Arial" w:cs="Arial" w:eastAsia="Arial" w:hAnsi="Arial"/>
                <w:sz w:val="16"/>
                <w:szCs w:val="16"/>
                <w:color w:val="1A6DBB"/>
                <w:w w:val="70"/>
              </w:rPr>
              <w:t>•</w:t>
            </w: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Provides financial protection in the event of disability or</w:t>
            </w:r>
          </w:p>
        </w:tc>
        <w:tc>
          <w:tcPr>
            <w:tcW w:w="0" w:type="dxa"/>
            <w:vAlign w:val="bottom"/>
          </w:tcPr>
          <w:p>
            <w:pPr>
              <w:spacing w:after="0"/>
              <w:rPr>
                <w:sz w:val="1"/>
                <w:szCs w:val="1"/>
                <w:color w:val="auto"/>
              </w:rPr>
            </w:pPr>
          </w:p>
        </w:tc>
      </w:tr>
      <w:tr>
        <w:trPr>
          <w:trHeight w:val="215"/>
        </w:trPr>
        <w:tc>
          <w:tcPr>
            <w:tcW w:w="920" w:type="dxa"/>
            <w:vAlign w:val="bottom"/>
            <w:shd w:val="clear" w:color="auto" w:fill="BAD3EA"/>
          </w:tcPr>
          <w:p>
            <w:pPr>
              <w:spacing w:after="0"/>
              <w:rPr>
                <w:sz w:val="18"/>
                <w:szCs w:val="18"/>
                <w:color w:val="auto"/>
              </w:rPr>
            </w:pPr>
          </w:p>
        </w:tc>
        <w:tc>
          <w:tcPr>
            <w:tcW w:w="80" w:type="dxa"/>
            <w:vAlign w:val="bottom"/>
            <w:shd w:val="clear" w:color="auto" w:fill="BAD3EA"/>
          </w:tcPr>
          <w:p>
            <w:pPr>
              <w:spacing w:after="0"/>
              <w:rPr>
                <w:sz w:val="18"/>
                <w:szCs w:val="18"/>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death.</w:t>
            </w:r>
          </w:p>
        </w:tc>
        <w:tc>
          <w:tcPr>
            <w:tcW w:w="0" w:type="dxa"/>
            <w:vAlign w:val="bottom"/>
          </w:tcPr>
          <w:p>
            <w:pPr>
              <w:spacing w:after="0"/>
              <w:rPr>
                <w:sz w:val="1"/>
                <w:szCs w:val="1"/>
                <w:color w:val="auto"/>
              </w:rPr>
            </w:pPr>
          </w:p>
        </w:tc>
      </w:tr>
      <w:tr>
        <w:trPr>
          <w:trHeight w:val="298"/>
        </w:trPr>
        <w:tc>
          <w:tcPr>
            <w:tcW w:w="920" w:type="dxa"/>
            <w:vAlign w:val="bottom"/>
            <w:shd w:val="clear" w:color="auto" w:fill="BAD3EA"/>
          </w:tcPr>
          <w:p>
            <w:pPr>
              <w:spacing w:after="0"/>
              <w:rPr>
                <w:sz w:val="24"/>
                <w:szCs w:val="24"/>
                <w:color w:val="auto"/>
              </w:rPr>
            </w:pPr>
          </w:p>
        </w:tc>
        <w:tc>
          <w:tcPr>
            <w:tcW w:w="80" w:type="dxa"/>
            <w:vAlign w:val="bottom"/>
            <w:shd w:val="clear" w:color="auto" w:fill="BAD3EA"/>
          </w:tcPr>
          <w:p>
            <w:pPr>
              <w:ind w:left="20"/>
              <w:spacing w:after="0"/>
              <w:rPr>
                <w:sz w:val="20"/>
                <w:szCs w:val="20"/>
                <w:color w:val="auto"/>
              </w:rPr>
            </w:pPr>
            <w:r>
              <w:rPr>
                <w:rFonts w:ascii="Arial" w:cs="Arial" w:eastAsia="Arial" w:hAnsi="Arial"/>
                <w:sz w:val="16"/>
                <w:szCs w:val="16"/>
                <w:color w:val="1A6DBB"/>
                <w:w w:val="70"/>
              </w:rPr>
              <w:t>•</w:t>
            </w: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Provides tax-beneficial ways for executives to save</w:t>
            </w: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towards their retirement and encourages savings</w:t>
            </w: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through competitive employer matches to executives’</w:t>
            </w:r>
          </w:p>
        </w:tc>
        <w:tc>
          <w:tcPr>
            <w:tcW w:w="0" w:type="dxa"/>
            <w:vAlign w:val="bottom"/>
          </w:tcPr>
          <w:p>
            <w:pPr>
              <w:spacing w:after="0"/>
              <w:rPr>
                <w:sz w:val="1"/>
                <w:szCs w:val="1"/>
                <w:color w:val="auto"/>
              </w:rPr>
            </w:pPr>
          </w:p>
        </w:tc>
      </w:tr>
      <w:tr>
        <w:trPr>
          <w:trHeight w:val="215"/>
        </w:trPr>
        <w:tc>
          <w:tcPr>
            <w:tcW w:w="920" w:type="dxa"/>
            <w:vAlign w:val="bottom"/>
            <w:shd w:val="clear" w:color="auto" w:fill="BAD3EA"/>
          </w:tcPr>
          <w:p>
            <w:pPr>
              <w:spacing w:after="0"/>
              <w:rPr>
                <w:sz w:val="18"/>
                <w:szCs w:val="18"/>
                <w:color w:val="auto"/>
              </w:rPr>
            </w:pPr>
          </w:p>
        </w:tc>
        <w:tc>
          <w:tcPr>
            <w:tcW w:w="80" w:type="dxa"/>
            <w:vAlign w:val="bottom"/>
            <w:shd w:val="clear" w:color="auto" w:fill="BAD3EA"/>
          </w:tcPr>
          <w:p>
            <w:pPr>
              <w:spacing w:after="0"/>
              <w:rPr>
                <w:sz w:val="18"/>
                <w:szCs w:val="18"/>
                <w:color w:val="auto"/>
              </w:rPr>
            </w:pPr>
          </w:p>
        </w:tc>
        <w:tc>
          <w:tcPr>
            <w:tcW w:w="4280" w:type="dxa"/>
            <w:vAlign w:val="bottom"/>
            <w:shd w:val="clear" w:color="auto" w:fill="BAD3EA"/>
          </w:tcPr>
          <w:p>
            <w:pPr>
              <w:ind w:left="200"/>
              <w:spacing w:after="0"/>
              <w:rPr>
                <w:sz w:val="20"/>
                <w:szCs w:val="20"/>
                <w:color w:val="auto"/>
              </w:rPr>
            </w:pPr>
            <w:r>
              <w:rPr>
                <w:rFonts w:ascii="Arial" w:cs="Arial" w:eastAsia="Arial" w:hAnsi="Arial"/>
                <w:sz w:val="16"/>
                <w:szCs w:val="16"/>
                <w:color w:val="auto"/>
              </w:rPr>
              <w:t>retirement savings.</w:t>
            </w:r>
          </w:p>
        </w:tc>
        <w:tc>
          <w:tcPr>
            <w:tcW w:w="0" w:type="dxa"/>
            <w:vAlign w:val="bottom"/>
          </w:tcPr>
          <w:p>
            <w:pPr>
              <w:spacing w:after="0"/>
              <w:rPr>
                <w:sz w:val="1"/>
                <w:szCs w:val="1"/>
                <w:color w:val="auto"/>
              </w:rPr>
            </w:pPr>
          </w:p>
        </w:tc>
      </w:tr>
      <w:tr>
        <w:trPr>
          <w:trHeight w:val="123"/>
        </w:trPr>
        <w:tc>
          <w:tcPr>
            <w:tcW w:w="920" w:type="dxa"/>
            <w:vAlign w:val="bottom"/>
            <w:tcBorders>
              <w:bottom w:val="single" w:sz="8" w:color="auto"/>
            </w:tcBorders>
            <w:shd w:val="clear" w:color="auto" w:fill="BAD3EA"/>
          </w:tcPr>
          <w:p>
            <w:pPr>
              <w:spacing w:after="0"/>
              <w:rPr>
                <w:sz w:val="10"/>
                <w:szCs w:val="10"/>
                <w:color w:val="auto"/>
              </w:rPr>
            </w:pPr>
          </w:p>
        </w:tc>
        <w:tc>
          <w:tcPr>
            <w:tcW w:w="80" w:type="dxa"/>
            <w:vAlign w:val="bottom"/>
            <w:tcBorders>
              <w:bottom w:val="single" w:sz="8" w:color="auto"/>
            </w:tcBorders>
            <w:shd w:val="clear" w:color="auto" w:fill="BAD3EA"/>
          </w:tcPr>
          <w:p>
            <w:pPr>
              <w:spacing w:after="0"/>
              <w:rPr>
                <w:sz w:val="10"/>
                <w:szCs w:val="10"/>
                <w:color w:val="auto"/>
              </w:rPr>
            </w:pPr>
          </w:p>
        </w:tc>
        <w:tc>
          <w:tcPr>
            <w:tcW w:w="4280" w:type="dxa"/>
            <w:vAlign w:val="bottom"/>
            <w:tcBorders>
              <w:bottom w:val="single" w:sz="8" w:color="auto"/>
            </w:tcBorders>
            <w:shd w:val="clear" w:color="auto" w:fill="BAD3EA"/>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Compensation Mix</w:t>
      </w:r>
    </w:p>
    <w:p>
      <w:pPr>
        <w:spacing w:after="0" w:line="10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C&amp;MD Committee determines the general mix of the elements of our executive compensation programs. It does not target a specific mix of value for the compensation elements within these programs in either the program design or pay decisions. Rather, our C&amp;MD Committee reviews the mix of compensation elements to ensure an appropriate level of performance-based compensation is apportioned to short-term compensation opportunities and even more to long-term compensation opportunities to ensure alignment with our business goals, performance and stockholder interests.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Additionally, our C&amp;MD Committee believes the greater the leadership responsibilities, the greater the potential impact an individual will have on Biogen’s future strategic direction. Therefore, for our executive officers, including our NEOs, a greater portion of their compensation is performance-based, with a particular emphasis on LTI awards.</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2021 compensation mix for Mr. Vounatsos and our other NEOs was highly performance-based and at-risk; approximately 91% of 2021 compensation was performance-based for Mr. Vounatsos and approximately 84% of 2021 compensation was performance-based for our other currently-employed NEOs (other than Mr. Vounatsos), assuming target level achievement of applicable Company and individual performance goals and with the grant date values of LTI awards measured assuming target performance was achieved.</w:t>
      </w:r>
    </w:p>
    <w:p>
      <w:pPr>
        <w:spacing w:after="0" w:line="2894" w:lineRule="exact"/>
        <w:rPr>
          <w:sz w:val="20"/>
          <w:szCs w:val="20"/>
          <w:color w:val="auto"/>
        </w:rPr>
      </w:pPr>
    </w:p>
    <w:p>
      <w:pPr>
        <w:sectPr>
          <w:pgSz w:w="11900" w:h="16838" w:orient="portrait"/>
          <w:cols w:equalWidth="0" w:num="2">
            <w:col w:w="5400" w:space="340"/>
            <w:col w:w="5340"/>
          </w:cols>
          <w:pgMar w:left="320" w:top="455" w:right="499" w:bottom="1440" w:gutter="0" w:footer="0" w:header="0"/>
          <w:type w:val="continuous"/>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Performance Goals and Target Setting Process</w:t>
      </w:r>
    </w:p>
    <w:p>
      <w:pPr>
        <w:spacing w:after="0" w:line="108"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Early each year, our C&amp;MD Committee reviews and establishes the pay levels of each element of total compensation for our executive officers. Total compensation is comprised of base salary, annual bonus and LTI awards.</w:t>
      </w:r>
    </w:p>
    <w:p>
      <w:pPr>
        <w:spacing w:after="0" w:line="48"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As part of this process, our C&amp;MD Committee reviews the mix of compensation elements to ensure that performance-based compensation is appropriately apportioned and aligns with our business goals and performance and the annual business plan approved by our Board of Directors. In addition, the total compensation opportunity and mix of compensation elements for our executive officers are evaluated based on qualitative factors, such as individual, strategic and leadership achievements. Our C&amp;MD Committee is aware of the risks associated with incentive compensation in general and specific factors, such as drug pricing, in particular, that may contribute to the achievement of particular performance goals. Our C&amp;MD Committee considers these risks carefully when designing our executive compensation programs and believes that the use and weighting of multiple metrics and the use of quantitative and qualitative metrics can mitigate these risks and create appropriate incentives to focus on achievement of the Company’s overall performance goals.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44 </w:t>
      </w:r>
      <w:r>
        <w:rPr>
          <w:sz w:val="1"/>
          <w:szCs w:val="1"/>
          <w:color w:val="auto"/>
        </w:rPr>
        <w:drawing>
          <wp:inline distT="0" distB="0" distL="0" distR="0">
            <wp:extent cx="38735" cy="19685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process our C&amp;MD Committee follows in setting compensation is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166370</wp:posOffset>
            </wp:positionV>
            <wp:extent cx="2074545" cy="24606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074545" cy="246062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62" w:lineRule="exact"/>
        <w:rPr>
          <w:sz w:val="20"/>
          <w:szCs w:val="20"/>
          <w:color w:val="auto"/>
        </w:rPr>
      </w:pPr>
    </w:p>
    <w:p>
      <w:pPr>
        <w:jc w:val="center"/>
        <w:ind w:left="180"/>
        <w:spacing w:after="0"/>
        <w:rPr>
          <w:sz w:val="20"/>
          <w:szCs w:val="20"/>
          <w:color w:val="auto"/>
        </w:rPr>
      </w:pPr>
      <w:r>
        <w:rPr>
          <w:sz w:val="1"/>
          <w:szCs w:val="1"/>
          <w:color w:val="auto"/>
        </w:rPr>
        <w:drawing>
          <wp:inline distT="0" distB="0" distL="0" distR="0">
            <wp:extent cx="240030" cy="24003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Target Setting</w:t>
      </w:r>
    </w:p>
    <w:p>
      <w:pPr>
        <w:spacing w:after="0" w:line="249" w:lineRule="exact"/>
        <w:rPr>
          <w:sz w:val="20"/>
          <w:szCs w:val="20"/>
          <w:color w:val="auto"/>
        </w:rPr>
      </w:pPr>
    </w:p>
    <w:p>
      <w:pPr>
        <w:ind w:left="340" w:right="40" w:hanging="214"/>
        <w:spacing w:after="0" w:line="254"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 Our C&amp;MD Committee and our CEO</w:t>
      </w:r>
      <w:r>
        <w:rPr>
          <w:rFonts w:ascii="Arial" w:cs="Arial" w:eastAsia="Arial" w:hAnsi="Arial"/>
          <w:sz w:val="16"/>
          <w:szCs w:val="16"/>
          <w:color w:val="1A6DBB"/>
        </w:rPr>
        <w:t xml:space="preserve"> </w:t>
      </w:r>
      <w:r>
        <w:rPr>
          <w:rFonts w:ascii="Arial" w:cs="Arial" w:eastAsia="Arial" w:hAnsi="Arial"/>
          <w:sz w:val="16"/>
          <w:szCs w:val="16"/>
          <w:color w:val="000000"/>
        </w:rPr>
        <w:t>discuss potential goals for the upcoming year that are tied to the short- and longer-term strategic goals of the Company as well as individual goals for our executive officers.</w:t>
      </w:r>
    </w:p>
    <w:p>
      <w:pPr>
        <w:spacing w:after="0" w:line="87" w:lineRule="exact"/>
        <w:rPr>
          <w:sz w:val="20"/>
          <w:szCs w:val="20"/>
          <w:color w:val="auto"/>
        </w:rPr>
      </w:pPr>
    </w:p>
    <w:p>
      <w:pPr>
        <w:ind w:left="340" w:right="40" w:hanging="214"/>
        <w:spacing w:after="0" w:line="251"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 The annual business plan for the year is</w:t>
      </w:r>
      <w:r>
        <w:rPr>
          <w:rFonts w:ascii="Arial" w:cs="Arial" w:eastAsia="Arial" w:hAnsi="Arial"/>
          <w:sz w:val="16"/>
          <w:szCs w:val="16"/>
          <w:color w:val="1A6DBB"/>
        </w:rPr>
        <w:t xml:space="preserve"> </w:t>
      </w:r>
      <w:r>
        <w:rPr>
          <w:rFonts w:ascii="Arial" w:cs="Arial" w:eastAsia="Arial" w:hAnsi="Arial"/>
          <w:sz w:val="16"/>
          <w:szCs w:val="16"/>
          <w:color w:val="000000"/>
        </w:rPr>
        <w:t>approved by our Board of Directors. As part of the approval process, our Board of Directors considers many factors relevant to our business, reputation and strategy, including pipeline and business development, pricing and patient access, market expectations and intellectual property risk.</w:t>
      </w:r>
    </w:p>
    <w:p>
      <w:pPr>
        <w:spacing w:after="0" w:line="91" w:lineRule="exact"/>
        <w:rPr>
          <w:sz w:val="20"/>
          <w:szCs w:val="20"/>
          <w:color w:val="auto"/>
        </w:rPr>
      </w:pPr>
    </w:p>
    <w:p>
      <w:pPr>
        <w:ind w:left="340" w:right="100" w:hanging="214"/>
        <w:spacing w:after="0" w:line="259"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 Our C&amp;MD Committee ensures that the</w:t>
      </w:r>
      <w:r>
        <w:rPr>
          <w:rFonts w:ascii="Arial" w:cs="Arial" w:eastAsia="Arial" w:hAnsi="Arial"/>
          <w:sz w:val="16"/>
          <w:szCs w:val="16"/>
          <w:color w:val="1A6DBB"/>
        </w:rPr>
        <w:t xml:space="preserve"> </w:t>
      </w:r>
      <w:r>
        <w:rPr>
          <w:rFonts w:ascii="Arial" w:cs="Arial" w:eastAsia="Arial" w:hAnsi="Arial"/>
          <w:sz w:val="16"/>
          <w:szCs w:val="16"/>
          <w:color w:val="000000"/>
        </w:rPr>
        <w:t>performance goals and targets under our compensation plans are aligned with the approved annual business plan.</w:t>
      </w:r>
    </w:p>
    <w:p>
      <w:pPr>
        <w:spacing w:after="0" w:line="83" w:lineRule="exact"/>
        <w:rPr>
          <w:sz w:val="20"/>
          <w:szCs w:val="20"/>
          <w:color w:val="auto"/>
        </w:rPr>
      </w:pPr>
    </w:p>
    <w:p>
      <w:pPr>
        <w:jc w:val="both"/>
        <w:ind w:left="340" w:right="160" w:hanging="214"/>
        <w:spacing w:after="0" w:line="26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 Payout levels for each performance goal</w:t>
      </w:r>
      <w:r>
        <w:rPr>
          <w:rFonts w:ascii="Arial" w:cs="Arial" w:eastAsia="Arial" w:hAnsi="Arial"/>
          <w:sz w:val="16"/>
          <w:szCs w:val="16"/>
          <w:color w:val="1A6DBB"/>
        </w:rPr>
        <w:t xml:space="preserve"> </w:t>
      </w:r>
      <w:r>
        <w:rPr>
          <w:rFonts w:ascii="Arial" w:cs="Arial" w:eastAsia="Arial" w:hAnsi="Arial"/>
          <w:sz w:val="16"/>
          <w:szCs w:val="16"/>
          <w:color w:val="000000"/>
        </w:rPr>
        <w:t>are recommended by management and approved by our C&amp;MD Committee.</w:t>
      </w:r>
    </w:p>
    <w:p>
      <w:pPr>
        <w:spacing w:after="0" w:line="77" w:lineRule="exact"/>
        <w:rPr>
          <w:sz w:val="20"/>
          <w:szCs w:val="20"/>
          <w:color w:val="auto"/>
        </w:rPr>
      </w:pPr>
    </w:p>
    <w:p>
      <w:pPr>
        <w:ind w:left="340" w:hanging="214"/>
        <w:spacing w:after="0" w:line="254"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 The performance goals are then applied to</w:t>
      </w:r>
      <w:r>
        <w:rPr>
          <w:rFonts w:ascii="Arial" w:cs="Arial" w:eastAsia="Arial" w:hAnsi="Arial"/>
          <w:sz w:val="16"/>
          <w:szCs w:val="16"/>
          <w:color w:val="1A6DBB"/>
        </w:rPr>
        <w:t xml:space="preserve"> </w:t>
      </w:r>
      <w:r>
        <w:rPr>
          <w:rFonts w:ascii="Arial" w:cs="Arial" w:eastAsia="Arial" w:hAnsi="Arial"/>
          <w:sz w:val="16"/>
          <w:szCs w:val="16"/>
          <w:color w:val="000000"/>
        </w:rPr>
        <w:t>the compensation opportunities for our executive officers, including NEOs, so that there is full alignment of executive incentive goals with the goals that have been established for the year.</w:t>
      </w:r>
    </w:p>
    <w:p>
      <w:pPr>
        <w:spacing w:after="0" w:line="87" w:lineRule="exact"/>
        <w:rPr>
          <w:sz w:val="20"/>
          <w:szCs w:val="20"/>
          <w:color w:val="auto"/>
        </w:rPr>
      </w:pPr>
    </w:p>
    <w:p>
      <w:pPr>
        <w:ind w:left="340" w:hanging="214"/>
        <w:spacing w:after="0" w:line="259"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 Our C&amp;MD Committee also reviews base</w:t>
      </w:r>
      <w:r>
        <w:rPr>
          <w:rFonts w:ascii="Arial" w:cs="Arial" w:eastAsia="Arial" w:hAnsi="Arial"/>
          <w:sz w:val="16"/>
          <w:szCs w:val="16"/>
          <w:color w:val="1A6DBB"/>
        </w:rPr>
        <w:t xml:space="preserve"> </w:t>
      </w:r>
      <w:r>
        <w:rPr>
          <w:rFonts w:ascii="Arial" w:cs="Arial" w:eastAsia="Arial" w:hAnsi="Arial"/>
          <w:sz w:val="16"/>
          <w:szCs w:val="16"/>
          <w:color w:val="000000"/>
        </w:rPr>
        <w:t>salaries, bonus and LTI planning ranges, plan designs, benefits and peer group and other broader market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sz w:val="1"/>
          <w:szCs w:val="1"/>
          <w:color w:val="auto"/>
        </w:rPr>
        <w:drawing>
          <wp:inline distT="0" distB="0" distL="0" distR="0">
            <wp:extent cx="240030" cy="24003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Monitoring &amp; Tracking</w:t>
      </w:r>
    </w:p>
    <w:p>
      <w:pPr>
        <w:spacing w:after="0" w:line="195" w:lineRule="exact"/>
        <w:rPr>
          <w:sz w:val="20"/>
          <w:szCs w:val="20"/>
          <w:color w:val="auto"/>
        </w:rPr>
      </w:pPr>
    </w:p>
    <w:p>
      <w:pPr>
        <w:ind w:left="180" w:hanging="214"/>
        <w:spacing w:after="0" w:line="25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 Our C&amp;MD Committee closely monitors progress against</w:t>
      </w:r>
      <w:r>
        <w:rPr>
          <w:rFonts w:ascii="Arial" w:cs="Arial" w:eastAsia="Arial" w:hAnsi="Arial"/>
          <w:sz w:val="16"/>
          <w:szCs w:val="16"/>
          <w:color w:val="1A6DBB"/>
        </w:rPr>
        <w:t xml:space="preserve"> </w:t>
      </w:r>
      <w:r>
        <w:rPr>
          <w:rFonts w:ascii="Arial" w:cs="Arial" w:eastAsia="Arial" w:hAnsi="Arial"/>
          <w:sz w:val="16"/>
          <w:szCs w:val="16"/>
          <w:color w:val="000000"/>
        </w:rPr>
        <w:t>the performance goals throughout the year based on reports and analysis on progress towards milestones and other success measures, and engages in dialogue with management on the level of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sz w:val="1"/>
          <w:szCs w:val="1"/>
          <w:color w:val="auto"/>
        </w:rPr>
        <w:drawing>
          <wp:inline distT="0" distB="0" distL="0" distR="0">
            <wp:extent cx="240030" cy="24003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Results &amp; Awards: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C&amp;MD Committee Actions</w:t>
      </w:r>
    </w:p>
    <w:p>
      <w:pPr>
        <w:spacing w:after="0" w:line="300" w:lineRule="exact"/>
        <w:rPr>
          <w:sz w:val="20"/>
          <w:szCs w:val="20"/>
          <w:color w:val="auto"/>
        </w:rPr>
      </w:pPr>
    </w:p>
    <w:p>
      <w:pPr>
        <w:ind w:left="180" w:right="60" w:hanging="214"/>
        <w:spacing w:after="0" w:line="266"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 Reviews and discusses the performance</w:t>
      </w:r>
      <w:r>
        <w:rPr>
          <w:rFonts w:ascii="Arial" w:cs="Arial" w:eastAsia="Arial" w:hAnsi="Arial"/>
          <w:sz w:val="16"/>
          <w:szCs w:val="16"/>
          <w:color w:val="1A6DBB"/>
        </w:rPr>
        <w:t xml:space="preserve"> </w:t>
      </w:r>
      <w:r>
        <w:rPr>
          <w:rFonts w:ascii="Arial" w:cs="Arial" w:eastAsia="Arial" w:hAnsi="Arial"/>
          <w:sz w:val="16"/>
          <w:szCs w:val="16"/>
          <w:color w:val="000000"/>
        </w:rPr>
        <w:t>of our executive officers against their respective performance goals.</w:t>
      </w:r>
    </w:p>
    <w:p>
      <w:pPr>
        <w:spacing w:after="0" w:line="77" w:lineRule="exact"/>
        <w:rPr>
          <w:sz w:val="20"/>
          <w:szCs w:val="20"/>
          <w:color w:val="auto"/>
        </w:rPr>
      </w:pPr>
    </w:p>
    <w:p>
      <w:pPr>
        <w:ind w:left="180" w:right="20" w:hanging="214"/>
        <w:spacing w:after="0" w:line="259"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 Reviews and discusses the Company,</w:t>
      </w:r>
      <w:r>
        <w:rPr>
          <w:rFonts w:ascii="Arial" w:cs="Arial" w:eastAsia="Arial" w:hAnsi="Arial"/>
          <w:sz w:val="16"/>
          <w:szCs w:val="16"/>
          <w:color w:val="1A6DBB"/>
        </w:rPr>
        <w:t xml:space="preserve"> </w:t>
      </w:r>
      <w:r>
        <w:rPr>
          <w:rFonts w:ascii="Arial" w:cs="Arial" w:eastAsia="Arial" w:hAnsi="Arial"/>
          <w:sz w:val="16"/>
          <w:szCs w:val="16"/>
          <w:color w:val="000000"/>
        </w:rPr>
        <w:t>team and individual performance of each executive officer, other than our CEO, as assessed by our CEO.</w:t>
      </w:r>
    </w:p>
    <w:p>
      <w:pPr>
        <w:spacing w:after="0" w:line="83" w:lineRule="exact"/>
        <w:rPr>
          <w:sz w:val="20"/>
          <w:szCs w:val="20"/>
          <w:color w:val="auto"/>
        </w:rPr>
      </w:pPr>
    </w:p>
    <w:p>
      <w:pPr>
        <w:ind w:left="180" w:right="80" w:hanging="214"/>
        <w:spacing w:after="0" w:line="254"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 Reviews and discusses our CEO’s</w:t>
      </w:r>
      <w:r>
        <w:rPr>
          <w:rFonts w:ascii="Arial" w:cs="Arial" w:eastAsia="Arial" w:hAnsi="Arial"/>
          <w:sz w:val="16"/>
          <w:szCs w:val="16"/>
          <w:color w:val="1A6DBB"/>
        </w:rPr>
        <w:t xml:space="preserve"> </w:t>
      </w:r>
      <w:r>
        <w:rPr>
          <w:rFonts w:ascii="Arial" w:cs="Arial" w:eastAsia="Arial" w:hAnsi="Arial"/>
          <w:sz w:val="16"/>
          <w:szCs w:val="16"/>
          <w:color w:val="000000"/>
        </w:rPr>
        <w:t>recommended compensation levels for each executive officer, other than himself, in the context of such executive officer’s contributions to the Company and the other factors described above.</w:t>
      </w:r>
    </w:p>
    <w:p>
      <w:pPr>
        <w:spacing w:after="0" w:line="87" w:lineRule="exact"/>
        <w:rPr>
          <w:sz w:val="20"/>
          <w:szCs w:val="20"/>
          <w:color w:val="auto"/>
        </w:rPr>
      </w:pPr>
    </w:p>
    <w:p>
      <w:pPr>
        <w:ind w:left="180" w:hanging="214"/>
        <w:spacing w:after="0" w:line="259"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 Approves the final compensation for each</w:t>
      </w:r>
      <w:r>
        <w:rPr>
          <w:rFonts w:ascii="Arial" w:cs="Arial" w:eastAsia="Arial" w:hAnsi="Arial"/>
          <w:sz w:val="16"/>
          <w:szCs w:val="16"/>
          <w:color w:val="1A6DBB"/>
        </w:rPr>
        <w:t xml:space="preserve"> </w:t>
      </w:r>
      <w:r>
        <w:rPr>
          <w:rFonts w:ascii="Arial" w:cs="Arial" w:eastAsia="Arial" w:hAnsi="Arial"/>
          <w:sz w:val="16"/>
          <w:szCs w:val="16"/>
          <w:color w:val="000000"/>
        </w:rPr>
        <w:t>executive officer, other than our CEO, including base salary, annual bonus and LTI awards.</w:t>
      </w:r>
    </w:p>
    <w:p>
      <w:pPr>
        <w:spacing w:after="0" w:line="83" w:lineRule="exact"/>
        <w:rPr>
          <w:sz w:val="20"/>
          <w:szCs w:val="20"/>
          <w:color w:val="auto"/>
        </w:rPr>
      </w:pPr>
    </w:p>
    <w:p>
      <w:pPr>
        <w:ind w:left="180" w:right="60" w:hanging="214"/>
        <w:spacing w:after="0" w:line="254" w:lineRule="auto"/>
        <w:rPr>
          <w:sz w:val="20"/>
          <w:szCs w:val="20"/>
          <w:color w:val="auto"/>
        </w:rPr>
      </w:pPr>
      <w:r>
        <w:rPr>
          <w:rFonts w:ascii="Arial" w:cs="Arial" w:eastAsia="Arial" w:hAnsi="Arial"/>
          <w:sz w:val="16"/>
          <w:szCs w:val="16"/>
          <w:color w:val="1A6DBB"/>
        </w:rPr>
        <w:t>•</w:t>
      </w:r>
      <w:r>
        <w:rPr>
          <w:rFonts w:ascii="Arial" w:cs="Arial" w:eastAsia="Arial" w:hAnsi="Arial"/>
          <w:sz w:val="16"/>
          <w:szCs w:val="16"/>
          <w:color w:val="000000"/>
        </w:rPr>
        <w:t xml:space="preserve">    Reviews CEO goal progress and results,</w:t>
      </w:r>
      <w:r>
        <w:rPr>
          <w:rFonts w:ascii="Arial" w:cs="Arial" w:eastAsia="Arial" w:hAnsi="Arial"/>
          <w:sz w:val="16"/>
          <w:szCs w:val="16"/>
          <w:color w:val="1A6DBB"/>
        </w:rPr>
        <w:t xml:space="preserve"> </w:t>
      </w:r>
      <w:r>
        <w:rPr>
          <w:rFonts w:ascii="Arial" w:cs="Arial" w:eastAsia="Arial" w:hAnsi="Arial"/>
          <w:sz w:val="16"/>
          <w:szCs w:val="16"/>
          <w:color w:val="000000"/>
        </w:rPr>
        <w:t>compensation and recommends the compensation of our CEO, including base salary, annual bonus and LTI awards, to our Board of Directors for approval.</w:t>
      </w:r>
    </w:p>
    <w:p>
      <w:pPr>
        <w:spacing w:after="0" w:line="1540" w:lineRule="exact"/>
        <w:rPr>
          <w:sz w:val="20"/>
          <w:szCs w:val="20"/>
          <w:color w:val="auto"/>
        </w:rPr>
      </w:pPr>
    </w:p>
    <w:p>
      <w:pPr>
        <w:sectPr>
          <w:pgSz w:w="11900" w:h="16838" w:orient="portrait"/>
          <w:cols w:equalWidth="0" w:num="3">
            <w:col w:w="3360" w:space="220"/>
            <w:col w:w="4220" w:space="180"/>
            <w:col w:w="3120"/>
          </w:cols>
          <w:pgMar w:left="320" w:top="455" w:right="479" w:bottom="1440" w:gutter="0" w:footer="0" w:header="0"/>
          <w:type w:val="continuous"/>
        </w:sectPr>
      </w:pPr>
    </w:p>
    <w:p>
      <w:pPr>
        <w:ind w:left="180"/>
        <w:spacing w:after="0"/>
        <w:rPr>
          <w:sz w:val="20"/>
          <w:szCs w:val="20"/>
          <w:color w:val="auto"/>
        </w:rPr>
      </w:pPr>
      <w:r>
        <w:rPr>
          <w:rFonts w:ascii="Arial" w:cs="Arial" w:eastAsia="Arial" w:hAnsi="Arial"/>
          <w:sz w:val="9"/>
          <w:szCs w:val="9"/>
          <w:color w:val="1A6DBB"/>
        </w:rPr>
        <w:t xml:space="preserve">45 </w:t>
      </w:r>
      <w:r>
        <w:rPr>
          <w:sz w:val="1"/>
          <w:szCs w:val="1"/>
          <w:color w:val="auto"/>
        </w:rPr>
        <w:drawing>
          <wp:inline distT="0" distB="0" distL="0" distR="0">
            <wp:extent cx="38735" cy="19685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Base Salary</w:t>
      </w:r>
    </w:p>
    <w:p>
      <w:pPr>
        <w:spacing w:after="0" w:line="108"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For 2021 our Board of Directors reviewed the base salaries of chief executive officers in our peer group and considered Mr. Vounatsos’ compensation mix, capabilities, performance, future expected contributions and positioning relative to the peer group. Mr. Vounatsos’ annual base salary was increased to $1.54 million, which positioned him below the market median when compared to the chief executive officers of our peer group.</w:t>
      </w:r>
    </w:p>
    <w:p>
      <w:pPr>
        <w:spacing w:after="0" w:line="73"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Our C&amp;MD Committee undertook a similar review when approving the annual base salaries for our other NEOs, which positioned them, on average, below the market median compared to persons with comparable jobs within our peer group, given the overall emphasis on other performance based pay elements.</w:t>
      </w:r>
    </w:p>
    <w:p>
      <w:pPr>
        <w:spacing w:after="0" w:line="7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annual base salary of each of our NEOs in 2021, compared to 2020, is as follows: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to the Company’s financial performance, as described below under “Long-Term Incentives – 2021 PSUs.” In 2021, our C&amp;MD Committee determined that awards made under our LTI plan will continue to be directly tied to the performance of our common stock and will also incorporate a relative performance metric, comparing performance relative to a group of peer companies, as described below under “2022 LTI Program”.</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setting our annual goals under our short- and long-term incentive plans, in addition to our internal forecasts, we consider analysts’ projections for our performance and the performance of companies in our peer group as well as broad economic and industry trends. We strive to establish challenging targets that result in payouts at or above target levels only when Company performance warrants it. Our C&amp;MD Committee is responsible for reviewing and approving our metrics, goals, targets and levels of payout (e.g., threshold, target and maximum) for our executive incentive compensation plans and awards and for reviewing and determining actual performance results at the end of the applicable performance period.</w:t>
      </w:r>
    </w:p>
    <w:p>
      <w:pPr>
        <w:spacing w:after="0" w:line="79"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tbl>
      <w:tblPr>
        <w:tblLayout w:type="fixed"/>
        <w:tblInd w:w="120" w:type="dxa"/>
        <w:tblCellMar>
          <w:top w:w="0" w:type="dxa"/>
          <w:left w:w="0" w:type="dxa"/>
          <w:bottom w:w="0" w:type="dxa"/>
          <w:right w:w="0" w:type="dxa"/>
        </w:tblCellMar>
      </w:tblPr>
      <w:tr>
        <w:trPr>
          <w:trHeight w:val="257"/>
        </w:trPr>
        <w:tc>
          <w:tcPr>
            <w:tcW w:w="1660" w:type="dxa"/>
            <w:vAlign w:val="bottom"/>
            <w:shd w:val="clear" w:color="auto" w:fill="1A6DBB"/>
          </w:tcPr>
          <w:p>
            <w:pPr>
              <w:ind w:left="160"/>
              <w:spacing w:after="0"/>
              <w:rPr>
                <w:sz w:val="20"/>
                <w:szCs w:val="20"/>
                <w:color w:val="auto"/>
              </w:rPr>
            </w:pPr>
            <w:r>
              <w:rPr>
                <w:rFonts w:ascii="Arial" w:cs="Arial" w:eastAsia="Arial" w:hAnsi="Arial"/>
                <w:sz w:val="14"/>
                <w:szCs w:val="14"/>
                <w:color w:val="FFFFFF"/>
              </w:rPr>
              <w:t>Name</w:t>
            </w:r>
          </w:p>
        </w:tc>
        <w:tc>
          <w:tcPr>
            <w:tcW w:w="1280" w:type="dxa"/>
            <w:vAlign w:val="bottom"/>
            <w:gridSpan w:val="2"/>
            <w:shd w:val="clear" w:color="auto" w:fill="1A6DBB"/>
          </w:tcPr>
          <w:p>
            <w:pPr>
              <w:jc w:val="right"/>
              <w:ind w:right="119"/>
              <w:spacing w:after="0"/>
              <w:rPr>
                <w:sz w:val="20"/>
                <w:szCs w:val="20"/>
                <w:color w:val="auto"/>
              </w:rPr>
            </w:pPr>
            <w:r>
              <w:rPr>
                <w:rFonts w:ascii="Arial" w:cs="Arial" w:eastAsia="Arial" w:hAnsi="Arial"/>
                <w:sz w:val="14"/>
                <w:szCs w:val="14"/>
                <w:color w:val="FFFFFF"/>
              </w:rPr>
              <w:t>2021 Salary</w:t>
            </w:r>
          </w:p>
        </w:tc>
        <w:tc>
          <w:tcPr>
            <w:tcW w:w="1140" w:type="dxa"/>
            <w:vAlign w:val="bottom"/>
            <w:gridSpan w:val="2"/>
            <w:shd w:val="clear" w:color="auto" w:fill="1A6DBB"/>
          </w:tcPr>
          <w:p>
            <w:pPr>
              <w:jc w:val="right"/>
              <w:ind w:right="119"/>
              <w:spacing w:after="0"/>
              <w:rPr>
                <w:sz w:val="20"/>
                <w:szCs w:val="20"/>
                <w:color w:val="auto"/>
              </w:rPr>
            </w:pPr>
            <w:r>
              <w:rPr>
                <w:rFonts w:ascii="Arial" w:cs="Arial" w:eastAsia="Arial" w:hAnsi="Arial"/>
                <w:sz w:val="14"/>
                <w:szCs w:val="14"/>
                <w:color w:val="FFFFFF"/>
              </w:rPr>
              <w:t>2020 Salary</w:t>
            </w:r>
          </w:p>
        </w:tc>
        <w:tc>
          <w:tcPr>
            <w:tcW w:w="1200" w:type="dxa"/>
            <w:vAlign w:val="bottom"/>
            <w:shd w:val="clear" w:color="auto" w:fill="1A6DBB"/>
          </w:tcPr>
          <w:p>
            <w:pPr>
              <w:ind w:left="160"/>
              <w:spacing w:after="0"/>
              <w:rPr>
                <w:sz w:val="20"/>
                <w:szCs w:val="20"/>
                <w:color w:val="auto"/>
              </w:rPr>
            </w:pPr>
            <w:r>
              <w:rPr>
                <w:rFonts w:ascii="Arial" w:cs="Arial" w:eastAsia="Arial" w:hAnsi="Arial"/>
                <w:sz w:val="14"/>
                <w:szCs w:val="14"/>
                <w:color w:val="FFFFFF"/>
              </w:rPr>
              <w:t>% Increase</w:t>
            </w:r>
            <w:r>
              <w:rPr>
                <w:rFonts w:ascii="Arial" w:cs="Arial" w:eastAsia="Arial" w:hAnsi="Arial"/>
                <w:sz w:val="14"/>
                <w:szCs w:val="14"/>
                <w:color w:val="FFFFFF"/>
                <w:vertAlign w:val="superscript"/>
              </w:rPr>
              <w:t>(1)</w:t>
            </w:r>
          </w:p>
        </w:tc>
      </w:tr>
      <w:tr>
        <w:trPr>
          <w:trHeight w:val="276"/>
        </w:trPr>
        <w:tc>
          <w:tcPr>
            <w:tcW w:w="1660" w:type="dxa"/>
            <w:vAlign w:val="bottom"/>
            <w:shd w:val="clear" w:color="auto" w:fill="E8F0F8"/>
          </w:tcPr>
          <w:p>
            <w:pPr>
              <w:ind w:left="180"/>
              <w:spacing w:after="0"/>
              <w:rPr>
                <w:sz w:val="20"/>
                <w:szCs w:val="20"/>
                <w:color w:val="auto"/>
              </w:rPr>
            </w:pPr>
            <w:r>
              <w:rPr>
                <w:rFonts w:ascii="Arial" w:cs="Arial" w:eastAsia="Arial" w:hAnsi="Arial"/>
                <w:sz w:val="16"/>
                <w:szCs w:val="16"/>
                <w:color w:val="auto"/>
              </w:rPr>
              <w:t>M. Vounatsos</w:t>
            </w:r>
          </w:p>
        </w:tc>
        <w:tc>
          <w:tcPr>
            <w:tcW w:w="3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F0F8"/>
          </w:tcPr>
          <w:p>
            <w:pPr>
              <w:jc w:val="right"/>
              <w:ind w:right="99"/>
              <w:spacing w:after="0"/>
              <w:rPr>
                <w:sz w:val="20"/>
                <w:szCs w:val="20"/>
                <w:color w:val="auto"/>
              </w:rPr>
            </w:pPr>
            <w:r>
              <w:rPr>
                <w:rFonts w:ascii="Arial" w:cs="Arial" w:eastAsia="Arial" w:hAnsi="Arial"/>
                <w:sz w:val="16"/>
                <w:szCs w:val="16"/>
                <w:color w:val="auto"/>
                <w:w w:val="98"/>
              </w:rPr>
              <w:t>1,537,500</w:t>
            </w:r>
          </w:p>
        </w:tc>
        <w:tc>
          <w:tcPr>
            <w:tcW w:w="2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F0F8"/>
          </w:tcPr>
          <w:p>
            <w:pPr>
              <w:jc w:val="right"/>
              <w:ind w:right="79"/>
              <w:spacing w:after="0"/>
              <w:rPr>
                <w:sz w:val="20"/>
                <w:szCs w:val="20"/>
                <w:color w:val="auto"/>
              </w:rPr>
            </w:pPr>
            <w:r>
              <w:rPr>
                <w:rFonts w:ascii="Arial" w:cs="Arial" w:eastAsia="Arial" w:hAnsi="Arial"/>
                <w:sz w:val="16"/>
                <w:szCs w:val="16"/>
                <w:color w:val="auto"/>
              </w:rPr>
              <w:t>1,500,000</w:t>
            </w:r>
          </w:p>
        </w:tc>
        <w:tc>
          <w:tcPr>
            <w:tcW w:w="120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2.5%</w:t>
            </w:r>
          </w:p>
        </w:tc>
      </w:tr>
      <w:tr>
        <w:trPr>
          <w:trHeight w:val="291"/>
        </w:trPr>
        <w:tc>
          <w:tcPr>
            <w:tcW w:w="1660" w:type="dxa"/>
            <w:vAlign w:val="bottom"/>
            <w:shd w:val="clear" w:color="auto" w:fill="BAD3EA"/>
          </w:tcPr>
          <w:p>
            <w:pPr>
              <w:ind w:left="180"/>
              <w:spacing w:after="0"/>
              <w:rPr>
                <w:sz w:val="20"/>
                <w:szCs w:val="20"/>
                <w:color w:val="auto"/>
              </w:rPr>
            </w:pPr>
            <w:r>
              <w:rPr>
                <w:rFonts w:ascii="Arial" w:cs="Arial" w:eastAsia="Arial" w:hAnsi="Arial"/>
                <w:sz w:val="16"/>
                <w:szCs w:val="16"/>
                <w:color w:val="auto"/>
              </w:rPr>
              <w:t>M. McDonnell</w:t>
            </w:r>
          </w:p>
        </w:tc>
        <w:tc>
          <w:tcPr>
            <w:tcW w:w="3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3EA"/>
          </w:tcPr>
          <w:p>
            <w:pPr>
              <w:jc w:val="right"/>
              <w:ind w:right="99"/>
              <w:spacing w:after="0"/>
              <w:rPr>
                <w:sz w:val="20"/>
                <w:szCs w:val="20"/>
                <w:color w:val="auto"/>
              </w:rPr>
            </w:pPr>
            <w:r>
              <w:rPr>
                <w:rFonts w:ascii="Arial" w:cs="Arial" w:eastAsia="Arial" w:hAnsi="Arial"/>
                <w:sz w:val="16"/>
                <w:szCs w:val="16"/>
                <w:color w:val="auto"/>
              </w:rPr>
              <w:t>871,250</w:t>
            </w:r>
          </w:p>
        </w:tc>
        <w:tc>
          <w:tcPr>
            <w:tcW w:w="2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3EA"/>
          </w:tcPr>
          <w:p>
            <w:pPr>
              <w:jc w:val="right"/>
              <w:ind w:right="79"/>
              <w:spacing w:after="0"/>
              <w:rPr>
                <w:sz w:val="20"/>
                <w:szCs w:val="20"/>
                <w:color w:val="auto"/>
              </w:rPr>
            </w:pPr>
            <w:r>
              <w:rPr>
                <w:rFonts w:ascii="Arial" w:cs="Arial" w:eastAsia="Arial" w:hAnsi="Arial"/>
                <w:sz w:val="16"/>
                <w:szCs w:val="16"/>
                <w:color w:val="auto"/>
              </w:rPr>
              <w:t>850,000</w:t>
            </w:r>
          </w:p>
        </w:tc>
        <w:tc>
          <w:tcPr>
            <w:tcW w:w="120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2.5%</w:t>
            </w:r>
          </w:p>
        </w:tc>
      </w:tr>
      <w:tr>
        <w:trPr>
          <w:trHeight w:val="276"/>
        </w:trPr>
        <w:tc>
          <w:tcPr>
            <w:tcW w:w="1660" w:type="dxa"/>
            <w:vAlign w:val="bottom"/>
            <w:shd w:val="clear" w:color="auto" w:fill="E8F0F8"/>
          </w:tcPr>
          <w:p>
            <w:pPr>
              <w:ind w:left="180"/>
              <w:spacing w:after="0"/>
              <w:rPr>
                <w:sz w:val="20"/>
                <w:szCs w:val="20"/>
                <w:color w:val="auto"/>
              </w:rPr>
            </w:pPr>
            <w:r>
              <w:rPr>
                <w:rFonts w:ascii="Arial" w:cs="Arial" w:eastAsia="Arial" w:hAnsi="Arial"/>
                <w:sz w:val="16"/>
                <w:szCs w:val="16"/>
                <w:color w:val="auto"/>
              </w:rPr>
              <w:t>A. Sandrock</w:t>
            </w:r>
          </w:p>
        </w:tc>
        <w:tc>
          <w:tcPr>
            <w:tcW w:w="3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F0F8"/>
          </w:tcPr>
          <w:p>
            <w:pPr>
              <w:jc w:val="right"/>
              <w:ind w:right="99"/>
              <w:spacing w:after="0"/>
              <w:rPr>
                <w:sz w:val="20"/>
                <w:szCs w:val="20"/>
                <w:color w:val="auto"/>
              </w:rPr>
            </w:pPr>
            <w:r>
              <w:rPr>
                <w:rFonts w:ascii="Arial" w:cs="Arial" w:eastAsia="Arial" w:hAnsi="Arial"/>
                <w:sz w:val="16"/>
                <w:szCs w:val="16"/>
                <w:color w:val="auto"/>
              </w:rPr>
              <w:t>924,222</w:t>
            </w:r>
          </w:p>
        </w:tc>
        <w:tc>
          <w:tcPr>
            <w:tcW w:w="2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F0F8"/>
          </w:tcPr>
          <w:p>
            <w:pPr>
              <w:jc w:val="right"/>
              <w:ind w:right="79"/>
              <w:spacing w:after="0"/>
              <w:rPr>
                <w:sz w:val="20"/>
                <w:szCs w:val="20"/>
                <w:color w:val="auto"/>
              </w:rPr>
            </w:pPr>
            <w:r>
              <w:rPr>
                <w:rFonts w:ascii="Arial" w:cs="Arial" w:eastAsia="Arial" w:hAnsi="Arial"/>
                <w:sz w:val="16"/>
                <w:szCs w:val="16"/>
                <w:color w:val="auto"/>
              </w:rPr>
              <w:t>901,680</w:t>
            </w:r>
          </w:p>
        </w:tc>
        <w:tc>
          <w:tcPr>
            <w:tcW w:w="120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2.5%</w:t>
            </w:r>
          </w:p>
        </w:tc>
      </w:tr>
      <w:tr>
        <w:trPr>
          <w:trHeight w:val="291"/>
        </w:trPr>
        <w:tc>
          <w:tcPr>
            <w:tcW w:w="1660" w:type="dxa"/>
            <w:vAlign w:val="bottom"/>
            <w:shd w:val="clear" w:color="auto" w:fill="BAD3EA"/>
          </w:tcPr>
          <w:p>
            <w:pPr>
              <w:ind w:left="180"/>
              <w:spacing w:after="0"/>
              <w:rPr>
                <w:sz w:val="20"/>
                <w:szCs w:val="20"/>
                <w:color w:val="auto"/>
              </w:rPr>
            </w:pPr>
            <w:r>
              <w:rPr>
                <w:rFonts w:ascii="Arial" w:cs="Arial" w:eastAsia="Arial" w:hAnsi="Arial"/>
                <w:sz w:val="16"/>
                <w:szCs w:val="16"/>
                <w:color w:val="auto"/>
              </w:rPr>
              <w:t>S. Alexander</w:t>
            </w:r>
          </w:p>
        </w:tc>
        <w:tc>
          <w:tcPr>
            <w:tcW w:w="3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3EA"/>
          </w:tcPr>
          <w:p>
            <w:pPr>
              <w:jc w:val="right"/>
              <w:ind w:right="99"/>
              <w:spacing w:after="0"/>
              <w:rPr>
                <w:sz w:val="20"/>
                <w:szCs w:val="20"/>
                <w:color w:val="auto"/>
              </w:rPr>
            </w:pPr>
            <w:r>
              <w:rPr>
                <w:rFonts w:ascii="Arial" w:cs="Arial" w:eastAsia="Arial" w:hAnsi="Arial"/>
                <w:sz w:val="16"/>
                <w:szCs w:val="16"/>
                <w:color w:val="auto"/>
              </w:rPr>
              <w:t>834,522</w:t>
            </w:r>
          </w:p>
        </w:tc>
        <w:tc>
          <w:tcPr>
            <w:tcW w:w="2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3EA"/>
          </w:tcPr>
          <w:p>
            <w:pPr>
              <w:jc w:val="right"/>
              <w:ind w:right="79"/>
              <w:spacing w:after="0"/>
              <w:rPr>
                <w:sz w:val="20"/>
                <w:szCs w:val="20"/>
                <w:color w:val="auto"/>
              </w:rPr>
            </w:pPr>
            <w:r>
              <w:rPr>
                <w:rFonts w:ascii="Arial" w:cs="Arial" w:eastAsia="Arial" w:hAnsi="Arial"/>
                <w:sz w:val="16"/>
                <w:szCs w:val="16"/>
                <w:color w:val="auto"/>
              </w:rPr>
              <w:t>814,168</w:t>
            </w:r>
          </w:p>
        </w:tc>
        <w:tc>
          <w:tcPr>
            <w:tcW w:w="120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2.5%</w:t>
            </w:r>
          </w:p>
        </w:tc>
      </w:tr>
      <w:tr>
        <w:trPr>
          <w:trHeight w:val="277"/>
        </w:trPr>
        <w:tc>
          <w:tcPr>
            <w:tcW w:w="1660" w:type="dxa"/>
            <w:vAlign w:val="bottom"/>
            <w:tcBorders>
              <w:bottom w:val="single" w:sz="8" w:color="auto"/>
            </w:tcBorders>
            <w:shd w:val="clear" w:color="auto" w:fill="E8F0F8"/>
          </w:tcPr>
          <w:p>
            <w:pPr>
              <w:ind w:left="180"/>
              <w:spacing w:after="0"/>
              <w:rPr>
                <w:sz w:val="20"/>
                <w:szCs w:val="20"/>
                <w:color w:val="auto"/>
              </w:rPr>
            </w:pPr>
            <w:r>
              <w:rPr>
                <w:rFonts w:ascii="Arial" w:cs="Arial" w:eastAsia="Arial" w:hAnsi="Arial"/>
                <w:sz w:val="16"/>
                <w:szCs w:val="16"/>
                <w:color w:val="auto"/>
              </w:rPr>
              <w:t>C. Guindo</w:t>
            </w:r>
          </w:p>
        </w:tc>
        <w:tc>
          <w:tcPr>
            <w:tcW w:w="38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8F0F8"/>
          </w:tcPr>
          <w:p>
            <w:pPr>
              <w:jc w:val="right"/>
              <w:ind w:right="99"/>
              <w:spacing w:after="0"/>
              <w:rPr>
                <w:sz w:val="20"/>
                <w:szCs w:val="20"/>
                <w:color w:val="auto"/>
              </w:rPr>
            </w:pPr>
            <w:r>
              <w:rPr>
                <w:rFonts w:ascii="Arial" w:cs="Arial" w:eastAsia="Arial" w:hAnsi="Arial"/>
                <w:sz w:val="16"/>
                <w:szCs w:val="16"/>
                <w:color w:val="auto"/>
              </w:rPr>
              <w:t>625,214</w:t>
            </w:r>
          </w:p>
        </w:tc>
        <w:tc>
          <w:tcPr>
            <w:tcW w:w="2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8F0F8"/>
          </w:tcPr>
          <w:p>
            <w:pPr>
              <w:jc w:val="right"/>
              <w:ind w:right="79"/>
              <w:spacing w:after="0"/>
              <w:rPr>
                <w:sz w:val="20"/>
                <w:szCs w:val="20"/>
                <w:color w:val="auto"/>
              </w:rPr>
            </w:pPr>
            <w:r>
              <w:rPr>
                <w:rFonts w:ascii="Arial" w:cs="Arial" w:eastAsia="Arial" w:hAnsi="Arial"/>
                <w:sz w:val="16"/>
                <w:szCs w:val="16"/>
                <w:color w:val="auto"/>
              </w:rPr>
              <w:t>567,100</w:t>
            </w:r>
          </w:p>
        </w:tc>
        <w:tc>
          <w:tcPr>
            <w:tcW w:w="120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6"/>
                <w:szCs w:val="16"/>
                <w:color w:val="auto"/>
              </w:rPr>
              <w:t>10.2%</w:t>
            </w:r>
          </w:p>
        </w:tc>
      </w:tr>
    </w:tbl>
    <w:p>
      <w:pPr>
        <w:spacing w:after="0" w:line="112" w:lineRule="exact"/>
        <w:rPr>
          <w:sz w:val="20"/>
          <w:szCs w:val="20"/>
          <w:color w:val="auto"/>
        </w:rPr>
      </w:pPr>
    </w:p>
    <w:p>
      <w:pPr>
        <w:ind w:left="340" w:right="380" w:hanging="224"/>
        <w:spacing w:after="0" w:line="263"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Percentage increase reflects the annual merit increase and, in the case of Mr. Guindo, also includes a market adjustment based on our C&amp;MD Committee’s review of peer group and survey data.</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Performance-Based Plans and Goal Setting</w:t>
      </w:r>
    </w:p>
    <w:p>
      <w:pPr>
        <w:spacing w:after="0" w:line="108"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Our executive compensation programs place a heavy emphasis on performance-based compensation.</w:t>
      </w:r>
    </w:p>
    <w:p>
      <w:pPr>
        <w:spacing w:after="0" w:line="48"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We maintain a short-term incentive plan, known as our annual bonus plan, as well as an LTI plan.</w:t>
      </w:r>
    </w:p>
    <w:p>
      <w:pPr>
        <w:spacing w:after="0" w:line="4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For 2021, awards to our NEOs under our annual bonus plan were made under our 2021 Performance-Based Management Incentive Plan, and awards under our LTI plan were granted under our 2017 Omnibus Equity Plan.</w:t>
      </w:r>
    </w:p>
    <w:p>
      <w:pPr>
        <w:spacing w:after="0" w:line="7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Awards made under our annual bonus plan are directly tied to the achievement of our Company performance goals, which are aligned with the Company’s short- and long-term strategic plans, as well as individual performance goals.</w:t>
      </w:r>
    </w:p>
    <w:p>
      <w:pPr>
        <w:spacing w:after="0" w:line="70"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Awards made in 2021 under our LTI plan are directly tied to the performance of the price of our common stock, which aligns our executives’ long-term interests with the interests of our stockholders. A portion of our LTI awards is also tied</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6"/>
          <w:szCs w:val="16"/>
          <w:color w:val="auto"/>
        </w:rPr>
        <w:t>In setting and approving the performance goals for our executive officers and for the Company under both the short- and long-term incentive plans, our C&amp;MD Committee also considers the alignment of such goals to our business plan, the degree of difficulty of attainment and the potential for the goals to encourage inappropriate risk-taking. Our C&amp;MD Committee has determined that the structures of our executive compensation programs do not put our patients, investors or the Company at any material risk.</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Annual Bonus Plan</w:t>
      </w:r>
    </w:p>
    <w:p>
      <w:pPr>
        <w:spacing w:after="0" w:line="111"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Our annual bonus plan is a cash incentive plan that rewards near-term financial, strategic and operational performance, as well as individual performance. Our C&amp;MD Committee reviews the annual target bonus opportunities for each executive officer by position each year to ensure such opportunities remain competitive.</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No changes were made in 2021 to the target annual bonus opportunity, as a percentage of year-end annual base salary, for our CEO. After a review of our peer group and other market data, our C&amp;MD Committee approved an increase to Mr. McDonnell and Dr. Sandrock’s 2021 target annual bonus opportunity to 80% of annual base salary and to Ms. Alexander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Guindo’s 2021 target bonus opportunity to 75% of annual base salary.</w:t>
      </w:r>
    </w:p>
    <w:p>
      <w:pPr>
        <w:spacing w:after="0" w:line="2576"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54"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46 </w:t>
      </w:r>
      <w:r>
        <w:rPr>
          <w:sz w:val="1"/>
          <w:szCs w:val="1"/>
          <w:color w:val="auto"/>
        </w:rPr>
        <w:drawing>
          <wp:inline distT="0" distB="0" distL="0" distR="0">
            <wp:extent cx="38735" cy="19685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38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target annual bonus opportunity as a percentage of year-end annual base salary for each of our NEOs in 2021 compared to 2020 was as follows: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Board of Directors, in the case of our CEO) the discretion to increase or decrease each NEO’s bonus amount based on the NEO’s performance by applying an individual performance multiplier, ranging from 0% to 150%, which we refer to as the Individual Multiplier.</w:t>
      </w:r>
    </w:p>
    <w:p>
      <w:pPr>
        <w:spacing w:after="0" w:line="30" w:lineRule="exact"/>
        <w:rPr>
          <w:sz w:val="20"/>
          <w:szCs w:val="20"/>
          <w:color w:val="auto"/>
        </w:rPr>
      </w:pPr>
    </w:p>
    <w:p>
      <w:pPr>
        <w:sectPr>
          <w:pgSz w:w="11900" w:h="16838" w:orient="portrait"/>
          <w:cols w:equalWidth="0" w:num="2">
            <w:col w:w="5320" w:space="420"/>
            <w:col w:w="5340"/>
          </w:cols>
          <w:pgMar w:left="320" w:top="455" w:right="499" w:bottom="1440" w:gutter="0" w:footer="0" w:header="0"/>
          <w:type w:val="continuous"/>
        </w:sectPr>
      </w:pPr>
    </w:p>
    <w:tbl>
      <w:tblPr>
        <w:tblLayout w:type="fixed"/>
        <w:tblInd w:w="120" w:type="dxa"/>
        <w:tblCellMar>
          <w:top w:w="0" w:type="dxa"/>
          <w:left w:w="0" w:type="dxa"/>
          <w:bottom w:w="0" w:type="dxa"/>
          <w:right w:w="0" w:type="dxa"/>
        </w:tblCellMar>
      </w:tblPr>
      <w:tr>
        <w:trPr>
          <w:trHeight w:val="283"/>
        </w:trPr>
        <w:tc>
          <w:tcPr>
            <w:tcW w:w="2300" w:type="dxa"/>
            <w:vAlign w:val="bottom"/>
            <w:shd w:val="clear" w:color="auto" w:fill="1A6DBB"/>
          </w:tcPr>
          <w:p>
            <w:pPr>
              <w:ind w:left="100"/>
              <w:spacing w:after="0"/>
              <w:rPr>
                <w:sz w:val="20"/>
                <w:szCs w:val="20"/>
                <w:color w:val="auto"/>
              </w:rPr>
            </w:pPr>
            <w:r>
              <w:rPr>
                <w:rFonts w:ascii="Arial" w:cs="Arial" w:eastAsia="Arial" w:hAnsi="Arial"/>
                <w:sz w:val="16"/>
                <w:szCs w:val="16"/>
                <w:color w:val="FFFFFF"/>
              </w:rPr>
              <w:t>Name</w:t>
            </w:r>
          </w:p>
        </w:tc>
        <w:tc>
          <w:tcPr>
            <w:tcW w:w="1680" w:type="dxa"/>
            <w:vAlign w:val="bottom"/>
            <w:shd w:val="clear" w:color="auto" w:fill="1A6DBB"/>
          </w:tcPr>
          <w:p>
            <w:pPr>
              <w:jc w:val="right"/>
              <w:ind w:right="139"/>
              <w:spacing w:after="0"/>
              <w:rPr>
                <w:sz w:val="20"/>
                <w:szCs w:val="20"/>
                <w:color w:val="auto"/>
              </w:rPr>
            </w:pPr>
            <w:r>
              <w:rPr>
                <w:rFonts w:ascii="Arial" w:cs="Arial" w:eastAsia="Arial" w:hAnsi="Arial"/>
                <w:sz w:val="16"/>
                <w:szCs w:val="16"/>
                <w:color w:val="FFFFFF"/>
              </w:rPr>
              <w:t>2021 Target</w:t>
            </w:r>
          </w:p>
        </w:tc>
        <w:tc>
          <w:tcPr>
            <w:tcW w:w="1300" w:type="dxa"/>
            <w:vAlign w:val="bottom"/>
            <w:shd w:val="clear" w:color="auto" w:fill="1A6DBB"/>
          </w:tcPr>
          <w:p>
            <w:pPr>
              <w:jc w:val="right"/>
              <w:ind w:right="139"/>
              <w:spacing w:after="0"/>
              <w:rPr>
                <w:sz w:val="20"/>
                <w:szCs w:val="20"/>
                <w:color w:val="auto"/>
              </w:rPr>
            </w:pPr>
            <w:r>
              <w:rPr>
                <w:rFonts w:ascii="Arial" w:cs="Arial" w:eastAsia="Arial" w:hAnsi="Arial"/>
                <w:sz w:val="16"/>
                <w:szCs w:val="16"/>
                <w:color w:val="FFFFFF"/>
              </w:rPr>
              <w:t>2020 Target</w:t>
            </w:r>
          </w:p>
        </w:tc>
      </w:tr>
      <w:tr>
        <w:trPr>
          <w:trHeight w:val="276"/>
        </w:trPr>
        <w:tc>
          <w:tcPr>
            <w:tcW w:w="23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M. Vounatsos</w:t>
            </w:r>
          </w:p>
        </w:tc>
        <w:tc>
          <w:tcPr>
            <w:tcW w:w="1680" w:type="dxa"/>
            <w:vAlign w:val="bottom"/>
            <w:shd w:val="clear" w:color="auto" w:fill="E8F0F8"/>
          </w:tcPr>
          <w:p>
            <w:pPr>
              <w:jc w:val="right"/>
              <w:ind w:right="139"/>
              <w:spacing w:after="0"/>
              <w:rPr>
                <w:sz w:val="20"/>
                <w:szCs w:val="20"/>
                <w:color w:val="auto"/>
              </w:rPr>
            </w:pPr>
            <w:r>
              <w:rPr>
                <w:rFonts w:ascii="Arial" w:cs="Arial" w:eastAsia="Arial" w:hAnsi="Arial"/>
                <w:sz w:val="16"/>
                <w:szCs w:val="16"/>
                <w:color w:val="auto"/>
              </w:rPr>
              <w:t>150%</w:t>
            </w:r>
          </w:p>
        </w:tc>
        <w:tc>
          <w:tcPr>
            <w:tcW w:w="1300" w:type="dxa"/>
            <w:vAlign w:val="bottom"/>
            <w:shd w:val="clear" w:color="auto" w:fill="E8F0F8"/>
          </w:tcPr>
          <w:p>
            <w:pPr>
              <w:jc w:val="right"/>
              <w:ind w:right="139"/>
              <w:spacing w:after="0"/>
              <w:rPr>
                <w:sz w:val="20"/>
                <w:szCs w:val="20"/>
                <w:color w:val="auto"/>
              </w:rPr>
            </w:pPr>
            <w:r>
              <w:rPr>
                <w:rFonts w:ascii="Arial" w:cs="Arial" w:eastAsia="Arial" w:hAnsi="Arial"/>
                <w:sz w:val="16"/>
                <w:szCs w:val="16"/>
                <w:color w:val="auto"/>
              </w:rPr>
              <w:t>150%</w:t>
            </w:r>
          </w:p>
        </w:tc>
      </w:tr>
      <w:tr>
        <w:trPr>
          <w:trHeight w:val="291"/>
        </w:trPr>
        <w:tc>
          <w:tcPr>
            <w:tcW w:w="23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M. McDonnell</w:t>
            </w:r>
          </w:p>
        </w:tc>
        <w:tc>
          <w:tcPr>
            <w:tcW w:w="1680" w:type="dxa"/>
            <w:vAlign w:val="bottom"/>
            <w:shd w:val="clear" w:color="auto" w:fill="BAD3EA"/>
          </w:tcPr>
          <w:p>
            <w:pPr>
              <w:jc w:val="right"/>
              <w:ind w:right="139"/>
              <w:spacing w:after="0"/>
              <w:rPr>
                <w:sz w:val="20"/>
                <w:szCs w:val="20"/>
                <w:color w:val="auto"/>
              </w:rPr>
            </w:pPr>
            <w:r>
              <w:rPr>
                <w:rFonts w:ascii="Arial" w:cs="Arial" w:eastAsia="Arial" w:hAnsi="Arial"/>
                <w:sz w:val="16"/>
                <w:szCs w:val="16"/>
                <w:color w:val="auto"/>
              </w:rPr>
              <w:t>80%</w:t>
            </w:r>
          </w:p>
        </w:tc>
        <w:tc>
          <w:tcPr>
            <w:tcW w:w="1300" w:type="dxa"/>
            <w:vAlign w:val="bottom"/>
            <w:shd w:val="clear" w:color="auto" w:fill="BAD3EA"/>
          </w:tcPr>
          <w:p>
            <w:pPr>
              <w:jc w:val="right"/>
              <w:ind w:right="139"/>
              <w:spacing w:after="0"/>
              <w:rPr>
                <w:sz w:val="20"/>
                <w:szCs w:val="20"/>
                <w:color w:val="auto"/>
              </w:rPr>
            </w:pPr>
            <w:r>
              <w:rPr>
                <w:rFonts w:ascii="Arial" w:cs="Arial" w:eastAsia="Arial" w:hAnsi="Arial"/>
                <w:sz w:val="16"/>
                <w:szCs w:val="16"/>
                <w:color w:val="auto"/>
              </w:rPr>
              <w:t>75%</w:t>
            </w:r>
          </w:p>
        </w:tc>
      </w:tr>
      <w:tr>
        <w:trPr>
          <w:trHeight w:val="283"/>
        </w:trPr>
        <w:tc>
          <w:tcPr>
            <w:tcW w:w="2300" w:type="dxa"/>
            <w:vAlign w:val="bottom"/>
            <w:shd w:val="clear" w:color="auto" w:fill="E8F0F8"/>
          </w:tcPr>
          <w:p>
            <w:pPr>
              <w:ind w:left="80"/>
              <w:spacing w:after="0" w:line="284" w:lineRule="exact"/>
              <w:rPr>
                <w:sz w:val="20"/>
                <w:szCs w:val="20"/>
                <w:color w:val="auto"/>
              </w:rPr>
            </w:pPr>
            <w:r>
              <w:rPr>
                <w:rFonts w:ascii="Arial" w:cs="Arial" w:eastAsia="Arial" w:hAnsi="Arial"/>
                <w:sz w:val="16"/>
                <w:szCs w:val="16"/>
                <w:color w:val="auto"/>
              </w:rPr>
              <w:t>A. Sandrock</w:t>
            </w:r>
            <w:r>
              <w:rPr>
                <w:rFonts w:ascii="Arial" w:cs="Arial" w:eastAsia="Arial" w:hAnsi="Arial"/>
                <w:sz w:val="27"/>
                <w:szCs w:val="27"/>
                <w:color w:val="auto"/>
                <w:vertAlign w:val="superscript"/>
              </w:rPr>
              <w:t>(1)</w:t>
            </w:r>
          </w:p>
        </w:tc>
        <w:tc>
          <w:tcPr>
            <w:tcW w:w="1680" w:type="dxa"/>
            <w:vAlign w:val="bottom"/>
            <w:shd w:val="clear" w:color="auto" w:fill="E8F0F8"/>
          </w:tcPr>
          <w:p>
            <w:pPr>
              <w:jc w:val="right"/>
              <w:ind w:right="139"/>
              <w:spacing w:after="0"/>
              <w:rPr>
                <w:sz w:val="20"/>
                <w:szCs w:val="20"/>
                <w:color w:val="auto"/>
              </w:rPr>
            </w:pPr>
            <w:r>
              <w:rPr>
                <w:rFonts w:ascii="Arial" w:cs="Arial" w:eastAsia="Arial" w:hAnsi="Arial"/>
                <w:sz w:val="16"/>
                <w:szCs w:val="16"/>
                <w:color w:val="auto"/>
              </w:rPr>
              <w:t>80%</w:t>
            </w:r>
          </w:p>
        </w:tc>
        <w:tc>
          <w:tcPr>
            <w:tcW w:w="1300" w:type="dxa"/>
            <w:vAlign w:val="bottom"/>
            <w:shd w:val="clear" w:color="auto" w:fill="E8F0F8"/>
          </w:tcPr>
          <w:p>
            <w:pPr>
              <w:jc w:val="right"/>
              <w:ind w:right="139"/>
              <w:spacing w:after="0"/>
              <w:rPr>
                <w:sz w:val="20"/>
                <w:szCs w:val="20"/>
                <w:color w:val="auto"/>
              </w:rPr>
            </w:pPr>
            <w:r>
              <w:rPr>
                <w:rFonts w:ascii="Arial" w:cs="Arial" w:eastAsia="Arial" w:hAnsi="Arial"/>
                <w:sz w:val="16"/>
                <w:szCs w:val="16"/>
                <w:color w:val="auto"/>
              </w:rPr>
              <w:t>75%</w:t>
            </w:r>
          </w:p>
        </w:tc>
      </w:tr>
      <w:tr>
        <w:trPr>
          <w:trHeight w:val="284"/>
        </w:trPr>
        <w:tc>
          <w:tcPr>
            <w:tcW w:w="23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S. Alexander</w:t>
            </w:r>
          </w:p>
        </w:tc>
        <w:tc>
          <w:tcPr>
            <w:tcW w:w="1680" w:type="dxa"/>
            <w:vAlign w:val="bottom"/>
            <w:shd w:val="clear" w:color="auto" w:fill="BAD3EA"/>
          </w:tcPr>
          <w:p>
            <w:pPr>
              <w:jc w:val="right"/>
              <w:ind w:right="139"/>
              <w:spacing w:after="0"/>
              <w:rPr>
                <w:sz w:val="20"/>
                <w:szCs w:val="20"/>
                <w:color w:val="auto"/>
              </w:rPr>
            </w:pPr>
            <w:r>
              <w:rPr>
                <w:rFonts w:ascii="Arial" w:cs="Arial" w:eastAsia="Arial" w:hAnsi="Arial"/>
                <w:sz w:val="16"/>
                <w:szCs w:val="16"/>
                <w:color w:val="auto"/>
              </w:rPr>
              <w:t>75%</w:t>
            </w:r>
          </w:p>
        </w:tc>
        <w:tc>
          <w:tcPr>
            <w:tcW w:w="1300" w:type="dxa"/>
            <w:vAlign w:val="bottom"/>
            <w:shd w:val="clear" w:color="auto" w:fill="BAD3EA"/>
          </w:tcPr>
          <w:p>
            <w:pPr>
              <w:jc w:val="right"/>
              <w:ind w:right="139"/>
              <w:spacing w:after="0"/>
              <w:rPr>
                <w:sz w:val="20"/>
                <w:szCs w:val="20"/>
                <w:color w:val="auto"/>
              </w:rPr>
            </w:pPr>
            <w:r>
              <w:rPr>
                <w:rFonts w:ascii="Arial" w:cs="Arial" w:eastAsia="Arial" w:hAnsi="Arial"/>
                <w:sz w:val="16"/>
                <w:szCs w:val="16"/>
                <w:color w:val="auto"/>
              </w:rPr>
              <w:t>70%</w:t>
            </w:r>
          </w:p>
        </w:tc>
      </w:tr>
      <w:tr>
        <w:trPr>
          <w:trHeight w:val="277"/>
        </w:trPr>
        <w:tc>
          <w:tcPr>
            <w:tcW w:w="230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rPr>
              <w:t>C. Guindo</w:t>
            </w:r>
          </w:p>
        </w:tc>
        <w:tc>
          <w:tcPr>
            <w:tcW w:w="1680" w:type="dxa"/>
            <w:vAlign w:val="bottom"/>
            <w:tcBorders>
              <w:bottom w:val="single" w:sz="8" w:color="auto"/>
            </w:tcBorders>
            <w:shd w:val="clear" w:color="auto" w:fill="E8F0F8"/>
          </w:tcPr>
          <w:p>
            <w:pPr>
              <w:jc w:val="right"/>
              <w:ind w:right="139"/>
              <w:spacing w:after="0"/>
              <w:rPr>
                <w:sz w:val="20"/>
                <w:szCs w:val="20"/>
                <w:color w:val="auto"/>
              </w:rPr>
            </w:pPr>
            <w:r>
              <w:rPr>
                <w:rFonts w:ascii="Arial" w:cs="Arial" w:eastAsia="Arial" w:hAnsi="Arial"/>
                <w:sz w:val="16"/>
                <w:szCs w:val="16"/>
                <w:color w:val="auto"/>
              </w:rPr>
              <w:t>75%</w:t>
            </w:r>
          </w:p>
        </w:tc>
        <w:tc>
          <w:tcPr>
            <w:tcW w:w="1300" w:type="dxa"/>
            <w:vAlign w:val="bottom"/>
            <w:tcBorders>
              <w:bottom w:val="single" w:sz="8" w:color="auto"/>
            </w:tcBorders>
            <w:shd w:val="clear" w:color="auto" w:fill="E8F0F8"/>
          </w:tcPr>
          <w:p>
            <w:pPr>
              <w:jc w:val="right"/>
              <w:ind w:right="139"/>
              <w:spacing w:after="0"/>
              <w:rPr>
                <w:sz w:val="20"/>
                <w:szCs w:val="20"/>
                <w:color w:val="auto"/>
              </w:rPr>
            </w:pPr>
            <w:r>
              <w:rPr>
                <w:rFonts w:ascii="Arial" w:cs="Arial" w:eastAsia="Arial" w:hAnsi="Arial"/>
                <w:sz w:val="16"/>
                <w:szCs w:val="16"/>
                <w:color w:val="auto"/>
              </w:rPr>
              <w:t>70%</w:t>
            </w:r>
          </w:p>
        </w:tc>
      </w:tr>
    </w:tbl>
    <w:p>
      <w:pPr>
        <w:spacing w:after="0" w:line="112" w:lineRule="exact"/>
        <w:rPr>
          <w:sz w:val="20"/>
          <w:szCs w:val="20"/>
          <w:color w:val="auto"/>
        </w:rPr>
      </w:pPr>
    </w:p>
    <w:p>
      <w:pPr>
        <w:ind w:left="340" w:right="120" w:hanging="224"/>
        <w:spacing w:after="0" w:line="285"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 and, as a result, was ineligible for a payout under our 2021 annual bonus plan.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2021 Annual Bonus Plan Design</w:t>
      </w:r>
    </w:p>
    <w:p>
      <w:pPr>
        <w:spacing w:after="0" w:line="111"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Awards for our NEOs under our 2021 annual bonus plan were based on the achievement of Company performance goals and individual performance goals.</w:t>
      </w:r>
    </w:p>
    <w:p>
      <w:pPr>
        <w:spacing w:after="0" w:line="63"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At the beginning of 2021 our C&amp;MD Committee set multiple Company performance goals for our 2021 annual bonus plan and a payout multiplier, which we refer to as the Company Multiplier, ranging from 0% to 150%. The Company Multiplier, subject to adjustment by the C&amp;MD Committee, was applied to each Company goal based on the determination of the level of achievement of each goal and application of the weighting assigned to each goal to determine the total Company Multiplier applied to the bonus calculation.</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Multiplier ranged from 0% to 150% as follows: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18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Performance</w:t>
            </w:r>
          </w:p>
        </w:tc>
        <w:tc>
          <w:tcPr>
            <w:tcW w:w="112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Below</w:t>
            </w:r>
          </w:p>
        </w:tc>
        <w:tc>
          <w:tcPr>
            <w:tcW w:w="98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580" w:type="dxa"/>
            <w:vAlign w:val="bottom"/>
            <w:shd w:val="clear" w:color="auto" w:fill="1A6DBB"/>
          </w:tcPr>
          <w:p>
            <w:pPr>
              <w:spacing w:after="0"/>
              <w:rPr>
                <w:sz w:val="14"/>
                <w:szCs w:val="14"/>
                <w:color w:val="auto"/>
              </w:rPr>
            </w:pPr>
          </w:p>
        </w:tc>
      </w:tr>
      <w:tr>
        <w:trPr>
          <w:trHeight w:val="185"/>
        </w:trPr>
        <w:tc>
          <w:tcPr>
            <w:tcW w:w="18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Multipliers</w:t>
            </w:r>
          </w:p>
        </w:tc>
        <w:tc>
          <w:tcPr>
            <w:tcW w:w="112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Threshold</w:t>
            </w:r>
          </w:p>
        </w:tc>
        <w:tc>
          <w:tcPr>
            <w:tcW w:w="98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Threshold</w:t>
            </w:r>
          </w:p>
        </w:tc>
        <w:tc>
          <w:tcPr>
            <w:tcW w:w="740" w:type="dxa"/>
            <w:vAlign w:val="bottom"/>
            <w:shd w:val="clear" w:color="auto" w:fill="1A6DBB"/>
          </w:tcPr>
          <w:p>
            <w:pPr>
              <w:ind w:left="160"/>
              <w:spacing w:after="0"/>
              <w:rPr>
                <w:sz w:val="20"/>
                <w:szCs w:val="20"/>
                <w:color w:val="auto"/>
              </w:rPr>
            </w:pPr>
            <w:r>
              <w:rPr>
                <w:rFonts w:ascii="Arial" w:cs="Arial" w:eastAsia="Arial" w:hAnsi="Arial"/>
                <w:sz w:val="14"/>
                <w:szCs w:val="14"/>
                <w:color w:val="FFFFFF"/>
              </w:rPr>
              <w:t>Target</w:t>
            </w:r>
          </w:p>
        </w:tc>
        <w:tc>
          <w:tcPr>
            <w:tcW w:w="580" w:type="dxa"/>
            <w:vAlign w:val="bottom"/>
            <w:shd w:val="clear" w:color="auto" w:fill="1A6DBB"/>
          </w:tcPr>
          <w:p>
            <w:pPr>
              <w:jc w:val="center"/>
              <w:ind w:left="84"/>
              <w:spacing w:after="0"/>
              <w:rPr>
                <w:sz w:val="20"/>
                <w:szCs w:val="20"/>
                <w:color w:val="auto"/>
              </w:rPr>
            </w:pPr>
            <w:r>
              <w:rPr>
                <w:rFonts w:ascii="Arial" w:cs="Arial" w:eastAsia="Arial" w:hAnsi="Arial"/>
                <w:sz w:val="14"/>
                <w:szCs w:val="14"/>
                <w:color w:val="FFFFFF"/>
                <w:w w:val="98"/>
              </w:rPr>
              <w:t>Max</w:t>
            </w:r>
          </w:p>
        </w:tc>
      </w:tr>
      <w:tr>
        <w:trPr>
          <w:trHeight w:val="189"/>
        </w:trPr>
        <w:tc>
          <w:tcPr>
            <w:tcW w:w="186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rPr>
              <w:t>Company</w:t>
            </w:r>
          </w:p>
        </w:tc>
        <w:tc>
          <w:tcPr>
            <w:tcW w:w="1120" w:type="dxa"/>
            <w:vAlign w:val="bottom"/>
            <w:tcBorders>
              <w:bottom w:val="single" w:sz="8" w:color="auto"/>
            </w:tcBorders>
            <w:shd w:val="clear" w:color="auto" w:fill="E8F0F8"/>
          </w:tcPr>
          <w:p>
            <w:pPr>
              <w:jc w:val="center"/>
              <w:ind w:left="85"/>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tcBorders>
            <w:shd w:val="clear" w:color="auto" w:fill="E8F0F8"/>
          </w:tcPr>
          <w:p>
            <w:pPr>
              <w:jc w:val="right"/>
              <w:ind w:right="244"/>
              <w:spacing w:after="0"/>
              <w:rPr>
                <w:sz w:val="20"/>
                <w:szCs w:val="20"/>
                <w:color w:val="auto"/>
              </w:rPr>
            </w:pPr>
            <w:r>
              <w:rPr>
                <w:rFonts w:ascii="Arial" w:cs="Arial" w:eastAsia="Arial" w:hAnsi="Arial"/>
                <w:sz w:val="16"/>
                <w:szCs w:val="16"/>
                <w:color w:val="auto"/>
              </w:rPr>
              <w:t>50%</w:t>
            </w:r>
          </w:p>
        </w:tc>
        <w:tc>
          <w:tcPr>
            <w:tcW w:w="740" w:type="dxa"/>
            <w:vAlign w:val="bottom"/>
            <w:tcBorders>
              <w:bottom w:val="single" w:sz="8" w:color="auto"/>
            </w:tcBorders>
            <w:shd w:val="clear" w:color="auto" w:fill="E8F0F8"/>
          </w:tcPr>
          <w:p>
            <w:pPr>
              <w:ind w:left="160"/>
              <w:spacing w:after="0"/>
              <w:rPr>
                <w:sz w:val="20"/>
                <w:szCs w:val="20"/>
                <w:color w:val="auto"/>
              </w:rPr>
            </w:pPr>
            <w:r>
              <w:rPr>
                <w:rFonts w:ascii="Arial" w:cs="Arial" w:eastAsia="Arial" w:hAnsi="Arial"/>
                <w:sz w:val="16"/>
                <w:szCs w:val="16"/>
                <w:color w:val="auto"/>
              </w:rPr>
              <w:t>100%</w:t>
            </w:r>
          </w:p>
        </w:tc>
        <w:tc>
          <w:tcPr>
            <w:tcW w:w="58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150%</w:t>
            </w:r>
          </w:p>
        </w:tc>
      </w:tr>
    </w:tbl>
    <w:p>
      <w:pPr>
        <w:spacing w:after="0" w:line="94"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In addition, our 2021 annual bonus plan payouts were based on an assessment of each NEO’s individual performance, taking into account his or her achievement of pre-determined individual performance goals. Evaluating individual performance allows our C&amp;MD Committee (or our</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47 </w:t>
      </w:r>
      <w:r>
        <w:rPr>
          <w:sz w:val="1"/>
          <w:szCs w:val="1"/>
          <w:color w:val="auto"/>
        </w:rPr>
        <w:drawing>
          <wp:inline distT="0" distB="0" distL="0" distR="0">
            <wp:extent cx="38735" cy="19685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determined the individual annual bonus payments for 2021 using the following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2580005" cy="402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8000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2021 annual bonus plan provided that if the Company Multiplier was less than 50%, there would be no payout, regardless of individual performance, consistent with our pay-for-performance philosophy. Further, because the Individual Multiplier and the Company Multiplier each have a maximum of 150%, the combined multiplier result for each NEO could not exceed 225% of target.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2021 Company Performance Goals and Results</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Company performance goals were established in the early part of 2021 with assigned weightings that reflected the Company’s focus on attaining both financial and strategic goals (pipeline performance, MS trust &amp; value, prepare for Alzheimer’s disease leadership, biosimilars expansion, digital health initiatives and ESG goals).</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goals and weightings selected reflect the importance of linking reward opportunities to both near-term results and our progress in achieving longer-term goals.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strategic performance goals selected in 2021 were designed to measure the achievement of our annual strategic priorities relating to our commercial opportunities and pipeline progress. Our financial performance goals were based on the Company’s annual operating plan and long-range plan approved by our Board of Directors and with reference to analyst consensus for Biogen revenue and Non-GAAP diluted earnings per share (EPS) based on the most current analyst reports at the time we set our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613410</wp:posOffset>
            </wp:positionV>
            <wp:extent cx="102870" cy="946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400" w:space="340"/>
            <w:col w:w="5340"/>
          </w:cols>
          <w:pgMar w:left="320" w:top="455" w:right="4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following table presents our financial targets relative to analysts’ consensus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47625</wp:posOffset>
            </wp:positionV>
            <wp:extent cx="2580005" cy="22631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80005" cy="2263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06" w:right="200" w:hanging="206"/>
        <w:spacing w:after="0" w:line="210" w:lineRule="auto"/>
        <w:tabs>
          <w:tab w:leader="none" w:pos="206" w:val="left"/>
        </w:tabs>
        <w:numPr>
          <w:ilvl w:val="0"/>
          <w:numId w:val="106"/>
        </w:numPr>
        <w:rPr>
          <w:rFonts w:ascii="Arial" w:cs="Arial" w:eastAsia="Arial" w:hAnsi="Arial"/>
          <w:sz w:val="25"/>
          <w:szCs w:val="25"/>
          <w:color w:val="auto"/>
          <w:vertAlign w:val="superscript"/>
        </w:rPr>
      </w:pPr>
      <w:r>
        <w:rPr>
          <w:rFonts w:ascii="Arial" w:cs="Arial" w:eastAsia="Arial" w:hAnsi="Arial"/>
          <w:sz w:val="15"/>
          <w:szCs w:val="15"/>
          <w:color w:val="auto"/>
        </w:rPr>
        <w:t>Please see “2021 Annual Bonus Plan Company Performance Targets and Results Table” below for more details.</w:t>
      </w:r>
    </w:p>
    <w:p>
      <w:pPr>
        <w:spacing w:after="0" w:line="97" w:lineRule="exact"/>
        <w:rPr>
          <w:rFonts w:ascii="Arial" w:cs="Arial" w:eastAsia="Arial" w:hAnsi="Arial"/>
          <w:sz w:val="25"/>
          <w:szCs w:val="25"/>
          <w:color w:val="auto"/>
          <w:vertAlign w:val="superscript"/>
        </w:rPr>
      </w:pPr>
    </w:p>
    <w:p>
      <w:pPr>
        <w:ind w:left="206" w:right="480" w:hanging="206"/>
        <w:spacing w:after="0" w:line="210" w:lineRule="auto"/>
        <w:tabs>
          <w:tab w:leader="none" w:pos="206" w:val="left"/>
        </w:tabs>
        <w:numPr>
          <w:ilvl w:val="0"/>
          <w:numId w:val="106"/>
        </w:numPr>
        <w:rPr>
          <w:rFonts w:ascii="Arial" w:cs="Arial" w:eastAsia="Arial" w:hAnsi="Arial"/>
          <w:sz w:val="25"/>
          <w:szCs w:val="25"/>
          <w:color w:val="auto"/>
          <w:vertAlign w:val="superscript"/>
        </w:rPr>
      </w:pPr>
      <w:r>
        <w:rPr>
          <w:rFonts w:ascii="Arial" w:cs="Arial" w:eastAsia="Arial" w:hAnsi="Arial"/>
          <w:sz w:val="15"/>
          <w:szCs w:val="15"/>
          <w:color w:val="auto"/>
        </w:rPr>
        <w:t>Wall Street figures reflect estimates made in January 2021 for the Biogen fiscal year ending December 31, 2021.</w:t>
      </w:r>
    </w:p>
    <w:p>
      <w:pPr>
        <w:spacing w:after="0" w:line="24" w:lineRule="exact"/>
        <w:rPr>
          <w:rFonts w:ascii="Arial" w:cs="Arial" w:eastAsia="Arial" w:hAnsi="Arial"/>
          <w:sz w:val="25"/>
          <w:szCs w:val="25"/>
          <w:color w:val="auto"/>
          <w:vertAlign w:val="superscript"/>
        </w:rPr>
      </w:pPr>
    </w:p>
    <w:p>
      <w:pPr>
        <w:ind w:left="206" w:hanging="206"/>
        <w:spacing w:after="0"/>
        <w:tabs>
          <w:tab w:leader="none" w:pos="206" w:val="left"/>
        </w:tabs>
        <w:numPr>
          <w:ilvl w:val="0"/>
          <w:numId w:val="106"/>
        </w:numPr>
        <w:rPr>
          <w:rFonts w:ascii="Arial" w:cs="Arial" w:eastAsia="Arial" w:hAnsi="Arial"/>
          <w:sz w:val="25"/>
          <w:szCs w:val="25"/>
          <w:color w:val="auto"/>
          <w:vertAlign w:val="superscript"/>
        </w:rPr>
      </w:pPr>
      <w:r>
        <w:rPr>
          <w:rFonts w:ascii="Arial" w:cs="Arial" w:eastAsia="Arial" w:hAnsi="Arial"/>
          <w:sz w:val="15"/>
          <w:szCs w:val="15"/>
          <w:color w:val="auto"/>
        </w:rPr>
        <w:t>Reflects Non-GAAP diluted EPS.</w:t>
      </w:r>
    </w:p>
    <w:p>
      <w:pPr>
        <w:spacing w:after="0" w:line="200" w:lineRule="exact"/>
        <w:rPr>
          <w:sz w:val="20"/>
          <w:szCs w:val="20"/>
          <w:color w:val="auto"/>
        </w:rPr>
      </w:pPr>
    </w:p>
    <w:p>
      <w:pPr>
        <w:sectPr>
          <w:pgSz w:w="11900" w:h="16838" w:orient="portrait"/>
          <w:cols w:equalWidth="0" w:num="2">
            <w:col w:w="5020" w:space="714"/>
            <w:col w:w="5386"/>
          </w:cols>
          <w:pgMar w:left="32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1A6DBB"/>
        </w:rPr>
        <w:t>2021 Annual Bonus Plan Company Performance Targets and Results Table</w:t>
      </w:r>
    </w:p>
    <w:p>
      <w:pPr>
        <w:spacing w:after="0" w:line="10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C&amp;MD Committee established the Company performance goals at the beginning of the year based on preliminary projections for 2021, based on certain assumptions regarding the impact of continued TECFIDERA generic entrants in the U.S. market and further progress on Alzheimer’s disease market uptake. However, we could not predict the impact certain decisions by regulatory agencies, such as the FDA and Centers for Medicare &amp; Medicaid Services, would have on our 2021 performance results as they related to our Alzheimer’s disease leadership goals. Financial targets for 2021 were set below the financial targets for 2020, primarily due to the continued impact of TECFIDERA generic entrants with deeply discounted prices. Notwithstanding, given the rigorous business planning review that accompanies the goal setting process, the C&amp;MD Committee believes that the goals were stretch and appropriately difficult to attain.</w:t>
      </w:r>
    </w:p>
    <w:p>
      <w:pPr>
        <w:spacing w:after="0" w:line="181"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While the Company continued to expand and re-shape its pipeline of pre-clinical and clinical stage programs through the advancement of internal programs, external business development activities, and ultimately exceeded expectations with respect to the level of confidence and momentum of its clinical stage portfolio, based on our performance results for 2021 (see 2021 Business Performance section of this CD&amp;A) and the specific outcomes related to our Alzheimer’s disease leadership goals, the C&amp;MD Committee approved several adjustments to final award results.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48 </w:t>
      </w:r>
      <w:r>
        <w:rPr>
          <w:sz w:val="1"/>
          <w:szCs w:val="1"/>
          <w:color w:val="auto"/>
        </w:rPr>
        <w:drawing>
          <wp:inline distT="0" distB="0" distL="0" distR="0">
            <wp:extent cx="38735" cy="19685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07"/>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6"/>
          <w:szCs w:val="16"/>
          <w:color w:val="auto"/>
        </w:rPr>
        <w:t>The C&amp;MD Committee is committed to ensuring that award payouts are reflective of our performance outcomes, aligned with stockholder experience and hold the members of our Executive Committee, which includes all our NEOs, accountable for the Company’s business performance compared to original goals. To this end, the C&amp;MD Committee used its discretion to decrease the overall Company Multiplier for the Executive Committee (including all NEOs) to 100%.</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80" w:type="dxa"/>
            <w:vAlign w:val="bottom"/>
            <w:shd w:val="clear" w:color="auto" w:fill="1A6DBB"/>
          </w:tcPr>
          <w:p>
            <w:pPr>
              <w:spacing w:after="0"/>
              <w:rPr>
                <w:sz w:val="15"/>
                <w:szCs w:val="15"/>
                <w:color w:val="auto"/>
              </w:rPr>
            </w:pPr>
          </w:p>
        </w:tc>
        <w:tc>
          <w:tcPr>
            <w:tcW w:w="840" w:type="dxa"/>
            <w:vAlign w:val="bottom"/>
            <w:shd w:val="clear" w:color="auto" w:fill="1A6DBB"/>
          </w:tcPr>
          <w:p>
            <w:pPr>
              <w:spacing w:after="0"/>
              <w:rPr>
                <w:sz w:val="15"/>
                <w:szCs w:val="15"/>
                <w:color w:val="auto"/>
              </w:rPr>
            </w:pPr>
          </w:p>
        </w:tc>
        <w:tc>
          <w:tcPr>
            <w:tcW w:w="300" w:type="dxa"/>
            <w:vAlign w:val="bottom"/>
            <w:shd w:val="clear" w:color="auto" w:fill="1A6DBB"/>
          </w:tcPr>
          <w:p>
            <w:pPr>
              <w:spacing w:after="0"/>
              <w:rPr>
                <w:sz w:val="15"/>
                <w:szCs w:val="15"/>
                <w:color w:val="auto"/>
              </w:rPr>
            </w:pPr>
          </w:p>
        </w:tc>
        <w:tc>
          <w:tcPr>
            <w:tcW w:w="1960" w:type="dxa"/>
            <w:vAlign w:val="bottom"/>
            <w:gridSpan w:val="4"/>
            <w:shd w:val="clear" w:color="auto" w:fill="1A6DBB"/>
          </w:tcPr>
          <w:p>
            <w:pPr>
              <w:jc w:val="right"/>
              <w:spacing w:after="0"/>
              <w:rPr>
                <w:sz w:val="20"/>
                <w:szCs w:val="20"/>
                <w:color w:val="auto"/>
              </w:rPr>
            </w:pPr>
            <w:r>
              <w:rPr>
                <w:rFonts w:ascii="Arial" w:cs="Arial" w:eastAsia="Arial" w:hAnsi="Arial"/>
                <w:sz w:val="14"/>
                <w:szCs w:val="14"/>
                <w:color w:val="FFFFFF"/>
              </w:rPr>
              <w:t>Performance Range</w:t>
            </w:r>
          </w:p>
        </w:tc>
        <w:tc>
          <w:tcPr>
            <w:tcW w:w="760" w:type="dxa"/>
            <w:vAlign w:val="bottom"/>
            <w:shd w:val="clear" w:color="auto" w:fill="1A6DBB"/>
          </w:tcPr>
          <w:p>
            <w:pPr>
              <w:spacing w:after="0"/>
              <w:rPr>
                <w:sz w:val="15"/>
                <w:szCs w:val="15"/>
                <w:color w:val="auto"/>
              </w:rPr>
            </w:pPr>
          </w:p>
        </w:tc>
        <w:tc>
          <w:tcPr>
            <w:tcW w:w="220" w:type="dxa"/>
            <w:vAlign w:val="bottom"/>
            <w:shd w:val="clear" w:color="auto" w:fill="1A6DBB"/>
          </w:tcPr>
          <w:p>
            <w:pPr>
              <w:spacing w:after="0"/>
              <w:rPr>
                <w:sz w:val="15"/>
                <w:szCs w:val="15"/>
                <w:color w:val="auto"/>
              </w:rPr>
            </w:pPr>
          </w:p>
        </w:tc>
        <w:tc>
          <w:tcPr>
            <w:tcW w:w="840" w:type="dxa"/>
            <w:vAlign w:val="bottom"/>
            <w:shd w:val="clear" w:color="auto" w:fill="1A6DBB"/>
          </w:tcPr>
          <w:p>
            <w:pPr>
              <w:spacing w:after="0"/>
              <w:rPr>
                <w:sz w:val="15"/>
                <w:szCs w:val="15"/>
                <w:color w:val="auto"/>
              </w:rPr>
            </w:pPr>
          </w:p>
        </w:tc>
        <w:tc>
          <w:tcPr>
            <w:tcW w:w="1020" w:type="dxa"/>
            <w:vAlign w:val="bottom"/>
            <w:vMerge w:val="restart"/>
            <w:shd w:val="clear" w:color="auto" w:fill="1A6DBB"/>
          </w:tcPr>
          <w:p>
            <w:pPr>
              <w:jc w:val="right"/>
              <w:ind w:right="261"/>
              <w:spacing w:after="0"/>
              <w:rPr>
                <w:sz w:val="20"/>
                <w:szCs w:val="20"/>
                <w:color w:val="auto"/>
              </w:rPr>
            </w:pPr>
            <w:r>
              <w:rPr>
                <w:rFonts w:ascii="Arial" w:cs="Arial" w:eastAsia="Arial" w:hAnsi="Arial"/>
                <w:sz w:val="14"/>
                <w:szCs w:val="14"/>
                <w:color w:val="FFFFFF"/>
              </w:rPr>
              <w:t>Company</w:t>
            </w:r>
          </w:p>
        </w:tc>
        <w:tc>
          <w:tcPr>
            <w:tcW w:w="0" w:type="dxa"/>
            <w:vAlign w:val="bottom"/>
          </w:tcPr>
          <w:p>
            <w:pPr>
              <w:spacing w:after="0"/>
              <w:rPr>
                <w:sz w:val="1"/>
                <w:szCs w:val="1"/>
                <w:color w:val="auto"/>
              </w:rPr>
            </w:pPr>
          </w:p>
        </w:tc>
      </w:tr>
      <w:tr>
        <w:trPr>
          <w:trHeight w:val="166"/>
        </w:trPr>
        <w:tc>
          <w:tcPr>
            <w:tcW w:w="5080" w:type="dxa"/>
            <w:vAlign w:val="bottom"/>
            <w:shd w:val="clear" w:color="auto" w:fill="1A6DBB"/>
          </w:tcPr>
          <w:p>
            <w:pPr>
              <w:spacing w:after="0"/>
              <w:rPr>
                <w:sz w:val="14"/>
                <w:szCs w:val="14"/>
                <w:color w:val="auto"/>
              </w:rPr>
            </w:pPr>
          </w:p>
        </w:tc>
        <w:tc>
          <w:tcPr>
            <w:tcW w:w="840" w:type="dxa"/>
            <w:vAlign w:val="bottom"/>
            <w:shd w:val="clear" w:color="auto" w:fill="1A6DBB"/>
          </w:tcPr>
          <w:p>
            <w:pPr>
              <w:spacing w:after="0"/>
              <w:rPr>
                <w:sz w:val="14"/>
                <w:szCs w:val="14"/>
                <w:color w:val="auto"/>
              </w:rPr>
            </w:pPr>
          </w:p>
        </w:tc>
        <w:tc>
          <w:tcPr>
            <w:tcW w:w="30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22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22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220" w:type="dxa"/>
            <w:vAlign w:val="bottom"/>
            <w:shd w:val="clear" w:color="auto" w:fill="1A6DBB"/>
          </w:tcPr>
          <w:p>
            <w:pPr>
              <w:spacing w:after="0"/>
              <w:rPr>
                <w:sz w:val="14"/>
                <w:szCs w:val="14"/>
                <w:color w:val="auto"/>
              </w:rPr>
            </w:pPr>
          </w:p>
        </w:tc>
        <w:tc>
          <w:tcPr>
            <w:tcW w:w="840" w:type="dxa"/>
            <w:vAlign w:val="bottom"/>
            <w:shd w:val="clear" w:color="auto" w:fill="1A6DBB"/>
          </w:tcPr>
          <w:p>
            <w:pPr>
              <w:spacing w:after="0"/>
              <w:rPr>
                <w:sz w:val="14"/>
                <w:szCs w:val="14"/>
                <w:color w:val="auto"/>
              </w:rPr>
            </w:pPr>
          </w:p>
        </w:tc>
        <w:tc>
          <w:tcPr>
            <w:tcW w:w="1020" w:type="dxa"/>
            <w:vAlign w:val="bottom"/>
            <w:vMerge w:val="continue"/>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1A6DBB"/>
          </w:tcPr>
          <w:p>
            <w:pPr>
              <w:spacing w:after="0"/>
              <w:rPr>
                <w:sz w:val="20"/>
                <w:szCs w:val="20"/>
                <w:color w:val="auto"/>
              </w:rPr>
            </w:pPr>
            <w:r>
              <w:rPr>
                <w:rFonts w:ascii="Arial" w:cs="Arial" w:eastAsia="Arial" w:hAnsi="Arial"/>
                <w:sz w:val="14"/>
                <w:szCs w:val="14"/>
                <w:color w:val="FFFFFF"/>
              </w:rPr>
              <w:t>Company Goals</w:t>
            </w:r>
          </w:p>
        </w:tc>
        <w:tc>
          <w:tcPr>
            <w:tcW w:w="840" w:type="dxa"/>
            <w:vAlign w:val="bottom"/>
            <w:shd w:val="clear" w:color="auto" w:fill="1A6DBB"/>
          </w:tcPr>
          <w:p>
            <w:pPr>
              <w:jc w:val="right"/>
              <w:ind w:right="120"/>
              <w:spacing w:after="0"/>
              <w:rPr>
                <w:sz w:val="20"/>
                <w:szCs w:val="20"/>
                <w:color w:val="auto"/>
              </w:rPr>
            </w:pPr>
            <w:r>
              <w:rPr>
                <w:rFonts w:ascii="Arial" w:cs="Arial" w:eastAsia="Arial" w:hAnsi="Arial"/>
                <w:sz w:val="14"/>
                <w:szCs w:val="14"/>
                <w:color w:val="FFFFFF"/>
              </w:rPr>
              <w:t>Weight</w:t>
            </w:r>
          </w:p>
        </w:tc>
        <w:tc>
          <w:tcPr>
            <w:tcW w:w="1060" w:type="dxa"/>
            <w:vAlign w:val="bottom"/>
            <w:gridSpan w:val="2"/>
            <w:shd w:val="clear" w:color="auto" w:fill="1A6DBB"/>
          </w:tcPr>
          <w:p>
            <w:pPr>
              <w:jc w:val="right"/>
              <w:ind w:right="99"/>
              <w:spacing w:after="0"/>
              <w:rPr>
                <w:sz w:val="20"/>
                <w:szCs w:val="20"/>
                <w:color w:val="auto"/>
              </w:rPr>
            </w:pPr>
            <w:r>
              <w:rPr>
                <w:rFonts w:ascii="Arial" w:cs="Arial" w:eastAsia="Arial" w:hAnsi="Arial"/>
                <w:sz w:val="14"/>
                <w:szCs w:val="14"/>
                <w:color w:val="FFFFFF"/>
              </w:rPr>
              <w:t>Threshold</w:t>
            </w:r>
          </w:p>
        </w:tc>
        <w:tc>
          <w:tcPr>
            <w:tcW w:w="220" w:type="dxa"/>
            <w:vAlign w:val="bottom"/>
            <w:shd w:val="clear" w:color="auto" w:fill="1A6DBB"/>
          </w:tcPr>
          <w:p>
            <w:pPr>
              <w:spacing w:after="0"/>
              <w:rPr>
                <w:sz w:val="16"/>
                <w:szCs w:val="16"/>
                <w:color w:val="auto"/>
              </w:rPr>
            </w:pPr>
          </w:p>
        </w:tc>
        <w:tc>
          <w:tcPr>
            <w:tcW w:w="760" w:type="dxa"/>
            <w:vAlign w:val="bottom"/>
            <w:shd w:val="clear" w:color="auto" w:fill="1A6DBB"/>
          </w:tcPr>
          <w:p>
            <w:pPr>
              <w:jc w:val="right"/>
              <w:ind w:right="201"/>
              <w:spacing w:after="0"/>
              <w:rPr>
                <w:sz w:val="20"/>
                <w:szCs w:val="20"/>
                <w:color w:val="auto"/>
              </w:rPr>
            </w:pPr>
            <w:r>
              <w:rPr>
                <w:rFonts w:ascii="Arial" w:cs="Arial" w:eastAsia="Arial" w:hAnsi="Arial"/>
                <w:sz w:val="14"/>
                <w:szCs w:val="14"/>
                <w:color w:val="FFFFFF"/>
              </w:rPr>
              <w:t>Target</w:t>
            </w:r>
          </w:p>
        </w:tc>
        <w:tc>
          <w:tcPr>
            <w:tcW w:w="220" w:type="dxa"/>
            <w:vAlign w:val="bottom"/>
            <w:shd w:val="clear" w:color="auto" w:fill="1A6DBB"/>
          </w:tcPr>
          <w:p>
            <w:pPr>
              <w:spacing w:after="0"/>
              <w:rPr>
                <w:sz w:val="16"/>
                <w:szCs w:val="16"/>
                <w:color w:val="auto"/>
              </w:rPr>
            </w:pPr>
          </w:p>
        </w:tc>
        <w:tc>
          <w:tcPr>
            <w:tcW w:w="760" w:type="dxa"/>
            <w:vAlign w:val="bottom"/>
            <w:shd w:val="clear" w:color="auto" w:fill="1A6DBB"/>
          </w:tcPr>
          <w:p>
            <w:pPr>
              <w:jc w:val="right"/>
              <w:ind w:right="281"/>
              <w:spacing w:after="0"/>
              <w:rPr>
                <w:sz w:val="20"/>
                <w:szCs w:val="20"/>
                <w:color w:val="auto"/>
              </w:rPr>
            </w:pPr>
            <w:r>
              <w:rPr>
                <w:rFonts w:ascii="Arial" w:cs="Arial" w:eastAsia="Arial" w:hAnsi="Arial"/>
                <w:sz w:val="14"/>
                <w:szCs w:val="14"/>
                <w:color w:val="FFFFFF"/>
              </w:rPr>
              <w:t>Max</w:t>
            </w:r>
          </w:p>
        </w:tc>
        <w:tc>
          <w:tcPr>
            <w:tcW w:w="220" w:type="dxa"/>
            <w:vAlign w:val="bottom"/>
            <w:shd w:val="clear" w:color="auto" w:fill="1A6DBB"/>
          </w:tcPr>
          <w:p>
            <w:pPr>
              <w:spacing w:after="0"/>
              <w:rPr>
                <w:sz w:val="16"/>
                <w:szCs w:val="16"/>
                <w:color w:val="auto"/>
              </w:rPr>
            </w:pPr>
          </w:p>
        </w:tc>
        <w:tc>
          <w:tcPr>
            <w:tcW w:w="840" w:type="dxa"/>
            <w:vAlign w:val="bottom"/>
            <w:shd w:val="clear" w:color="auto" w:fill="1A6DBB"/>
          </w:tcPr>
          <w:p>
            <w:pPr>
              <w:jc w:val="right"/>
              <w:ind w:right="263"/>
              <w:spacing w:after="0"/>
              <w:rPr>
                <w:sz w:val="20"/>
                <w:szCs w:val="20"/>
                <w:color w:val="auto"/>
              </w:rPr>
            </w:pPr>
            <w:r>
              <w:rPr>
                <w:rFonts w:ascii="Arial" w:cs="Arial" w:eastAsia="Arial" w:hAnsi="Arial"/>
                <w:sz w:val="14"/>
                <w:szCs w:val="14"/>
                <w:color w:val="FFFFFF"/>
              </w:rPr>
              <w:t>Results</w:t>
            </w:r>
          </w:p>
        </w:tc>
        <w:tc>
          <w:tcPr>
            <w:tcW w:w="1020" w:type="dxa"/>
            <w:vAlign w:val="bottom"/>
            <w:shd w:val="clear" w:color="auto" w:fill="1A6DBB"/>
          </w:tcPr>
          <w:p>
            <w:pPr>
              <w:jc w:val="right"/>
              <w:ind w:right="281"/>
              <w:spacing w:after="0"/>
              <w:rPr>
                <w:sz w:val="20"/>
                <w:szCs w:val="20"/>
                <w:color w:val="auto"/>
              </w:rPr>
            </w:pPr>
            <w:r>
              <w:rPr>
                <w:rFonts w:ascii="Arial" w:cs="Arial" w:eastAsia="Arial" w:hAnsi="Arial"/>
                <w:sz w:val="14"/>
                <w:szCs w:val="14"/>
                <w:color w:val="FFFFFF"/>
              </w:rPr>
              <w:t>Multiplier</w:t>
            </w:r>
          </w:p>
        </w:tc>
        <w:tc>
          <w:tcPr>
            <w:tcW w:w="0" w:type="dxa"/>
            <w:vAlign w:val="bottom"/>
          </w:tcPr>
          <w:p>
            <w:pPr>
              <w:spacing w:after="0"/>
              <w:rPr>
                <w:sz w:val="1"/>
                <w:szCs w:val="1"/>
                <w:color w:val="auto"/>
              </w:rPr>
            </w:pPr>
          </w:p>
        </w:tc>
      </w:tr>
      <w:tr>
        <w:trPr>
          <w:trHeight w:val="76"/>
        </w:trPr>
        <w:tc>
          <w:tcPr>
            <w:tcW w:w="5080" w:type="dxa"/>
            <w:vAlign w:val="bottom"/>
            <w:shd w:val="clear" w:color="auto" w:fill="1A6DBB"/>
          </w:tcPr>
          <w:p>
            <w:pPr>
              <w:spacing w:after="0"/>
              <w:rPr>
                <w:sz w:val="6"/>
                <w:szCs w:val="6"/>
                <w:color w:val="auto"/>
              </w:rPr>
            </w:pPr>
          </w:p>
        </w:tc>
        <w:tc>
          <w:tcPr>
            <w:tcW w:w="840" w:type="dxa"/>
            <w:vAlign w:val="bottom"/>
            <w:shd w:val="clear" w:color="auto" w:fill="1A6DBB"/>
          </w:tcPr>
          <w:p>
            <w:pPr>
              <w:spacing w:after="0"/>
              <w:rPr>
                <w:sz w:val="6"/>
                <w:szCs w:val="6"/>
                <w:color w:val="auto"/>
              </w:rPr>
            </w:pPr>
          </w:p>
        </w:tc>
        <w:tc>
          <w:tcPr>
            <w:tcW w:w="300" w:type="dxa"/>
            <w:vAlign w:val="bottom"/>
            <w:shd w:val="clear" w:color="auto" w:fill="1A6DBB"/>
          </w:tcPr>
          <w:p>
            <w:pPr>
              <w:spacing w:after="0"/>
              <w:rPr>
                <w:sz w:val="6"/>
                <w:szCs w:val="6"/>
                <w:color w:val="auto"/>
              </w:rPr>
            </w:pPr>
          </w:p>
        </w:tc>
        <w:tc>
          <w:tcPr>
            <w:tcW w:w="760" w:type="dxa"/>
            <w:vAlign w:val="bottom"/>
            <w:shd w:val="clear" w:color="auto" w:fill="1A6DBB"/>
          </w:tcPr>
          <w:p>
            <w:pPr>
              <w:spacing w:after="0"/>
              <w:rPr>
                <w:sz w:val="6"/>
                <w:szCs w:val="6"/>
                <w:color w:val="auto"/>
              </w:rPr>
            </w:pPr>
          </w:p>
        </w:tc>
        <w:tc>
          <w:tcPr>
            <w:tcW w:w="220" w:type="dxa"/>
            <w:vAlign w:val="bottom"/>
            <w:shd w:val="clear" w:color="auto" w:fill="1A6DBB"/>
          </w:tcPr>
          <w:p>
            <w:pPr>
              <w:spacing w:after="0"/>
              <w:rPr>
                <w:sz w:val="6"/>
                <w:szCs w:val="6"/>
                <w:color w:val="auto"/>
              </w:rPr>
            </w:pPr>
          </w:p>
        </w:tc>
        <w:tc>
          <w:tcPr>
            <w:tcW w:w="760" w:type="dxa"/>
            <w:vAlign w:val="bottom"/>
            <w:shd w:val="clear" w:color="auto" w:fill="1A6DBB"/>
          </w:tcPr>
          <w:p>
            <w:pPr>
              <w:spacing w:after="0"/>
              <w:rPr>
                <w:sz w:val="6"/>
                <w:szCs w:val="6"/>
                <w:color w:val="auto"/>
              </w:rPr>
            </w:pPr>
          </w:p>
        </w:tc>
        <w:tc>
          <w:tcPr>
            <w:tcW w:w="220" w:type="dxa"/>
            <w:vAlign w:val="bottom"/>
            <w:shd w:val="clear" w:color="auto" w:fill="1A6DBB"/>
          </w:tcPr>
          <w:p>
            <w:pPr>
              <w:spacing w:after="0"/>
              <w:rPr>
                <w:sz w:val="6"/>
                <w:szCs w:val="6"/>
                <w:color w:val="auto"/>
              </w:rPr>
            </w:pPr>
          </w:p>
        </w:tc>
        <w:tc>
          <w:tcPr>
            <w:tcW w:w="760" w:type="dxa"/>
            <w:vAlign w:val="bottom"/>
            <w:shd w:val="clear" w:color="auto" w:fill="1A6DBB"/>
          </w:tcPr>
          <w:p>
            <w:pPr>
              <w:spacing w:after="0"/>
              <w:rPr>
                <w:sz w:val="6"/>
                <w:szCs w:val="6"/>
                <w:color w:val="auto"/>
              </w:rPr>
            </w:pPr>
          </w:p>
        </w:tc>
        <w:tc>
          <w:tcPr>
            <w:tcW w:w="220" w:type="dxa"/>
            <w:vAlign w:val="bottom"/>
            <w:shd w:val="clear" w:color="auto" w:fill="1A6DBB"/>
          </w:tcPr>
          <w:p>
            <w:pPr>
              <w:spacing w:after="0"/>
              <w:rPr>
                <w:sz w:val="6"/>
                <w:szCs w:val="6"/>
                <w:color w:val="auto"/>
              </w:rPr>
            </w:pPr>
          </w:p>
        </w:tc>
        <w:tc>
          <w:tcPr>
            <w:tcW w:w="840" w:type="dxa"/>
            <w:vAlign w:val="bottom"/>
            <w:shd w:val="clear" w:color="auto" w:fill="1A6DBB"/>
          </w:tcPr>
          <w:p>
            <w:pPr>
              <w:spacing w:after="0"/>
              <w:rPr>
                <w:sz w:val="6"/>
                <w:szCs w:val="6"/>
                <w:color w:val="auto"/>
              </w:rPr>
            </w:pPr>
          </w:p>
        </w:tc>
        <w:tc>
          <w:tcPr>
            <w:tcW w:w="1020" w:type="dxa"/>
            <w:vAlign w:val="bottom"/>
            <w:shd w:val="clear" w:color="auto" w:fill="1A6DBB"/>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FINANCIAL PERFORMANCE</w:t>
            </w:r>
          </w:p>
        </w:tc>
        <w:tc>
          <w:tcPr>
            <w:tcW w:w="840" w:type="dxa"/>
            <w:vAlign w:val="bottom"/>
            <w:shd w:val="clear" w:color="auto" w:fill="BAD3EA"/>
          </w:tcPr>
          <w:p>
            <w:pPr>
              <w:spacing w:after="0"/>
              <w:rPr>
                <w:sz w:val="16"/>
                <w:szCs w:val="16"/>
                <w:color w:val="auto"/>
              </w:rPr>
            </w:pPr>
          </w:p>
        </w:tc>
        <w:tc>
          <w:tcPr>
            <w:tcW w:w="300" w:type="dxa"/>
            <w:vAlign w:val="bottom"/>
            <w:shd w:val="clear" w:color="auto" w:fill="BAD3EA"/>
          </w:tcPr>
          <w:p>
            <w:pPr>
              <w:spacing w:after="0"/>
              <w:rPr>
                <w:sz w:val="16"/>
                <w:szCs w:val="16"/>
                <w:color w:val="auto"/>
              </w:rPr>
            </w:pPr>
          </w:p>
        </w:tc>
        <w:tc>
          <w:tcPr>
            <w:tcW w:w="76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76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76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840" w:type="dxa"/>
            <w:vAlign w:val="bottom"/>
            <w:shd w:val="clear" w:color="auto" w:fill="BAD3EA"/>
          </w:tcPr>
          <w:p>
            <w:pPr>
              <w:spacing w:after="0"/>
              <w:rPr>
                <w:sz w:val="16"/>
                <w:szCs w:val="16"/>
                <w:color w:val="auto"/>
              </w:rPr>
            </w:pPr>
          </w:p>
        </w:tc>
        <w:tc>
          <w:tcPr>
            <w:tcW w:w="1020" w:type="dxa"/>
            <w:vAlign w:val="bottom"/>
            <w:shd w:val="clear" w:color="auto" w:fill="BAD3EA"/>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E8F0F8"/>
          </w:tcPr>
          <w:p>
            <w:pPr>
              <w:ind w:left="60"/>
              <w:spacing w:after="0" w:line="175" w:lineRule="exact"/>
              <w:rPr>
                <w:sz w:val="20"/>
                <w:szCs w:val="20"/>
                <w:color w:val="auto"/>
              </w:rPr>
            </w:pPr>
            <w:r>
              <w:rPr>
                <w:rFonts w:ascii="Arial" w:cs="Arial" w:eastAsia="Arial" w:hAnsi="Arial"/>
                <w:sz w:val="16"/>
                <w:szCs w:val="16"/>
                <w:color w:val="auto"/>
              </w:rPr>
              <w:t>Revenue</w:t>
            </w:r>
          </w:p>
        </w:tc>
        <w:tc>
          <w:tcPr>
            <w:tcW w:w="840" w:type="dxa"/>
            <w:vAlign w:val="bottom"/>
            <w:shd w:val="clear" w:color="auto" w:fill="E8F0F8"/>
          </w:tcPr>
          <w:p>
            <w:pPr>
              <w:spacing w:after="0"/>
              <w:rPr>
                <w:sz w:val="15"/>
                <w:szCs w:val="15"/>
                <w:color w:val="auto"/>
              </w:rPr>
            </w:pPr>
          </w:p>
        </w:tc>
        <w:tc>
          <w:tcPr>
            <w:tcW w:w="300" w:type="dxa"/>
            <w:vAlign w:val="bottom"/>
            <w:shd w:val="clear" w:color="auto" w:fill="E8F0F8"/>
          </w:tcPr>
          <w:p>
            <w:pPr>
              <w:spacing w:after="0"/>
              <w:rPr>
                <w:sz w:val="15"/>
                <w:szCs w:val="15"/>
                <w:color w:val="auto"/>
              </w:rPr>
            </w:pPr>
          </w:p>
        </w:tc>
        <w:tc>
          <w:tcPr>
            <w:tcW w:w="760" w:type="dxa"/>
            <w:vAlign w:val="bottom"/>
            <w:shd w:val="clear" w:color="auto" w:fill="E8F0F8"/>
          </w:tcPr>
          <w:p>
            <w:pPr>
              <w:spacing w:after="0"/>
              <w:rPr>
                <w:sz w:val="15"/>
                <w:szCs w:val="15"/>
                <w:color w:val="auto"/>
              </w:rPr>
            </w:pPr>
          </w:p>
        </w:tc>
        <w:tc>
          <w:tcPr>
            <w:tcW w:w="220" w:type="dxa"/>
            <w:vAlign w:val="bottom"/>
            <w:shd w:val="clear" w:color="auto" w:fill="E8F0F8"/>
          </w:tcPr>
          <w:p>
            <w:pPr>
              <w:spacing w:after="0"/>
              <w:rPr>
                <w:sz w:val="15"/>
                <w:szCs w:val="15"/>
                <w:color w:val="auto"/>
              </w:rPr>
            </w:pPr>
          </w:p>
        </w:tc>
        <w:tc>
          <w:tcPr>
            <w:tcW w:w="760" w:type="dxa"/>
            <w:vAlign w:val="bottom"/>
            <w:shd w:val="clear" w:color="auto" w:fill="E8F0F8"/>
          </w:tcPr>
          <w:p>
            <w:pPr>
              <w:jc w:val="right"/>
              <w:ind w:right="41"/>
              <w:spacing w:after="0" w:line="175" w:lineRule="exact"/>
              <w:rPr>
                <w:sz w:val="20"/>
                <w:szCs w:val="20"/>
                <w:color w:val="auto"/>
              </w:rPr>
            </w:pPr>
            <w:r>
              <w:rPr>
                <w:rFonts w:ascii="Arial" w:cs="Arial" w:eastAsia="Arial" w:hAnsi="Arial"/>
                <w:sz w:val="16"/>
                <w:szCs w:val="16"/>
                <w:color w:val="auto"/>
                <w:w w:val="99"/>
              </w:rPr>
              <w:t>10,533M</w:t>
            </w:r>
          </w:p>
        </w:tc>
        <w:tc>
          <w:tcPr>
            <w:tcW w:w="220" w:type="dxa"/>
            <w:vAlign w:val="bottom"/>
            <w:shd w:val="clear" w:color="auto" w:fill="E8F0F8"/>
          </w:tcPr>
          <w:p>
            <w:pPr>
              <w:spacing w:after="0"/>
              <w:rPr>
                <w:sz w:val="15"/>
                <w:szCs w:val="15"/>
                <w:color w:val="auto"/>
              </w:rPr>
            </w:pPr>
          </w:p>
        </w:tc>
        <w:tc>
          <w:tcPr>
            <w:tcW w:w="760" w:type="dxa"/>
            <w:vAlign w:val="bottom"/>
            <w:shd w:val="clear" w:color="auto" w:fill="E8F0F8"/>
          </w:tcPr>
          <w:p>
            <w:pPr>
              <w:spacing w:after="0"/>
              <w:rPr>
                <w:sz w:val="15"/>
                <w:szCs w:val="15"/>
                <w:color w:val="auto"/>
              </w:rPr>
            </w:pPr>
          </w:p>
        </w:tc>
        <w:tc>
          <w:tcPr>
            <w:tcW w:w="220" w:type="dxa"/>
            <w:vAlign w:val="bottom"/>
            <w:shd w:val="clear" w:color="auto" w:fill="E8F0F8"/>
          </w:tcPr>
          <w:p>
            <w:pPr>
              <w:spacing w:after="0"/>
              <w:rPr>
                <w:sz w:val="15"/>
                <w:szCs w:val="15"/>
                <w:color w:val="auto"/>
              </w:rPr>
            </w:pPr>
          </w:p>
        </w:tc>
        <w:tc>
          <w:tcPr>
            <w:tcW w:w="840" w:type="dxa"/>
            <w:vAlign w:val="bottom"/>
            <w:shd w:val="clear" w:color="auto" w:fill="E8F0F8"/>
          </w:tcPr>
          <w:p>
            <w:pPr>
              <w:spacing w:after="0"/>
              <w:rPr>
                <w:sz w:val="15"/>
                <w:szCs w:val="15"/>
                <w:color w:val="auto"/>
              </w:rPr>
            </w:pPr>
          </w:p>
        </w:tc>
        <w:tc>
          <w:tcPr>
            <w:tcW w:w="1020" w:type="dxa"/>
            <w:vAlign w:val="bottom"/>
            <w:shd w:val="clear" w:color="auto" w:fill="E8F0F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E8F0F8"/>
          </w:tcPr>
          <w:p>
            <w:pPr>
              <w:spacing w:after="0"/>
              <w:rPr>
                <w:sz w:val="16"/>
                <w:szCs w:val="16"/>
                <w:color w:val="auto"/>
              </w:rPr>
            </w:pPr>
          </w:p>
        </w:tc>
        <w:tc>
          <w:tcPr>
            <w:tcW w:w="84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760" w:type="dxa"/>
            <w:vAlign w:val="bottom"/>
            <w:shd w:val="clear" w:color="auto" w:fill="E8F0F8"/>
          </w:tcPr>
          <w:p>
            <w:pPr>
              <w:spacing w:after="0"/>
              <w:rPr>
                <w:sz w:val="16"/>
                <w:szCs w:val="16"/>
                <w:color w:val="auto"/>
              </w:rPr>
            </w:pPr>
          </w:p>
        </w:tc>
        <w:tc>
          <w:tcPr>
            <w:tcW w:w="22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41"/>
              <w:spacing w:after="0"/>
              <w:rPr>
                <w:sz w:val="20"/>
                <w:szCs w:val="20"/>
                <w:color w:val="auto"/>
              </w:rPr>
            </w:pPr>
            <w:r>
              <w:rPr>
                <w:rFonts w:ascii="Arial" w:cs="Arial" w:eastAsia="Arial" w:hAnsi="Arial"/>
                <w:sz w:val="16"/>
                <w:szCs w:val="16"/>
                <w:color w:val="auto"/>
              </w:rPr>
              <w:t>to</w:t>
            </w:r>
          </w:p>
        </w:tc>
        <w:tc>
          <w:tcPr>
            <w:tcW w:w="220" w:type="dxa"/>
            <w:vAlign w:val="bottom"/>
            <w:shd w:val="clear" w:color="auto" w:fill="E8F0F8"/>
          </w:tcPr>
          <w:p>
            <w:pPr>
              <w:spacing w:after="0"/>
              <w:rPr>
                <w:sz w:val="16"/>
                <w:szCs w:val="16"/>
                <w:color w:val="auto"/>
              </w:rPr>
            </w:pPr>
          </w:p>
        </w:tc>
        <w:tc>
          <w:tcPr>
            <w:tcW w:w="760" w:type="dxa"/>
            <w:vAlign w:val="bottom"/>
            <w:shd w:val="clear" w:color="auto" w:fill="E8F0F8"/>
          </w:tcPr>
          <w:p>
            <w:pPr>
              <w:spacing w:after="0"/>
              <w:rPr>
                <w:sz w:val="16"/>
                <w:szCs w:val="16"/>
                <w:color w:val="auto"/>
              </w:rPr>
            </w:pPr>
          </w:p>
        </w:tc>
        <w:tc>
          <w:tcPr>
            <w:tcW w:w="220" w:type="dxa"/>
            <w:vAlign w:val="bottom"/>
            <w:shd w:val="clear" w:color="auto" w:fill="E8F0F8"/>
          </w:tcPr>
          <w:p>
            <w:pPr>
              <w:spacing w:after="0"/>
              <w:rPr>
                <w:sz w:val="16"/>
                <w:szCs w:val="16"/>
                <w:color w:val="auto"/>
              </w:rPr>
            </w:pPr>
          </w:p>
        </w:tc>
        <w:tc>
          <w:tcPr>
            <w:tcW w:w="840" w:type="dxa"/>
            <w:vAlign w:val="bottom"/>
            <w:shd w:val="clear" w:color="auto" w:fill="E8F0F8"/>
          </w:tcPr>
          <w:p>
            <w:pPr>
              <w:spacing w:after="0"/>
              <w:rPr>
                <w:sz w:val="16"/>
                <w:szCs w:val="16"/>
                <w:color w:val="auto"/>
              </w:rPr>
            </w:pPr>
          </w:p>
        </w:tc>
        <w:tc>
          <w:tcPr>
            <w:tcW w:w="102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AD3EA"/>
            </w:tcBorders>
            <w:shd w:val="clear" w:color="auto" w:fill="E8F0F8"/>
          </w:tcPr>
          <w:p>
            <w:pPr>
              <w:jc w:val="right"/>
              <w:ind w:right="39"/>
              <w:spacing w:after="0"/>
              <w:rPr>
                <w:sz w:val="20"/>
                <w:szCs w:val="20"/>
                <w:color w:val="auto"/>
              </w:rPr>
            </w:pPr>
            <w:r>
              <w:rPr>
                <w:rFonts w:ascii="Arial" w:cs="Arial" w:eastAsia="Arial" w:hAnsi="Arial"/>
                <w:sz w:val="16"/>
                <w:szCs w:val="16"/>
                <w:color w:val="auto"/>
                <w:w w:val="99"/>
              </w:rPr>
              <w:t>10,148M</w:t>
            </w:r>
          </w:p>
        </w:tc>
        <w:tc>
          <w:tcPr>
            <w:tcW w:w="22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w w:val="99"/>
              </w:rPr>
              <w:t>10,648M</w:t>
            </w:r>
          </w:p>
        </w:tc>
        <w:tc>
          <w:tcPr>
            <w:tcW w:w="22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w w:val="99"/>
              </w:rPr>
              <w:t>11,148M</w:t>
            </w:r>
          </w:p>
        </w:tc>
        <w:tc>
          <w:tcPr>
            <w:tcW w:w="22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AD3EA"/>
            </w:tcBorders>
            <w:shd w:val="clear" w:color="auto" w:fill="E8F0F8"/>
          </w:tcPr>
          <w:p>
            <w:pPr>
              <w:jc w:val="right"/>
              <w:spacing w:after="0" w:line="216" w:lineRule="exact"/>
              <w:rPr>
                <w:sz w:val="20"/>
                <w:szCs w:val="20"/>
                <w:color w:val="auto"/>
              </w:rPr>
            </w:pPr>
            <w:r>
              <w:rPr>
                <w:rFonts w:ascii="Arial" w:cs="Arial" w:eastAsia="Arial" w:hAnsi="Arial"/>
                <w:sz w:val="15"/>
                <w:szCs w:val="15"/>
                <w:color w:val="auto"/>
                <w:w w:val="99"/>
              </w:rPr>
              <w:t>11,054M</w:t>
            </w:r>
            <w:r>
              <w:rPr>
                <w:rFonts w:ascii="Arial" w:cs="Arial" w:eastAsia="Arial" w:hAnsi="Arial"/>
                <w:sz w:val="25"/>
                <w:szCs w:val="25"/>
                <w:color w:val="auto"/>
                <w:w w:val="99"/>
                <w:vertAlign w:val="superscript"/>
              </w:rPr>
              <w:t>(1)</w:t>
            </w:r>
          </w:p>
        </w:tc>
        <w:tc>
          <w:tcPr>
            <w:tcW w:w="1020" w:type="dxa"/>
            <w:vAlign w:val="bottom"/>
            <w:tcBorders>
              <w:bottom w:val="single" w:sz="8" w:color="BAD3EA"/>
            </w:tcBorders>
            <w:shd w:val="clear" w:color="auto" w:fill="E8F0F8"/>
          </w:tcPr>
          <w:p>
            <w:pPr>
              <w:jc w:val="right"/>
              <w:ind w:right="121"/>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183"/>
        </w:trPr>
        <w:tc>
          <w:tcPr>
            <w:tcW w:w="5080" w:type="dxa"/>
            <w:vAlign w:val="bottom"/>
            <w:shd w:val="clear" w:color="auto" w:fill="E8F0F8"/>
          </w:tcPr>
          <w:p>
            <w:pPr>
              <w:ind w:left="60"/>
              <w:spacing w:after="0" w:line="183" w:lineRule="exact"/>
              <w:rPr>
                <w:sz w:val="20"/>
                <w:szCs w:val="20"/>
                <w:color w:val="auto"/>
              </w:rPr>
            </w:pPr>
            <w:r>
              <w:rPr>
                <w:rFonts w:ascii="Arial" w:cs="Arial" w:eastAsia="Arial" w:hAnsi="Arial"/>
                <w:sz w:val="16"/>
                <w:szCs w:val="16"/>
                <w:color w:val="auto"/>
              </w:rPr>
              <w:t>Non-GAAP diluted EPS</w:t>
            </w:r>
          </w:p>
        </w:tc>
        <w:tc>
          <w:tcPr>
            <w:tcW w:w="84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25%</w:t>
            </w:r>
          </w:p>
        </w:tc>
        <w:tc>
          <w:tcPr>
            <w:tcW w:w="30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E8F0F8"/>
          </w:tcPr>
          <w:p>
            <w:pPr>
              <w:jc w:val="right"/>
              <w:ind w:right="39"/>
              <w:spacing w:after="0" w:line="183" w:lineRule="exact"/>
              <w:rPr>
                <w:sz w:val="20"/>
                <w:szCs w:val="20"/>
                <w:color w:val="auto"/>
              </w:rPr>
            </w:pPr>
            <w:r>
              <w:rPr>
                <w:rFonts w:ascii="Arial" w:cs="Arial" w:eastAsia="Arial" w:hAnsi="Arial"/>
                <w:sz w:val="16"/>
                <w:szCs w:val="16"/>
                <w:color w:val="auto"/>
              </w:rPr>
              <w:t>16.52</w:t>
            </w:r>
          </w:p>
        </w:tc>
        <w:tc>
          <w:tcPr>
            <w:tcW w:w="22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E8F0F8"/>
          </w:tcPr>
          <w:p>
            <w:pPr>
              <w:jc w:val="right"/>
              <w:ind w:right="41"/>
              <w:spacing w:after="0" w:line="183" w:lineRule="exact"/>
              <w:rPr>
                <w:sz w:val="20"/>
                <w:szCs w:val="20"/>
                <w:color w:val="auto"/>
              </w:rPr>
            </w:pPr>
            <w:r>
              <w:rPr>
                <w:rFonts w:ascii="Arial" w:cs="Arial" w:eastAsia="Arial" w:hAnsi="Arial"/>
                <w:sz w:val="16"/>
                <w:szCs w:val="16"/>
                <w:color w:val="auto"/>
              </w:rPr>
              <w:t>18.28</w:t>
            </w:r>
          </w:p>
        </w:tc>
        <w:tc>
          <w:tcPr>
            <w:tcW w:w="22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E8F0F8"/>
          </w:tcPr>
          <w:p>
            <w:pPr>
              <w:jc w:val="right"/>
              <w:ind w:right="41"/>
              <w:spacing w:after="0" w:line="183" w:lineRule="exact"/>
              <w:rPr>
                <w:sz w:val="20"/>
                <w:szCs w:val="20"/>
                <w:color w:val="auto"/>
              </w:rPr>
            </w:pPr>
            <w:r>
              <w:rPr>
                <w:rFonts w:ascii="Arial" w:cs="Arial" w:eastAsia="Arial" w:hAnsi="Arial"/>
                <w:sz w:val="16"/>
                <w:szCs w:val="16"/>
                <w:color w:val="auto"/>
              </w:rPr>
              <w:t>20.04</w:t>
            </w:r>
          </w:p>
        </w:tc>
        <w:tc>
          <w:tcPr>
            <w:tcW w:w="22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8F0F8"/>
          </w:tcPr>
          <w:p>
            <w:pPr>
              <w:jc w:val="right"/>
              <w:spacing w:after="0" w:line="183" w:lineRule="exact"/>
              <w:rPr>
                <w:sz w:val="20"/>
                <w:szCs w:val="20"/>
                <w:color w:val="auto"/>
              </w:rPr>
            </w:pPr>
            <w:r>
              <w:rPr>
                <w:rFonts w:ascii="Arial" w:cs="Arial" w:eastAsia="Arial" w:hAnsi="Arial"/>
                <w:sz w:val="13"/>
                <w:szCs w:val="13"/>
                <w:color w:val="auto"/>
              </w:rPr>
              <w:t>20.55</w:t>
            </w:r>
            <w:r>
              <w:rPr>
                <w:rFonts w:ascii="Arial" w:cs="Arial" w:eastAsia="Arial" w:hAnsi="Arial"/>
                <w:sz w:val="21"/>
                <w:szCs w:val="21"/>
                <w:color w:val="auto"/>
                <w:vertAlign w:val="superscript"/>
              </w:rPr>
              <w:t>(1)</w:t>
            </w:r>
          </w:p>
        </w:tc>
        <w:tc>
          <w:tcPr>
            <w:tcW w:w="1020" w:type="dxa"/>
            <w:vAlign w:val="bottom"/>
            <w:shd w:val="clear" w:color="auto" w:fill="E8F0F8"/>
          </w:tcPr>
          <w:p>
            <w:pPr>
              <w:jc w:val="right"/>
              <w:ind w:right="121"/>
              <w:spacing w:after="0" w:line="183" w:lineRule="exact"/>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3"/>
        </w:trPr>
        <w:tc>
          <w:tcPr>
            <w:tcW w:w="508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MARKET PERFORMANCE</w:t>
            </w:r>
          </w:p>
        </w:tc>
        <w:tc>
          <w:tcPr>
            <w:tcW w:w="84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840" w:type="dxa"/>
            <w:vAlign w:val="bottom"/>
            <w:shd w:val="clear" w:color="auto" w:fill="BAD3EA"/>
          </w:tcPr>
          <w:p>
            <w:pPr>
              <w:spacing w:after="0"/>
              <w:rPr>
                <w:sz w:val="17"/>
                <w:szCs w:val="17"/>
                <w:color w:val="auto"/>
              </w:rPr>
            </w:pPr>
          </w:p>
        </w:tc>
        <w:tc>
          <w:tcPr>
            <w:tcW w:w="1020" w:type="dxa"/>
            <w:vAlign w:val="bottom"/>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E8F0F8"/>
          </w:tcPr>
          <w:p>
            <w:pPr>
              <w:spacing w:after="0"/>
              <w:rPr>
                <w:sz w:val="15"/>
                <w:szCs w:val="15"/>
                <w:color w:val="auto"/>
              </w:rPr>
            </w:pPr>
          </w:p>
        </w:tc>
        <w:tc>
          <w:tcPr>
            <w:tcW w:w="840" w:type="dxa"/>
            <w:vAlign w:val="bottom"/>
            <w:shd w:val="clear" w:color="auto" w:fill="E8F0F8"/>
          </w:tcPr>
          <w:p>
            <w:pPr>
              <w:spacing w:after="0"/>
              <w:rPr>
                <w:sz w:val="15"/>
                <w:szCs w:val="15"/>
                <w:color w:val="auto"/>
              </w:rPr>
            </w:pPr>
          </w:p>
        </w:tc>
        <w:tc>
          <w:tcPr>
            <w:tcW w:w="300" w:type="dxa"/>
            <w:vAlign w:val="bottom"/>
            <w:shd w:val="clear" w:color="auto" w:fill="E8F0F8"/>
          </w:tcPr>
          <w:p>
            <w:pPr>
              <w:spacing w:after="0"/>
              <w:rPr>
                <w:sz w:val="15"/>
                <w:szCs w:val="15"/>
                <w:color w:val="auto"/>
              </w:rPr>
            </w:pPr>
          </w:p>
        </w:tc>
        <w:tc>
          <w:tcPr>
            <w:tcW w:w="2720" w:type="dxa"/>
            <w:vAlign w:val="bottom"/>
            <w:gridSpan w:val="5"/>
            <w:shd w:val="clear" w:color="auto" w:fill="E8F0F8"/>
          </w:tcPr>
          <w:p>
            <w:pPr>
              <w:jc w:val="center"/>
              <w:ind w:right="61"/>
              <w:spacing w:after="0" w:line="175" w:lineRule="exact"/>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5"/>
                <w:szCs w:val="15"/>
                <w:color w:val="auto"/>
              </w:rPr>
            </w:pPr>
          </w:p>
        </w:tc>
        <w:tc>
          <w:tcPr>
            <w:tcW w:w="840" w:type="dxa"/>
            <w:vAlign w:val="bottom"/>
            <w:shd w:val="clear" w:color="auto" w:fill="E8F0F8"/>
          </w:tcPr>
          <w:p>
            <w:pPr>
              <w:spacing w:after="0"/>
              <w:rPr>
                <w:sz w:val="15"/>
                <w:szCs w:val="15"/>
                <w:color w:val="auto"/>
              </w:rPr>
            </w:pPr>
          </w:p>
        </w:tc>
        <w:tc>
          <w:tcPr>
            <w:tcW w:w="1020" w:type="dxa"/>
            <w:vAlign w:val="bottom"/>
            <w:shd w:val="clear" w:color="auto" w:fill="E8F0F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E8F0F8"/>
          </w:tcPr>
          <w:p>
            <w:pPr>
              <w:ind w:left="60"/>
              <w:spacing w:after="0"/>
              <w:rPr>
                <w:sz w:val="20"/>
                <w:szCs w:val="20"/>
                <w:color w:val="auto"/>
              </w:rPr>
            </w:pPr>
            <w:r>
              <w:rPr>
                <w:rFonts w:ascii="Arial" w:cs="Arial" w:eastAsia="Arial" w:hAnsi="Arial"/>
                <w:sz w:val="16"/>
                <w:szCs w:val="16"/>
                <w:color w:val="auto"/>
              </w:rPr>
              <w:t>MS Leader in Customer Trust and Value Survey</w:t>
            </w:r>
          </w:p>
        </w:tc>
        <w:tc>
          <w:tcPr>
            <w:tcW w:w="8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E8F0F8"/>
          </w:tcPr>
          <w:p>
            <w:pPr>
              <w:spacing w:after="0"/>
              <w:rPr>
                <w:sz w:val="16"/>
                <w:szCs w:val="16"/>
                <w:color w:val="auto"/>
              </w:rPr>
            </w:pPr>
          </w:p>
        </w:tc>
        <w:tc>
          <w:tcPr>
            <w:tcW w:w="272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are not disclosed for</w:t>
            </w:r>
          </w:p>
        </w:tc>
        <w:tc>
          <w:tcPr>
            <w:tcW w:w="220" w:type="dxa"/>
            <w:vAlign w:val="bottom"/>
            <w:shd w:val="clear" w:color="auto" w:fill="E8F0F8"/>
          </w:tcPr>
          <w:p>
            <w:pPr>
              <w:spacing w:after="0"/>
              <w:rPr>
                <w:sz w:val="16"/>
                <w:szCs w:val="16"/>
                <w:color w:val="auto"/>
              </w:rPr>
            </w:pPr>
          </w:p>
        </w:tc>
        <w:tc>
          <w:tcPr>
            <w:tcW w:w="840" w:type="dxa"/>
            <w:vAlign w:val="bottom"/>
            <w:shd w:val="clear" w:color="auto" w:fill="E8F0F8"/>
          </w:tcPr>
          <w:p>
            <w:pPr>
              <w:jc w:val="center"/>
              <w:ind w:right="143"/>
              <w:spacing w:after="0"/>
              <w:rPr>
                <w:sz w:val="20"/>
                <w:szCs w:val="20"/>
                <w:color w:val="auto"/>
              </w:rPr>
            </w:pPr>
            <w:r>
              <w:rPr>
                <w:rFonts w:ascii="Arial" w:cs="Arial" w:eastAsia="Arial" w:hAnsi="Arial"/>
                <w:sz w:val="16"/>
                <w:szCs w:val="16"/>
                <w:color w:val="auto"/>
              </w:rPr>
              <w:t>Goal</w:t>
            </w:r>
          </w:p>
        </w:tc>
        <w:tc>
          <w:tcPr>
            <w:tcW w:w="102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spacing w:after="0"/>
              <w:rPr>
                <w:sz w:val="18"/>
                <w:szCs w:val="18"/>
                <w:color w:val="auto"/>
              </w:rPr>
            </w:pPr>
          </w:p>
        </w:tc>
        <w:tc>
          <w:tcPr>
            <w:tcW w:w="300" w:type="dxa"/>
            <w:vAlign w:val="bottom"/>
            <w:tcBorders>
              <w:bottom w:val="single" w:sz="8" w:color="BAD3EA"/>
            </w:tcBorders>
            <w:shd w:val="clear" w:color="auto" w:fill="E8F0F8"/>
          </w:tcPr>
          <w:p>
            <w:pPr>
              <w:spacing w:after="0"/>
              <w:rPr>
                <w:sz w:val="18"/>
                <w:szCs w:val="18"/>
                <w:color w:val="auto"/>
              </w:rPr>
            </w:pPr>
          </w:p>
        </w:tc>
        <w:tc>
          <w:tcPr>
            <w:tcW w:w="2720" w:type="dxa"/>
            <w:vAlign w:val="bottom"/>
            <w:tcBorders>
              <w:bottom w:val="single" w:sz="8" w:color="BAD3EA"/>
            </w:tcBorders>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jc w:val="center"/>
              <w:ind w:right="123"/>
              <w:spacing w:after="0" w:line="216" w:lineRule="exact"/>
              <w:rPr>
                <w:sz w:val="20"/>
                <w:szCs w:val="20"/>
                <w:color w:val="auto"/>
              </w:rPr>
            </w:pPr>
            <w:r>
              <w:rPr>
                <w:rFonts w:ascii="Arial" w:cs="Arial" w:eastAsia="Arial" w:hAnsi="Arial"/>
                <w:sz w:val="15"/>
                <w:szCs w:val="15"/>
                <w:color w:val="auto"/>
                <w:w w:val="96"/>
              </w:rPr>
              <w:t>met</w:t>
            </w:r>
            <w:r>
              <w:rPr>
                <w:rFonts w:ascii="Arial" w:cs="Arial" w:eastAsia="Arial" w:hAnsi="Arial"/>
                <w:sz w:val="25"/>
                <w:szCs w:val="25"/>
                <w:color w:val="auto"/>
                <w:w w:val="96"/>
                <w:vertAlign w:val="superscript"/>
              </w:rPr>
              <w:t>(3)</w:t>
            </w:r>
          </w:p>
        </w:tc>
        <w:tc>
          <w:tcPr>
            <w:tcW w:w="1020" w:type="dxa"/>
            <w:vAlign w:val="bottom"/>
            <w:tcBorders>
              <w:bottom w:val="single" w:sz="8" w:color="BAD3EA"/>
            </w:tcBorders>
            <w:shd w:val="clear" w:color="auto" w:fill="E8F0F8"/>
          </w:tcPr>
          <w:p>
            <w:pPr>
              <w:jc w:val="right"/>
              <w:ind w:right="121"/>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8"/>
        </w:trPr>
        <w:tc>
          <w:tcPr>
            <w:tcW w:w="508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300" w:type="dxa"/>
            <w:vAlign w:val="bottom"/>
            <w:shd w:val="clear" w:color="auto" w:fill="E8F0F8"/>
          </w:tcPr>
          <w:p>
            <w:pPr>
              <w:spacing w:after="0"/>
              <w:rPr>
                <w:sz w:val="14"/>
                <w:szCs w:val="14"/>
                <w:color w:val="auto"/>
              </w:rPr>
            </w:pPr>
          </w:p>
        </w:tc>
        <w:tc>
          <w:tcPr>
            <w:tcW w:w="2720" w:type="dxa"/>
            <w:vAlign w:val="bottom"/>
            <w:gridSpan w:val="5"/>
            <w:shd w:val="clear" w:color="auto" w:fill="E8F0F8"/>
          </w:tcPr>
          <w:p>
            <w:pPr>
              <w:jc w:val="center"/>
              <w:ind w:right="61"/>
              <w:spacing w:after="0" w:line="168" w:lineRule="exact"/>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102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E8F0F8"/>
          </w:tcPr>
          <w:p>
            <w:pPr>
              <w:ind w:left="60"/>
              <w:spacing w:after="0"/>
              <w:rPr>
                <w:sz w:val="20"/>
                <w:szCs w:val="20"/>
                <w:color w:val="auto"/>
              </w:rPr>
            </w:pPr>
            <w:r>
              <w:rPr>
                <w:rFonts w:ascii="Arial" w:cs="Arial" w:eastAsia="Arial" w:hAnsi="Arial"/>
                <w:sz w:val="16"/>
                <w:szCs w:val="16"/>
                <w:color w:val="auto"/>
              </w:rPr>
              <w:t>Biogen Digital Health Goals</w:t>
            </w:r>
          </w:p>
        </w:tc>
        <w:tc>
          <w:tcPr>
            <w:tcW w:w="8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E8F0F8"/>
          </w:tcPr>
          <w:p>
            <w:pPr>
              <w:spacing w:after="0"/>
              <w:rPr>
                <w:sz w:val="16"/>
                <w:szCs w:val="16"/>
                <w:color w:val="auto"/>
              </w:rPr>
            </w:pPr>
          </w:p>
        </w:tc>
        <w:tc>
          <w:tcPr>
            <w:tcW w:w="272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are not disclosed for</w:t>
            </w:r>
          </w:p>
        </w:tc>
        <w:tc>
          <w:tcPr>
            <w:tcW w:w="220" w:type="dxa"/>
            <w:vAlign w:val="bottom"/>
            <w:shd w:val="clear" w:color="auto" w:fill="E8F0F8"/>
          </w:tcPr>
          <w:p>
            <w:pPr>
              <w:spacing w:after="0"/>
              <w:rPr>
                <w:sz w:val="16"/>
                <w:szCs w:val="16"/>
                <w:color w:val="auto"/>
              </w:rPr>
            </w:pPr>
          </w:p>
        </w:tc>
        <w:tc>
          <w:tcPr>
            <w:tcW w:w="840" w:type="dxa"/>
            <w:vAlign w:val="bottom"/>
            <w:shd w:val="clear" w:color="auto" w:fill="E8F0F8"/>
          </w:tcPr>
          <w:p>
            <w:pPr>
              <w:jc w:val="center"/>
              <w:ind w:right="143"/>
              <w:spacing w:after="0"/>
              <w:rPr>
                <w:sz w:val="20"/>
                <w:szCs w:val="20"/>
                <w:color w:val="auto"/>
              </w:rPr>
            </w:pPr>
            <w:r>
              <w:rPr>
                <w:rFonts w:ascii="Arial" w:cs="Arial" w:eastAsia="Arial" w:hAnsi="Arial"/>
                <w:sz w:val="16"/>
                <w:szCs w:val="16"/>
                <w:color w:val="auto"/>
              </w:rPr>
              <w:t>Above</w:t>
            </w:r>
          </w:p>
        </w:tc>
        <w:tc>
          <w:tcPr>
            <w:tcW w:w="102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spacing w:after="0"/>
              <w:rPr>
                <w:sz w:val="18"/>
                <w:szCs w:val="18"/>
                <w:color w:val="auto"/>
              </w:rPr>
            </w:pPr>
          </w:p>
        </w:tc>
        <w:tc>
          <w:tcPr>
            <w:tcW w:w="300" w:type="dxa"/>
            <w:vAlign w:val="bottom"/>
            <w:tcBorders>
              <w:bottom w:val="single" w:sz="8" w:color="BAD3EA"/>
            </w:tcBorders>
            <w:shd w:val="clear" w:color="auto" w:fill="E8F0F8"/>
          </w:tcPr>
          <w:p>
            <w:pPr>
              <w:spacing w:after="0"/>
              <w:rPr>
                <w:sz w:val="18"/>
                <w:szCs w:val="18"/>
                <w:color w:val="auto"/>
              </w:rPr>
            </w:pPr>
          </w:p>
        </w:tc>
        <w:tc>
          <w:tcPr>
            <w:tcW w:w="2720" w:type="dxa"/>
            <w:vAlign w:val="bottom"/>
            <w:tcBorders>
              <w:bottom w:val="single" w:sz="8" w:color="BAD3EA"/>
            </w:tcBorders>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jc w:val="center"/>
              <w:ind w:right="143"/>
              <w:spacing w:after="0" w:line="216" w:lineRule="exact"/>
              <w:rPr>
                <w:sz w:val="20"/>
                <w:szCs w:val="20"/>
                <w:color w:val="auto"/>
              </w:rPr>
            </w:pPr>
            <w:r>
              <w:rPr>
                <w:rFonts w:ascii="Arial" w:cs="Arial" w:eastAsia="Arial" w:hAnsi="Arial"/>
                <w:sz w:val="15"/>
                <w:szCs w:val="15"/>
                <w:color w:val="auto"/>
                <w:w w:val="95"/>
              </w:rPr>
              <w:t>Goal</w:t>
            </w:r>
            <w:r>
              <w:rPr>
                <w:rFonts w:ascii="Arial" w:cs="Arial" w:eastAsia="Arial" w:hAnsi="Arial"/>
                <w:sz w:val="25"/>
                <w:szCs w:val="25"/>
                <w:color w:val="auto"/>
                <w:w w:val="95"/>
                <w:vertAlign w:val="superscript"/>
              </w:rPr>
              <w:t>(3)</w:t>
            </w:r>
          </w:p>
        </w:tc>
        <w:tc>
          <w:tcPr>
            <w:tcW w:w="1020" w:type="dxa"/>
            <w:vAlign w:val="bottom"/>
            <w:tcBorders>
              <w:bottom w:val="single" w:sz="8" w:color="BAD3EA"/>
            </w:tcBorders>
            <w:shd w:val="clear" w:color="auto" w:fill="E8F0F8"/>
          </w:tcPr>
          <w:p>
            <w:pPr>
              <w:jc w:val="right"/>
              <w:ind w:right="121"/>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68"/>
        </w:trPr>
        <w:tc>
          <w:tcPr>
            <w:tcW w:w="508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300" w:type="dxa"/>
            <w:vAlign w:val="bottom"/>
            <w:shd w:val="clear" w:color="auto" w:fill="E8F0F8"/>
          </w:tcPr>
          <w:p>
            <w:pPr>
              <w:spacing w:after="0"/>
              <w:rPr>
                <w:sz w:val="14"/>
                <w:szCs w:val="14"/>
                <w:color w:val="auto"/>
              </w:rPr>
            </w:pPr>
          </w:p>
        </w:tc>
        <w:tc>
          <w:tcPr>
            <w:tcW w:w="2720" w:type="dxa"/>
            <w:vAlign w:val="bottom"/>
            <w:gridSpan w:val="5"/>
            <w:shd w:val="clear" w:color="auto" w:fill="E8F0F8"/>
          </w:tcPr>
          <w:p>
            <w:pPr>
              <w:jc w:val="center"/>
              <w:ind w:right="61"/>
              <w:spacing w:after="0" w:line="168" w:lineRule="exact"/>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102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E8F0F8"/>
          </w:tcPr>
          <w:p>
            <w:pPr>
              <w:ind w:left="60"/>
              <w:spacing w:after="0"/>
              <w:rPr>
                <w:sz w:val="20"/>
                <w:szCs w:val="20"/>
                <w:color w:val="auto"/>
              </w:rPr>
            </w:pPr>
            <w:r>
              <w:rPr>
                <w:rFonts w:ascii="Arial" w:cs="Arial" w:eastAsia="Arial" w:hAnsi="Arial"/>
                <w:sz w:val="16"/>
                <w:szCs w:val="16"/>
                <w:color w:val="auto"/>
              </w:rPr>
              <w:t>Prepare for Alzheimer’s Disease Leadership</w:t>
            </w:r>
          </w:p>
        </w:tc>
        <w:tc>
          <w:tcPr>
            <w:tcW w:w="8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E8F0F8"/>
          </w:tcPr>
          <w:p>
            <w:pPr>
              <w:spacing w:after="0"/>
              <w:rPr>
                <w:sz w:val="16"/>
                <w:szCs w:val="16"/>
                <w:color w:val="auto"/>
              </w:rPr>
            </w:pPr>
          </w:p>
        </w:tc>
        <w:tc>
          <w:tcPr>
            <w:tcW w:w="272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are not disclosed for</w:t>
            </w:r>
          </w:p>
        </w:tc>
        <w:tc>
          <w:tcPr>
            <w:tcW w:w="220" w:type="dxa"/>
            <w:vAlign w:val="bottom"/>
            <w:shd w:val="clear" w:color="auto" w:fill="E8F0F8"/>
          </w:tcPr>
          <w:p>
            <w:pPr>
              <w:spacing w:after="0"/>
              <w:rPr>
                <w:sz w:val="16"/>
                <w:szCs w:val="16"/>
                <w:color w:val="auto"/>
              </w:rPr>
            </w:pPr>
          </w:p>
        </w:tc>
        <w:tc>
          <w:tcPr>
            <w:tcW w:w="840" w:type="dxa"/>
            <w:vAlign w:val="bottom"/>
            <w:shd w:val="clear" w:color="auto" w:fill="E8F0F8"/>
          </w:tcPr>
          <w:p>
            <w:pPr>
              <w:jc w:val="center"/>
              <w:ind w:right="123"/>
              <w:spacing w:after="0"/>
              <w:rPr>
                <w:sz w:val="20"/>
                <w:szCs w:val="20"/>
                <w:color w:val="auto"/>
              </w:rPr>
            </w:pPr>
            <w:r>
              <w:rPr>
                <w:rFonts w:ascii="Arial" w:cs="Arial" w:eastAsia="Arial" w:hAnsi="Arial"/>
                <w:sz w:val="16"/>
                <w:szCs w:val="16"/>
                <w:color w:val="auto"/>
              </w:rPr>
              <w:t>Below</w:t>
            </w:r>
          </w:p>
        </w:tc>
        <w:tc>
          <w:tcPr>
            <w:tcW w:w="102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8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spacing w:after="0"/>
              <w:rPr>
                <w:sz w:val="18"/>
                <w:szCs w:val="18"/>
                <w:color w:val="auto"/>
              </w:rPr>
            </w:pPr>
          </w:p>
        </w:tc>
        <w:tc>
          <w:tcPr>
            <w:tcW w:w="300" w:type="dxa"/>
            <w:vAlign w:val="bottom"/>
            <w:tcBorders>
              <w:bottom w:val="single" w:sz="8" w:color="BAD3EA"/>
            </w:tcBorders>
            <w:shd w:val="clear" w:color="auto" w:fill="E8F0F8"/>
          </w:tcPr>
          <w:p>
            <w:pPr>
              <w:spacing w:after="0"/>
              <w:rPr>
                <w:sz w:val="18"/>
                <w:szCs w:val="18"/>
                <w:color w:val="auto"/>
              </w:rPr>
            </w:pPr>
          </w:p>
        </w:tc>
        <w:tc>
          <w:tcPr>
            <w:tcW w:w="2720" w:type="dxa"/>
            <w:vAlign w:val="bottom"/>
            <w:tcBorders>
              <w:bottom w:val="single" w:sz="8" w:color="BAD3EA"/>
            </w:tcBorders>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BAD3EA"/>
            </w:tcBorders>
            <w:shd w:val="clear" w:color="auto" w:fill="E8F0F8"/>
          </w:tcPr>
          <w:p>
            <w:pPr>
              <w:spacing w:after="0"/>
              <w:rPr>
                <w:sz w:val="18"/>
                <w:szCs w:val="18"/>
                <w:color w:val="auto"/>
              </w:rPr>
            </w:pPr>
          </w:p>
        </w:tc>
        <w:tc>
          <w:tcPr>
            <w:tcW w:w="840" w:type="dxa"/>
            <w:vAlign w:val="bottom"/>
            <w:tcBorders>
              <w:bottom w:val="single" w:sz="8" w:color="BAD3EA"/>
            </w:tcBorders>
            <w:shd w:val="clear" w:color="auto" w:fill="E8F0F8"/>
          </w:tcPr>
          <w:p>
            <w:pPr>
              <w:jc w:val="center"/>
              <w:ind w:right="143"/>
              <w:spacing w:after="0" w:line="216" w:lineRule="exact"/>
              <w:rPr>
                <w:sz w:val="20"/>
                <w:szCs w:val="20"/>
                <w:color w:val="auto"/>
              </w:rPr>
            </w:pPr>
            <w:r>
              <w:rPr>
                <w:rFonts w:ascii="Arial" w:cs="Arial" w:eastAsia="Arial" w:hAnsi="Arial"/>
                <w:sz w:val="15"/>
                <w:szCs w:val="15"/>
                <w:color w:val="auto"/>
                <w:w w:val="95"/>
              </w:rPr>
              <w:t>Goal</w:t>
            </w:r>
            <w:r>
              <w:rPr>
                <w:rFonts w:ascii="Arial" w:cs="Arial" w:eastAsia="Arial" w:hAnsi="Arial"/>
                <w:sz w:val="25"/>
                <w:szCs w:val="25"/>
                <w:color w:val="auto"/>
                <w:w w:val="95"/>
                <w:vertAlign w:val="superscript"/>
              </w:rPr>
              <w:t>(3)</w:t>
            </w:r>
          </w:p>
        </w:tc>
        <w:tc>
          <w:tcPr>
            <w:tcW w:w="1020" w:type="dxa"/>
            <w:vAlign w:val="bottom"/>
            <w:tcBorders>
              <w:bottom w:val="single" w:sz="8" w:color="BAD3EA"/>
            </w:tcBorders>
            <w:shd w:val="clear" w:color="auto" w:fill="E8F0F8"/>
          </w:tcPr>
          <w:p>
            <w:pPr>
              <w:jc w:val="right"/>
              <w:ind w:right="121"/>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68"/>
        </w:trPr>
        <w:tc>
          <w:tcPr>
            <w:tcW w:w="508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300" w:type="dxa"/>
            <w:vAlign w:val="bottom"/>
            <w:shd w:val="clear" w:color="auto" w:fill="E8F0F8"/>
          </w:tcPr>
          <w:p>
            <w:pPr>
              <w:spacing w:after="0"/>
              <w:rPr>
                <w:sz w:val="14"/>
                <w:szCs w:val="14"/>
                <w:color w:val="auto"/>
              </w:rPr>
            </w:pPr>
          </w:p>
        </w:tc>
        <w:tc>
          <w:tcPr>
            <w:tcW w:w="2720" w:type="dxa"/>
            <w:vAlign w:val="bottom"/>
            <w:gridSpan w:val="5"/>
            <w:shd w:val="clear" w:color="auto" w:fill="E8F0F8"/>
          </w:tcPr>
          <w:p>
            <w:pPr>
              <w:jc w:val="center"/>
              <w:ind w:right="61"/>
              <w:spacing w:after="0" w:line="168" w:lineRule="exact"/>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102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80" w:type="dxa"/>
            <w:vAlign w:val="bottom"/>
            <w:shd w:val="clear" w:color="auto" w:fill="E8F0F8"/>
          </w:tcPr>
          <w:p>
            <w:pPr>
              <w:ind w:left="60"/>
              <w:spacing w:after="0"/>
              <w:rPr>
                <w:sz w:val="20"/>
                <w:szCs w:val="20"/>
                <w:color w:val="auto"/>
              </w:rPr>
            </w:pPr>
            <w:r>
              <w:rPr>
                <w:rFonts w:ascii="Arial" w:cs="Arial" w:eastAsia="Arial" w:hAnsi="Arial"/>
                <w:sz w:val="16"/>
                <w:szCs w:val="16"/>
                <w:color w:val="auto"/>
              </w:rPr>
              <w:t>Unlock Potential of Biosimilars</w:t>
            </w:r>
          </w:p>
        </w:tc>
        <w:tc>
          <w:tcPr>
            <w:tcW w:w="8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E8F0F8"/>
          </w:tcPr>
          <w:p>
            <w:pPr>
              <w:spacing w:after="0"/>
              <w:rPr>
                <w:sz w:val="16"/>
                <w:szCs w:val="16"/>
                <w:color w:val="auto"/>
              </w:rPr>
            </w:pPr>
          </w:p>
        </w:tc>
        <w:tc>
          <w:tcPr>
            <w:tcW w:w="272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are not disclosed for</w:t>
            </w:r>
          </w:p>
        </w:tc>
        <w:tc>
          <w:tcPr>
            <w:tcW w:w="220" w:type="dxa"/>
            <w:vAlign w:val="bottom"/>
            <w:shd w:val="clear" w:color="auto" w:fill="E8F0F8"/>
          </w:tcPr>
          <w:p>
            <w:pPr>
              <w:spacing w:after="0"/>
              <w:rPr>
                <w:sz w:val="16"/>
                <w:szCs w:val="16"/>
                <w:color w:val="auto"/>
              </w:rPr>
            </w:pPr>
          </w:p>
        </w:tc>
        <w:tc>
          <w:tcPr>
            <w:tcW w:w="840" w:type="dxa"/>
            <w:vAlign w:val="bottom"/>
            <w:shd w:val="clear" w:color="auto" w:fill="E8F0F8"/>
          </w:tcPr>
          <w:p>
            <w:pPr>
              <w:jc w:val="center"/>
              <w:ind w:right="123"/>
              <w:spacing w:after="0"/>
              <w:rPr>
                <w:sz w:val="20"/>
                <w:szCs w:val="20"/>
                <w:color w:val="auto"/>
              </w:rPr>
            </w:pPr>
            <w:r>
              <w:rPr>
                <w:rFonts w:ascii="Arial" w:cs="Arial" w:eastAsia="Arial" w:hAnsi="Arial"/>
                <w:sz w:val="16"/>
                <w:szCs w:val="16"/>
                <w:color w:val="auto"/>
              </w:rPr>
              <w:t>Below</w:t>
            </w:r>
          </w:p>
        </w:tc>
        <w:tc>
          <w:tcPr>
            <w:tcW w:w="102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E8F0F8"/>
          </w:tcPr>
          <w:p>
            <w:pPr>
              <w:spacing w:after="0"/>
              <w:rPr>
                <w:sz w:val="18"/>
                <w:szCs w:val="18"/>
                <w:color w:val="auto"/>
              </w:rPr>
            </w:pPr>
          </w:p>
        </w:tc>
        <w:tc>
          <w:tcPr>
            <w:tcW w:w="840" w:type="dxa"/>
            <w:vAlign w:val="bottom"/>
            <w:shd w:val="clear" w:color="auto" w:fill="E8F0F8"/>
          </w:tcPr>
          <w:p>
            <w:pPr>
              <w:spacing w:after="0"/>
              <w:rPr>
                <w:sz w:val="18"/>
                <w:szCs w:val="18"/>
                <w:color w:val="auto"/>
              </w:rPr>
            </w:pPr>
          </w:p>
        </w:tc>
        <w:tc>
          <w:tcPr>
            <w:tcW w:w="300" w:type="dxa"/>
            <w:vAlign w:val="bottom"/>
            <w:shd w:val="clear" w:color="auto" w:fill="E8F0F8"/>
          </w:tcPr>
          <w:p>
            <w:pPr>
              <w:spacing w:after="0"/>
              <w:rPr>
                <w:sz w:val="18"/>
                <w:szCs w:val="18"/>
                <w:color w:val="auto"/>
              </w:rPr>
            </w:pPr>
          </w:p>
        </w:tc>
        <w:tc>
          <w:tcPr>
            <w:tcW w:w="2720" w:type="dxa"/>
            <w:vAlign w:val="bottom"/>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competitive reasons</w:t>
            </w:r>
          </w:p>
        </w:tc>
        <w:tc>
          <w:tcPr>
            <w:tcW w:w="220" w:type="dxa"/>
            <w:vAlign w:val="bottom"/>
            <w:shd w:val="clear" w:color="auto" w:fill="E8F0F8"/>
          </w:tcPr>
          <w:p>
            <w:pPr>
              <w:spacing w:after="0"/>
              <w:rPr>
                <w:sz w:val="18"/>
                <w:szCs w:val="18"/>
                <w:color w:val="auto"/>
              </w:rPr>
            </w:pPr>
          </w:p>
        </w:tc>
        <w:tc>
          <w:tcPr>
            <w:tcW w:w="840" w:type="dxa"/>
            <w:vAlign w:val="bottom"/>
            <w:shd w:val="clear" w:color="auto" w:fill="E8F0F8"/>
          </w:tcPr>
          <w:p>
            <w:pPr>
              <w:jc w:val="center"/>
              <w:ind w:right="143"/>
              <w:spacing w:after="0" w:line="217" w:lineRule="exact"/>
              <w:rPr>
                <w:sz w:val="20"/>
                <w:szCs w:val="20"/>
                <w:color w:val="auto"/>
              </w:rPr>
            </w:pPr>
            <w:r>
              <w:rPr>
                <w:rFonts w:ascii="Arial" w:cs="Arial" w:eastAsia="Arial" w:hAnsi="Arial"/>
                <w:sz w:val="15"/>
                <w:szCs w:val="15"/>
                <w:color w:val="auto"/>
                <w:w w:val="95"/>
              </w:rPr>
              <w:t>Goal</w:t>
            </w:r>
            <w:r>
              <w:rPr>
                <w:rFonts w:ascii="Arial" w:cs="Arial" w:eastAsia="Arial" w:hAnsi="Arial"/>
                <w:sz w:val="25"/>
                <w:szCs w:val="25"/>
                <w:color w:val="auto"/>
                <w:w w:val="95"/>
                <w:vertAlign w:val="superscript"/>
              </w:rPr>
              <w:t>(3)</w:t>
            </w:r>
          </w:p>
        </w:tc>
        <w:tc>
          <w:tcPr>
            <w:tcW w:w="1020" w:type="dxa"/>
            <w:vAlign w:val="bottom"/>
            <w:shd w:val="clear" w:color="auto" w:fill="E8F0F8"/>
          </w:tcPr>
          <w:p>
            <w:pPr>
              <w:jc w:val="right"/>
              <w:ind w:right="121"/>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3"/>
        </w:trPr>
        <w:tc>
          <w:tcPr>
            <w:tcW w:w="508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PIPELINE DEVELOPMENT</w:t>
            </w:r>
          </w:p>
        </w:tc>
        <w:tc>
          <w:tcPr>
            <w:tcW w:w="84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840" w:type="dxa"/>
            <w:vAlign w:val="bottom"/>
            <w:shd w:val="clear" w:color="auto" w:fill="BAD3EA"/>
          </w:tcPr>
          <w:p>
            <w:pPr>
              <w:spacing w:after="0"/>
              <w:rPr>
                <w:sz w:val="17"/>
                <w:szCs w:val="17"/>
                <w:color w:val="auto"/>
              </w:rPr>
            </w:pPr>
          </w:p>
        </w:tc>
        <w:tc>
          <w:tcPr>
            <w:tcW w:w="1020" w:type="dxa"/>
            <w:vAlign w:val="bottom"/>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E8F0F8"/>
          </w:tcPr>
          <w:p>
            <w:pPr>
              <w:spacing w:after="0"/>
              <w:rPr>
                <w:sz w:val="15"/>
                <w:szCs w:val="15"/>
                <w:color w:val="auto"/>
              </w:rPr>
            </w:pPr>
          </w:p>
        </w:tc>
        <w:tc>
          <w:tcPr>
            <w:tcW w:w="840" w:type="dxa"/>
            <w:vAlign w:val="bottom"/>
            <w:shd w:val="clear" w:color="auto" w:fill="E8F0F8"/>
          </w:tcPr>
          <w:p>
            <w:pPr>
              <w:spacing w:after="0"/>
              <w:rPr>
                <w:sz w:val="15"/>
                <w:szCs w:val="15"/>
                <w:color w:val="auto"/>
              </w:rPr>
            </w:pPr>
          </w:p>
        </w:tc>
        <w:tc>
          <w:tcPr>
            <w:tcW w:w="300" w:type="dxa"/>
            <w:vAlign w:val="bottom"/>
            <w:shd w:val="clear" w:color="auto" w:fill="E8F0F8"/>
          </w:tcPr>
          <w:p>
            <w:pPr>
              <w:spacing w:after="0"/>
              <w:rPr>
                <w:sz w:val="15"/>
                <w:szCs w:val="15"/>
                <w:color w:val="auto"/>
              </w:rPr>
            </w:pPr>
          </w:p>
        </w:tc>
        <w:tc>
          <w:tcPr>
            <w:tcW w:w="2720" w:type="dxa"/>
            <w:vAlign w:val="bottom"/>
            <w:gridSpan w:val="5"/>
            <w:shd w:val="clear" w:color="auto" w:fill="E8F0F8"/>
          </w:tcPr>
          <w:p>
            <w:pPr>
              <w:jc w:val="center"/>
              <w:ind w:right="41"/>
              <w:spacing w:after="0" w:line="175" w:lineRule="exact"/>
              <w:rPr>
                <w:sz w:val="20"/>
                <w:szCs w:val="20"/>
                <w:color w:val="auto"/>
              </w:rPr>
            </w:pPr>
            <w:r>
              <w:rPr>
                <w:rFonts w:ascii="Arial" w:cs="Arial" w:eastAsia="Arial" w:hAnsi="Arial"/>
                <w:sz w:val="16"/>
                <w:szCs w:val="16"/>
                <w:color w:val="auto"/>
              </w:rPr>
              <w:t>Specific pipeline goals</w:t>
            </w:r>
          </w:p>
        </w:tc>
        <w:tc>
          <w:tcPr>
            <w:tcW w:w="220" w:type="dxa"/>
            <w:vAlign w:val="bottom"/>
            <w:shd w:val="clear" w:color="auto" w:fill="E8F0F8"/>
          </w:tcPr>
          <w:p>
            <w:pPr>
              <w:spacing w:after="0"/>
              <w:rPr>
                <w:sz w:val="15"/>
                <w:szCs w:val="15"/>
                <w:color w:val="auto"/>
              </w:rPr>
            </w:pPr>
          </w:p>
        </w:tc>
        <w:tc>
          <w:tcPr>
            <w:tcW w:w="840" w:type="dxa"/>
            <w:vAlign w:val="bottom"/>
            <w:shd w:val="clear" w:color="auto" w:fill="E8F0F8"/>
          </w:tcPr>
          <w:p>
            <w:pPr>
              <w:spacing w:after="0"/>
              <w:rPr>
                <w:sz w:val="15"/>
                <w:szCs w:val="15"/>
                <w:color w:val="auto"/>
              </w:rPr>
            </w:pPr>
          </w:p>
        </w:tc>
        <w:tc>
          <w:tcPr>
            <w:tcW w:w="1020" w:type="dxa"/>
            <w:vAlign w:val="bottom"/>
            <w:shd w:val="clear" w:color="auto" w:fill="E8F0F8"/>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shd w:val="clear" w:color="auto" w:fill="E8F0F8"/>
          </w:tcPr>
          <w:p>
            <w:pPr>
              <w:ind w:left="60"/>
              <w:spacing w:after="0"/>
              <w:rPr>
                <w:sz w:val="20"/>
                <w:szCs w:val="20"/>
                <w:color w:val="auto"/>
              </w:rPr>
            </w:pPr>
            <w:r>
              <w:rPr>
                <w:rFonts w:ascii="Arial" w:cs="Arial" w:eastAsia="Arial" w:hAnsi="Arial"/>
                <w:sz w:val="16"/>
                <w:szCs w:val="16"/>
                <w:color w:val="auto"/>
              </w:rPr>
              <w:t>Build and Advance Total Pipeline</w:t>
            </w:r>
          </w:p>
        </w:tc>
        <w:tc>
          <w:tcPr>
            <w:tcW w:w="8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E8F0F8"/>
          </w:tcPr>
          <w:p>
            <w:pPr>
              <w:spacing w:after="0"/>
              <w:rPr>
                <w:sz w:val="16"/>
                <w:szCs w:val="16"/>
                <w:color w:val="auto"/>
              </w:rPr>
            </w:pPr>
          </w:p>
        </w:tc>
        <w:tc>
          <w:tcPr>
            <w:tcW w:w="272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are not disclosed for</w:t>
            </w:r>
          </w:p>
        </w:tc>
        <w:tc>
          <w:tcPr>
            <w:tcW w:w="220" w:type="dxa"/>
            <w:vAlign w:val="bottom"/>
            <w:shd w:val="clear" w:color="auto" w:fill="E8F0F8"/>
          </w:tcPr>
          <w:p>
            <w:pPr>
              <w:spacing w:after="0"/>
              <w:rPr>
                <w:sz w:val="16"/>
                <w:szCs w:val="16"/>
                <w:color w:val="auto"/>
              </w:rPr>
            </w:pPr>
          </w:p>
        </w:tc>
        <w:tc>
          <w:tcPr>
            <w:tcW w:w="840" w:type="dxa"/>
            <w:vAlign w:val="bottom"/>
            <w:shd w:val="clear" w:color="auto" w:fill="E8F0F8"/>
          </w:tcPr>
          <w:p>
            <w:pPr>
              <w:jc w:val="center"/>
              <w:ind w:right="143"/>
              <w:spacing w:after="0"/>
              <w:rPr>
                <w:sz w:val="20"/>
                <w:szCs w:val="20"/>
                <w:color w:val="auto"/>
              </w:rPr>
            </w:pPr>
            <w:r>
              <w:rPr>
                <w:rFonts w:ascii="Arial" w:cs="Arial" w:eastAsia="Arial" w:hAnsi="Arial"/>
                <w:sz w:val="16"/>
                <w:szCs w:val="16"/>
                <w:color w:val="auto"/>
              </w:rPr>
              <w:t>Above</w:t>
            </w:r>
          </w:p>
        </w:tc>
        <w:tc>
          <w:tcPr>
            <w:tcW w:w="102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E8F0F8"/>
          </w:tcPr>
          <w:p>
            <w:pPr>
              <w:spacing w:after="0"/>
              <w:rPr>
                <w:sz w:val="18"/>
                <w:szCs w:val="18"/>
                <w:color w:val="auto"/>
              </w:rPr>
            </w:pPr>
          </w:p>
        </w:tc>
        <w:tc>
          <w:tcPr>
            <w:tcW w:w="840" w:type="dxa"/>
            <w:vAlign w:val="bottom"/>
            <w:shd w:val="clear" w:color="auto" w:fill="E8F0F8"/>
          </w:tcPr>
          <w:p>
            <w:pPr>
              <w:spacing w:after="0"/>
              <w:rPr>
                <w:sz w:val="18"/>
                <w:szCs w:val="18"/>
                <w:color w:val="auto"/>
              </w:rPr>
            </w:pPr>
          </w:p>
        </w:tc>
        <w:tc>
          <w:tcPr>
            <w:tcW w:w="300" w:type="dxa"/>
            <w:vAlign w:val="bottom"/>
            <w:shd w:val="clear" w:color="auto" w:fill="E8F0F8"/>
          </w:tcPr>
          <w:p>
            <w:pPr>
              <w:spacing w:after="0"/>
              <w:rPr>
                <w:sz w:val="18"/>
                <w:szCs w:val="18"/>
                <w:color w:val="auto"/>
              </w:rPr>
            </w:pPr>
          </w:p>
        </w:tc>
        <w:tc>
          <w:tcPr>
            <w:tcW w:w="2720" w:type="dxa"/>
            <w:vAlign w:val="bottom"/>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competitive reasons</w:t>
            </w:r>
          </w:p>
        </w:tc>
        <w:tc>
          <w:tcPr>
            <w:tcW w:w="220" w:type="dxa"/>
            <w:vAlign w:val="bottom"/>
            <w:shd w:val="clear" w:color="auto" w:fill="E8F0F8"/>
          </w:tcPr>
          <w:p>
            <w:pPr>
              <w:spacing w:after="0"/>
              <w:rPr>
                <w:sz w:val="18"/>
                <w:szCs w:val="18"/>
                <w:color w:val="auto"/>
              </w:rPr>
            </w:pPr>
          </w:p>
        </w:tc>
        <w:tc>
          <w:tcPr>
            <w:tcW w:w="840" w:type="dxa"/>
            <w:vAlign w:val="bottom"/>
            <w:shd w:val="clear" w:color="auto" w:fill="E8F0F8"/>
          </w:tcPr>
          <w:p>
            <w:pPr>
              <w:jc w:val="center"/>
              <w:ind w:right="143"/>
              <w:spacing w:after="0" w:line="217" w:lineRule="exact"/>
              <w:rPr>
                <w:sz w:val="20"/>
                <w:szCs w:val="20"/>
                <w:color w:val="auto"/>
              </w:rPr>
            </w:pPr>
            <w:r>
              <w:rPr>
                <w:rFonts w:ascii="Arial" w:cs="Arial" w:eastAsia="Arial" w:hAnsi="Arial"/>
                <w:sz w:val="15"/>
                <w:szCs w:val="15"/>
                <w:color w:val="auto"/>
                <w:w w:val="95"/>
              </w:rPr>
              <w:t>Goal</w:t>
            </w:r>
            <w:r>
              <w:rPr>
                <w:rFonts w:ascii="Arial" w:cs="Arial" w:eastAsia="Arial" w:hAnsi="Arial"/>
                <w:sz w:val="25"/>
                <w:szCs w:val="25"/>
                <w:color w:val="auto"/>
                <w:w w:val="95"/>
                <w:vertAlign w:val="superscript"/>
              </w:rPr>
              <w:t>(4)</w:t>
            </w:r>
          </w:p>
        </w:tc>
        <w:tc>
          <w:tcPr>
            <w:tcW w:w="1020" w:type="dxa"/>
            <w:vAlign w:val="bottom"/>
            <w:shd w:val="clear" w:color="auto" w:fill="E8F0F8"/>
          </w:tcPr>
          <w:p>
            <w:pPr>
              <w:jc w:val="right"/>
              <w:ind w:right="121"/>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3"/>
        </w:trPr>
        <w:tc>
          <w:tcPr>
            <w:tcW w:w="508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ENVIRONMENTAL, SOCIAL, GOVERNANCE</w:t>
            </w:r>
          </w:p>
        </w:tc>
        <w:tc>
          <w:tcPr>
            <w:tcW w:w="84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840" w:type="dxa"/>
            <w:vAlign w:val="bottom"/>
            <w:shd w:val="clear" w:color="auto" w:fill="BAD3EA"/>
          </w:tcPr>
          <w:p>
            <w:pPr>
              <w:spacing w:after="0"/>
              <w:rPr>
                <w:sz w:val="17"/>
                <w:szCs w:val="17"/>
                <w:color w:val="auto"/>
              </w:rPr>
            </w:pPr>
          </w:p>
        </w:tc>
        <w:tc>
          <w:tcPr>
            <w:tcW w:w="1020" w:type="dxa"/>
            <w:vAlign w:val="bottom"/>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080" w:type="dxa"/>
            <w:vAlign w:val="bottom"/>
            <w:vMerge w:val="restart"/>
            <w:shd w:val="clear" w:color="auto" w:fill="E8F0F8"/>
          </w:tcPr>
          <w:p>
            <w:pPr>
              <w:ind w:left="60"/>
              <w:spacing w:after="0"/>
              <w:rPr>
                <w:sz w:val="20"/>
                <w:szCs w:val="20"/>
                <w:color w:val="auto"/>
              </w:rPr>
            </w:pPr>
            <w:r>
              <w:rPr>
                <w:rFonts w:ascii="Arial" w:cs="Arial" w:eastAsia="Arial" w:hAnsi="Arial"/>
                <w:sz w:val="16"/>
                <w:szCs w:val="16"/>
                <w:color w:val="auto"/>
              </w:rPr>
              <w:t>Execute on critical ESG strategy to drive our Healthy Climates,</w:t>
            </w:r>
          </w:p>
        </w:tc>
        <w:tc>
          <w:tcPr>
            <w:tcW w:w="840" w:type="dxa"/>
            <w:vAlign w:val="bottom"/>
            <w:shd w:val="clear" w:color="auto" w:fill="E8F0F8"/>
          </w:tcPr>
          <w:p>
            <w:pPr>
              <w:spacing w:after="0"/>
              <w:rPr>
                <w:sz w:val="21"/>
                <w:szCs w:val="21"/>
                <w:color w:val="auto"/>
              </w:rPr>
            </w:pPr>
          </w:p>
        </w:tc>
        <w:tc>
          <w:tcPr>
            <w:tcW w:w="300" w:type="dxa"/>
            <w:vAlign w:val="bottom"/>
            <w:shd w:val="clear" w:color="auto" w:fill="E8F0F8"/>
          </w:tcPr>
          <w:p>
            <w:pPr>
              <w:spacing w:after="0"/>
              <w:rPr>
                <w:sz w:val="21"/>
                <w:szCs w:val="21"/>
                <w:color w:val="auto"/>
              </w:rPr>
            </w:pPr>
          </w:p>
        </w:tc>
        <w:tc>
          <w:tcPr>
            <w:tcW w:w="272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Specific strategic transactions</w:t>
            </w:r>
          </w:p>
        </w:tc>
        <w:tc>
          <w:tcPr>
            <w:tcW w:w="220" w:type="dxa"/>
            <w:vAlign w:val="bottom"/>
            <w:shd w:val="clear" w:color="auto" w:fill="E8F0F8"/>
          </w:tcPr>
          <w:p>
            <w:pPr>
              <w:spacing w:after="0"/>
              <w:rPr>
                <w:sz w:val="21"/>
                <w:szCs w:val="21"/>
                <w:color w:val="auto"/>
              </w:rPr>
            </w:pPr>
          </w:p>
        </w:tc>
        <w:tc>
          <w:tcPr>
            <w:tcW w:w="840" w:type="dxa"/>
            <w:vAlign w:val="bottom"/>
            <w:vMerge w:val="restart"/>
            <w:shd w:val="clear" w:color="auto" w:fill="E8F0F8"/>
          </w:tcPr>
          <w:p>
            <w:pPr>
              <w:jc w:val="center"/>
              <w:ind w:right="143"/>
              <w:spacing w:after="0"/>
              <w:rPr>
                <w:sz w:val="20"/>
                <w:szCs w:val="20"/>
                <w:color w:val="auto"/>
              </w:rPr>
            </w:pPr>
            <w:r>
              <w:rPr>
                <w:rFonts w:ascii="Arial" w:cs="Arial" w:eastAsia="Arial" w:hAnsi="Arial"/>
                <w:sz w:val="16"/>
                <w:szCs w:val="16"/>
                <w:color w:val="auto"/>
              </w:rPr>
              <w:t>Above</w:t>
            </w:r>
          </w:p>
        </w:tc>
        <w:tc>
          <w:tcPr>
            <w:tcW w:w="1020" w:type="dxa"/>
            <w:vAlign w:val="bottom"/>
            <w:shd w:val="clear" w:color="auto" w:fill="E8F0F8"/>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5080" w:type="dxa"/>
            <w:vAlign w:val="bottom"/>
            <w:vMerge w:val="continue"/>
            <w:shd w:val="clear" w:color="auto" w:fill="E8F0F8"/>
          </w:tcPr>
          <w:p>
            <w:pPr>
              <w:spacing w:after="0"/>
              <w:rPr>
                <w:sz w:val="8"/>
                <w:szCs w:val="8"/>
                <w:color w:val="auto"/>
              </w:rPr>
            </w:pPr>
          </w:p>
        </w:tc>
        <w:tc>
          <w:tcPr>
            <w:tcW w:w="840" w:type="dxa"/>
            <w:vAlign w:val="bottom"/>
            <w:vMerge w:val="restart"/>
            <w:shd w:val="clear" w:color="auto" w:fill="E8F0F8"/>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E8F0F8"/>
          </w:tcPr>
          <w:p>
            <w:pPr>
              <w:spacing w:after="0"/>
              <w:rPr>
                <w:sz w:val="8"/>
                <w:szCs w:val="8"/>
                <w:color w:val="auto"/>
              </w:rPr>
            </w:pPr>
          </w:p>
        </w:tc>
        <w:tc>
          <w:tcPr>
            <w:tcW w:w="2720" w:type="dxa"/>
            <w:vAlign w:val="bottom"/>
            <w:gridSpan w:val="5"/>
            <w:vMerge w:val="restart"/>
            <w:shd w:val="clear" w:color="auto" w:fill="E8F0F8"/>
          </w:tcPr>
          <w:p>
            <w:pPr>
              <w:jc w:val="center"/>
              <w:ind w:right="61"/>
              <w:spacing w:after="0"/>
              <w:rPr>
                <w:sz w:val="20"/>
                <w:szCs w:val="20"/>
                <w:color w:val="auto"/>
              </w:rPr>
            </w:pPr>
            <w:r>
              <w:rPr>
                <w:rFonts w:ascii="Arial" w:cs="Arial" w:eastAsia="Arial" w:hAnsi="Arial"/>
                <w:sz w:val="16"/>
                <w:szCs w:val="16"/>
                <w:color w:val="auto"/>
              </w:rPr>
              <w:t>goals are not disclosed for</w:t>
            </w:r>
          </w:p>
        </w:tc>
        <w:tc>
          <w:tcPr>
            <w:tcW w:w="220" w:type="dxa"/>
            <w:vAlign w:val="bottom"/>
            <w:shd w:val="clear" w:color="auto" w:fill="E8F0F8"/>
          </w:tcPr>
          <w:p>
            <w:pPr>
              <w:spacing w:after="0"/>
              <w:rPr>
                <w:sz w:val="8"/>
                <w:szCs w:val="8"/>
                <w:color w:val="auto"/>
              </w:rPr>
            </w:pPr>
          </w:p>
        </w:tc>
        <w:tc>
          <w:tcPr>
            <w:tcW w:w="840" w:type="dxa"/>
            <w:vAlign w:val="bottom"/>
            <w:vMerge w:val="continue"/>
            <w:shd w:val="clear" w:color="auto" w:fill="E8F0F8"/>
          </w:tcPr>
          <w:p>
            <w:pPr>
              <w:spacing w:after="0"/>
              <w:rPr>
                <w:sz w:val="8"/>
                <w:szCs w:val="8"/>
                <w:color w:val="auto"/>
              </w:rPr>
            </w:pPr>
          </w:p>
        </w:tc>
        <w:tc>
          <w:tcPr>
            <w:tcW w:w="1020" w:type="dxa"/>
            <w:vAlign w:val="bottom"/>
            <w:vMerge w:val="restart"/>
            <w:shd w:val="clear" w:color="auto" w:fill="E8F0F8"/>
          </w:tcPr>
          <w:p>
            <w:pPr>
              <w:jc w:val="right"/>
              <w:ind w:right="121"/>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96"/>
        </w:trPr>
        <w:tc>
          <w:tcPr>
            <w:tcW w:w="5080" w:type="dxa"/>
            <w:vAlign w:val="bottom"/>
            <w:vMerge w:val="restart"/>
            <w:shd w:val="clear" w:color="auto" w:fill="E8F0F8"/>
          </w:tcPr>
          <w:p>
            <w:pPr>
              <w:ind w:left="60"/>
              <w:spacing w:after="0"/>
              <w:rPr>
                <w:sz w:val="20"/>
                <w:szCs w:val="20"/>
                <w:color w:val="auto"/>
              </w:rPr>
            </w:pPr>
            <w:r>
              <w:rPr>
                <w:rFonts w:ascii="Arial" w:cs="Arial" w:eastAsia="Arial" w:hAnsi="Arial"/>
                <w:sz w:val="16"/>
                <w:szCs w:val="16"/>
                <w:color w:val="auto"/>
              </w:rPr>
              <w:t>Healthy Lives and DE&amp;I Initiatives</w:t>
            </w:r>
          </w:p>
        </w:tc>
        <w:tc>
          <w:tcPr>
            <w:tcW w:w="840" w:type="dxa"/>
            <w:vAlign w:val="bottom"/>
            <w:vMerge w:val="continue"/>
            <w:shd w:val="clear" w:color="auto" w:fill="E8F0F8"/>
          </w:tcPr>
          <w:p>
            <w:pPr>
              <w:spacing w:after="0"/>
              <w:rPr>
                <w:sz w:val="8"/>
                <w:szCs w:val="8"/>
                <w:color w:val="auto"/>
              </w:rPr>
            </w:pPr>
          </w:p>
        </w:tc>
        <w:tc>
          <w:tcPr>
            <w:tcW w:w="300" w:type="dxa"/>
            <w:vAlign w:val="bottom"/>
            <w:shd w:val="clear" w:color="auto" w:fill="E8F0F8"/>
          </w:tcPr>
          <w:p>
            <w:pPr>
              <w:spacing w:after="0"/>
              <w:rPr>
                <w:sz w:val="8"/>
                <w:szCs w:val="8"/>
                <w:color w:val="auto"/>
              </w:rPr>
            </w:pPr>
          </w:p>
        </w:tc>
        <w:tc>
          <w:tcPr>
            <w:tcW w:w="2720" w:type="dxa"/>
            <w:vAlign w:val="bottom"/>
            <w:gridSpan w:val="5"/>
            <w:vMerge w:val="continue"/>
            <w:shd w:val="clear" w:color="auto" w:fill="E8F0F8"/>
          </w:tcPr>
          <w:p>
            <w:pPr>
              <w:spacing w:after="0"/>
              <w:rPr>
                <w:sz w:val="8"/>
                <w:szCs w:val="8"/>
                <w:color w:val="auto"/>
              </w:rPr>
            </w:pPr>
          </w:p>
        </w:tc>
        <w:tc>
          <w:tcPr>
            <w:tcW w:w="220" w:type="dxa"/>
            <w:vAlign w:val="bottom"/>
            <w:shd w:val="clear" w:color="auto" w:fill="E8F0F8"/>
          </w:tcPr>
          <w:p>
            <w:pPr>
              <w:spacing w:after="0"/>
              <w:rPr>
                <w:sz w:val="8"/>
                <w:szCs w:val="8"/>
                <w:color w:val="auto"/>
              </w:rPr>
            </w:pPr>
          </w:p>
        </w:tc>
        <w:tc>
          <w:tcPr>
            <w:tcW w:w="840" w:type="dxa"/>
            <w:vAlign w:val="bottom"/>
            <w:vMerge w:val="restart"/>
            <w:shd w:val="clear" w:color="auto" w:fill="E8F0F8"/>
          </w:tcPr>
          <w:p>
            <w:pPr>
              <w:jc w:val="center"/>
              <w:ind w:right="143"/>
              <w:spacing w:after="0" w:line="258" w:lineRule="exact"/>
              <w:rPr>
                <w:sz w:val="20"/>
                <w:szCs w:val="20"/>
                <w:color w:val="auto"/>
              </w:rPr>
            </w:pPr>
            <w:r>
              <w:rPr>
                <w:rFonts w:ascii="Arial" w:cs="Arial" w:eastAsia="Arial" w:hAnsi="Arial"/>
                <w:sz w:val="16"/>
                <w:szCs w:val="16"/>
                <w:color w:val="auto"/>
                <w:w w:val="89"/>
              </w:rPr>
              <w:t>Goal</w:t>
            </w:r>
            <w:r>
              <w:rPr>
                <w:rFonts w:ascii="Arial" w:cs="Arial" w:eastAsia="Arial" w:hAnsi="Arial"/>
                <w:sz w:val="27"/>
                <w:szCs w:val="27"/>
                <w:color w:val="auto"/>
                <w:w w:val="89"/>
                <w:vertAlign w:val="superscript"/>
              </w:rPr>
              <w:t>(5)</w:t>
            </w:r>
          </w:p>
        </w:tc>
        <w:tc>
          <w:tcPr>
            <w:tcW w:w="1020" w:type="dxa"/>
            <w:vAlign w:val="bottom"/>
            <w:vMerge w:val="continue"/>
            <w:shd w:val="clear" w:color="auto" w:fill="E8F0F8"/>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8F0F8"/>
            </w:tcBorders>
            <w:vMerge w:val="continue"/>
            <w:shd w:val="clear" w:color="auto" w:fill="E8F0F8"/>
          </w:tcPr>
          <w:p>
            <w:pPr>
              <w:spacing w:after="0"/>
              <w:rPr>
                <w:sz w:val="17"/>
                <w:szCs w:val="17"/>
                <w:color w:val="auto"/>
              </w:rPr>
            </w:pPr>
          </w:p>
        </w:tc>
        <w:tc>
          <w:tcPr>
            <w:tcW w:w="840" w:type="dxa"/>
            <w:vAlign w:val="bottom"/>
            <w:tcBorders>
              <w:bottom w:val="single" w:sz="8" w:color="E8F0F8"/>
            </w:tcBorders>
            <w:shd w:val="clear" w:color="auto" w:fill="E8F0F8"/>
          </w:tcPr>
          <w:p>
            <w:pPr>
              <w:spacing w:after="0"/>
              <w:rPr>
                <w:sz w:val="17"/>
                <w:szCs w:val="17"/>
                <w:color w:val="auto"/>
              </w:rPr>
            </w:pPr>
          </w:p>
        </w:tc>
        <w:tc>
          <w:tcPr>
            <w:tcW w:w="300" w:type="dxa"/>
            <w:vAlign w:val="bottom"/>
            <w:tcBorders>
              <w:bottom w:val="single" w:sz="8" w:color="E8F0F8"/>
            </w:tcBorders>
            <w:shd w:val="clear" w:color="auto" w:fill="E8F0F8"/>
          </w:tcPr>
          <w:p>
            <w:pPr>
              <w:spacing w:after="0"/>
              <w:rPr>
                <w:sz w:val="17"/>
                <w:szCs w:val="17"/>
                <w:color w:val="auto"/>
              </w:rPr>
            </w:pPr>
          </w:p>
        </w:tc>
        <w:tc>
          <w:tcPr>
            <w:tcW w:w="2720" w:type="dxa"/>
            <w:vAlign w:val="bottom"/>
            <w:tcBorders>
              <w:bottom w:val="single" w:sz="8" w:color="E8F0F8"/>
            </w:tcBorders>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E8F0F8"/>
            </w:tcBorders>
            <w:shd w:val="clear" w:color="auto" w:fill="E8F0F8"/>
          </w:tcPr>
          <w:p>
            <w:pPr>
              <w:spacing w:after="0"/>
              <w:rPr>
                <w:sz w:val="17"/>
                <w:szCs w:val="17"/>
                <w:color w:val="auto"/>
              </w:rPr>
            </w:pPr>
          </w:p>
        </w:tc>
        <w:tc>
          <w:tcPr>
            <w:tcW w:w="840" w:type="dxa"/>
            <w:vAlign w:val="bottom"/>
            <w:tcBorders>
              <w:bottom w:val="single" w:sz="8" w:color="E8F0F8"/>
            </w:tcBorders>
            <w:vMerge w:val="continue"/>
            <w:shd w:val="clear" w:color="auto" w:fill="E8F0F8"/>
          </w:tcPr>
          <w:p>
            <w:pPr>
              <w:spacing w:after="0"/>
              <w:rPr>
                <w:sz w:val="17"/>
                <w:szCs w:val="17"/>
                <w:color w:val="auto"/>
              </w:rPr>
            </w:pPr>
          </w:p>
        </w:tc>
        <w:tc>
          <w:tcPr>
            <w:tcW w:w="1020" w:type="dxa"/>
            <w:vAlign w:val="bottom"/>
            <w:tcBorders>
              <w:bottom w:val="single" w:sz="8" w:color="E8F0F8"/>
            </w:tcBorders>
            <w:shd w:val="clear" w:color="auto" w:fill="E8F0F8"/>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BAD3EA"/>
          </w:tcPr>
          <w:p>
            <w:pPr>
              <w:spacing w:after="0"/>
              <w:rPr>
                <w:sz w:val="16"/>
                <w:szCs w:val="16"/>
                <w:color w:val="auto"/>
              </w:rPr>
            </w:pPr>
          </w:p>
        </w:tc>
        <w:tc>
          <w:tcPr>
            <w:tcW w:w="840" w:type="dxa"/>
            <w:vAlign w:val="bottom"/>
            <w:shd w:val="clear" w:color="auto" w:fill="BAD3EA"/>
          </w:tcPr>
          <w:p>
            <w:pPr>
              <w:spacing w:after="0"/>
              <w:rPr>
                <w:sz w:val="16"/>
                <w:szCs w:val="16"/>
                <w:color w:val="auto"/>
              </w:rPr>
            </w:pPr>
          </w:p>
        </w:tc>
        <w:tc>
          <w:tcPr>
            <w:tcW w:w="300" w:type="dxa"/>
            <w:vAlign w:val="bottom"/>
            <w:shd w:val="clear" w:color="auto" w:fill="BAD3EA"/>
          </w:tcPr>
          <w:p>
            <w:pPr>
              <w:spacing w:after="0"/>
              <w:rPr>
                <w:sz w:val="16"/>
                <w:szCs w:val="16"/>
                <w:color w:val="auto"/>
              </w:rPr>
            </w:pPr>
          </w:p>
        </w:tc>
        <w:tc>
          <w:tcPr>
            <w:tcW w:w="76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76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1820" w:type="dxa"/>
            <w:vAlign w:val="bottom"/>
            <w:gridSpan w:val="3"/>
            <w:shd w:val="clear" w:color="auto" w:fill="BAD3EA"/>
          </w:tcPr>
          <w:p>
            <w:pPr>
              <w:jc w:val="right"/>
              <w:ind w:right="143"/>
              <w:spacing w:after="0"/>
              <w:rPr>
                <w:sz w:val="20"/>
                <w:szCs w:val="20"/>
                <w:color w:val="auto"/>
              </w:rPr>
            </w:pPr>
            <w:r>
              <w:rPr>
                <w:rFonts w:ascii="Arial" w:cs="Arial" w:eastAsia="Arial" w:hAnsi="Arial"/>
                <w:sz w:val="16"/>
                <w:szCs w:val="16"/>
                <w:b w:val="1"/>
                <w:bCs w:val="1"/>
                <w:color w:val="auto"/>
              </w:rPr>
              <w:t>Company Multiplier</w:t>
            </w:r>
          </w:p>
        </w:tc>
        <w:tc>
          <w:tcPr>
            <w:tcW w:w="102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shd w:val="clear" w:color="auto" w:fill="BAD3EA"/>
          </w:tcPr>
          <w:p>
            <w:pPr>
              <w:spacing w:after="0"/>
              <w:rPr>
                <w:sz w:val="17"/>
                <w:szCs w:val="17"/>
                <w:color w:val="auto"/>
              </w:rPr>
            </w:pPr>
          </w:p>
        </w:tc>
        <w:tc>
          <w:tcPr>
            <w:tcW w:w="840" w:type="dxa"/>
            <w:vAlign w:val="bottom"/>
            <w:tcBorders>
              <w:bottom w:val="single" w:sz="8" w:color="auto"/>
            </w:tcBorders>
            <w:shd w:val="clear" w:color="auto" w:fill="BAD3EA"/>
          </w:tcPr>
          <w:p>
            <w:pPr>
              <w:spacing w:after="0"/>
              <w:rPr>
                <w:sz w:val="17"/>
                <w:szCs w:val="17"/>
                <w:color w:val="auto"/>
              </w:rPr>
            </w:pPr>
          </w:p>
        </w:tc>
        <w:tc>
          <w:tcPr>
            <w:tcW w:w="300" w:type="dxa"/>
            <w:vAlign w:val="bottom"/>
            <w:tcBorders>
              <w:bottom w:val="single" w:sz="8" w:color="auto"/>
            </w:tcBorders>
            <w:shd w:val="clear" w:color="auto" w:fill="BAD3EA"/>
          </w:tcPr>
          <w:p>
            <w:pPr>
              <w:spacing w:after="0"/>
              <w:rPr>
                <w:sz w:val="17"/>
                <w:szCs w:val="17"/>
                <w:color w:val="auto"/>
              </w:rPr>
            </w:pPr>
          </w:p>
        </w:tc>
        <w:tc>
          <w:tcPr>
            <w:tcW w:w="3780" w:type="dxa"/>
            <w:vAlign w:val="bottom"/>
            <w:tcBorders>
              <w:bottom w:val="single" w:sz="8" w:color="auto"/>
            </w:tcBorders>
            <w:gridSpan w:val="7"/>
            <w:shd w:val="clear" w:color="auto" w:fill="BAD3EA"/>
          </w:tcPr>
          <w:p>
            <w:pPr>
              <w:jc w:val="right"/>
              <w:ind w:right="143"/>
              <w:spacing w:after="0"/>
              <w:rPr>
                <w:sz w:val="20"/>
                <w:szCs w:val="20"/>
                <w:color w:val="auto"/>
              </w:rPr>
            </w:pPr>
            <w:r>
              <w:rPr>
                <w:rFonts w:ascii="Arial" w:cs="Arial" w:eastAsia="Arial" w:hAnsi="Arial"/>
                <w:sz w:val="16"/>
                <w:szCs w:val="16"/>
                <w:b w:val="1"/>
                <w:bCs w:val="1"/>
                <w:color w:val="auto"/>
              </w:rPr>
              <w:t>Adjusted Company Multiplier for NEOs</w:t>
            </w:r>
          </w:p>
        </w:tc>
        <w:tc>
          <w:tcPr>
            <w:tcW w:w="1020" w:type="dxa"/>
            <w:vAlign w:val="bottom"/>
            <w:tcBorders>
              <w:bottom w:val="single" w:sz="8" w:color="auto"/>
            </w:tcBorders>
            <w:shd w:val="clear" w:color="auto" w:fill="BAD3EA"/>
          </w:tcPr>
          <w:p>
            <w:pPr>
              <w:jc w:val="right"/>
              <w:ind w:right="61"/>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20"/>
                <w:szCs w:val="20"/>
                <w:color w:val="auto"/>
              </w:rPr>
            </w:pPr>
            <w:r>
              <w:rPr>
                <w:rFonts w:ascii="Arial" w:cs="Arial" w:eastAsia="Arial" w:hAnsi="Arial"/>
                <w:sz w:val="14"/>
                <w:szCs w:val="14"/>
                <w:color w:val="auto"/>
              </w:rPr>
              <w:t>*    Numbers may not recalculate due to rounding.</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40" w:hanging="324"/>
        <w:spacing w:after="0"/>
        <w:tabs>
          <w:tab w:leader="none" w:pos="4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This multiplier was adjusted by the C&amp;MD Committee from the original performance calculation of 130%.</w:t>
      </w:r>
    </w:p>
    <w:p>
      <w:pPr>
        <w:spacing w:after="0" w:line="92"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6"/>
          <w:szCs w:val="16"/>
          <w:i w:val="1"/>
          <w:iCs w:val="1"/>
          <w:color w:val="auto"/>
        </w:rPr>
        <w:t>Notes to 2021 Annual Bonus Plan Company Performance Targets and Results Table</w:t>
      </w:r>
    </w:p>
    <w:p>
      <w:pPr>
        <w:spacing w:after="0" w:line="129" w:lineRule="exact"/>
        <w:rPr>
          <w:sz w:val="20"/>
          <w:szCs w:val="20"/>
          <w:color w:val="auto"/>
        </w:rPr>
      </w:pPr>
    </w:p>
    <w:p>
      <w:pPr>
        <w:ind w:left="440" w:right="160" w:hanging="324"/>
        <w:spacing w:after="0" w:line="252" w:lineRule="auto"/>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These financial measures were based on our publicly reported revenue of $11.0 billion and our publicly announced Non-GAAP diluted EPS of $19.13, as adjusted as follows: for purposes of our 2021 annual bonus plan, revenue was adjusted to neutralize the effects of foreign exchange rate fluctuations. Non-GAAP diluted EPS was further adjusted to add $0.25 related to share repurchases in 2021 under our 2020 Share Repurchase Program, $0.71 related to an upfront payment made in connection with entering into a collaboration and license agreement with InnoCare, $0.29 related to a milestone payment associated with the FDA approval of ADUHELM in the U.S. and $0.17 for other upfront and commercial milestone payments.</w:t>
      </w:r>
    </w:p>
    <w:p>
      <w:pPr>
        <w:spacing w:after="0" w:line="86" w:lineRule="exact"/>
        <w:rPr>
          <w:rFonts w:ascii="Arial" w:cs="Arial" w:eastAsia="Arial" w:hAnsi="Arial"/>
          <w:sz w:val="14"/>
          <w:szCs w:val="14"/>
          <w:color w:val="auto"/>
        </w:rPr>
      </w:pPr>
    </w:p>
    <w:p>
      <w:pPr>
        <w:ind w:left="440" w:hanging="324"/>
        <w:spacing w:after="0"/>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Our market goal for MS was achieved above target. Specific details are not disclosed for competitive reasons.</w:t>
      </w:r>
    </w:p>
    <w:p>
      <w:pPr>
        <w:spacing w:after="0" w:line="122" w:lineRule="exact"/>
        <w:rPr>
          <w:rFonts w:ascii="Arial" w:cs="Arial" w:eastAsia="Arial" w:hAnsi="Arial"/>
          <w:sz w:val="14"/>
          <w:szCs w:val="14"/>
          <w:color w:val="auto"/>
        </w:rPr>
      </w:pPr>
    </w:p>
    <w:p>
      <w:pPr>
        <w:ind w:left="440" w:right="580" w:hanging="324"/>
        <w:spacing w:after="0" w:line="285" w:lineRule="auto"/>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Digital Health was above target, but our Alzheimer’s disease leadership and Biosimilars goals were achieved below target. Specific details are not disclosed for competitive reasons.</w:t>
      </w:r>
    </w:p>
    <w:p>
      <w:pPr>
        <w:spacing w:after="0" w:line="63" w:lineRule="exact"/>
        <w:rPr>
          <w:rFonts w:ascii="Arial" w:cs="Arial" w:eastAsia="Arial" w:hAnsi="Arial"/>
          <w:sz w:val="14"/>
          <w:szCs w:val="14"/>
          <w:color w:val="auto"/>
        </w:rPr>
      </w:pPr>
    </w:p>
    <w:p>
      <w:pPr>
        <w:ind w:left="440" w:right="40" w:hanging="324"/>
        <w:spacing w:after="0" w:line="263" w:lineRule="auto"/>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Company continued to expand and re-shape its pipeline of pre-clinical and clinical stage programs through the advancement of internal programs, external business development activities, and exceeding expectations with respect to the level of confidence and momentum of its clinical stage portfolio. Specific details are not disclosed for competitive reasons.</w:t>
      </w:r>
    </w:p>
    <w:p>
      <w:pPr>
        <w:spacing w:after="0" w:line="78" w:lineRule="exact"/>
        <w:rPr>
          <w:rFonts w:ascii="Arial" w:cs="Arial" w:eastAsia="Arial" w:hAnsi="Arial"/>
          <w:sz w:val="14"/>
          <w:szCs w:val="14"/>
          <w:color w:val="auto"/>
        </w:rPr>
      </w:pPr>
    </w:p>
    <w:p>
      <w:pPr>
        <w:ind w:left="440" w:hanging="324"/>
        <w:spacing w:after="0"/>
        <w:tabs>
          <w:tab w:leader="none" w:pos="4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We exceeded our key ESG goals. Specific details not disclosed for competitive reasons.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49 </w:t>
      </w:r>
      <w:r>
        <w:rPr>
          <w:sz w:val="1"/>
          <w:szCs w:val="1"/>
          <w:color w:val="auto"/>
        </w:rPr>
        <w:drawing>
          <wp:inline distT="0" distB="0" distL="0" distR="0">
            <wp:extent cx="38735" cy="19685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2021 Individual Performance Goals and Results</w:t>
      </w:r>
    </w:p>
    <w:p>
      <w:pPr>
        <w:spacing w:after="0" w:line="111"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Individual Multiplier reflects each named executive officer’s overall individual performance rating that is determined as part of our performance assessment process. Each NEO’s Individual Multiplier, other than Mr. Vounatsos, is based on a subjective evaluation of his or her overall performance and consideration of the achievement of individual goals established at the beginning of the year. Goals may be both quantitative and qualitative. For 2021 Mr. Vounatsos recommended to our C&amp;MD Committee an Individual Multiplier for each active NEO (other than himself) based on his assessment of their individual contributions for the full year. In addition, our C&amp;MD Committee reviews on a qualitative basis each NEO’s other contributions to the Company and our business, leadership competencies and relative performance among all of our executive officers in determining Individual Multipliers. In its evaluation, our C&amp;MD Committee assigned Individual Multipliers to our active NEOs, other than Mr. Vounatsos, of between 120% and 130% based on the accomplishments listed below.</w:t>
      </w:r>
    </w:p>
    <w:p>
      <w:pPr>
        <w:spacing w:after="0" w:line="7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Our Board of Directors evaluation process for determining CEO compensation is based on an evaluation of contribution and performance based on a number of metrics. After consultation with certain members of the Board, Mr. Vounatsos proposed that his individual multiplier be set at 50%. Our Board of Directors determined Mr. Vounatsos’ Individual Multiplier based on a number of factors including, its assessment of his performance, Mr. Vounatsos’ recommendation and company performance. Notwithstanding Mr. Vounatsos’ essential individual contributions to Biogen in 2021, our Board of Directors believed it was important to hold him accountable for the Company’s overall business performance in 2021, and as a result, approved his Individual Multiplier at 50%.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427F3D"/>
        </w:rPr>
        <w:t>Michel Vounatsos</w:t>
      </w:r>
    </w:p>
    <w:p>
      <w:pPr>
        <w:spacing w:after="0" w:line="127" w:lineRule="exact"/>
        <w:rPr>
          <w:sz w:val="20"/>
          <w:szCs w:val="20"/>
          <w:color w:val="auto"/>
        </w:rPr>
      </w:pPr>
    </w:p>
    <w:p>
      <w:pPr>
        <w:ind w:left="380" w:right="100" w:hanging="264"/>
        <w:spacing w:after="0" w:line="253" w:lineRule="auto"/>
        <w:tabs>
          <w:tab w:leader="none" w:pos="380" w:val="left"/>
        </w:tabs>
        <w:numPr>
          <w:ilvl w:val="0"/>
          <w:numId w:val="110"/>
        </w:numPr>
        <w:rPr>
          <w:rFonts w:ascii="Arial" w:cs="Arial" w:eastAsia="Arial" w:hAnsi="Arial"/>
          <w:sz w:val="16"/>
          <w:szCs w:val="16"/>
          <w:color w:val="1A6DBB"/>
        </w:rPr>
      </w:pPr>
      <w:r>
        <w:rPr>
          <w:rFonts w:ascii="Arial" w:cs="Arial" w:eastAsia="Arial" w:hAnsi="Arial"/>
          <w:sz w:val="16"/>
          <w:szCs w:val="16"/>
          <w:color w:val="auto"/>
        </w:rPr>
        <w:t>Excelled in leading the Company in achieving its financial and business development goals, executing on its corporate strategy and advancing Biogen’s values.</w:t>
      </w:r>
    </w:p>
    <w:p>
      <w:pPr>
        <w:spacing w:after="0" w:line="1" w:lineRule="exact"/>
        <w:rPr>
          <w:rFonts w:ascii="Arial" w:cs="Arial" w:eastAsia="Arial" w:hAnsi="Arial"/>
          <w:sz w:val="16"/>
          <w:szCs w:val="16"/>
          <w:color w:val="1A6DBB"/>
        </w:rPr>
      </w:pPr>
    </w:p>
    <w:p>
      <w:pPr>
        <w:ind w:left="380" w:right="820" w:hanging="264"/>
        <w:spacing w:after="0" w:line="246" w:lineRule="auto"/>
        <w:tabs>
          <w:tab w:leader="none" w:pos="380" w:val="left"/>
        </w:tabs>
        <w:numPr>
          <w:ilvl w:val="0"/>
          <w:numId w:val="110"/>
        </w:numPr>
        <w:rPr>
          <w:rFonts w:ascii="Arial" w:cs="Arial" w:eastAsia="Arial" w:hAnsi="Arial"/>
          <w:sz w:val="16"/>
          <w:szCs w:val="16"/>
          <w:color w:val="1A6DBB"/>
        </w:rPr>
      </w:pPr>
      <w:r>
        <w:rPr>
          <w:rFonts w:ascii="Arial" w:cs="Arial" w:eastAsia="Arial" w:hAnsi="Arial"/>
          <w:sz w:val="16"/>
          <w:szCs w:val="16"/>
          <w:color w:val="auto"/>
        </w:rPr>
        <w:t>Contributed to our business development activities and the diversification of our pipeline.</w:t>
      </w:r>
    </w:p>
    <w:p>
      <w:pPr>
        <w:ind w:left="380" w:right="240" w:hanging="264"/>
        <w:spacing w:after="0" w:line="246" w:lineRule="auto"/>
        <w:tabs>
          <w:tab w:leader="none" w:pos="380" w:val="left"/>
        </w:tabs>
        <w:numPr>
          <w:ilvl w:val="0"/>
          <w:numId w:val="110"/>
        </w:numPr>
        <w:rPr>
          <w:rFonts w:ascii="Arial" w:cs="Arial" w:eastAsia="Arial" w:hAnsi="Arial"/>
          <w:sz w:val="16"/>
          <w:szCs w:val="16"/>
          <w:color w:val="1A6DBB"/>
        </w:rPr>
      </w:pPr>
      <w:r>
        <w:rPr>
          <w:rFonts w:ascii="Arial" w:cs="Arial" w:eastAsia="Arial" w:hAnsi="Arial"/>
          <w:sz w:val="16"/>
          <w:szCs w:val="16"/>
          <w:color w:val="auto"/>
        </w:rPr>
        <w:t>Contributed to the demonstrated resilience in our MS business, the continued successful launch of SPINRAZA worldwide and the expansion of our biosimilars business.</w:t>
      </w:r>
    </w:p>
    <w:p>
      <w:pPr>
        <w:spacing w:after="0" w:line="1" w:lineRule="exact"/>
        <w:rPr>
          <w:rFonts w:ascii="Arial" w:cs="Arial" w:eastAsia="Arial" w:hAnsi="Arial"/>
          <w:sz w:val="16"/>
          <w:szCs w:val="16"/>
          <w:color w:val="1A6DBB"/>
        </w:rPr>
      </w:pPr>
    </w:p>
    <w:p>
      <w:pPr>
        <w:ind w:left="380" w:right="200" w:hanging="264"/>
        <w:spacing w:after="0" w:line="252" w:lineRule="auto"/>
        <w:tabs>
          <w:tab w:leader="none" w:pos="380" w:val="left"/>
        </w:tabs>
        <w:numPr>
          <w:ilvl w:val="0"/>
          <w:numId w:val="110"/>
        </w:numPr>
        <w:rPr>
          <w:rFonts w:ascii="Arial" w:cs="Arial" w:eastAsia="Arial" w:hAnsi="Arial"/>
          <w:sz w:val="16"/>
          <w:szCs w:val="16"/>
          <w:color w:val="1A6DBB"/>
        </w:rPr>
      </w:pPr>
      <w:r>
        <w:rPr>
          <w:rFonts w:ascii="Arial" w:cs="Arial" w:eastAsia="Arial" w:hAnsi="Arial"/>
          <w:sz w:val="16"/>
          <w:szCs w:val="16"/>
          <w:color w:val="auto"/>
        </w:rPr>
        <w:t>Supported the filing of applications to the FDA, the EMA and the Japanese Ministry of Health, Labor and Welfare for marketing approval of aducanumab as well as the preparation for the potential launch of aducanumab.</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50 </w:t>
      </w:r>
      <w:r>
        <w:rPr>
          <w:sz w:val="1"/>
          <w:szCs w:val="1"/>
          <w:color w:val="auto"/>
        </w:rPr>
        <w:drawing>
          <wp:inline distT="0" distB="0" distL="0" distR="0">
            <wp:extent cx="38735" cy="19685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66" w:right="240" w:hanging="266"/>
        <w:spacing w:after="0" w:line="253" w:lineRule="auto"/>
        <w:tabs>
          <w:tab w:leader="none" w:pos="266"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Drove our ongoing improvements in our core processes to improve operating efficiencies, capital allocation and asset optimization while adhering to our core values.</w:t>
      </w:r>
    </w:p>
    <w:p>
      <w:pPr>
        <w:spacing w:after="0" w:line="1" w:lineRule="exact"/>
        <w:rPr>
          <w:rFonts w:ascii="Arial" w:cs="Arial" w:eastAsia="Arial" w:hAnsi="Arial"/>
          <w:sz w:val="16"/>
          <w:szCs w:val="16"/>
          <w:color w:val="1A6DBB"/>
        </w:rPr>
      </w:pPr>
    </w:p>
    <w:p>
      <w:pPr>
        <w:ind w:left="266" w:right="140" w:hanging="266"/>
        <w:spacing w:after="0" w:line="256" w:lineRule="auto"/>
        <w:tabs>
          <w:tab w:leader="none" w:pos="266"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Supported our continued leadership in corporate responsibility, including through the launch of our Healthy Climate, Health Lives and DE&amp;I initiatives.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color w:val="427F3D"/>
        </w:rPr>
        <w:t>Michael McDonnell</w:t>
      </w:r>
    </w:p>
    <w:p>
      <w:pPr>
        <w:spacing w:after="0" w:line="127" w:lineRule="exact"/>
        <w:rPr>
          <w:sz w:val="20"/>
          <w:szCs w:val="20"/>
          <w:color w:val="auto"/>
        </w:rPr>
      </w:pPr>
    </w:p>
    <w:p>
      <w:pPr>
        <w:ind w:left="266" w:right="120" w:hanging="266"/>
        <w:spacing w:after="0" w:line="256" w:lineRule="auto"/>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Exceeded financial objectives approved by the C&amp;MD Committee and contained in the Company’s 2021 annual operating plan.</w:t>
      </w:r>
    </w:p>
    <w:p>
      <w:pPr>
        <w:spacing w:after="0" w:line="1" w:lineRule="exact"/>
        <w:rPr>
          <w:rFonts w:ascii="Arial" w:cs="Arial" w:eastAsia="Arial" w:hAnsi="Arial"/>
          <w:sz w:val="16"/>
          <w:szCs w:val="16"/>
          <w:color w:val="1A6DBB"/>
        </w:rPr>
      </w:pPr>
    </w:p>
    <w:p>
      <w:pPr>
        <w:ind w:left="266" w:right="140" w:hanging="266"/>
        <w:spacing w:after="0" w:line="246" w:lineRule="auto"/>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Improved working capital management and cash flow as compared to targets.</w:t>
      </w:r>
    </w:p>
    <w:p>
      <w:pPr>
        <w:ind w:left="266" w:hanging="266"/>
        <w:spacing w:after="0"/>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Successfully cultivated internal talent.</w:t>
      </w:r>
    </w:p>
    <w:p>
      <w:pPr>
        <w:spacing w:after="0" w:line="5" w:lineRule="exact"/>
        <w:rPr>
          <w:rFonts w:ascii="Arial" w:cs="Arial" w:eastAsia="Arial" w:hAnsi="Arial"/>
          <w:sz w:val="16"/>
          <w:szCs w:val="16"/>
          <w:color w:val="1A6DBB"/>
        </w:rPr>
      </w:pPr>
    </w:p>
    <w:p>
      <w:pPr>
        <w:ind w:left="266" w:right="160" w:hanging="266"/>
        <w:spacing w:after="0" w:line="246" w:lineRule="auto"/>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Contributed to interactions with investors that lead to transparent and productive dialogue.</w:t>
      </w:r>
    </w:p>
    <w:p>
      <w:pPr>
        <w:ind w:left="266" w:right="160" w:hanging="266"/>
        <w:spacing w:after="0" w:line="246" w:lineRule="auto"/>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Prudently allocated capital to support the Company’s objectives while managing liquidity and shaping our capital strategy.</w:t>
      </w:r>
    </w:p>
    <w:p>
      <w:pPr>
        <w:ind w:left="266" w:right="80" w:hanging="266"/>
        <w:spacing w:after="0" w:line="246" w:lineRule="auto"/>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Continued to improve processes while focusing on areas that increase Company agility and mitigate risk.</w:t>
      </w:r>
    </w:p>
    <w:p>
      <w:pPr>
        <w:ind w:left="266" w:hanging="266"/>
        <w:spacing w:after="0"/>
        <w:tabs>
          <w:tab w:leader="none" w:pos="266"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Supported our Board of Directors, the CEO and executive team.</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16"/>
          <w:szCs w:val="16"/>
          <w:color w:val="427F3D"/>
        </w:rPr>
        <w:t>Susan H. Alexander</w:t>
      </w:r>
    </w:p>
    <w:p>
      <w:pPr>
        <w:spacing w:after="0" w:line="127" w:lineRule="exact"/>
        <w:rPr>
          <w:sz w:val="20"/>
          <w:szCs w:val="20"/>
          <w:color w:val="auto"/>
        </w:rPr>
      </w:pPr>
    </w:p>
    <w:p>
      <w:pPr>
        <w:ind w:left="266" w:hanging="266"/>
        <w:spacing w:after="0"/>
        <w:tabs>
          <w:tab w:leader="none" w:pos="266"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Supported our Board of Directors, the CEO and executive team.</w:t>
      </w:r>
    </w:p>
    <w:p>
      <w:pPr>
        <w:spacing w:after="0" w:line="21" w:lineRule="exact"/>
        <w:rPr>
          <w:rFonts w:ascii="Arial" w:cs="Arial" w:eastAsia="Arial" w:hAnsi="Arial"/>
          <w:sz w:val="16"/>
          <w:szCs w:val="16"/>
          <w:color w:val="1A6DBB"/>
        </w:rPr>
      </w:pPr>
    </w:p>
    <w:p>
      <w:pPr>
        <w:ind w:left="266" w:hanging="266"/>
        <w:spacing w:after="0"/>
        <w:tabs>
          <w:tab w:leader="none" w:pos="266"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Led our compliance with SEC disclosure requirements.</w:t>
      </w:r>
    </w:p>
    <w:p>
      <w:pPr>
        <w:spacing w:after="0" w:line="5" w:lineRule="exact"/>
        <w:rPr>
          <w:rFonts w:ascii="Arial" w:cs="Arial" w:eastAsia="Arial" w:hAnsi="Arial"/>
          <w:sz w:val="16"/>
          <w:szCs w:val="16"/>
          <w:color w:val="1A6DBB"/>
        </w:rPr>
      </w:pPr>
    </w:p>
    <w:p>
      <w:pPr>
        <w:ind w:left="266" w:right="380" w:hanging="266"/>
        <w:spacing w:after="0" w:line="246" w:lineRule="auto"/>
        <w:tabs>
          <w:tab w:leader="none" w:pos="266"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Provided strategic legal advice to support patent protection and appeals, regulatory issues, and filing of therapeutic applications to regulatory bodies.</w:t>
      </w:r>
    </w:p>
    <w:p>
      <w:pPr>
        <w:spacing w:after="0" w:line="1" w:lineRule="exact"/>
        <w:rPr>
          <w:rFonts w:ascii="Arial" w:cs="Arial" w:eastAsia="Arial" w:hAnsi="Arial"/>
          <w:sz w:val="16"/>
          <w:szCs w:val="16"/>
          <w:color w:val="1A6DBB"/>
        </w:rPr>
      </w:pPr>
    </w:p>
    <w:p>
      <w:pPr>
        <w:ind w:left="266" w:hanging="266"/>
        <w:spacing w:after="0"/>
        <w:tabs>
          <w:tab w:leader="none" w:pos="266"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Instrumental in co-leading our response to the COVID-19 pandemic.</w:t>
      </w:r>
    </w:p>
    <w:p>
      <w:pPr>
        <w:spacing w:after="0" w:line="5" w:lineRule="exact"/>
        <w:rPr>
          <w:rFonts w:ascii="Arial" w:cs="Arial" w:eastAsia="Arial" w:hAnsi="Arial"/>
          <w:sz w:val="16"/>
          <w:szCs w:val="16"/>
          <w:color w:val="1A6DBB"/>
        </w:rPr>
      </w:pPr>
    </w:p>
    <w:p>
      <w:pPr>
        <w:ind w:left="266" w:right="40" w:hanging="266"/>
        <w:spacing w:after="0" w:line="246" w:lineRule="auto"/>
        <w:tabs>
          <w:tab w:leader="none" w:pos="266"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Partnered with many internal functions to support ADUHELM initiatives before and after approval.</w:t>
      </w:r>
    </w:p>
    <w:p>
      <w:pPr>
        <w:ind w:left="266" w:right="260" w:hanging="266"/>
        <w:spacing w:after="0" w:line="265" w:lineRule="auto"/>
        <w:tabs>
          <w:tab w:leader="none" w:pos="266"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Provided transaction and litigation support, including supporting key business development and regulatory matters.</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6"/>
          <w:szCs w:val="16"/>
          <w:color w:val="427F3D"/>
        </w:rPr>
        <w:t>Chirfi Guindo</w:t>
      </w:r>
    </w:p>
    <w:p>
      <w:pPr>
        <w:spacing w:after="0" w:line="127" w:lineRule="exact"/>
        <w:rPr>
          <w:sz w:val="20"/>
          <w:szCs w:val="20"/>
          <w:color w:val="auto"/>
        </w:rPr>
      </w:pPr>
    </w:p>
    <w:p>
      <w:pPr>
        <w:ind w:left="266" w:hanging="266"/>
        <w:spacing w:after="0" w:line="253" w:lineRule="auto"/>
        <w:tabs>
          <w:tab w:leader="none" w:pos="266"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Excelled in leadership of our Global Product Strategy and Commercialization organization and our Government Affairs, Value and Access and Corporate Affairs organizations.</w:t>
      </w:r>
    </w:p>
    <w:p>
      <w:pPr>
        <w:spacing w:after="0" w:line="1" w:lineRule="exact"/>
        <w:rPr>
          <w:rFonts w:ascii="Arial" w:cs="Arial" w:eastAsia="Arial" w:hAnsi="Arial"/>
          <w:sz w:val="16"/>
          <w:szCs w:val="16"/>
          <w:color w:val="1A6DBB"/>
        </w:rPr>
      </w:pPr>
    </w:p>
    <w:p>
      <w:pPr>
        <w:ind w:left="266" w:right="600" w:hanging="266"/>
        <w:spacing w:after="0" w:line="246" w:lineRule="auto"/>
        <w:tabs>
          <w:tab w:leader="none" w:pos="266"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Contributed to the continued expansion of VUMERITY with key approval[s] and launche[s].</w:t>
      </w:r>
    </w:p>
    <w:p>
      <w:pPr>
        <w:ind w:left="266" w:hanging="266"/>
        <w:spacing w:after="0"/>
        <w:tabs>
          <w:tab w:leader="none" w:pos="266"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Achieved continued patient growth in key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601980</wp:posOffset>
            </wp:positionV>
            <wp:extent cx="102870" cy="9398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400" w:space="334"/>
            <w:col w:w="5366"/>
          </w:cols>
          <w:pgMar w:left="320" w:top="455" w:right="47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15"/>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1A6DBB"/>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Supported our continued geographic expansion in emerging growth markets with reimbursements granted in China.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1A6DBB"/>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Continued to exhibit outstanding leadership by fostering a culture of DE&amp;I.</w:t>
      </w:r>
    </w:p>
    <w:p>
      <w:pPr>
        <w:spacing w:after="0" w:line="1" w:lineRule="exact"/>
        <w:rPr>
          <w:sz w:val="20"/>
          <w:szCs w:val="20"/>
          <w:color w:val="auto"/>
        </w:rPr>
      </w:pPr>
    </w:p>
    <w:p>
      <w:pPr>
        <w:sectPr>
          <w:pgSz w:w="11900" w:h="16838" w:orient="portrait"/>
          <w:cols w:equalWidth="0" w:num="4">
            <w:col w:w="180" w:space="200"/>
            <w:col w:w="4820" w:space="540"/>
            <w:col w:w="60" w:space="200"/>
            <w:col w:w="5140"/>
          </w:cols>
          <w:pgMar w:left="320" w:top="455" w:right="439" w:bottom="1440" w:gutter="0" w:footer="0" w:header="0"/>
          <w:type w:val="continuous"/>
        </w:sectPr>
      </w:pPr>
    </w:p>
    <w:p>
      <w:pPr>
        <w:ind w:left="380" w:right="5940" w:hanging="264"/>
        <w:spacing w:after="0" w:line="253" w:lineRule="auto"/>
        <w:tabs>
          <w:tab w:leader="none" w:pos="380" w:val="left"/>
        </w:tabs>
        <w:numPr>
          <w:ilvl w:val="0"/>
          <w:numId w:val="116"/>
        </w:numPr>
        <w:rPr>
          <w:rFonts w:ascii="Arial" w:cs="Arial" w:eastAsia="Arial" w:hAnsi="Arial"/>
          <w:sz w:val="16"/>
          <w:szCs w:val="16"/>
          <w:color w:val="1A6DBB"/>
        </w:rPr>
      </w:pPr>
      <w:r>
        <w:rPr>
          <w:rFonts w:ascii="Arial" w:cs="Arial" w:eastAsia="Arial" w:hAnsi="Arial"/>
          <w:sz w:val="16"/>
          <w:szCs w:val="16"/>
          <w:color w:val="auto"/>
        </w:rPr>
        <w:t>Led our communications and collaboration initiatives supporting our short- and long-term Alzheimer’s disease goals.</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2021 Annual Bonus Plan Awards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C&amp;MD Committee determined that the final bonus awards under our 2021 annual bonus plan were as follows: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5000" w:type="dxa"/>
            <w:vAlign w:val="bottom"/>
            <w:shd w:val="clear" w:color="auto" w:fill="1A6DBB"/>
          </w:tcPr>
          <w:p>
            <w:pPr>
              <w:spacing w:after="0"/>
              <w:rPr>
                <w:sz w:val="15"/>
                <w:szCs w:val="15"/>
                <w:color w:val="auto"/>
              </w:rPr>
            </w:pPr>
          </w:p>
        </w:tc>
        <w:tc>
          <w:tcPr>
            <w:tcW w:w="440" w:type="dxa"/>
            <w:vAlign w:val="bottom"/>
            <w:shd w:val="clear" w:color="auto" w:fill="1A6DBB"/>
          </w:tcPr>
          <w:p>
            <w:pPr>
              <w:spacing w:after="0"/>
              <w:rPr>
                <w:sz w:val="15"/>
                <w:szCs w:val="15"/>
                <w:color w:val="auto"/>
              </w:rPr>
            </w:pPr>
          </w:p>
        </w:tc>
        <w:tc>
          <w:tcPr>
            <w:tcW w:w="920" w:type="dxa"/>
            <w:vAlign w:val="bottom"/>
            <w:shd w:val="clear" w:color="auto" w:fill="1A6DBB"/>
          </w:tcPr>
          <w:p>
            <w:pPr>
              <w:jc w:val="center"/>
              <w:ind w:right="222"/>
              <w:spacing w:after="0"/>
              <w:rPr>
                <w:sz w:val="20"/>
                <w:szCs w:val="20"/>
                <w:color w:val="auto"/>
              </w:rPr>
            </w:pPr>
            <w:r>
              <w:rPr>
                <w:rFonts w:ascii="Arial" w:cs="Arial" w:eastAsia="Arial" w:hAnsi="Arial"/>
                <w:sz w:val="14"/>
                <w:szCs w:val="14"/>
                <w:color w:val="FFFFFF"/>
              </w:rPr>
              <w:t>Year-end</w:t>
            </w:r>
          </w:p>
        </w:tc>
        <w:tc>
          <w:tcPr>
            <w:tcW w:w="1100" w:type="dxa"/>
            <w:vAlign w:val="bottom"/>
            <w:shd w:val="clear" w:color="auto" w:fill="1A6DBB"/>
          </w:tcPr>
          <w:p>
            <w:pPr>
              <w:jc w:val="center"/>
              <w:ind w:right="62"/>
              <w:spacing w:after="0"/>
              <w:rPr>
                <w:sz w:val="20"/>
                <w:szCs w:val="20"/>
                <w:color w:val="auto"/>
              </w:rPr>
            </w:pPr>
            <w:r>
              <w:rPr>
                <w:rFonts w:ascii="Arial" w:cs="Arial" w:eastAsia="Arial" w:hAnsi="Arial"/>
                <w:sz w:val="14"/>
                <w:szCs w:val="14"/>
                <w:color w:val="FFFFFF"/>
                <w:w w:val="98"/>
              </w:rPr>
              <w:t>Target</w:t>
            </w:r>
          </w:p>
        </w:tc>
        <w:tc>
          <w:tcPr>
            <w:tcW w:w="116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Company</w:t>
            </w:r>
          </w:p>
        </w:tc>
        <w:tc>
          <w:tcPr>
            <w:tcW w:w="1340" w:type="dxa"/>
            <w:vAlign w:val="bottom"/>
            <w:shd w:val="clear" w:color="auto" w:fill="1A6DBB"/>
          </w:tcPr>
          <w:p>
            <w:pPr>
              <w:jc w:val="center"/>
              <w:ind w:right="262"/>
              <w:spacing w:after="0"/>
              <w:rPr>
                <w:sz w:val="20"/>
                <w:szCs w:val="20"/>
                <w:color w:val="auto"/>
              </w:rPr>
            </w:pPr>
            <w:r>
              <w:rPr>
                <w:rFonts w:ascii="Arial" w:cs="Arial" w:eastAsia="Arial" w:hAnsi="Arial"/>
                <w:sz w:val="14"/>
                <w:szCs w:val="14"/>
                <w:color w:val="FFFFFF"/>
              </w:rPr>
              <w:t>Individual</w:t>
            </w:r>
          </w:p>
        </w:tc>
        <w:tc>
          <w:tcPr>
            <w:tcW w:w="1060" w:type="dxa"/>
            <w:vAlign w:val="bottom"/>
            <w:shd w:val="clear" w:color="auto" w:fill="1A6DBB"/>
          </w:tcPr>
          <w:p>
            <w:pPr>
              <w:jc w:val="center"/>
              <w:ind w:left="42"/>
              <w:spacing w:after="0"/>
              <w:rPr>
                <w:sz w:val="20"/>
                <w:szCs w:val="20"/>
                <w:color w:val="auto"/>
              </w:rPr>
            </w:pPr>
            <w:r>
              <w:rPr>
                <w:rFonts w:ascii="Arial" w:cs="Arial" w:eastAsia="Arial" w:hAnsi="Arial"/>
                <w:sz w:val="14"/>
                <w:szCs w:val="14"/>
                <w:color w:val="FFFFFF"/>
              </w:rPr>
              <w:t>Bonus</w:t>
            </w:r>
          </w:p>
        </w:tc>
      </w:tr>
      <w:tr>
        <w:trPr>
          <w:trHeight w:val="162"/>
        </w:trPr>
        <w:tc>
          <w:tcPr>
            <w:tcW w:w="5000" w:type="dxa"/>
            <w:vAlign w:val="bottom"/>
            <w:shd w:val="clear" w:color="auto" w:fill="1A6DBB"/>
          </w:tcPr>
          <w:p>
            <w:pPr>
              <w:spacing w:after="0"/>
              <w:rPr>
                <w:sz w:val="14"/>
                <w:szCs w:val="14"/>
                <w:color w:val="auto"/>
              </w:rPr>
            </w:pPr>
          </w:p>
        </w:tc>
        <w:tc>
          <w:tcPr>
            <w:tcW w:w="440" w:type="dxa"/>
            <w:vAlign w:val="bottom"/>
            <w:shd w:val="clear" w:color="auto" w:fill="1A6DBB"/>
          </w:tcPr>
          <w:p>
            <w:pPr>
              <w:spacing w:after="0"/>
              <w:rPr>
                <w:sz w:val="14"/>
                <w:szCs w:val="14"/>
                <w:color w:val="auto"/>
              </w:rPr>
            </w:pPr>
          </w:p>
        </w:tc>
        <w:tc>
          <w:tcPr>
            <w:tcW w:w="920" w:type="dxa"/>
            <w:vAlign w:val="bottom"/>
            <w:shd w:val="clear" w:color="auto" w:fill="1A6DBB"/>
          </w:tcPr>
          <w:p>
            <w:pPr>
              <w:jc w:val="center"/>
              <w:ind w:right="222"/>
              <w:spacing w:after="0"/>
              <w:rPr>
                <w:sz w:val="20"/>
                <w:szCs w:val="20"/>
                <w:color w:val="auto"/>
              </w:rPr>
            </w:pPr>
            <w:r>
              <w:rPr>
                <w:rFonts w:ascii="Arial" w:cs="Arial" w:eastAsia="Arial" w:hAnsi="Arial"/>
                <w:sz w:val="14"/>
                <w:szCs w:val="14"/>
                <w:color w:val="FFFFFF"/>
              </w:rPr>
              <w:t>Salary</w:t>
            </w:r>
          </w:p>
        </w:tc>
        <w:tc>
          <w:tcPr>
            <w:tcW w:w="1100" w:type="dxa"/>
            <w:vAlign w:val="bottom"/>
            <w:shd w:val="clear" w:color="auto" w:fill="1A6DBB"/>
          </w:tcPr>
          <w:p>
            <w:pPr>
              <w:jc w:val="center"/>
              <w:ind w:right="62"/>
              <w:spacing w:after="0"/>
              <w:rPr>
                <w:sz w:val="20"/>
                <w:szCs w:val="20"/>
                <w:color w:val="auto"/>
              </w:rPr>
            </w:pPr>
            <w:r>
              <w:rPr>
                <w:rFonts w:ascii="Arial" w:cs="Arial" w:eastAsia="Arial" w:hAnsi="Arial"/>
                <w:sz w:val="14"/>
                <w:szCs w:val="14"/>
                <w:color w:val="FFFFFF"/>
                <w:w w:val="99"/>
              </w:rPr>
              <w:t>Bonus%</w:t>
            </w:r>
          </w:p>
        </w:tc>
        <w:tc>
          <w:tcPr>
            <w:tcW w:w="116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w w:val="99"/>
              </w:rPr>
              <w:t>Multiplier</w:t>
            </w:r>
          </w:p>
        </w:tc>
        <w:tc>
          <w:tcPr>
            <w:tcW w:w="1340" w:type="dxa"/>
            <w:vAlign w:val="bottom"/>
            <w:shd w:val="clear" w:color="auto" w:fill="1A6DBB"/>
          </w:tcPr>
          <w:p>
            <w:pPr>
              <w:jc w:val="center"/>
              <w:ind w:right="262"/>
              <w:spacing w:after="0"/>
              <w:rPr>
                <w:sz w:val="20"/>
                <w:szCs w:val="20"/>
                <w:color w:val="auto"/>
              </w:rPr>
            </w:pPr>
            <w:r>
              <w:rPr>
                <w:rFonts w:ascii="Arial" w:cs="Arial" w:eastAsia="Arial" w:hAnsi="Arial"/>
                <w:sz w:val="14"/>
                <w:szCs w:val="14"/>
                <w:color w:val="FFFFFF"/>
                <w:w w:val="99"/>
              </w:rPr>
              <w:t>Multiplier</w:t>
            </w:r>
          </w:p>
        </w:tc>
        <w:tc>
          <w:tcPr>
            <w:tcW w:w="1060" w:type="dxa"/>
            <w:vAlign w:val="bottom"/>
            <w:shd w:val="clear" w:color="auto" w:fill="1A6DBB"/>
          </w:tcPr>
          <w:p>
            <w:pPr>
              <w:jc w:val="center"/>
              <w:ind w:left="22"/>
              <w:spacing w:after="0"/>
              <w:rPr>
                <w:sz w:val="20"/>
                <w:szCs w:val="20"/>
                <w:color w:val="auto"/>
              </w:rPr>
            </w:pPr>
            <w:r>
              <w:rPr>
                <w:rFonts w:ascii="Arial" w:cs="Arial" w:eastAsia="Arial" w:hAnsi="Arial"/>
                <w:sz w:val="14"/>
                <w:szCs w:val="14"/>
                <w:color w:val="FFFFFF"/>
              </w:rPr>
              <w:t>Award</w:t>
            </w:r>
          </w:p>
        </w:tc>
      </w:tr>
      <w:tr>
        <w:trPr>
          <w:trHeight w:val="219"/>
        </w:trPr>
        <w:tc>
          <w:tcPr>
            <w:tcW w:w="5000" w:type="dxa"/>
            <w:vAlign w:val="bottom"/>
            <w:tcBorders>
              <w:bottom w:val="single" w:sz="8" w:color="1A6DBB"/>
            </w:tcBorders>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440" w:type="dxa"/>
            <w:vAlign w:val="bottom"/>
            <w:tcBorders>
              <w:bottom w:val="single" w:sz="8" w:color="1A6DBB"/>
            </w:tcBorders>
            <w:shd w:val="clear" w:color="auto" w:fill="1A6DBB"/>
          </w:tcPr>
          <w:p>
            <w:pPr>
              <w:spacing w:after="0"/>
              <w:rPr>
                <w:sz w:val="19"/>
                <w:szCs w:val="19"/>
                <w:color w:val="auto"/>
              </w:rPr>
            </w:pPr>
          </w:p>
        </w:tc>
        <w:tc>
          <w:tcPr>
            <w:tcW w:w="920" w:type="dxa"/>
            <w:vAlign w:val="bottom"/>
            <w:tcBorders>
              <w:bottom w:val="single" w:sz="8" w:color="1A6DBB"/>
            </w:tcBorders>
            <w:shd w:val="clear" w:color="auto" w:fill="1A6DBB"/>
          </w:tcPr>
          <w:p>
            <w:pPr>
              <w:jc w:val="center"/>
              <w:ind w:right="222"/>
              <w:spacing w:after="0"/>
              <w:rPr>
                <w:sz w:val="20"/>
                <w:szCs w:val="20"/>
                <w:color w:val="auto"/>
              </w:rPr>
            </w:pPr>
            <w:r>
              <w:rPr>
                <w:rFonts w:ascii="Arial" w:cs="Arial" w:eastAsia="Arial" w:hAnsi="Arial"/>
                <w:sz w:val="14"/>
                <w:szCs w:val="14"/>
                <w:color w:val="FFFFFF"/>
              </w:rPr>
              <w:t>(A) x</w:t>
            </w:r>
          </w:p>
        </w:tc>
        <w:tc>
          <w:tcPr>
            <w:tcW w:w="1100" w:type="dxa"/>
            <w:vAlign w:val="bottom"/>
            <w:tcBorders>
              <w:bottom w:val="single" w:sz="8" w:color="1A6DBB"/>
            </w:tcBorders>
            <w:shd w:val="clear" w:color="auto" w:fill="1A6DBB"/>
          </w:tcPr>
          <w:p>
            <w:pPr>
              <w:jc w:val="center"/>
              <w:ind w:right="62"/>
              <w:spacing w:after="0"/>
              <w:rPr>
                <w:sz w:val="20"/>
                <w:szCs w:val="20"/>
                <w:color w:val="auto"/>
              </w:rPr>
            </w:pPr>
            <w:r>
              <w:rPr>
                <w:rFonts w:ascii="Arial" w:cs="Arial" w:eastAsia="Arial" w:hAnsi="Arial"/>
                <w:sz w:val="14"/>
                <w:szCs w:val="14"/>
                <w:color w:val="FFFFFF"/>
              </w:rPr>
              <w:t>(B) x</w:t>
            </w:r>
          </w:p>
        </w:tc>
        <w:tc>
          <w:tcPr>
            <w:tcW w:w="1160" w:type="dxa"/>
            <w:vAlign w:val="bottom"/>
            <w:tcBorders>
              <w:bottom w:val="single" w:sz="8" w:color="1A6DBB"/>
            </w:tcBorders>
            <w:shd w:val="clear" w:color="auto" w:fill="1A6DBB"/>
          </w:tcPr>
          <w:p>
            <w:pPr>
              <w:jc w:val="center"/>
              <w:ind w:right="82"/>
              <w:spacing w:after="0"/>
              <w:rPr>
                <w:sz w:val="20"/>
                <w:szCs w:val="20"/>
                <w:color w:val="auto"/>
              </w:rPr>
            </w:pPr>
            <w:r>
              <w:rPr>
                <w:rFonts w:ascii="Arial" w:cs="Arial" w:eastAsia="Arial" w:hAnsi="Arial"/>
                <w:sz w:val="14"/>
                <w:szCs w:val="14"/>
                <w:color w:val="FFFFFF"/>
              </w:rPr>
              <w:t>(C) x</w:t>
            </w:r>
          </w:p>
        </w:tc>
        <w:tc>
          <w:tcPr>
            <w:tcW w:w="1340" w:type="dxa"/>
            <w:vAlign w:val="bottom"/>
            <w:tcBorders>
              <w:bottom w:val="single" w:sz="8" w:color="1A6DBB"/>
            </w:tcBorders>
            <w:shd w:val="clear" w:color="auto" w:fill="1A6DBB"/>
          </w:tcPr>
          <w:p>
            <w:pPr>
              <w:jc w:val="center"/>
              <w:ind w:right="262"/>
              <w:spacing w:after="0"/>
              <w:rPr>
                <w:sz w:val="20"/>
                <w:szCs w:val="20"/>
                <w:color w:val="auto"/>
              </w:rPr>
            </w:pPr>
            <w:r>
              <w:rPr>
                <w:rFonts w:ascii="Arial" w:cs="Arial" w:eastAsia="Arial" w:hAnsi="Arial"/>
                <w:sz w:val="14"/>
                <w:szCs w:val="14"/>
                <w:color w:val="FFFFFF"/>
              </w:rPr>
              <w:t>(D) =</w:t>
            </w:r>
          </w:p>
        </w:tc>
        <w:tc>
          <w:tcPr>
            <w:tcW w:w="1060" w:type="dxa"/>
            <w:vAlign w:val="bottom"/>
            <w:tcBorders>
              <w:bottom w:val="single" w:sz="8" w:color="1A6DBB"/>
            </w:tcBorders>
            <w:shd w:val="clear" w:color="auto" w:fill="1A6DBB"/>
          </w:tcPr>
          <w:p>
            <w:pPr>
              <w:jc w:val="center"/>
              <w:ind w:left="42"/>
              <w:spacing w:after="0"/>
              <w:rPr>
                <w:sz w:val="20"/>
                <w:szCs w:val="20"/>
                <w:color w:val="auto"/>
              </w:rPr>
            </w:pPr>
            <w:r>
              <w:rPr>
                <w:rFonts w:ascii="Arial" w:cs="Arial" w:eastAsia="Arial" w:hAnsi="Arial"/>
                <w:sz w:val="14"/>
                <w:szCs w:val="14"/>
                <w:color w:val="FFFFFF"/>
                <w:w w:val="96"/>
              </w:rPr>
              <w:t>(E)</w:t>
            </w:r>
          </w:p>
        </w:tc>
      </w:tr>
      <w:tr>
        <w:trPr>
          <w:trHeight w:val="270"/>
        </w:trPr>
        <w:tc>
          <w:tcPr>
            <w:tcW w:w="5000" w:type="dxa"/>
            <w:vAlign w:val="bottom"/>
            <w:shd w:val="clear" w:color="auto" w:fill="E8F0F8"/>
          </w:tcPr>
          <w:p>
            <w:pPr>
              <w:ind w:left="80"/>
              <w:spacing w:after="0"/>
              <w:rPr>
                <w:sz w:val="20"/>
                <w:szCs w:val="20"/>
                <w:color w:val="auto"/>
              </w:rPr>
            </w:pPr>
            <w:r>
              <w:rPr>
                <w:rFonts w:ascii="Arial" w:cs="Arial" w:eastAsia="Arial" w:hAnsi="Arial"/>
                <w:sz w:val="16"/>
                <w:szCs w:val="16"/>
                <w:color w:val="auto"/>
              </w:rPr>
              <w:t>M. Vounatsos</w:t>
            </w:r>
          </w:p>
        </w:tc>
        <w:tc>
          <w:tcPr>
            <w:tcW w:w="4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w w:val="98"/>
              </w:rPr>
              <w:t>1,537,500</w:t>
            </w:r>
          </w:p>
        </w:tc>
        <w:tc>
          <w:tcPr>
            <w:tcW w:w="110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150%</w:t>
            </w:r>
          </w:p>
        </w:tc>
        <w:tc>
          <w:tcPr>
            <w:tcW w:w="116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100%</w:t>
            </w:r>
          </w:p>
        </w:tc>
        <w:tc>
          <w:tcPr>
            <w:tcW w:w="1340" w:type="dxa"/>
            <w:vAlign w:val="bottom"/>
            <w:shd w:val="clear" w:color="auto" w:fill="E8F0F8"/>
          </w:tcPr>
          <w:p>
            <w:pPr>
              <w:jc w:val="right"/>
              <w:ind w:right="142"/>
              <w:spacing w:after="0" w:line="270" w:lineRule="exact"/>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(1)</w:t>
            </w:r>
          </w:p>
        </w:tc>
        <w:tc>
          <w:tcPr>
            <w:tcW w:w="1060" w:type="dxa"/>
            <w:vAlign w:val="bottom"/>
            <w:shd w:val="clear" w:color="auto" w:fill="E8F0F8"/>
          </w:tcPr>
          <w:p>
            <w:pPr>
              <w:jc w:val="right"/>
              <w:ind w:right="22"/>
              <w:spacing w:after="0"/>
              <w:rPr>
                <w:sz w:val="20"/>
                <w:szCs w:val="20"/>
                <w:color w:val="auto"/>
              </w:rPr>
            </w:pPr>
            <w:r>
              <w:rPr>
                <w:rFonts w:ascii="Arial" w:cs="Arial" w:eastAsia="Arial" w:hAnsi="Arial"/>
                <w:sz w:val="16"/>
                <w:szCs w:val="16"/>
                <w:color w:val="auto"/>
              </w:rPr>
              <w:t>1,153,125</w:t>
            </w:r>
          </w:p>
        </w:tc>
      </w:tr>
      <w:tr>
        <w:trPr>
          <w:trHeight w:val="250"/>
        </w:trPr>
        <w:tc>
          <w:tcPr>
            <w:tcW w:w="500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M. McDonnell</w:t>
            </w:r>
          </w:p>
        </w:tc>
        <w:tc>
          <w:tcPr>
            <w:tcW w:w="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871,250</w:t>
            </w:r>
          </w:p>
        </w:tc>
        <w:tc>
          <w:tcPr>
            <w:tcW w:w="110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80%</w:t>
            </w:r>
          </w:p>
        </w:tc>
        <w:tc>
          <w:tcPr>
            <w:tcW w:w="116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100%</w:t>
            </w:r>
          </w:p>
        </w:tc>
        <w:tc>
          <w:tcPr>
            <w:tcW w:w="1340" w:type="dxa"/>
            <w:vAlign w:val="bottom"/>
            <w:tcBorders>
              <w:bottom w:val="single" w:sz="8" w:color="BAD3EA"/>
            </w:tcBorders>
            <w:shd w:val="clear" w:color="auto" w:fill="BAD3EA"/>
          </w:tcPr>
          <w:p>
            <w:pPr>
              <w:jc w:val="right"/>
              <w:ind w:right="302"/>
              <w:spacing w:after="0"/>
              <w:rPr>
                <w:sz w:val="20"/>
                <w:szCs w:val="20"/>
                <w:color w:val="auto"/>
              </w:rPr>
            </w:pPr>
            <w:r>
              <w:rPr>
                <w:rFonts w:ascii="Arial" w:cs="Arial" w:eastAsia="Arial" w:hAnsi="Arial"/>
                <w:sz w:val="16"/>
                <w:szCs w:val="16"/>
                <w:color w:val="auto"/>
              </w:rPr>
              <w:t>120%</w:t>
            </w:r>
          </w:p>
        </w:tc>
        <w:tc>
          <w:tcPr>
            <w:tcW w:w="1060" w:type="dxa"/>
            <w:vAlign w:val="bottom"/>
            <w:tcBorders>
              <w:bottom w:val="single" w:sz="8" w:color="BAD3EA"/>
            </w:tcBorders>
            <w:shd w:val="clear" w:color="auto" w:fill="BAD3EA"/>
          </w:tcPr>
          <w:p>
            <w:pPr>
              <w:jc w:val="right"/>
              <w:ind w:right="22"/>
              <w:spacing w:after="0"/>
              <w:rPr>
                <w:sz w:val="20"/>
                <w:szCs w:val="20"/>
                <w:color w:val="auto"/>
              </w:rPr>
            </w:pPr>
            <w:r>
              <w:rPr>
                <w:rFonts w:ascii="Arial" w:cs="Arial" w:eastAsia="Arial" w:hAnsi="Arial"/>
                <w:sz w:val="16"/>
                <w:szCs w:val="16"/>
                <w:color w:val="auto"/>
              </w:rPr>
              <w:t>836,400</w:t>
            </w:r>
          </w:p>
        </w:tc>
      </w:tr>
      <w:tr>
        <w:trPr>
          <w:trHeight w:val="270"/>
        </w:trPr>
        <w:tc>
          <w:tcPr>
            <w:tcW w:w="5000" w:type="dxa"/>
            <w:vAlign w:val="bottom"/>
            <w:shd w:val="clear" w:color="auto" w:fill="E8F0F8"/>
          </w:tcPr>
          <w:p>
            <w:pPr>
              <w:ind w:left="80"/>
              <w:spacing w:after="0" w:line="270" w:lineRule="exact"/>
              <w:rPr>
                <w:sz w:val="20"/>
                <w:szCs w:val="20"/>
                <w:color w:val="auto"/>
              </w:rPr>
            </w:pPr>
            <w:r>
              <w:rPr>
                <w:rFonts w:ascii="Arial" w:cs="Arial" w:eastAsia="Arial" w:hAnsi="Arial"/>
                <w:sz w:val="16"/>
                <w:szCs w:val="16"/>
                <w:color w:val="auto"/>
              </w:rPr>
              <w:t>A. Sandrock</w:t>
            </w:r>
            <w:r>
              <w:rPr>
                <w:rFonts w:ascii="Arial" w:cs="Arial" w:eastAsia="Arial" w:hAnsi="Arial"/>
                <w:sz w:val="27"/>
                <w:szCs w:val="27"/>
                <w:color w:val="auto"/>
                <w:vertAlign w:val="superscript"/>
              </w:rPr>
              <w:t>(2)</w:t>
            </w:r>
          </w:p>
        </w:tc>
        <w:tc>
          <w:tcPr>
            <w:tcW w:w="4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924,222</w:t>
            </w:r>
          </w:p>
        </w:tc>
        <w:tc>
          <w:tcPr>
            <w:tcW w:w="110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80%</w:t>
            </w:r>
          </w:p>
        </w:tc>
        <w:tc>
          <w:tcPr>
            <w:tcW w:w="1160" w:type="dxa"/>
            <w:vAlign w:val="bottom"/>
            <w:shd w:val="clear" w:color="auto" w:fill="E8F0F8"/>
          </w:tcPr>
          <w:p>
            <w:pPr>
              <w:jc w:val="right"/>
              <w:ind w:right="262"/>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E8F0F8"/>
          </w:tcPr>
          <w:p>
            <w:pPr>
              <w:jc w:val="right"/>
              <w:ind w:right="442"/>
              <w:spacing w:after="0"/>
              <w:rPr>
                <w:sz w:val="20"/>
                <w:szCs w:val="20"/>
                <w:color w:val="auto"/>
              </w:rPr>
            </w:pPr>
            <w:r>
              <w:rPr>
                <w:rFonts w:ascii="Arial" w:cs="Arial" w:eastAsia="Arial" w:hAnsi="Arial"/>
                <w:sz w:val="16"/>
                <w:szCs w:val="16"/>
                <w:color w:val="auto"/>
              </w:rPr>
              <w:t>n/a</w:t>
            </w:r>
          </w:p>
        </w:tc>
        <w:tc>
          <w:tcPr>
            <w:tcW w:w="1060" w:type="dxa"/>
            <w:vAlign w:val="bottom"/>
            <w:shd w:val="clear" w:color="auto" w:fill="E8F0F8"/>
          </w:tcPr>
          <w:p>
            <w:pPr>
              <w:jc w:val="right"/>
              <w:ind w:right="22"/>
              <w:spacing w:after="0"/>
              <w:rPr>
                <w:sz w:val="20"/>
                <w:szCs w:val="20"/>
                <w:color w:val="auto"/>
              </w:rPr>
            </w:pPr>
            <w:r>
              <w:rPr>
                <w:rFonts w:ascii="Arial" w:cs="Arial" w:eastAsia="Arial" w:hAnsi="Arial"/>
                <w:sz w:val="16"/>
                <w:szCs w:val="16"/>
                <w:color w:val="auto"/>
              </w:rPr>
              <w:t>—</w:t>
            </w:r>
          </w:p>
        </w:tc>
      </w:tr>
      <w:tr>
        <w:trPr>
          <w:trHeight w:val="250"/>
        </w:trPr>
        <w:tc>
          <w:tcPr>
            <w:tcW w:w="500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S. Alexander</w:t>
            </w:r>
          </w:p>
        </w:tc>
        <w:tc>
          <w:tcPr>
            <w:tcW w:w="4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834,522</w:t>
            </w:r>
          </w:p>
        </w:tc>
        <w:tc>
          <w:tcPr>
            <w:tcW w:w="110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100%</w:t>
            </w:r>
          </w:p>
        </w:tc>
        <w:tc>
          <w:tcPr>
            <w:tcW w:w="1340" w:type="dxa"/>
            <w:vAlign w:val="bottom"/>
            <w:tcBorders>
              <w:bottom w:val="single" w:sz="8" w:color="BAD3EA"/>
            </w:tcBorders>
            <w:shd w:val="clear" w:color="auto" w:fill="BAD3EA"/>
          </w:tcPr>
          <w:p>
            <w:pPr>
              <w:jc w:val="right"/>
              <w:ind w:right="302"/>
              <w:spacing w:after="0"/>
              <w:rPr>
                <w:sz w:val="20"/>
                <w:szCs w:val="20"/>
                <w:color w:val="auto"/>
              </w:rPr>
            </w:pPr>
            <w:r>
              <w:rPr>
                <w:rFonts w:ascii="Arial" w:cs="Arial" w:eastAsia="Arial" w:hAnsi="Arial"/>
                <w:sz w:val="16"/>
                <w:szCs w:val="16"/>
                <w:color w:val="auto"/>
              </w:rPr>
              <w:t>130%</w:t>
            </w:r>
          </w:p>
        </w:tc>
        <w:tc>
          <w:tcPr>
            <w:tcW w:w="1060" w:type="dxa"/>
            <w:vAlign w:val="bottom"/>
            <w:tcBorders>
              <w:bottom w:val="single" w:sz="8" w:color="BAD3EA"/>
            </w:tcBorders>
            <w:shd w:val="clear" w:color="auto" w:fill="BAD3EA"/>
          </w:tcPr>
          <w:p>
            <w:pPr>
              <w:jc w:val="right"/>
              <w:ind w:right="22"/>
              <w:spacing w:after="0"/>
              <w:rPr>
                <w:sz w:val="20"/>
                <w:szCs w:val="20"/>
                <w:color w:val="auto"/>
              </w:rPr>
            </w:pPr>
            <w:r>
              <w:rPr>
                <w:rFonts w:ascii="Arial" w:cs="Arial" w:eastAsia="Arial" w:hAnsi="Arial"/>
                <w:sz w:val="16"/>
                <w:szCs w:val="16"/>
                <w:color w:val="auto"/>
              </w:rPr>
              <w:t>813,659</w:t>
            </w:r>
          </w:p>
        </w:tc>
      </w:tr>
      <w:tr>
        <w:trPr>
          <w:trHeight w:val="250"/>
        </w:trPr>
        <w:tc>
          <w:tcPr>
            <w:tcW w:w="50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C. Guindo</w:t>
            </w:r>
          </w:p>
        </w:tc>
        <w:tc>
          <w:tcPr>
            <w:tcW w:w="4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625,214</w:t>
            </w:r>
          </w:p>
        </w:tc>
        <w:tc>
          <w:tcPr>
            <w:tcW w:w="110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75%</w:t>
            </w:r>
          </w:p>
        </w:tc>
        <w:tc>
          <w:tcPr>
            <w:tcW w:w="116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100%</w:t>
            </w:r>
          </w:p>
        </w:tc>
        <w:tc>
          <w:tcPr>
            <w:tcW w:w="1340" w:type="dxa"/>
            <w:vAlign w:val="bottom"/>
            <w:tcBorders>
              <w:bottom w:val="single" w:sz="8" w:color="E8F0F8"/>
            </w:tcBorders>
            <w:shd w:val="clear" w:color="auto" w:fill="E8F0F8"/>
          </w:tcPr>
          <w:p>
            <w:pPr>
              <w:jc w:val="right"/>
              <w:ind w:right="302"/>
              <w:spacing w:after="0"/>
              <w:rPr>
                <w:sz w:val="20"/>
                <w:szCs w:val="20"/>
                <w:color w:val="auto"/>
              </w:rPr>
            </w:pPr>
            <w:r>
              <w:rPr>
                <w:rFonts w:ascii="Arial" w:cs="Arial" w:eastAsia="Arial" w:hAnsi="Arial"/>
                <w:sz w:val="16"/>
                <w:szCs w:val="16"/>
                <w:color w:val="auto"/>
              </w:rPr>
              <w:t>125%</w:t>
            </w:r>
          </w:p>
        </w:tc>
        <w:tc>
          <w:tcPr>
            <w:tcW w:w="1060" w:type="dxa"/>
            <w:vAlign w:val="bottom"/>
            <w:tcBorders>
              <w:bottom w:val="single" w:sz="8" w:color="E8F0F8"/>
            </w:tcBorders>
            <w:shd w:val="clear" w:color="auto" w:fill="E8F0F8"/>
          </w:tcPr>
          <w:p>
            <w:pPr>
              <w:jc w:val="right"/>
              <w:ind w:right="22"/>
              <w:spacing w:after="0"/>
              <w:rPr>
                <w:sz w:val="20"/>
                <w:szCs w:val="20"/>
                <w:color w:val="auto"/>
              </w:rPr>
            </w:pPr>
            <w:r>
              <w:rPr>
                <w:rFonts w:ascii="Arial" w:cs="Arial" w:eastAsia="Arial" w:hAnsi="Arial"/>
                <w:sz w:val="16"/>
                <w:szCs w:val="16"/>
                <w:color w:val="auto"/>
              </w:rPr>
              <w:t>586,138</w:t>
            </w:r>
          </w:p>
        </w:tc>
      </w:tr>
      <w:tr>
        <w:trPr>
          <w:trHeight w:val="20"/>
        </w:trPr>
        <w:tc>
          <w:tcPr>
            <w:tcW w:w="5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the 2021 Annual Bonus Plan Awards Table</w:t>
      </w:r>
    </w:p>
    <w:p>
      <w:pPr>
        <w:spacing w:after="0" w:line="121" w:lineRule="exact"/>
        <w:rPr>
          <w:sz w:val="20"/>
          <w:szCs w:val="20"/>
          <w:color w:val="auto"/>
        </w:rPr>
      </w:pPr>
    </w:p>
    <w:p>
      <w:pPr>
        <w:ind w:left="440" w:right="320" w:hanging="324"/>
        <w:spacing w:after="0" w:line="251" w:lineRule="auto"/>
        <w:tabs>
          <w:tab w:leader="none" w:pos="4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Notwithstanding Mr. Vounatsos’ essential individual contributions to Biogen in 2021, our Board of Directors believed it was important to hold him accountable for the Company’s overall business performance in 2021. As a result, our Board of Directors approved an Individual Multiplier of 50% for Mr. Vounatsos.</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 and, as a result, he was ineligible for a payout under our 2021 annual bonus plan.</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Long-Term Incentives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Below is a summary of the types of annual LTI awards granted to our NEOs for 2021.</w:t>
      </w:r>
    </w:p>
    <w:p>
      <w:pPr>
        <w:spacing w:after="0" w:line="262"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1880" w:type="dxa"/>
            <w:vAlign w:val="bottom"/>
            <w:tcBorders>
              <w:left w:val="single" w:sz="8" w:color="1A6DBB"/>
              <w:bottom w:val="single" w:sz="8" w:color="1A6DBB"/>
            </w:tcBorders>
            <w:gridSpan w:val="2"/>
            <w:shd w:val="clear" w:color="auto" w:fill="1A6DBB"/>
          </w:tcPr>
          <w:p>
            <w:pPr>
              <w:ind w:left="80"/>
              <w:spacing w:after="0"/>
              <w:rPr>
                <w:sz w:val="20"/>
                <w:szCs w:val="20"/>
                <w:color w:val="auto"/>
              </w:rPr>
            </w:pPr>
            <w:r>
              <w:rPr>
                <w:rFonts w:ascii="Arial" w:cs="Arial" w:eastAsia="Arial" w:hAnsi="Arial"/>
                <w:sz w:val="14"/>
                <w:szCs w:val="14"/>
                <w:color w:val="FFFFFF"/>
              </w:rPr>
              <w:t>Terms</w:t>
            </w:r>
          </w:p>
        </w:tc>
        <w:tc>
          <w:tcPr>
            <w:tcW w:w="5340" w:type="dxa"/>
            <w:vAlign w:val="bottom"/>
            <w:tcBorders>
              <w:bottom w:val="single" w:sz="8" w:color="1A6DBB"/>
            </w:tcBorders>
            <w:gridSpan w:val="2"/>
            <w:shd w:val="clear" w:color="auto" w:fill="1A6DBB"/>
          </w:tcPr>
          <w:p>
            <w:pPr>
              <w:jc w:val="center"/>
              <w:ind w:right="79"/>
              <w:spacing w:after="0"/>
              <w:rPr>
                <w:sz w:val="20"/>
                <w:szCs w:val="20"/>
                <w:color w:val="auto"/>
              </w:rPr>
            </w:pPr>
            <w:r>
              <w:rPr>
                <w:rFonts w:ascii="Arial" w:cs="Arial" w:eastAsia="Arial" w:hAnsi="Arial"/>
                <w:sz w:val="14"/>
                <w:szCs w:val="14"/>
                <w:color w:val="FFFFFF"/>
              </w:rPr>
              <w:t>Performance Stock Units (PSUs)</w:t>
            </w:r>
          </w:p>
        </w:tc>
        <w:tc>
          <w:tcPr>
            <w:tcW w:w="3800" w:type="dxa"/>
            <w:vAlign w:val="bottom"/>
            <w:tcBorders>
              <w:bottom w:val="single" w:sz="8" w:color="1A6DBB"/>
            </w:tcBorders>
            <w:shd w:val="clear" w:color="auto" w:fill="1A6DBB"/>
          </w:tcPr>
          <w:p>
            <w:pPr>
              <w:jc w:val="center"/>
              <w:ind w:right="80"/>
              <w:spacing w:after="0"/>
              <w:rPr>
                <w:sz w:val="20"/>
                <w:szCs w:val="20"/>
                <w:color w:val="auto"/>
              </w:rPr>
            </w:pPr>
            <w:r>
              <w:rPr>
                <w:rFonts w:ascii="Arial" w:cs="Arial" w:eastAsia="Arial" w:hAnsi="Arial"/>
                <w:sz w:val="14"/>
                <w:szCs w:val="14"/>
                <w:color w:val="FFFFFF"/>
              </w:rPr>
              <w:t>Market Share Units (MSUs)</w:t>
            </w:r>
          </w:p>
        </w:tc>
      </w:tr>
      <w:tr>
        <w:trPr>
          <w:trHeight w:val="175"/>
        </w:trPr>
        <w:tc>
          <w:tcPr>
            <w:tcW w:w="1880" w:type="dxa"/>
            <w:vAlign w:val="bottom"/>
            <w:tcBorders>
              <w:left w:val="single" w:sz="8" w:color="E8F0F8"/>
            </w:tcBorders>
            <w:gridSpan w:val="2"/>
            <w:shd w:val="clear" w:color="auto" w:fill="E8F0F8"/>
          </w:tcPr>
          <w:p>
            <w:pPr>
              <w:ind w:left="80"/>
              <w:spacing w:after="0" w:line="175" w:lineRule="exact"/>
              <w:rPr>
                <w:sz w:val="20"/>
                <w:szCs w:val="20"/>
                <w:color w:val="auto"/>
              </w:rPr>
            </w:pPr>
            <w:r>
              <w:rPr>
                <w:rFonts w:ascii="Arial" w:cs="Arial" w:eastAsia="Arial" w:hAnsi="Arial"/>
                <w:sz w:val="16"/>
                <w:szCs w:val="16"/>
                <w:color w:val="auto"/>
              </w:rPr>
              <w:t>Proportion of</w:t>
            </w:r>
          </w:p>
        </w:tc>
        <w:tc>
          <w:tcPr>
            <w:tcW w:w="2820" w:type="dxa"/>
            <w:vAlign w:val="bottom"/>
            <w:shd w:val="clear" w:color="auto" w:fill="E8F0F8"/>
          </w:tcPr>
          <w:p>
            <w:pPr>
              <w:jc w:val="right"/>
              <w:spacing w:after="0" w:line="175" w:lineRule="exact"/>
              <w:rPr>
                <w:sz w:val="20"/>
                <w:szCs w:val="20"/>
                <w:color w:val="auto"/>
              </w:rPr>
            </w:pPr>
            <w:r>
              <w:rPr>
                <w:rFonts w:ascii="Arial" w:cs="Arial" w:eastAsia="Arial" w:hAnsi="Arial"/>
                <w:sz w:val="16"/>
                <w:szCs w:val="16"/>
                <w:color w:val="auto"/>
              </w:rPr>
              <w:t>50%</w:t>
            </w:r>
          </w:p>
        </w:tc>
        <w:tc>
          <w:tcPr>
            <w:tcW w:w="2520" w:type="dxa"/>
            <w:vAlign w:val="bottom"/>
            <w:shd w:val="clear" w:color="auto" w:fill="E8F0F8"/>
          </w:tcPr>
          <w:p>
            <w:pPr>
              <w:spacing w:after="0"/>
              <w:rPr>
                <w:sz w:val="15"/>
                <w:szCs w:val="15"/>
                <w:color w:val="auto"/>
              </w:rPr>
            </w:pPr>
          </w:p>
        </w:tc>
        <w:tc>
          <w:tcPr>
            <w:tcW w:w="3800" w:type="dxa"/>
            <w:vAlign w:val="bottom"/>
            <w:shd w:val="clear" w:color="auto" w:fill="E8F0F8"/>
          </w:tcPr>
          <w:p>
            <w:pPr>
              <w:jc w:val="right"/>
              <w:ind w:right="1740"/>
              <w:spacing w:after="0" w:line="175" w:lineRule="exact"/>
              <w:rPr>
                <w:sz w:val="20"/>
                <w:szCs w:val="20"/>
                <w:color w:val="auto"/>
              </w:rPr>
            </w:pPr>
            <w:r>
              <w:rPr>
                <w:rFonts w:ascii="Arial" w:cs="Arial" w:eastAsia="Arial" w:hAnsi="Arial"/>
                <w:sz w:val="16"/>
                <w:szCs w:val="16"/>
                <w:color w:val="auto"/>
              </w:rPr>
              <w:t>50%</w:t>
            </w:r>
          </w:p>
        </w:tc>
      </w:tr>
      <w:tr>
        <w:trPr>
          <w:trHeight w:val="251"/>
        </w:trPr>
        <w:tc>
          <w:tcPr>
            <w:tcW w:w="1880" w:type="dxa"/>
            <w:vAlign w:val="bottom"/>
            <w:tcBorders>
              <w:left w:val="single" w:sz="8" w:color="E8F0F8"/>
              <w:bottom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Annual Target Value</w:t>
            </w:r>
          </w:p>
        </w:tc>
        <w:tc>
          <w:tcPr>
            <w:tcW w:w="2820" w:type="dxa"/>
            <w:vAlign w:val="bottom"/>
            <w:tcBorders>
              <w:bottom w:val="single" w:sz="8" w:color="E8F0F8"/>
            </w:tcBorders>
            <w:shd w:val="clear" w:color="auto" w:fill="E8F0F8"/>
          </w:tcPr>
          <w:p>
            <w:pPr>
              <w:spacing w:after="0"/>
              <w:rPr>
                <w:sz w:val="21"/>
                <w:szCs w:val="21"/>
                <w:color w:val="auto"/>
              </w:rPr>
            </w:pPr>
          </w:p>
        </w:tc>
        <w:tc>
          <w:tcPr>
            <w:tcW w:w="2520" w:type="dxa"/>
            <w:vAlign w:val="bottom"/>
            <w:tcBorders>
              <w:bottom w:val="single" w:sz="8" w:color="E8F0F8"/>
            </w:tcBorders>
            <w:shd w:val="clear" w:color="auto" w:fill="E8F0F8"/>
          </w:tcPr>
          <w:p>
            <w:pPr>
              <w:spacing w:after="0"/>
              <w:rPr>
                <w:sz w:val="21"/>
                <w:szCs w:val="21"/>
                <w:color w:val="auto"/>
              </w:rPr>
            </w:pPr>
          </w:p>
        </w:tc>
        <w:tc>
          <w:tcPr>
            <w:tcW w:w="3800" w:type="dxa"/>
            <w:vAlign w:val="bottom"/>
            <w:tcBorders>
              <w:bottom w:val="single" w:sz="8" w:color="E8F0F8"/>
            </w:tcBorders>
            <w:shd w:val="clear" w:color="auto" w:fill="E8F0F8"/>
          </w:tcPr>
          <w:p>
            <w:pPr>
              <w:spacing w:after="0"/>
              <w:rPr>
                <w:sz w:val="21"/>
                <w:szCs w:val="21"/>
                <w:color w:val="auto"/>
              </w:rPr>
            </w:pPr>
          </w:p>
        </w:tc>
      </w:tr>
      <w:tr>
        <w:trPr>
          <w:trHeight w:val="223"/>
        </w:trPr>
        <w:tc>
          <w:tcPr>
            <w:tcW w:w="1880" w:type="dxa"/>
            <w:vAlign w:val="bottom"/>
            <w:tcBorders>
              <w:left w:val="single" w:sz="8" w:color="BAD3EA"/>
              <w:bottom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Settlement</w:t>
            </w:r>
          </w:p>
        </w:tc>
        <w:tc>
          <w:tcPr>
            <w:tcW w:w="2820" w:type="dxa"/>
            <w:vAlign w:val="bottom"/>
            <w:tcBorders>
              <w:bottom w:val="single" w:sz="8" w:color="BAD3EA"/>
            </w:tcBorders>
            <w:shd w:val="clear" w:color="auto" w:fill="BAD3EA"/>
          </w:tcPr>
          <w:p>
            <w:pPr>
              <w:jc w:val="center"/>
              <w:ind w:right="80"/>
              <w:spacing w:after="0"/>
              <w:rPr>
                <w:sz w:val="20"/>
                <w:szCs w:val="20"/>
                <w:color w:val="auto"/>
              </w:rPr>
            </w:pPr>
            <w:r>
              <w:rPr>
                <w:rFonts w:ascii="Arial" w:cs="Arial" w:eastAsia="Arial" w:hAnsi="Arial"/>
                <w:sz w:val="16"/>
                <w:szCs w:val="16"/>
                <w:color w:val="auto"/>
              </w:rPr>
              <w:t>60% Stock Settled</w:t>
            </w:r>
          </w:p>
        </w:tc>
        <w:tc>
          <w:tcPr>
            <w:tcW w:w="2520" w:type="dxa"/>
            <w:vAlign w:val="bottom"/>
            <w:tcBorders>
              <w:bottom w:val="single" w:sz="8" w:color="BAD3EA"/>
            </w:tcBorders>
            <w:shd w:val="clear" w:color="auto" w:fill="BAD3EA"/>
          </w:tcPr>
          <w:p>
            <w:pPr>
              <w:jc w:val="center"/>
              <w:ind w:right="359"/>
              <w:spacing w:after="0"/>
              <w:rPr>
                <w:sz w:val="20"/>
                <w:szCs w:val="20"/>
                <w:color w:val="auto"/>
              </w:rPr>
            </w:pPr>
            <w:r>
              <w:rPr>
                <w:rFonts w:ascii="Arial" w:cs="Arial" w:eastAsia="Arial" w:hAnsi="Arial"/>
                <w:sz w:val="16"/>
                <w:szCs w:val="16"/>
                <w:color w:val="auto"/>
                <w:w w:val="99"/>
              </w:rPr>
              <w:t>40% Cash Settled</w:t>
            </w:r>
          </w:p>
        </w:tc>
        <w:tc>
          <w:tcPr>
            <w:tcW w:w="3800" w:type="dxa"/>
            <w:vAlign w:val="bottom"/>
            <w:tcBorders>
              <w:bottom w:val="single" w:sz="8" w:color="BAD3EA"/>
            </w:tcBorders>
            <w:shd w:val="clear" w:color="auto" w:fill="BAD3EA"/>
          </w:tcPr>
          <w:p>
            <w:pPr>
              <w:jc w:val="center"/>
              <w:ind w:right="100"/>
              <w:spacing w:after="0"/>
              <w:rPr>
                <w:sz w:val="20"/>
                <w:szCs w:val="20"/>
                <w:color w:val="auto"/>
              </w:rPr>
            </w:pPr>
            <w:r>
              <w:rPr>
                <w:rFonts w:ascii="Arial" w:cs="Arial" w:eastAsia="Arial" w:hAnsi="Arial"/>
                <w:sz w:val="16"/>
                <w:szCs w:val="16"/>
                <w:color w:val="auto"/>
              </w:rPr>
              <w:t>100% Stock Settled</w:t>
            </w:r>
          </w:p>
        </w:tc>
      </w:tr>
      <w:tr>
        <w:trPr>
          <w:trHeight w:val="175"/>
        </w:trPr>
        <w:tc>
          <w:tcPr>
            <w:tcW w:w="1880" w:type="dxa"/>
            <w:vAlign w:val="bottom"/>
            <w:tcBorders>
              <w:left w:val="single" w:sz="8" w:color="E8F0F8"/>
            </w:tcBorders>
            <w:gridSpan w:val="2"/>
            <w:shd w:val="clear" w:color="auto" w:fill="E8F0F8"/>
          </w:tcPr>
          <w:p>
            <w:pPr>
              <w:ind w:left="80"/>
              <w:spacing w:after="0" w:line="175" w:lineRule="exact"/>
              <w:rPr>
                <w:sz w:val="20"/>
                <w:szCs w:val="20"/>
                <w:color w:val="auto"/>
              </w:rPr>
            </w:pPr>
            <w:r>
              <w:rPr>
                <w:rFonts w:ascii="Arial" w:cs="Arial" w:eastAsia="Arial" w:hAnsi="Arial"/>
                <w:sz w:val="16"/>
                <w:szCs w:val="16"/>
                <w:color w:val="auto"/>
              </w:rPr>
              <w:t>Performance  Period(s)</w:t>
            </w:r>
          </w:p>
        </w:tc>
        <w:tc>
          <w:tcPr>
            <w:tcW w:w="2820" w:type="dxa"/>
            <w:vAlign w:val="bottom"/>
            <w:shd w:val="clear" w:color="auto" w:fill="E8F0F8"/>
          </w:tcPr>
          <w:p>
            <w:pPr>
              <w:jc w:val="center"/>
              <w:ind w:right="80"/>
              <w:spacing w:after="0" w:line="175" w:lineRule="exact"/>
              <w:rPr>
                <w:sz w:val="20"/>
                <w:szCs w:val="20"/>
                <w:color w:val="auto"/>
              </w:rPr>
            </w:pPr>
            <w:r>
              <w:rPr>
                <w:rFonts w:ascii="Arial" w:cs="Arial" w:eastAsia="Arial" w:hAnsi="Arial"/>
                <w:sz w:val="16"/>
                <w:szCs w:val="16"/>
                <w:color w:val="auto"/>
              </w:rPr>
              <w:t>3 years</w:t>
            </w:r>
          </w:p>
        </w:tc>
        <w:tc>
          <w:tcPr>
            <w:tcW w:w="2520" w:type="dxa"/>
            <w:vAlign w:val="bottom"/>
            <w:shd w:val="clear" w:color="auto" w:fill="E8F0F8"/>
          </w:tcPr>
          <w:p>
            <w:pPr>
              <w:jc w:val="center"/>
              <w:ind w:right="359"/>
              <w:spacing w:after="0" w:line="175" w:lineRule="exact"/>
              <w:rPr>
                <w:sz w:val="20"/>
                <w:szCs w:val="20"/>
                <w:color w:val="auto"/>
              </w:rPr>
            </w:pPr>
            <w:r>
              <w:rPr>
                <w:rFonts w:ascii="Arial" w:cs="Arial" w:eastAsia="Arial" w:hAnsi="Arial"/>
                <w:sz w:val="16"/>
                <w:szCs w:val="16"/>
                <w:color w:val="auto"/>
                <w:w w:val="98"/>
              </w:rPr>
              <w:t>1 year</w:t>
            </w:r>
          </w:p>
        </w:tc>
        <w:tc>
          <w:tcPr>
            <w:tcW w:w="3800" w:type="dxa"/>
            <w:vAlign w:val="bottom"/>
            <w:shd w:val="clear" w:color="auto" w:fill="E8F0F8"/>
          </w:tcPr>
          <w:p>
            <w:pPr>
              <w:jc w:val="center"/>
              <w:ind w:right="80"/>
              <w:spacing w:after="0" w:line="175" w:lineRule="exact"/>
              <w:rPr>
                <w:sz w:val="20"/>
                <w:szCs w:val="20"/>
                <w:color w:val="auto"/>
              </w:rPr>
            </w:pPr>
            <w:r>
              <w:rPr>
                <w:rFonts w:ascii="Arial" w:cs="Arial" w:eastAsia="Arial" w:hAnsi="Arial"/>
                <w:sz w:val="16"/>
                <w:szCs w:val="16"/>
                <w:color w:val="auto"/>
              </w:rPr>
              <w:t>1 year, 2 years, 3 years</w:t>
            </w:r>
          </w:p>
        </w:tc>
      </w:tr>
      <w:tr>
        <w:trPr>
          <w:trHeight w:val="251"/>
        </w:trPr>
        <w:tc>
          <w:tcPr>
            <w:tcW w:w="280" w:type="dxa"/>
            <w:vAlign w:val="bottom"/>
            <w:tcBorders>
              <w:left w:val="single" w:sz="8" w:color="E8F0F8"/>
              <w:bottom w:val="single" w:sz="8" w:color="E8F0F8"/>
              <w:right w:val="single" w:sz="8" w:color="E8F0F8"/>
            </w:tcBorders>
            <w:shd w:val="clear" w:color="auto" w:fill="E8F0F8"/>
          </w:tcPr>
          <w:p>
            <w:pPr>
              <w:spacing w:after="0"/>
              <w:rPr>
                <w:sz w:val="21"/>
                <w:szCs w:val="21"/>
                <w:color w:val="auto"/>
              </w:rPr>
            </w:pPr>
          </w:p>
        </w:tc>
        <w:tc>
          <w:tcPr>
            <w:tcW w:w="1600" w:type="dxa"/>
            <w:vAlign w:val="bottom"/>
            <w:tcBorders>
              <w:bottom w:val="single" w:sz="8" w:color="E8F0F8"/>
            </w:tcBorders>
            <w:shd w:val="clear" w:color="auto" w:fill="E8F0F8"/>
          </w:tcPr>
          <w:p>
            <w:pPr>
              <w:spacing w:after="0"/>
              <w:rPr>
                <w:sz w:val="21"/>
                <w:szCs w:val="21"/>
                <w:color w:val="auto"/>
              </w:rPr>
            </w:pPr>
          </w:p>
        </w:tc>
        <w:tc>
          <w:tcPr>
            <w:tcW w:w="2820" w:type="dxa"/>
            <w:vAlign w:val="bottom"/>
            <w:tcBorders>
              <w:bottom w:val="single" w:sz="8" w:color="E8F0F8"/>
            </w:tcBorders>
            <w:shd w:val="clear" w:color="auto" w:fill="E8F0F8"/>
          </w:tcPr>
          <w:p>
            <w:pPr>
              <w:jc w:val="center"/>
              <w:ind w:right="80"/>
              <w:spacing w:after="0"/>
              <w:rPr>
                <w:sz w:val="20"/>
                <w:szCs w:val="20"/>
                <w:color w:val="auto"/>
              </w:rPr>
            </w:pPr>
            <w:r>
              <w:rPr>
                <w:rFonts w:ascii="Arial" w:cs="Arial" w:eastAsia="Arial" w:hAnsi="Arial"/>
                <w:sz w:val="16"/>
                <w:szCs w:val="16"/>
                <w:color w:val="auto"/>
              </w:rPr>
              <w:t>(2021-2023)</w:t>
            </w:r>
          </w:p>
        </w:tc>
        <w:tc>
          <w:tcPr>
            <w:tcW w:w="2520" w:type="dxa"/>
            <w:vAlign w:val="bottom"/>
            <w:tcBorders>
              <w:bottom w:val="single" w:sz="8" w:color="E8F0F8"/>
            </w:tcBorders>
            <w:shd w:val="clear" w:color="auto" w:fill="E8F0F8"/>
          </w:tcPr>
          <w:p>
            <w:pPr>
              <w:jc w:val="center"/>
              <w:ind w:right="359"/>
              <w:spacing w:after="0"/>
              <w:rPr>
                <w:sz w:val="20"/>
                <w:szCs w:val="20"/>
                <w:color w:val="auto"/>
              </w:rPr>
            </w:pPr>
            <w:r>
              <w:rPr>
                <w:rFonts w:ascii="Arial" w:cs="Arial" w:eastAsia="Arial" w:hAnsi="Arial"/>
                <w:sz w:val="16"/>
                <w:szCs w:val="16"/>
                <w:color w:val="auto"/>
              </w:rPr>
              <w:t>(each of 2021, 2022, 2023)</w:t>
            </w:r>
          </w:p>
        </w:tc>
        <w:tc>
          <w:tcPr>
            <w:tcW w:w="3800" w:type="dxa"/>
            <w:vAlign w:val="bottom"/>
            <w:tcBorders>
              <w:bottom w:val="single" w:sz="8" w:color="E8F0F8"/>
            </w:tcBorders>
            <w:shd w:val="clear" w:color="auto" w:fill="E8F0F8"/>
          </w:tcPr>
          <w:p>
            <w:pPr>
              <w:jc w:val="center"/>
              <w:ind w:right="80"/>
              <w:spacing w:after="0"/>
              <w:rPr>
                <w:sz w:val="20"/>
                <w:szCs w:val="20"/>
                <w:color w:val="auto"/>
              </w:rPr>
            </w:pPr>
            <w:r>
              <w:rPr>
                <w:rFonts w:ascii="Arial" w:cs="Arial" w:eastAsia="Arial" w:hAnsi="Arial"/>
                <w:sz w:val="16"/>
                <w:szCs w:val="16"/>
                <w:color w:val="auto"/>
              </w:rPr>
              <w:t>(from grant date)</w:t>
            </w:r>
          </w:p>
        </w:tc>
      </w:tr>
      <w:tr>
        <w:trPr>
          <w:trHeight w:val="175"/>
        </w:trPr>
        <w:tc>
          <w:tcPr>
            <w:tcW w:w="1880" w:type="dxa"/>
            <w:vAlign w:val="bottom"/>
            <w:tcBorders>
              <w:left w:val="single" w:sz="8" w:color="BAD3EA"/>
            </w:tcBorders>
            <w:gridSpan w:val="2"/>
            <w:shd w:val="clear" w:color="auto" w:fill="BAD3EA"/>
          </w:tcPr>
          <w:p>
            <w:pPr>
              <w:ind w:left="80"/>
              <w:spacing w:after="0" w:line="175" w:lineRule="exact"/>
              <w:rPr>
                <w:sz w:val="20"/>
                <w:szCs w:val="20"/>
                <w:color w:val="auto"/>
              </w:rPr>
            </w:pPr>
            <w:r>
              <w:rPr>
                <w:rFonts w:ascii="Arial" w:cs="Arial" w:eastAsia="Arial" w:hAnsi="Arial"/>
                <w:sz w:val="16"/>
                <w:szCs w:val="16"/>
                <w:color w:val="auto"/>
              </w:rPr>
              <w:t>Metrics and</w:t>
            </w:r>
          </w:p>
        </w:tc>
        <w:tc>
          <w:tcPr>
            <w:tcW w:w="2820" w:type="dxa"/>
            <w:vAlign w:val="bottom"/>
            <w:shd w:val="clear" w:color="auto" w:fill="BAD3EA"/>
          </w:tcPr>
          <w:p>
            <w:pPr>
              <w:jc w:val="center"/>
              <w:ind w:right="80"/>
              <w:spacing w:after="0" w:line="175" w:lineRule="exact"/>
              <w:rPr>
                <w:sz w:val="20"/>
                <w:szCs w:val="20"/>
                <w:color w:val="auto"/>
              </w:rPr>
            </w:pPr>
            <w:r>
              <w:rPr>
                <w:rFonts w:ascii="Arial" w:cs="Arial" w:eastAsia="Arial" w:hAnsi="Arial"/>
                <w:sz w:val="16"/>
                <w:szCs w:val="16"/>
                <w:color w:val="auto"/>
              </w:rPr>
              <w:t>Pipeline Milestone Performance:</w:t>
            </w:r>
          </w:p>
        </w:tc>
        <w:tc>
          <w:tcPr>
            <w:tcW w:w="2520" w:type="dxa"/>
            <w:vAlign w:val="bottom"/>
            <w:shd w:val="clear" w:color="auto" w:fill="BAD3EA"/>
          </w:tcPr>
          <w:p>
            <w:pPr>
              <w:jc w:val="center"/>
              <w:ind w:right="359"/>
              <w:spacing w:after="0" w:line="175" w:lineRule="exact"/>
              <w:rPr>
                <w:sz w:val="20"/>
                <w:szCs w:val="20"/>
                <w:color w:val="auto"/>
              </w:rPr>
            </w:pPr>
            <w:r>
              <w:rPr>
                <w:rFonts w:ascii="Arial" w:cs="Arial" w:eastAsia="Arial" w:hAnsi="Arial"/>
                <w:sz w:val="16"/>
                <w:szCs w:val="16"/>
                <w:color w:val="auto"/>
              </w:rPr>
              <w:t>Adjusted Free</w:t>
            </w:r>
          </w:p>
        </w:tc>
        <w:tc>
          <w:tcPr>
            <w:tcW w:w="3800" w:type="dxa"/>
            <w:vAlign w:val="bottom"/>
            <w:shd w:val="clear" w:color="auto" w:fill="BAD3EA"/>
          </w:tcPr>
          <w:p>
            <w:pPr>
              <w:jc w:val="center"/>
              <w:ind w:right="80"/>
              <w:spacing w:after="0" w:line="175" w:lineRule="exact"/>
              <w:rPr>
                <w:sz w:val="20"/>
                <w:szCs w:val="20"/>
                <w:color w:val="auto"/>
              </w:rPr>
            </w:pPr>
            <w:r>
              <w:rPr>
                <w:rFonts w:ascii="Arial" w:cs="Arial" w:eastAsia="Arial" w:hAnsi="Arial"/>
                <w:sz w:val="16"/>
                <w:szCs w:val="16"/>
                <w:color w:val="auto"/>
              </w:rPr>
              <w:t>Stock Price: 100%</w:t>
            </w:r>
          </w:p>
        </w:tc>
      </w:tr>
      <w:tr>
        <w:trPr>
          <w:trHeight w:val="215"/>
        </w:trPr>
        <w:tc>
          <w:tcPr>
            <w:tcW w:w="188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Weighting</w:t>
            </w:r>
          </w:p>
        </w:tc>
        <w:tc>
          <w:tcPr>
            <w:tcW w:w="2820" w:type="dxa"/>
            <w:vAlign w:val="bottom"/>
            <w:shd w:val="clear" w:color="auto" w:fill="BAD3EA"/>
          </w:tcPr>
          <w:p>
            <w:pPr>
              <w:jc w:val="center"/>
              <w:ind w:right="80"/>
              <w:spacing w:after="0"/>
              <w:rPr>
                <w:sz w:val="20"/>
                <w:szCs w:val="20"/>
                <w:color w:val="auto"/>
              </w:rPr>
            </w:pPr>
            <w:r>
              <w:rPr>
                <w:rFonts w:ascii="Arial" w:cs="Arial" w:eastAsia="Arial" w:hAnsi="Arial"/>
                <w:sz w:val="16"/>
                <w:szCs w:val="16"/>
                <w:color w:val="auto"/>
              </w:rPr>
              <w:t>60%</w:t>
            </w:r>
          </w:p>
        </w:tc>
        <w:tc>
          <w:tcPr>
            <w:tcW w:w="2520" w:type="dxa"/>
            <w:vAlign w:val="bottom"/>
            <w:shd w:val="clear" w:color="auto" w:fill="BAD3EA"/>
          </w:tcPr>
          <w:p>
            <w:pPr>
              <w:jc w:val="center"/>
              <w:ind w:right="359"/>
              <w:spacing w:after="0"/>
              <w:rPr>
                <w:sz w:val="20"/>
                <w:szCs w:val="20"/>
                <w:color w:val="auto"/>
              </w:rPr>
            </w:pPr>
            <w:r>
              <w:rPr>
                <w:rFonts w:ascii="Arial" w:cs="Arial" w:eastAsia="Arial" w:hAnsi="Arial"/>
                <w:sz w:val="16"/>
                <w:szCs w:val="16"/>
                <w:color w:val="auto"/>
                <w:w w:val="99"/>
              </w:rPr>
              <w:t>Cash Flow: 28%</w:t>
            </w:r>
          </w:p>
        </w:tc>
        <w:tc>
          <w:tcPr>
            <w:tcW w:w="3800" w:type="dxa"/>
            <w:vAlign w:val="bottom"/>
            <w:shd w:val="clear" w:color="auto" w:fill="BAD3EA"/>
          </w:tcPr>
          <w:p>
            <w:pPr>
              <w:spacing w:after="0"/>
              <w:rPr>
                <w:sz w:val="18"/>
                <w:szCs w:val="18"/>
                <w:color w:val="auto"/>
              </w:rPr>
            </w:pPr>
          </w:p>
        </w:tc>
      </w:tr>
      <w:tr>
        <w:trPr>
          <w:trHeight w:val="347"/>
        </w:trPr>
        <w:tc>
          <w:tcPr>
            <w:tcW w:w="280" w:type="dxa"/>
            <w:vAlign w:val="bottom"/>
            <w:tcBorders>
              <w:left w:val="single" w:sz="8" w:color="BAD3EA"/>
              <w:bottom w:val="single" w:sz="8" w:color="BAD3EA"/>
              <w:right w:val="single" w:sz="8" w:color="BAD3EA"/>
            </w:tcBorders>
            <w:shd w:val="clear" w:color="auto" w:fill="BAD3EA"/>
          </w:tcPr>
          <w:p>
            <w:pPr>
              <w:spacing w:after="0"/>
              <w:rPr>
                <w:sz w:val="24"/>
                <w:szCs w:val="24"/>
                <w:color w:val="auto"/>
              </w:rPr>
            </w:pPr>
          </w:p>
        </w:tc>
        <w:tc>
          <w:tcPr>
            <w:tcW w:w="1600" w:type="dxa"/>
            <w:vAlign w:val="bottom"/>
            <w:tcBorders>
              <w:bottom w:val="single" w:sz="8" w:color="BAD3EA"/>
            </w:tcBorders>
            <w:shd w:val="clear" w:color="auto" w:fill="BAD3EA"/>
          </w:tcPr>
          <w:p>
            <w:pPr>
              <w:spacing w:after="0"/>
              <w:rPr>
                <w:sz w:val="24"/>
                <w:szCs w:val="24"/>
                <w:color w:val="auto"/>
              </w:rPr>
            </w:pPr>
          </w:p>
        </w:tc>
        <w:tc>
          <w:tcPr>
            <w:tcW w:w="2820" w:type="dxa"/>
            <w:vAlign w:val="bottom"/>
            <w:tcBorders>
              <w:bottom w:val="single" w:sz="8" w:color="BAD3EA"/>
            </w:tcBorders>
            <w:shd w:val="clear" w:color="auto" w:fill="BAD3EA"/>
          </w:tcPr>
          <w:p>
            <w:pPr>
              <w:spacing w:after="0"/>
              <w:rPr>
                <w:sz w:val="24"/>
                <w:szCs w:val="24"/>
                <w:color w:val="auto"/>
              </w:rPr>
            </w:pPr>
          </w:p>
        </w:tc>
        <w:tc>
          <w:tcPr>
            <w:tcW w:w="2520" w:type="dxa"/>
            <w:vAlign w:val="bottom"/>
            <w:tcBorders>
              <w:bottom w:val="single" w:sz="8" w:color="BAD3EA"/>
            </w:tcBorders>
            <w:shd w:val="clear" w:color="auto" w:fill="BAD3EA"/>
          </w:tcPr>
          <w:p>
            <w:pPr>
              <w:jc w:val="center"/>
              <w:ind w:right="359"/>
              <w:spacing w:after="0"/>
              <w:rPr>
                <w:sz w:val="20"/>
                <w:szCs w:val="20"/>
                <w:color w:val="auto"/>
              </w:rPr>
            </w:pPr>
            <w:r>
              <w:rPr>
                <w:rFonts w:ascii="Arial" w:cs="Arial" w:eastAsia="Arial" w:hAnsi="Arial"/>
                <w:sz w:val="16"/>
                <w:szCs w:val="16"/>
                <w:color w:val="auto"/>
              </w:rPr>
              <w:t>Revenue: 12%</w:t>
            </w:r>
          </w:p>
        </w:tc>
        <w:tc>
          <w:tcPr>
            <w:tcW w:w="3800" w:type="dxa"/>
            <w:vAlign w:val="bottom"/>
            <w:tcBorders>
              <w:bottom w:val="single" w:sz="8" w:color="BAD3EA"/>
            </w:tcBorders>
            <w:shd w:val="clear" w:color="auto" w:fill="BAD3EA"/>
          </w:tcPr>
          <w:p>
            <w:pPr>
              <w:spacing w:after="0"/>
              <w:rPr>
                <w:sz w:val="24"/>
                <w:szCs w:val="24"/>
                <w:color w:val="auto"/>
              </w:rPr>
            </w:pPr>
          </w:p>
        </w:tc>
      </w:tr>
      <w:tr>
        <w:trPr>
          <w:trHeight w:val="175"/>
        </w:trPr>
        <w:tc>
          <w:tcPr>
            <w:tcW w:w="1880" w:type="dxa"/>
            <w:vAlign w:val="bottom"/>
            <w:tcBorders>
              <w:left w:val="single" w:sz="8" w:color="E8F0F8"/>
            </w:tcBorders>
            <w:gridSpan w:val="2"/>
            <w:shd w:val="clear" w:color="auto" w:fill="E8F0F8"/>
          </w:tcPr>
          <w:p>
            <w:pPr>
              <w:ind w:left="80"/>
              <w:spacing w:after="0" w:line="175" w:lineRule="exact"/>
              <w:rPr>
                <w:sz w:val="20"/>
                <w:szCs w:val="20"/>
                <w:color w:val="auto"/>
              </w:rPr>
            </w:pPr>
            <w:r>
              <w:rPr>
                <w:rFonts w:ascii="Arial" w:cs="Arial" w:eastAsia="Arial" w:hAnsi="Arial"/>
                <w:sz w:val="16"/>
                <w:szCs w:val="16"/>
                <w:color w:val="auto"/>
              </w:rPr>
              <w:t>Threshold /</w:t>
            </w:r>
          </w:p>
        </w:tc>
        <w:tc>
          <w:tcPr>
            <w:tcW w:w="2820" w:type="dxa"/>
            <w:vAlign w:val="bottom"/>
            <w:shd w:val="clear" w:color="auto" w:fill="E8F0F8"/>
          </w:tcPr>
          <w:p>
            <w:pPr>
              <w:jc w:val="center"/>
              <w:ind w:right="80"/>
              <w:spacing w:after="0" w:line="175" w:lineRule="exact"/>
              <w:rPr>
                <w:sz w:val="20"/>
                <w:szCs w:val="20"/>
                <w:color w:val="auto"/>
              </w:rPr>
            </w:pPr>
            <w:r>
              <w:rPr>
                <w:rFonts w:ascii="Arial" w:cs="Arial" w:eastAsia="Arial" w:hAnsi="Arial"/>
                <w:sz w:val="16"/>
                <w:szCs w:val="16"/>
                <w:color w:val="auto"/>
                <w:w w:val="99"/>
              </w:rPr>
              <w:t>50% / 200%</w:t>
            </w:r>
          </w:p>
        </w:tc>
        <w:tc>
          <w:tcPr>
            <w:tcW w:w="2520" w:type="dxa"/>
            <w:vAlign w:val="bottom"/>
            <w:shd w:val="clear" w:color="auto" w:fill="E8F0F8"/>
          </w:tcPr>
          <w:p>
            <w:pPr>
              <w:jc w:val="center"/>
              <w:ind w:right="359"/>
              <w:spacing w:after="0" w:line="175" w:lineRule="exact"/>
              <w:rPr>
                <w:sz w:val="20"/>
                <w:szCs w:val="20"/>
                <w:color w:val="auto"/>
              </w:rPr>
            </w:pPr>
            <w:r>
              <w:rPr>
                <w:rFonts w:ascii="Arial" w:cs="Arial" w:eastAsia="Arial" w:hAnsi="Arial"/>
                <w:sz w:val="16"/>
                <w:szCs w:val="16"/>
                <w:color w:val="auto"/>
              </w:rPr>
              <w:t>50% / 200%</w:t>
            </w:r>
          </w:p>
        </w:tc>
        <w:tc>
          <w:tcPr>
            <w:tcW w:w="3800" w:type="dxa"/>
            <w:vAlign w:val="bottom"/>
            <w:shd w:val="clear" w:color="auto" w:fill="E8F0F8"/>
          </w:tcPr>
          <w:p>
            <w:pPr>
              <w:jc w:val="right"/>
              <w:ind w:right="1460"/>
              <w:spacing w:after="0" w:line="175" w:lineRule="exact"/>
              <w:rPr>
                <w:sz w:val="20"/>
                <w:szCs w:val="20"/>
                <w:color w:val="auto"/>
              </w:rPr>
            </w:pPr>
            <w:r>
              <w:rPr>
                <w:rFonts w:ascii="Arial" w:cs="Arial" w:eastAsia="Arial" w:hAnsi="Arial"/>
                <w:sz w:val="16"/>
                <w:szCs w:val="16"/>
                <w:color w:val="auto"/>
              </w:rPr>
              <w:t>50% / 200%</w:t>
            </w:r>
          </w:p>
        </w:tc>
      </w:tr>
      <w:tr>
        <w:trPr>
          <w:trHeight w:val="189"/>
        </w:trPr>
        <w:tc>
          <w:tcPr>
            <w:tcW w:w="188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Maximum Payout</w:t>
            </w:r>
          </w:p>
        </w:tc>
        <w:tc>
          <w:tcPr>
            <w:tcW w:w="2820" w:type="dxa"/>
            <w:vAlign w:val="bottom"/>
            <w:shd w:val="clear" w:color="auto" w:fill="E8F0F8"/>
          </w:tcPr>
          <w:p>
            <w:pPr>
              <w:spacing w:after="0"/>
              <w:rPr>
                <w:sz w:val="16"/>
                <w:szCs w:val="16"/>
                <w:color w:val="auto"/>
              </w:rPr>
            </w:pPr>
          </w:p>
        </w:tc>
        <w:tc>
          <w:tcPr>
            <w:tcW w:w="2520" w:type="dxa"/>
            <w:vAlign w:val="bottom"/>
            <w:shd w:val="clear" w:color="auto" w:fill="E8F0F8"/>
          </w:tcPr>
          <w:p>
            <w:pPr>
              <w:spacing w:after="0"/>
              <w:rPr>
                <w:sz w:val="16"/>
                <w:szCs w:val="16"/>
                <w:color w:val="auto"/>
              </w:rPr>
            </w:pPr>
          </w:p>
        </w:tc>
        <w:tc>
          <w:tcPr>
            <w:tcW w:w="3800" w:type="dxa"/>
            <w:vAlign w:val="bottom"/>
            <w:shd w:val="clear" w:color="auto" w:fill="E8F0F8"/>
          </w:tcPr>
          <w:p>
            <w:pPr>
              <w:spacing w:after="0"/>
              <w:rPr>
                <w:sz w:val="16"/>
                <w:szCs w:val="16"/>
                <w:color w:val="auto"/>
              </w:rPr>
            </w:pPr>
          </w:p>
        </w:tc>
      </w:tr>
      <w:tr>
        <w:trPr>
          <w:trHeight w:val="251"/>
        </w:trPr>
        <w:tc>
          <w:tcPr>
            <w:tcW w:w="1880" w:type="dxa"/>
            <w:vAlign w:val="bottom"/>
            <w:tcBorders>
              <w:left w:val="single" w:sz="8" w:color="E8F0F8"/>
              <w:bottom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 of Target Award)</w:t>
            </w:r>
          </w:p>
        </w:tc>
        <w:tc>
          <w:tcPr>
            <w:tcW w:w="2820" w:type="dxa"/>
            <w:vAlign w:val="bottom"/>
            <w:tcBorders>
              <w:bottom w:val="single" w:sz="8" w:color="E8F0F8"/>
            </w:tcBorders>
            <w:shd w:val="clear" w:color="auto" w:fill="E8F0F8"/>
          </w:tcPr>
          <w:p>
            <w:pPr>
              <w:spacing w:after="0"/>
              <w:rPr>
                <w:sz w:val="21"/>
                <w:szCs w:val="21"/>
                <w:color w:val="auto"/>
              </w:rPr>
            </w:pPr>
          </w:p>
        </w:tc>
        <w:tc>
          <w:tcPr>
            <w:tcW w:w="2520" w:type="dxa"/>
            <w:vAlign w:val="bottom"/>
            <w:tcBorders>
              <w:bottom w:val="single" w:sz="8" w:color="E8F0F8"/>
            </w:tcBorders>
            <w:shd w:val="clear" w:color="auto" w:fill="E8F0F8"/>
          </w:tcPr>
          <w:p>
            <w:pPr>
              <w:spacing w:after="0"/>
              <w:rPr>
                <w:sz w:val="21"/>
                <w:szCs w:val="21"/>
                <w:color w:val="auto"/>
              </w:rPr>
            </w:pPr>
          </w:p>
        </w:tc>
        <w:tc>
          <w:tcPr>
            <w:tcW w:w="3800" w:type="dxa"/>
            <w:vAlign w:val="bottom"/>
            <w:tcBorders>
              <w:bottom w:val="single" w:sz="8" w:color="E8F0F8"/>
            </w:tcBorders>
            <w:shd w:val="clear" w:color="auto" w:fill="E8F0F8"/>
          </w:tcPr>
          <w:p>
            <w:pPr>
              <w:spacing w:after="0"/>
              <w:rPr>
                <w:sz w:val="21"/>
                <w:szCs w:val="21"/>
                <w:color w:val="auto"/>
              </w:rPr>
            </w:pPr>
          </w:p>
        </w:tc>
      </w:tr>
      <w:tr>
        <w:trPr>
          <w:trHeight w:val="175"/>
        </w:trPr>
        <w:tc>
          <w:tcPr>
            <w:tcW w:w="1880" w:type="dxa"/>
            <w:vAlign w:val="bottom"/>
            <w:tcBorders>
              <w:left w:val="single" w:sz="8" w:color="BAD3EA"/>
            </w:tcBorders>
            <w:gridSpan w:val="2"/>
            <w:shd w:val="clear" w:color="auto" w:fill="BAD3EA"/>
          </w:tcPr>
          <w:p>
            <w:pPr>
              <w:ind w:left="80"/>
              <w:spacing w:after="0" w:line="175" w:lineRule="exact"/>
              <w:rPr>
                <w:sz w:val="20"/>
                <w:szCs w:val="20"/>
                <w:color w:val="auto"/>
              </w:rPr>
            </w:pPr>
            <w:r>
              <w:rPr>
                <w:rFonts w:ascii="Arial" w:cs="Arial" w:eastAsia="Arial" w:hAnsi="Arial"/>
                <w:sz w:val="16"/>
                <w:szCs w:val="16"/>
                <w:color w:val="auto"/>
              </w:rPr>
              <w:t>Vesting</w:t>
            </w:r>
          </w:p>
        </w:tc>
        <w:tc>
          <w:tcPr>
            <w:tcW w:w="2820" w:type="dxa"/>
            <w:vAlign w:val="bottom"/>
            <w:shd w:val="clear" w:color="auto" w:fill="BAD3EA"/>
          </w:tcPr>
          <w:p>
            <w:pPr>
              <w:jc w:val="center"/>
              <w:ind w:right="80"/>
              <w:spacing w:after="0" w:line="175" w:lineRule="exact"/>
              <w:rPr>
                <w:sz w:val="20"/>
                <w:szCs w:val="20"/>
                <w:color w:val="auto"/>
              </w:rPr>
            </w:pPr>
            <w:r>
              <w:rPr>
                <w:rFonts w:ascii="Arial" w:cs="Arial" w:eastAsia="Arial" w:hAnsi="Arial"/>
                <w:sz w:val="16"/>
                <w:szCs w:val="16"/>
                <w:color w:val="auto"/>
                <w:w w:val="99"/>
              </w:rPr>
              <w:t>3-year Cliff Vesting</w:t>
            </w:r>
          </w:p>
        </w:tc>
        <w:tc>
          <w:tcPr>
            <w:tcW w:w="2520" w:type="dxa"/>
            <w:vAlign w:val="bottom"/>
            <w:shd w:val="clear" w:color="auto" w:fill="BAD3EA"/>
          </w:tcPr>
          <w:p>
            <w:pPr>
              <w:jc w:val="center"/>
              <w:ind w:right="359"/>
              <w:spacing w:after="0" w:line="175" w:lineRule="exact"/>
              <w:rPr>
                <w:sz w:val="20"/>
                <w:szCs w:val="20"/>
                <w:color w:val="auto"/>
              </w:rPr>
            </w:pPr>
            <w:r>
              <w:rPr>
                <w:rFonts w:ascii="Arial" w:cs="Arial" w:eastAsia="Arial" w:hAnsi="Arial"/>
                <w:sz w:val="16"/>
                <w:szCs w:val="16"/>
                <w:color w:val="auto"/>
              </w:rPr>
              <w:t>3-year Cliff Vesting</w:t>
            </w:r>
          </w:p>
        </w:tc>
        <w:tc>
          <w:tcPr>
            <w:tcW w:w="3800" w:type="dxa"/>
            <w:vAlign w:val="bottom"/>
            <w:shd w:val="clear" w:color="auto" w:fill="BAD3EA"/>
          </w:tcPr>
          <w:p>
            <w:pPr>
              <w:jc w:val="center"/>
              <w:ind w:right="100"/>
              <w:spacing w:after="0" w:line="175" w:lineRule="exact"/>
              <w:rPr>
                <w:sz w:val="20"/>
                <w:szCs w:val="20"/>
                <w:color w:val="auto"/>
              </w:rPr>
            </w:pPr>
            <w:r>
              <w:rPr>
                <w:rFonts w:ascii="Arial" w:cs="Arial" w:eastAsia="Arial" w:hAnsi="Arial"/>
                <w:sz w:val="16"/>
                <w:szCs w:val="16"/>
                <w:color w:val="auto"/>
              </w:rPr>
              <w:t>Annual Ratable Vesting over 3 years</w:t>
            </w:r>
          </w:p>
        </w:tc>
      </w:tr>
      <w:tr>
        <w:trPr>
          <w:trHeight w:val="276"/>
        </w:trPr>
        <w:tc>
          <w:tcPr>
            <w:tcW w:w="280" w:type="dxa"/>
            <w:vAlign w:val="bottom"/>
            <w:tcBorders>
              <w:left w:val="single" w:sz="8" w:color="BAD3EA"/>
              <w:bottom w:val="single" w:sz="8" w:color="BAD3EA"/>
              <w:right w:val="single" w:sz="8" w:color="BAD3EA"/>
            </w:tcBorders>
            <w:shd w:val="clear" w:color="auto" w:fill="BAD3EA"/>
          </w:tcPr>
          <w:p>
            <w:pPr>
              <w:spacing w:after="0"/>
              <w:rPr>
                <w:sz w:val="23"/>
                <w:szCs w:val="23"/>
                <w:color w:val="auto"/>
              </w:rPr>
            </w:pPr>
          </w:p>
        </w:tc>
        <w:tc>
          <w:tcPr>
            <w:tcW w:w="1600" w:type="dxa"/>
            <w:vAlign w:val="bottom"/>
            <w:tcBorders>
              <w:bottom w:val="single" w:sz="8" w:color="BAD3EA"/>
            </w:tcBorders>
            <w:shd w:val="clear" w:color="auto" w:fill="BAD3EA"/>
          </w:tcPr>
          <w:p>
            <w:pPr>
              <w:spacing w:after="0"/>
              <w:rPr>
                <w:sz w:val="23"/>
                <w:szCs w:val="23"/>
                <w:color w:val="auto"/>
              </w:rPr>
            </w:pPr>
          </w:p>
        </w:tc>
        <w:tc>
          <w:tcPr>
            <w:tcW w:w="2820" w:type="dxa"/>
            <w:vAlign w:val="bottom"/>
            <w:tcBorders>
              <w:bottom w:val="single" w:sz="8" w:color="BAD3EA"/>
            </w:tcBorders>
            <w:shd w:val="clear" w:color="auto" w:fill="BAD3EA"/>
          </w:tcPr>
          <w:p>
            <w:pPr>
              <w:spacing w:after="0"/>
              <w:rPr>
                <w:sz w:val="23"/>
                <w:szCs w:val="23"/>
                <w:color w:val="auto"/>
              </w:rPr>
            </w:pPr>
          </w:p>
        </w:tc>
        <w:tc>
          <w:tcPr>
            <w:tcW w:w="2520" w:type="dxa"/>
            <w:vAlign w:val="bottom"/>
            <w:tcBorders>
              <w:bottom w:val="single" w:sz="8" w:color="BAD3EA"/>
            </w:tcBorders>
            <w:shd w:val="clear" w:color="auto" w:fill="BAD3EA"/>
          </w:tcPr>
          <w:p>
            <w:pPr>
              <w:spacing w:after="0"/>
              <w:rPr>
                <w:sz w:val="23"/>
                <w:szCs w:val="23"/>
                <w:color w:val="auto"/>
              </w:rPr>
            </w:pPr>
          </w:p>
        </w:tc>
        <w:tc>
          <w:tcPr>
            <w:tcW w:w="3800" w:type="dxa"/>
            <w:vAlign w:val="bottom"/>
            <w:tcBorders>
              <w:bottom w:val="single" w:sz="8" w:color="BAD3EA"/>
            </w:tcBorders>
            <w:shd w:val="clear" w:color="auto" w:fill="BAD3EA"/>
          </w:tcPr>
          <w:p>
            <w:pPr>
              <w:jc w:val="center"/>
              <w:ind w:right="100"/>
              <w:spacing w:after="0"/>
              <w:rPr>
                <w:sz w:val="20"/>
                <w:szCs w:val="20"/>
                <w:color w:val="auto"/>
              </w:rPr>
            </w:pPr>
            <w:r>
              <w:rPr>
                <w:rFonts w:ascii="Arial" w:cs="Arial" w:eastAsia="Arial" w:hAnsi="Arial"/>
                <w:sz w:val="16"/>
                <w:szCs w:val="16"/>
                <w:color w:val="auto"/>
              </w:rPr>
              <w:t>(1/3 per year)</w:t>
            </w:r>
          </w:p>
        </w:tc>
      </w:tr>
      <w:tr>
        <w:trPr>
          <w:trHeight w:val="142"/>
        </w:trPr>
        <w:tc>
          <w:tcPr>
            <w:tcW w:w="2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3800" w:type="dxa"/>
            <w:vAlign w:val="bottom"/>
            <w:tcBorders>
              <w:top w:val="single" w:sz="8" w:color="auto"/>
            </w:tcBorders>
          </w:tcPr>
          <w:p>
            <w:pPr>
              <w:spacing w:after="0"/>
              <w:rPr>
                <w:sz w:val="12"/>
                <w:szCs w:val="1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16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800" w:type="dxa"/>
            <w:vAlign w:val="bottom"/>
          </w:tcPr>
          <w:p>
            <w:pPr>
              <w:spacing w:after="0"/>
              <w:rPr>
                <w:sz w:val="5"/>
                <w:szCs w:val="5"/>
                <w:color w:val="auto"/>
              </w:rPr>
            </w:pPr>
          </w:p>
        </w:tc>
      </w:tr>
      <w:tr>
        <w:trPr>
          <w:trHeight w:val="164"/>
        </w:trPr>
        <w:tc>
          <w:tcPr>
            <w:tcW w:w="280" w:type="dxa"/>
            <w:vAlign w:val="bottom"/>
            <w:tcBorders>
              <w:left w:val="single" w:sz="8" w:color="1A6DBB"/>
              <w:right w:val="single" w:sz="8" w:color="1A6DBB"/>
            </w:tcBorders>
          </w:tcPr>
          <w:p>
            <w:pPr>
              <w:ind w:left="60"/>
              <w:spacing w:after="0"/>
              <w:rPr>
                <w:sz w:val="20"/>
                <w:szCs w:val="20"/>
                <w:color w:val="auto"/>
              </w:rPr>
            </w:pPr>
            <w:r>
              <w:rPr>
                <w:rFonts w:ascii="Arial" w:cs="Arial" w:eastAsia="Arial" w:hAnsi="Arial"/>
                <w:sz w:val="12"/>
                <w:szCs w:val="12"/>
                <w:color w:val="1A6DBB"/>
              </w:rPr>
              <w:t>51</w:t>
            </w:r>
          </w:p>
        </w:tc>
        <w:tc>
          <w:tcPr>
            <w:tcW w:w="1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25"/>
        </w:trPr>
        <w:tc>
          <w:tcPr>
            <w:tcW w:w="280" w:type="dxa"/>
            <w:vAlign w:val="bottom"/>
            <w:tcBorders>
              <w:left w:val="single" w:sz="8" w:color="1A6DBB"/>
              <w:right w:val="single" w:sz="8" w:color="1A6DBB"/>
            </w:tcBorders>
          </w:tcPr>
          <w:p>
            <w:pPr>
              <w:spacing w:after="0"/>
              <w:rPr>
                <w:sz w:val="2"/>
                <w:szCs w:val="2"/>
                <w:color w:val="auto"/>
              </w:rPr>
            </w:pPr>
          </w:p>
        </w:tc>
        <w:tc>
          <w:tcPr>
            <w:tcW w:w="16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16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8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-196850</wp:posOffset>
            </wp:positionV>
            <wp:extent cx="419735" cy="1371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All annual LTI awards granted to our executive officers are performance-based and designed to reward long-term Company performance.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In 2021 the LTI grant values for our NEOs (assuming target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were as follows:</w:t>
      </w:r>
    </w:p>
    <w:p>
      <w:pPr>
        <w:spacing w:after="0" w:line="97" w:lineRule="exact"/>
        <w:rPr>
          <w:sz w:val="20"/>
          <w:szCs w:val="20"/>
          <w:color w:val="auto"/>
        </w:rPr>
      </w:pPr>
    </w:p>
    <w:p>
      <w:pPr>
        <w:sectPr>
          <w:pgSz w:w="11900" w:h="16838" w:orient="portrait"/>
          <w:cols w:equalWidth="0" w:num="2">
            <w:col w:w="5300" w:space="440"/>
            <w:col w:w="5360"/>
          </w:cols>
          <w:pgMar w:left="320" w:top="455" w:right="479" w:bottom="1440" w:gutter="0" w:footer="0" w:header="0"/>
          <w:type w:val="continuous"/>
        </w:sectPr>
      </w:pPr>
    </w:p>
    <w:p>
      <w:pPr>
        <w:ind w:left="120"/>
        <w:spacing w:after="0" w:line="250" w:lineRule="auto"/>
        <w:rPr>
          <w:sz w:val="20"/>
          <w:szCs w:val="20"/>
          <w:color w:val="auto"/>
        </w:rPr>
      </w:pPr>
      <w:r>
        <w:rPr>
          <w:rFonts w:ascii="Arial" w:cs="Arial" w:eastAsia="Arial" w:hAnsi="Arial"/>
          <w:sz w:val="16"/>
          <w:szCs w:val="16"/>
          <w:color w:val="auto"/>
        </w:rPr>
        <w:t>Our LTI program for our executive officers for 2021 consisted of PSUs and MSUs, with the annual LTI total target grant date value of awards being split evenly between PSUs and MSUs (assuming target performance). The PSUs we granted to our executive officers are performance-based RSUs that are settled, as applicable, in cash and shares of our common stock. The MSUs we granted to our executive officers are performance-based RSUs that are settled in shares of our common stock. The performance conditions applicable to these PSUs and MSUs are described in further detail below. Our annual LTI target grant values are determined based on an executive’s individual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FFFF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-224155</wp:posOffset>
            </wp:positionV>
            <wp:extent cx="2562860" cy="43688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562860" cy="436880"/>
                    </a:xfrm>
                    <a:prstGeom prst="rect">
                      <a:avLst/>
                    </a:prstGeom>
                    <a:noFill/>
                  </pic:spPr>
                </pic:pic>
              </a:graphicData>
            </a:graphic>
          </wp:anchor>
        </w:drawing>
      </w:r>
    </w:p>
    <w:p>
      <w:pPr>
        <w:spacing w:after="0" w:line="57" w:lineRule="exact"/>
        <w:rPr>
          <w:sz w:val="20"/>
          <w:szCs w:val="20"/>
          <w:color w:val="auto"/>
        </w:rPr>
      </w:pPr>
    </w:p>
    <w:p>
      <w:pPr>
        <w:jc w:val="both"/>
        <w:ind w:right="2540" w:firstLine="9"/>
        <w:spacing w:after="0" w:line="351" w:lineRule="auto"/>
        <w:tabs>
          <w:tab w:leader="none" w:pos="22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Vounatsos M. McDonnell</w:t>
      </w:r>
    </w:p>
    <w:p>
      <w:pPr>
        <w:ind w:right="2480" w:hanging="9"/>
        <w:spacing w:after="0" w:line="303" w:lineRule="auto"/>
        <w:rPr>
          <w:rFonts w:ascii="Arial" w:cs="Arial" w:eastAsia="Arial" w:hAnsi="Arial"/>
          <w:sz w:val="16"/>
          <w:szCs w:val="16"/>
          <w:color w:val="auto"/>
        </w:rPr>
      </w:pPr>
      <w:r>
        <w:rPr>
          <w:rFonts w:ascii="Arial" w:cs="Arial" w:eastAsia="Arial" w:hAnsi="Arial"/>
          <w:sz w:val="15"/>
          <w:szCs w:val="15"/>
          <w:color w:val="auto"/>
        </w:rPr>
        <w:t>A. Sandrock</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S. Alexander C. Guindo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-685165</wp:posOffset>
            </wp:positionV>
            <wp:extent cx="3420110" cy="6940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0110" cy="694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color w:val="FFFFFF"/>
        </w:rPr>
        <w:t>Annual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-113030</wp:posOffset>
            </wp:positionV>
            <wp:extent cx="857250" cy="2654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57250" cy="2654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FFFFFF"/>
        </w:rPr>
        <w:t>Grant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40640</wp:posOffset>
            </wp:positionV>
            <wp:extent cx="85725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shd w:val="clear" w:color="auto" w:fill="E8F0F8"/>
        </w:rPr>
        <w:t>$12,500,000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46355</wp:posOffset>
            </wp:positionV>
            <wp:extent cx="85725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-107315</wp:posOffset>
            </wp:positionV>
            <wp:extent cx="85725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-107315</wp:posOffset>
            </wp:positionV>
            <wp:extent cx="857250"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-107315</wp:posOffset>
            </wp:positionV>
            <wp:extent cx="857250"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-107315</wp:posOffset>
            </wp:positionV>
            <wp:extent cx="857250" cy="154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57250" cy="15430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3">
            <w:col w:w="5120" w:space="700"/>
            <w:col w:w="3540" w:space="720"/>
            <w:col w:w="1020"/>
          </w:cols>
          <w:pgMar w:left="320" w:top="455" w:right="479" w:bottom="1440" w:gutter="0" w:footer="0" w:header="0"/>
          <w:type w:val="continuous"/>
        </w:sectPr>
      </w:pPr>
    </w:p>
    <w:p>
      <w:pPr>
        <w:ind w:left="120"/>
        <w:spacing w:after="0" w:line="246" w:lineRule="auto"/>
        <w:rPr>
          <w:sz w:val="20"/>
          <w:szCs w:val="20"/>
          <w:color w:val="auto"/>
        </w:rPr>
      </w:pPr>
      <w:r>
        <w:rPr>
          <w:rFonts w:ascii="Arial" w:cs="Arial" w:eastAsia="Arial" w:hAnsi="Arial"/>
          <w:sz w:val="16"/>
          <w:szCs w:val="16"/>
          <w:color w:val="auto"/>
        </w:rPr>
        <w:t>performance, potential future contributions and market competitiveness as well as other factors. In determining the LTI target grant value for a year, our C&amp;MD Committee reviews LTI awards made by companies in our peer group and, in certain circumstances, the broader market, and also reviews the total compensation level of our executive officers against that of companies in our peer group and, in certain circumstances, the broader market. In general, we place a heavier weight on LTI awards in our executive compensation program in order to better align the interests of our executives with those of our stockholders. On average, target LTI grant values for our NEOs position their total compensation at or around the median values of our peer group in cases where there are comparable positions at the peer companies.</w:t>
      </w:r>
    </w:p>
    <w:p>
      <w:pPr>
        <w:spacing w:after="0" w:line="8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We have an established annual LTI grant practice where LTI grants are made following the completion of our internal performance reviews of our executive officers as well as our external market review of equity practices of our peer group and the broader market, including the data from the Willis Towers Watson survey described above. Since 2004 we have made our annual LTI grants in February of each year following our annual earnings release.</w:t>
      </w:r>
    </w:p>
    <w:p>
      <w:pPr>
        <w:spacing w:after="0" w:line="73" w:lineRule="exact"/>
        <w:rPr>
          <w:sz w:val="20"/>
          <w:szCs w:val="20"/>
          <w:color w:val="auto"/>
        </w:rPr>
      </w:pPr>
    </w:p>
    <w:p>
      <w:pPr>
        <w:ind w:left="120" w:right="100"/>
        <w:spacing w:after="0" w:line="230" w:lineRule="auto"/>
        <w:rPr>
          <w:sz w:val="20"/>
          <w:szCs w:val="20"/>
          <w:color w:val="auto"/>
        </w:rPr>
      </w:pPr>
      <w:r>
        <w:rPr>
          <w:rFonts w:ascii="Arial" w:cs="Arial" w:eastAsia="Arial" w:hAnsi="Arial"/>
          <w:sz w:val="16"/>
          <w:szCs w:val="16"/>
          <w:color w:val="auto"/>
        </w:rPr>
        <w:t>We generally grant time-based RSUs in lieu of PSUs at the time an executive is hired if employment commences after June 30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with three-year cliff-vesting to mirror the vesting terms of the PSUs. These grants are generally granted on the first trading day of the month following the date of hire. From time to time, we also grant time-based RSUs to recognize extraordinary contributions to the Company or for transition or retention purposes. We did not grant time-based RSUs to our NEOs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52 </w:t>
      </w:r>
      <w:r>
        <w:rPr>
          <w:sz w:val="1"/>
          <w:szCs w:val="1"/>
          <w:color w:val="auto"/>
        </w:rPr>
        <w:drawing>
          <wp:inline distT="0" distB="0" distL="0" distR="0">
            <wp:extent cx="38735" cy="19685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4"/>
          <w:szCs w:val="14"/>
          <w:i w:val="1"/>
          <w:iCs w:val="1"/>
          <w:color w:val="auto"/>
        </w:rPr>
        <w:t>Notes to the 2021 LTI Awards Table</w:t>
      </w:r>
    </w:p>
    <w:p>
      <w:pPr>
        <w:spacing w:after="0" w:line="13" w:lineRule="exact"/>
        <w:rPr>
          <w:sz w:val="20"/>
          <w:szCs w:val="20"/>
          <w:color w:val="auto"/>
        </w:rPr>
      </w:pPr>
    </w:p>
    <w:p>
      <w:pPr>
        <w:ind w:left="206" w:hanging="206"/>
        <w:spacing w:after="0"/>
        <w:tabs>
          <w:tab w:leader="none" w:pos="20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w:t>
      </w:r>
    </w:p>
    <w:p>
      <w:pPr>
        <w:spacing w:after="0" w:line="1" w:lineRule="exact"/>
        <w:rPr>
          <w:rFonts w:ascii="Arial" w:cs="Arial" w:eastAsia="Arial" w:hAnsi="Arial"/>
          <w:sz w:val="14"/>
          <w:szCs w:val="14"/>
          <w:color w:val="auto"/>
        </w:rPr>
      </w:pPr>
    </w:p>
    <w:p>
      <w:pPr>
        <w:ind w:left="206"/>
        <w:spacing w:after="0" w:line="252" w:lineRule="auto"/>
        <w:rPr>
          <w:rFonts w:ascii="Arial" w:cs="Arial" w:eastAsia="Arial" w:hAnsi="Arial"/>
          <w:sz w:val="14"/>
          <w:szCs w:val="14"/>
          <w:color w:val="auto"/>
        </w:rPr>
      </w:pPr>
      <w:r>
        <w:rPr>
          <w:rFonts w:ascii="Arial" w:cs="Arial" w:eastAsia="Arial" w:hAnsi="Arial"/>
          <w:sz w:val="14"/>
          <w:szCs w:val="14"/>
          <w:color w:val="auto"/>
        </w:rPr>
        <w:t>Dr. Sandrock’s outstanding LTI awards were eligible for retirement vesting and remain outstanding and eligible to vest based on actual performance, as set forth in the original awards.</w:t>
      </w:r>
    </w:p>
    <w:p>
      <w:pPr>
        <w:spacing w:after="0" w:line="68" w:lineRule="exact"/>
        <w:rPr>
          <w:sz w:val="20"/>
          <w:szCs w:val="20"/>
          <w:color w:val="auto"/>
        </w:rPr>
      </w:pPr>
    </w:p>
    <w:p>
      <w:pPr>
        <w:ind w:left="6"/>
        <w:spacing w:after="0" w:line="249" w:lineRule="auto"/>
        <w:rPr>
          <w:sz w:val="20"/>
          <w:szCs w:val="20"/>
          <w:color w:val="auto"/>
        </w:rPr>
      </w:pPr>
      <w:r>
        <w:rPr>
          <w:rFonts w:ascii="Arial" w:cs="Arial" w:eastAsia="Arial" w:hAnsi="Arial"/>
          <w:sz w:val="16"/>
          <w:szCs w:val="16"/>
          <w:color w:val="auto"/>
        </w:rPr>
        <w:t>The actual value that will be realized from PSU awards depends on the degree of achievement of performance goals, with 60% of the PSUs (based on the grant date target value) settled in shares of our common stock based upon achievement of cumulative three-year pipeline milestone goals and the remaining 40% of the PSUs settled in cash based upon the achievement of two annual financial goals that are determined at the beginning of each relevant year. The actual value that will be realized from MSU awards depends on our 30-day average common stock price growth between the grant date and each of the dates such awards vest. If the vesting price is higher than the grant price, the number of shares that vest will be increased and in contrast, if the vesting price is lower than the grant price, the number of shares that vest will be decreased. Our common stock price is influenced by the Company’s performance as well as external market factors.</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427F3D"/>
        </w:rPr>
        <w:t>2021 PSUs</w:t>
      </w:r>
    </w:p>
    <w:p>
      <w:pPr>
        <w:spacing w:after="0" w:line="111" w:lineRule="exact"/>
        <w:rPr>
          <w:sz w:val="20"/>
          <w:szCs w:val="20"/>
          <w:color w:val="auto"/>
        </w:rPr>
      </w:pPr>
    </w:p>
    <w:p>
      <w:pPr>
        <w:ind w:left="6"/>
        <w:spacing w:after="0" w:line="250" w:lineRule="auto"/>
        <w:rPr>
          <w:sz w:val="20"/>
          <w:szCs w:val="20"/>
          <w:color w:val="auto"/>
        </w:rPr>
      </w:pPr>
      <w:r>
        <w:rPr>
          <w:rFonts w:ascii="Arial" w:cs="Arial" w:eastAsia="Arial" w:hAnsi="Arial"/>
          <w:sz w:val="16"/>
          <w:szCs w:val="16"/>
          <w:color w:val="auto"/>
        </w:rPr>
        <w:t>PSUs comprised 50% of our NEO’s target annual LTI awards for 2021. PSUs are performance-based RSUs that have three-year cliff vesting in furtherance of the Company’s long-term pay-for-performance philosophy and to encourage employee retention. PSUs align executive compensation to Company goals through measuring performance against pipeline milestone performance goals. We believe measuring pipeline milestone goals and performance are critical to the long-term success of the Company and our stockholders. These goals measure key milestone achievements as we advance assets and technologies through our research and development pipeline, which has a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283845</wp:posOffset>
            </wp:positionV>
            <wp:extent cx="102870" cy="939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80" w:space="354"/>
            <w:col w:w="5366"/>
          </w:cols>
          <w:pgMar w:left="320" w:top="455" w:right="47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38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influence on our ability to create stockholder value. The actual value (if any) of PSUs will not be realized by the NEOs until the three-year period ends and then only if the applicable performance goals are achieved.</w:t>
      </w:r>
    </w:p>
    <w:p>
      <w:pPr>
        <w:spacing w:after="0" w:line="63"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For our 2021 PSU awards, 60% of the PSUs (based on the grant date target value) will be settled in shares of our common stock based on achievement of pipeline performance goals over a three-year performance period (2021 to 2023) (the 2021 Stock-Settled PSUs) and continued employment through the vesting date. The remaining 40% of the PSUs will be settled in cash based on the achievement of three one-year financial goals (2021, 2022 and 2023) (the 2021 Cash-Settled PSUs) and continued employment through the vesting date. Our 2021 PSU awards are scheduled to vest in February 2024.</w:t>
      </w:r>
    </w:p>
    <w:p>
      <w:pPr>
        <w:spacing w:after="0" w:line="1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For our 2021 PSU awards, the number of PSUs earned at the end of the three-year performance period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2751455" cy="8826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751455" cy="882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2020 PSUs</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our 2020 PSU awards, 60% of the PSUs (based on the grant date target value) will be settled in shares of our common stock based on achievement of pipeline performance goals over a three-year performance period (2020 to 2022) (the 2020 Stock-Settled PSUs) and continued employment through the vesting date. The remaining 40% of the PSUs will be settled in cash based on the achievement of three one-year financial goals (2020, 2021 and 2022) (the 2020 Cash-Settled PSUs) and continued employment through the vesting date. Our 2020 PSU awards are scheduled to vest in February 2023.</w:t>
      </w:r>
    </w:p>
    <w:p>
      <w:pPr>
        <w:spacing w:after="0" w:line="7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For our 2020 PSU awards, the number of PSUs earned at the end of the three-year performance period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2726055" cy="9429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726055" cy="942975"/>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5300" w:space="440"/>
            <w:col w:w="5360"/>
          </w:cols>
          <w:pgMar w:left="32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427F3D"/>
        </w:rPr>
        <w:t>2019 PSUs</w:t>
      </w:r>
    </w:p>
    <w:p>
      <w:pPr>
        <w:sectPr>
          <w:pgSz w:w="11900" w:h="16838" w:orient="portrait"/>
          <w:cols w:equalWidth="0" w:num="1">
            <w:col w:w="11100"/>
          </w:cols>
          <w:pgMar w:left="320" w:top="455" w:right="479" w:bottom="1440" w:gutter="0" w:footer="0" w:header="0"/>
          <w:type w:val="continuous"/>
        </w:sectPr>
      </w:pPr>
    </w:p>
    <w:p>
      <w:pPr>
        <w:spacing w:after="0" w:line="9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designing our 2021 PSU LTI program, our C&amp;MD Committee acknowledged the need to balance driving long-term performance and investing for the future with achieving key performance goals along the way. Cash-based payments are primarily aligned with and reward more recent performance, while equity settled awards encourage our executives to continue to deliver results over a longer period of time and also serve as a retention tool. Our C&amp;MD Committee determined that delivering a substantial portion of compensation in the form of equity awards with longer-term goals would further align our executive officers’ interests with those of Biogen’s stockholders in creating long-term stockholder value.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For our 2019 PSU awards, 60% of the PSUs (based on the grant date target value) will be settled in shares of our common stock based on achievement of financial and pipeline milestone performance goals over a three-year performance period (2019 to 2021) (the 2019 Stock-Settled PSUs) and continued employment through the vesting date. We believe measuring pipeline milestone goals and performance are critical to the long-term success of the Company and our stockholders. These goals measure key milestone achievements as we advance assets and technologies through our research and development pipeline, which has a significant influence on our ability to create stockholder value. The remaining 40% of the PSUs will be settled in cash based on the achievement of three one-year financial goals (2019, 2020 and 2021) (the 2019 Cash-Settled PSUs) and continued employment through the vesting date. Our 2019 PSU awards vested on February 12, 2022. The performance metrics and weightings, and the degree to which we achieved the performance goals, for the 2019 Stock-Settled PSUs and the 2019 Cash-Settled PSUs are described in further detail below.</w:t>
      </w:r>
    </w:p>
    <w:p>
      <w:pPr>
        <w:spacing w:after="0" w:line="200" w:lineRule="exact"/>
        <w:rPr>
          <w:sz w:val="20"/>
          <w:szCs w:val="20"/>
          <w:color w:val="auto"/>
        </w:rPr>
      </w:pPr>
    </w:p>
    <w:p>
      <w:pPr>
        <w:sectPr>
          <w:pgSz w:w="11900" w:h="16838" w:orient="portrait"/>
          <w:cols w:equalWidth="0" w:num="2">
            <w:col w:w="5280" w:space="460"/>
            <w:col w:w="5360"/>
          </w:cols>
          <w:pgMar w:left="320" w:top="455" w:right="479" w:bottom="1440" w:gutter="0" w:footer="0" w:header="0"/>
          <w:type w:val="continuous"/>
        </w:sectPr>
      </w:pPr>
    </w:p>
    <w:p>
      <w:pPr>
        <w:spacing w:after="0" w:line="60"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53 </w:t>
      </w:r>
      <w:r>
        <w:rPr>
          <w:sz w:val="1"/>
          <w:szCs w:val="1"/>
          <w:color w:val="auto"/>
        </w:rPr>
        <w:drawing>
          <wp:inline distT="0" distB="0" distL="0" distR="0">
            <wp:extent cx="38735" cy="19685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20"/>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A6DBB"/>
        </w:rPr>
        <w:t>2021 PSU Awards Table</w:t>
      </w:r>
    </w:p>
    <w:p>
      <w:pPr>
        <w:spacing w:after="0" w:line="108"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Set forth below is a summary of the performance metrics and weightings that our C&amp;MD Committee established for our 2021 PSU awards and the degree to which we achieved the performance goals for the 2021 tranche of the 2021 Cash-Settled PSUs.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Based on our overall performance the multiplier for the 2021 tranche of the 2021 Cash-Settled PSUs was 155%.</w:t>
      </w:r>
    </w:p>
    <w:p>
      <w:pPr>
        <w:spacing w:after="0" w:line="221"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We utilized the same performance metrics for the 2021 (i.e., second) tranche of the 2020 Cash-Settled PSUs and the 2021 (i.e., third) tranche of the 2019 Cash-Settled PSUs and, therefore, the multiplier for the 2021 tranche of the 2020 Cash-Settled PSUs and the 2019 Cash-Settled PSUs for the NEOs was also 155% for our NEOs.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2040" w:type="dxa"/>
            <w:vAlign w:val="bottom"/>
            <w:shd w:val="clear" w:color="auto" w:fill="1A6DBB"/>
          </w:tcPr>
          <w:p>
            <w:pPr>
              <w:spacing w:after="0"/>
              <w:rPr>
                <w:sz w:val="14"/>
                <w:szCs w:val="14"/>
                <w:color w:val="auto"/>
              </w:rPr>
            </w:pP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Percentage of</w:t>
            </w:r>
          </w:p>
        </w:tc>
        <w:tc>
          <w:tcPr>
            <w:tcW w:w="2660" w:type="dxa"/>
            <w:vAlign w:val="bottom"/>
            <w:shd w:val="clear" w:color="auto" w:fill="1A6DBB"/>
          </w:tcPr>
          <w:p>
            <w:pPr>
              <w:spacing w:after="0"/>
              <w:rPr>
                <w:sz w:val="14"/>
                <w:szCs w:val="14"/>
                <w:color w:val="auto"/>
              </w:rPr>
            </w:pPr>
          </w:p>
        </w:tc>
        <w:tc>
          <w:tcPr>
            <w:tcW w:w="1280" w:type="dxa"/>
            <w:vAlign w:val="bottom"/>
            <w:shd w:val="clear" w:color="auto" w:fill="1A6DBB"/>
          </w:tcPr>
          <w:p>
            <w:pPr>
              <w:spacing w:after="0"/>
              <w:rPr>
                <w:sz w:val="14"/>
                <w:szCs w:val="14"/>
                <w:color w:val="auto"/>
              </w:rPr>
            </w:pPr>
          </w:p>
        </w:tc>
        <w:tc>
          <w:tcPr>
            <w:tcW w:w="112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4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1A6DBB"/>
          </w:tcPr>
          <w:p>
            <w:pPr>
              <w:spacing w:after="0"/>
              <w:rPr>
                <w:sz w:val="14"/>
                <w:szCs w:val="14"/>
                <w:color w:val="auto"/>
              </w:rPr>
            </w:pP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PSU Target</w:t>
            </w:r>
          </w:p>
        </w:tc>
        <w:tc>
          <w:tcPr>
            <w:tcW w:w="2660" w:type="dxa"/>
            <w:vAlign w:val="bottom"/>
            <w:shd w:val="clear" w:color="auto" w:fill="1A6DBB"/>
          </w:tcPr>
          <w:p>
            <w:pPr>
              <w:spacing w:after="0"/>
              <w:rPr>
                <w:sz w:val="14"/>
                <w:szCs w:val="14"/>
                <w:color w:val="auto"/>
              </w:rPr>
            </w:pPr>
          </w:p>
        </w:tc>
        <w:tc>
          <w:tcPr>
            <w:tcW w:w="1280" w:type="dxa"/>
            <w:vAlign w:val="bottom"/>
            <w:shd w:val="clear" w:color="auto" w:fill="1A6DBB"/>
          </w:tcPr>
          <w:p>
            <w:pPr>
              <w:spacing w:after="0"/>
              <w:rPr>
                <w:sz w:val="14"/>
                <w:szCs w:val="14"/>
                <w:color w:val="auto"/>
              </w:rPr>
            </w:pPr>
          </w:p>
        </w:tc>
        <w:tc>
          <w:tcPr>
            <w:tcW w:w="112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4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1A6DBB"/>
          </w:tcPr>
          <w:p>
            <w:pPr>
              <w:spacing w:after="0"/>
              <w:rPr>
                <w:sz w:val="14"/>
                <w:szCs w:val="14"/>
                <w:color w:val="auto"/>
              </w:rPr>
            </w:pP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Value / Total</w:t>
            </w:r>
          </w:p>
        </w:tc>
        <w:tc>
          <w:tcPr>
            <w:tcW w:w="2660" w:type="dxa"/>
            <w:vAlign w:val="bottom"/>
            <w:shd w:val="clear" w:color="auto" w:fill="1A6DBB"/>
          </w:tcPr>
          <w:p>
            <w:pPr>
              <w:spacing w:after="0"/>
              <w:rPr>
                <w:sz w:val="14"/>
                <w:szCs w:val="14"/>
                <w:color w:val="auto"/>
              </w:rPr>
            </w:pPr>
          </w:p>
        </w:tc>
        <w:tc>
          <w:tcPr>
            <w:tcW w:w="1280" w:type="dxa"/>
            <w:vAlign w:val="bottom"/>
            <w:shd w:val="clear" w:color="auto" w:fill="1A6DBB"/>
          </w:tcPr>
          <w:p>
            <w:pPr>
              <w:jc w:val="right"/>
              <w:ind w:right="84"/>
              <w:spacing w:after="0"/>
              <w:rPr>
                <w:sz w:val="20"/>
                <w:szCs w:val="20"/>
                <w:color w:val="auto"/>
              </w:rPr>
            </w:pPr>
            <w:r>
              <w:rPr>
                <w:rFonts w:ascii="Arial" w:cs="Arial" w:eastAsia="Arial" w:hAnsi="Arial"/>
                <w:sz w:val="14"/>
                <w:szCs w:val="14"/>
                <w:color w:val="FFFFFF"/>
              </w:rPr>
              <w:t>Performance</w:t>
            </w:r>
          </w:p>
        </w:tc>
        <w:tc>
          <w:tcPr>
            <w:tcW w:w="112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4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1A6DBB"/>
          </w:tcPr>
          <w:p>
            <w:pPr>
              <w:ind w:left="560"/>
              <w:spacing w:after="0"/>
              <w:rPr>
                <w:sz w:val="20"/>
                <w:szCs w:val="20"/>
                <w:color w:val="auto"/>
              </w:rPr>
            </w:pPr>
            <w:r>
              <w:rPr>
                <w:rFonts w:ascii="Arial" w:cs="Arial" w:eastAsia="Arial" w:hAnsi="Arial"/>
                <w:sz w:val="14"/>
                <w:szCs w:val="14"/>
                <w:color w:val="FFFFFF"/>
              </w:rPr>
              <w:t>Percentage of</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LTI Target</w:t>
            </w:r>
          </w:p>
        </w:tc>
        <w:tc>
          <w:tcPr>
            <w:tcW w:w="2660" w:type="dxa"/>
            <w:vAlign w:val="bottom"/>
            <w:shd w:val="clear" w:color="auto" w:fill="1A6DBB"/>
          </w:tcPr>
          <w:p>
            <w:pPr>
              <w:spacing w:after="0"/>
              <w:rPr>
                <w:sz w:val="14"/>
                <w:szCs w:val="14"/>
                <w:color w:val="auto"/>
              </w:rPr>
            </w:pPr>
          </w:p>
        </w:tc>
        <w:tc>
          <w:tcPr>
            <w:tcW w:w="1280" w:type="dxa"/>
            <w:vAlign w:val="bottom"/>
            <w:shd w:val="clear" w:color="auto" w:fill="1A6DBB"/>
          </w:tcPr>
          <w:p>
            <w:pPr>
              <w:jc w:val="right"/>
              <w:ind w:right="264"/>
              <w:spacing w:after="0"/>
              <w:rPr>
                <w:sz w:val="20"/>
                <w:szCs w:val="20"/>
                <w:color w:val="auto"/>
              </w:rPr>
            </w:pPr>
            <w:r>
              <w:rPr>
                <w:rFonts w:ascii="Arial" w:cs="Arial" w:eastAsia="Arial" w:hAnsi="Arial"/>
                <w:sz w:val="14"/>
                <w:szCs w:val="14"/>
                <w:color w:val="FFFFFF"/>
              </w:rPr>
              <w:t>Metrics</w:t>
            </w:r>
          </w:p>
        </w:tc>
        <w:tc>
          <w:tcPr>
            <w:tcW w:w="1120" w:type="dxa"/>
            <w:vAlign w:val="bottom"/>
            <w:shd w:val="clear" w:color="auto" w:fill="1A6DBB"/>
          </w:tcPr>
          <w:p>
            <w:pPr>
              <w:jc w:val="right"/>
              <w:ind w:right="61"/>
              <w:spacing w:after="0"/>
              <w:rPr>
                <w:sz w:val="20"/>
                <w:szCs w:val="20"/>
                <w:color w:val="auto"/>
              </w:rPr>
            </w:pPr>
            <w:r>
              <w:rPr>
                <w:rFonts w:ascii="Arial" w:cs="Arial" w:eastAsia="Arial" w:hAnsi="Arial"/>
                <w:sz w:val="14"/>
                <w:szCs w:val="14"/>
                <w:color w:val="FFFFFF"/>
              </w:rPr>
              <w:t>Performance</w:t>
            </w:r>
          </w:p>
        </w:tc>
        <w:tc>
          <w:tcPr>
            <w:tcW w:w="520" w:type="dxa"/>
            <w:vAlign w:val="bottom"/>
            <w:shd w:val="clear" w:color="auto" w:fill="1A6DBB"/>
          </w:tcPr>
          <w:p>
            <w:pPr>
              <w:spacing w:after="0"/>
              <w:rPr>
                <w:sz w:val="14"/>
                <w:szCs w:val="14"/>
                <w:color w:val="auto"/>
              </w:rPr>
            </w:pPr>
          </w:p>
        </w:tc>
        <w:tc>
          <w:tcPr>
            <w:tcW w:w="1440" w:type="dxa"/>
            <w:vAlign w:val="bottom"/>
            <w:shd w:val="clear" w:color="auto" w:fill="1A6DBB"/>
          </w:tcPr>
          <w:p>
            <w:pPr>
              <w:spacing w:after="0"/>
              <w:rPr>
                <w:sz w:val="14"/>
                <w:szCs w:val="14"/>
                <w:color w:val="auto"/>
              </w:rPr>
            </w:pPr>
          </w:p>
        </w:tc>
        <w:tc>
          <w:tcPr>
            <w:tcW w:w="9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Actual</w:t>
            </w:r>
          </w:p>
        </w:tc>
        <w:tc>
          <w:tcPr>
            <w:tcW w:w="0" w:type="dxa"/>
            <w:vAlign w:val="bottom"/>
          </w:tcPr>
          <w:p>
            <w:pPr>
              <w:spacing w:after="0"/>
              <w:rPr>
                <w:sz w:val="1"/>
                <w:szCs w:val="1"/>
                <w:color w:val="auto"/>
              </w:rPr>
            </w:pPr>
          </w:p>
        </w:tc>
      </w:tr>
      <w:tr>
        <w:trPr>
          <w:trHeight w:val="171"/>
        </w:trPr>
        <w:tc>
          <w:tcPr>
            <w:tcW w:w="2040" w:type="dxa"/>
            <w:vAlign w:val="bottom"/>
            <w:shd w:val="clear" w:color="auto" w:fill="1A6DBB"/>
          </w:tcPr>
          <w:p>
            <w:pPr>
              <w:ind w:left="640"/>
              <w:spacing w:after="0"/>
              <w:rPr>
                <w:sz w:val="20"/>
                <w:szCs w:val="20"/>
                <w:color w:val="auto"/>
              </w:rPr>
            </w:pPr>
            <w:r>
              <w:rPr>
                <w:rFonts w:ascii="Arial" w:cs="Arial" w:eastAsia="Arial" w:hAnsi="Arial"/>
                <w:sz w:val="14"/>
                <w:szCs w:val="14"/>
                <w:color w:val="FFFFFF"/>
              </w:rPr>
              <w:t>PSU Award</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Value</w:t>
            </w:r>
          </w:p>
        </w:tc>
        <w:tc>
          <w:tcPr>
            <w:tcW w:w="2660" w:type="dxa"/>
            <w:vAlign w:val="bottom"/>
            <w:shd w:val="clear" w:color="auto" w:fill="1A6DBB"/>
          </w:tcPr>
          <w:p>
            <w:pPr>
              <w:ind w:left="780"/>
              <w:spacing w:after="0"/>
              <w:rPr>
                <w:sz w:val="20"/>
                <w:szCs w:val="20"/>
                <w:color w:val="auto"/>
              </w:rPr>
            </w:pPr>
            <w:r>
              <w:rPr>
                <w:rFonts w:ascii="Arial" w:cs="Arial" w:eastAsia="Arial" w:hAnsi="Arial"/>
                <w:sz w:val="14"/>
                <w:szCs w:val="14"/>
                <w:color w:val="FFFFFF"/>
              </w:rPr>
              <w:t>Performance Metrics</w:t>
            </w:r>
          </w:p>
        </w:tc>
        <w:tc>
          <w:tcPr>
            <w:tcW w:w="1280" w:type="dxa"/>
            <w:vAlign w:val="bottom"/>
            <w:shd w:val="clear" w:color="auto" w:fill="1A6DBB"/>
          </w:tcPr>
          <w:p>
            <w:pPr>
              <w:jc w:val="right"/>
              <w:ind w:right="264"/>
              <w:spacing w:after="0"/>
              <w:rPr>
                <w:sz w:val="20"/>
                <w:szCs w:val="20"/>
                <w:color w:val="auto"/>
              </w:rPr>
            </w:pPr>
            <w:r>
              <w:rPr>
                <w:rFonts w:ascii="Arial" w:cs="Arial" w:eastAsia="Arial" w:hAnsi="Arial"/>
                <w:sz w:val="14"/>
                <w:szCs w:val="14"/>
                <w:color w:val="FFFFFF"/>
              </w:rPr>
              <w:t>Weight</w:t>
            </w:r>
          </w:p>
        </w:tc>
        <w:tc>
          <w:tcPr>
            <w:tcW w:w="1120" w:type="dxa"/>
            <w:vAlign w:val="bottom"/>
            <w:shd w:val="clear" w:color="auto" w:fill="1A6DBB"/>
          </w:tcPr>
          <w:p>
            <w:pPr>
              <w:jc w:val="right"/>
              <w:ind w:right="261"/>
              <w:spacing w:after="0"/>
              <w:rPr>
                <w:sz w:val="20"/>
                <w:szCs w:val="20"/>
                <w:color w:val="auto"/>
              </w:rPr>
            </w:pPr>
            <w:r>
              <w:rPr>
                <w:rFonts w:ascii="Arial" w:cs="Arial" w:eastAsia="Arial" w:hAnsi="Arial"/>
                <w:sz w:val="14"/>
                <w:szCs w:val="14"/>
                <w:color w:val="FFFFFF"/>
              </w:rPr>
              <w:t>Period</w:t>
            </w:r>
          </w:p>
        </w:tc>
        <w:tc>
          <w:tcPr>
            <w:tcW w:w="19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Target Performance</w:t>
            </w:r>
          </w:p>
        </w:tc>
        <w:tc>
          <w:tcPr>
            <w:tcW w:w="9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Performance</w:t>
            </w:r>
          </w:p>
        </w:tc>
        <w:tc>
          <w:tcPr>
            <w:tcW w:w="0" w:type="dxa"/>
            <w:vAlign w:val="bottom"/>
          </w:tcPr>
          <w:p>
            <w:pPr>
              <w:spacing w:after="0"/>
              <w:rPr>
                <w:sz w:val="1"/>
                <w:szCs w:val="1"/>
                <w:color w:val="auto"/>
              </w:rPr>
            </w:pPr>
          </w:p>
        </w:tc>
      </w:tr>
      <w:tr>
        <w:trPr>
          <w:trHeight w:val="175"/>
        </w:trPr>
        <w:tc>
          <w:tcPr>
            <w:tcW w:w="2040" w:type="dxa"/>
            <w:vAlign w:val="bottom"/>
            <w:shd w:val="clear" w:color="auto" w:fill="E8F0F8"/>
          </w:tcPr>
          <w:p>
            <w:pPr>
              <w:ind w:left="80"/>
              <w:spacing w:after="0" w:line="175" w:lineRule="exact"/>
              <w:rPr>
                <w:sz w:val="20"/>
                <w:szCs w:val="20"/>
                <w:color w:val="auto"/>
              </w:rPr>
            </w:pPr>
            <w:r>
              <w:rPr>
                <w:rFonts w:ascii="Arial" w:cs="Arial" w:eastAsia="Arial" w:hAnsi="Arial"/>
                <w:sz w:val="16"/>
                <w:szCs w:val="16"/>
                <w:color w:val="auto"/>
              </w:rPr>
              <w:t>Stock-</w:t>
            </w:r>
          </w:p>
        </w:tc>
        <w:tc>
          <w:tcPr>
            <w:tcW w:w="3720" w:type="dxa"/>
            <w:vAlign w:val="bottom"/>
            <w:gridSpan w:val="2"/>
            <w:vMerge w:val="restart"/>
            <w:shd w:val="clear" w:color="auto" w:fill="E8F0F8"/>
          </w:tcPr>
          <w:p>
            <w:pPr>
              <w:ind w:left="160"/>
              <w:spacing w:after="0"/>
              <w:rPr>
                <w:sz w:val="20"/>
                <w:szCs w:val="20"/>
                <w:color w:val="auto"/>
              </w:rPr>
            </w:pPr>
            <w:r>
              <w:rPr>
                <w:rFonts w:ascii="Arial" w:cs="Arial" w:eastAsia="Arial" w:hAnsi="Arial"/>
                <w:sz w:val="16"/>
                <w:szCs w:val="16"/>
                <w:color w:val="auto"/>
              </w:rPr>
              <w:t>60% / 30%  Pipeline Milestone Performance</w:t>
            </w:r>
          </w:p>
        </w:tc>
        <w:tc>
          <w:tcPr>
            <w:tcW w:w="1280" w:type="dxa"/>
            <w:vAlign w:val="bottom"/>
            <w:vMerge w:val="restart"/>
            <w:shd w:val="clear" w:color="auto" w:fill="E8F0F8"/>
          </w:tcPr>
          <w:p>
            <w:pPr>
              <w:jc w:val="right"/>
              <w:ind w:right="184"/>
              <w:spacing w:after="0"/>
              <w:rPr>
                <w:sz w:val="20"/>
                <w:szCs w:val="20"/>
                <w:color w:val="auto"/>
              </w:rPr>
            </w:pPr>
            <w:r>
              <w:rPr>
                <w:rFonts w:ascii="Arial" w:cs="Arial" w:eastAsia="Arial" w:hAnsi="Arial"/>
                <w:sz w:val="16"/>
                <w:szCs w:val="16"/>
                <w:color w:val="auto"/>
              </w:rPr>
              <w:t>60%</w:t>
            </w:r>
          </w:p>
        </w:tc>
        <w:tc>
          <w:tcPr>
            <w:tcW w:w="1120" w:type="dxa"/>
            <w:vAlign w:val="bottom"/>
            <w:vMerge w:val="restart"/>
            <w:shd w:val="clear" w:color="auto" w:fill="E8F0F8"/>
          </w:tcPr>
          <w:p>
            <w:pPr>
              <w:jc w:val="right"/>
              <w:ind w:right="41"/>
              <w:spacing w:after="0"/>
              <w:rPr>
                <w:sz w:val="20"/>
                <w:szCs w:val="20"/>
                <w:color w:val="auto"/>
              </w:rPr>
            </w:pPr>
            <w:r>
              <w:rPr>
                <w:rFonts w:ascii="Arial" w:cs="Arial" w:eastAsia="Arial" w:hAnsi="Arial"/>
                <w:sz w:val="16"/>
                <w:szCs w:val="16"/>
                <w:color w:val="auto"/>
              </w:rPr>
              <w:t>2021-2023</w:t>
            </w:r>
          </w:p>
        </w:tc>
        <w:tc>
          <w:tcPr>
            <w:tcW w:w="2860" w:type="dxa"/>
            <w:vAlign w:val="bottom"/>
            <w:gridSpan w:val="3"/>
            <w:shd w:val="clear" w:color="auto" w:fill="E8F0F8"/>
          </w:tcPr>
          <w:p>
            <w:pPr>
              <w:jc w:val="center"/>
              <w:spacing w:after="0" w:line="175" w:lineRule="exact"/>
              <w:rPr>
                <w:sz w:val="20"/>
                <w:szCs w:val="20"/>
                <w:color w:val="auto"/>
              </w:rPr>
            </w:pPr>
            <w:r>
              <w:rPr>
                <w:rFonts w:ascii="Arial" w:cs="Arial" w:eastAsia="Arial" w:hAnsi="Arial"/>
                <w:sz w:val="16"/>
                <w:szCs w:val="16"/>
                <w:color w:val="auto"/>
              </w:rPr>
              <w:t>Specific goals are not disclosed for</w:t>
            </w:r>
          </w:p>
        </w:tc>
        <w:tc>
          <w:tcPr>
            <w:tcW w:w="0" w:type="dxa"/>
            <w:vAlign w:val="bottom"/>
          </w:tcPr>
          <w:p>
            <w:pPr>
              <w:spacing w:after="0"/>
              <w:rPr>
                <w:sz w:val="1"/>
                <w:szCs w:val="1"/>
                <w:color w:val="auto"/>
              </w:rPr>
            </w:pPr>
          </w:p>
        </w:tc>
      </w:tr>
      <w:tr>
        <w:trPr>
          <w:trHeight w:val="134"/>
        </w:trPr>
        <w:tc>
          <w:tcPr>
            <w:tcW w:w="2040" w:type="dxa"/>
            <w:vAlign w:val="bottom"/>
            <w:vMerge w:val="restart"/>
            <w:shd w:val="clear" w:color="auto" w:fill="E8F0F8"/>
          </w:tcPr>
          <w:p>
            <w:pPr>
              <w:ind w:left="80"/>
              <w:spacing w:after="0"/>
              <w:rPr>
                <w:sz w:val="20"/>
                <w:szCs w:val="20"/>
                <w:color w:val="auto"/>
              </w:rPr>
            </w:pPr>
            <w:r>
              <w:rPr>
                <w:rFonts w:ascii="Arial" w:cs="Arial" w:eastAsia="Arial" w:hAnsi="Arial"/>
                <w:sz w:val="16"/>
                <w:szCs w:val="16"/>
                <w:color w:val="auto"/>
              </w:rPr>
              <w:t>Settled: 60%</w:t>
            </w:r>
          </w:p>
        </w:tc>
        <w:tc>
          <w:tcPr>
            <w:tcW w:w="3720" w:type="dxa"/>
            <w:vAlign w:val="bottom"/>
            <w:gridSpan w:val="2"/>
            <w:vMerge w:val="continue"/>
            <w:shd w:val="clear" w:color="auto" w:fill="E8F0F8"/>
          </w:tcPr>
          <w:p>
            <w:pPr>
              <w:spacing w:after="0"/>
              <w:rPr>
                <w:sz w:val="11"/>
                <w:szCs w:val="11"/>
                <w:color w:val="auto"/>
              </w:rPr>
            </w:pPr>
          </w:p>
        </w:tc>
        <w:tc>
          <w:tcPr>
            <w:tcW w:w="1280" w:type="dxa"/>
            <w:vAlign w:val="bottom"/>
            <w:vMerge w:val="continue"/>
            <w:shd w:val="clear" w:color="auto" w:fill="E8F0F8"/>
          </w:tcPr>
          <w:p>
            <w:pPr>
              <w:spacing w:after="0"/>
              <w:rPr>
                <w:sz w:val="11"/>
                <w:szCs w:val="11"/>
                <w:color w:val="auto"/>
              </w:rPr>
            </w:pPr>
          </w:p>
        </w:tc>
        <w:tc>
          <w:tcPr>
            <w:tcW w:w="1120" w:type="dxa"/>
            <w:vAlign w:val="bottom"/>
            <w:vMerge w:val="continue"/>
            <w:shd w:val="clear" w:color="auto" w:fill="E8F0F8"/>
          </w:tcPr>
          <w:p>
            <w:pPr>
              <w:spacing w:after="0"/>
              <w:rPr>
                <w:sz w:val="11"/>
                <w:szCs w:val="11"/>
                <w:color w:val="auto"/>
              </w:rPr>
            </w:pPr>
          </w:p>
        </w:tc>
        <w:tc>
          <w:tcPr>
            <w:tcW w:w="520" w:type="dxa"/>
            <w:vAlign w:val="bottom"/>
            <w:shd w:val="clear" w:color="auto" w:fill="E8F0F8"/>
          </w:tcPr>
          <w:p>
            <w:pPr>
              <w:spacing w:after="0"/>
              <w:rPr>
                <w:sz w:val="11"/>
                <w:szCs w:val="11"/>
                <w:color w:val="auto"/>
              </w:rPr>
            </w:pPr>
          </w:p>
        </w:tc>
        <w:tc>
          <w:tcPr>
            <w:tcW w:w="2340" w:type="dxa"/>
            <w:vAlign w:val="bottom"/>
            <w:gridSpan w:val="2"/>
            <w:vMerge w:val="restart"/>
            <w:shd w:val="clear" w:color="auto" w:fill="E8F0F8"/>
          </w:tcPr>
          <w:p>
            <w:pPr>
              <w:jc w:val="center"/>
              <w:ind w:right="345"/>
              <w:spacing w:after="0"/>
              <w:rPr>
                <w:sz w:val="20"/>
                <w:szCs w:val="20"/>
                <w:color w:val="auto"/>
              </w:rPr>
            </w:pPr>
            <w:r>
              <w:rPr>
                <w:rFonts w:ascii="Arial" w:cs="Arial" w:eastAsia="Arial" w:hAnsi="Arial"/>
                <w:sz w:val="16"/>
                <w:szCs w:val="16"/>
                <w:color w:val="auto"/>
              </w:rPr>
              <w:t>competitive reasons</w:t>
            </w:r>
          </w:p>
        </w:tc>
        <w:tc>
          <w:tcPr>
            <w:tcW w:w="0" w:type="dxa"/>
            <w:vAlign w:val="bottom"/>
          </w:tcPr>
          <w:p>
            <w:pPr>
              <w:spacing w:after="0"/>
              <w:rPr>
                <w:sz w:val="1"/>
                <w:szCs w:val="1"/>
                <w:color w:val="auto"/>
              </w:rPr>
            </w:pPr>
          </w:p>
        </w:tc>
      </w:tr>
      <w:tr>
        <w:trPr>
          <w:trHeight w:val="83"/>
        </w:trPr>
        <w:tc>
          <w:tcPr>
            <w:tcW w:w="2040" w:type="dxa"/>
            <w:vAlign w:val="bottom"/>
            <w:vMerge w:val="continue"/>
            <w:shd w:val="clear" w:color="auto" w:fill="E8F0F8"/>
          </w:tcPr>
          <w:p>
            <w:pPr>
              <w:spacing w:after="0"/>
              <w:rPr>
                <w:sz w:val="7"/>
                <w:szCs w:val="7"/>
                <w:color w:val="auto"/>
              </w:rPr>
            </w:pPr>
          </w:p>
        </w:tc>
        <w:tc>
          <w:tcPr>
            <w:tcW w:w="1060" w:type="dxa"/>
            <w:vAlign w:val="bottom"/>
            <w:shd w:val="clear" w:color="auto" w:fill="E8F0F8"/>
          </w:tcPr>
          <w:p>
            <w:pPr>
              <w:spacing w:after="0"/>
              <w:rPr>
                <w:sz w:val="7"/>
                <w:szCs w:val="7"/>
                <w:color w:val="auto"/>
              </w:rPr>
            </w:pPr>
          </w:p>
        </w:tc>
        <w:tc>
          <w:tcPr>
            <w:tcW w:w="2660" w:type="dxa"/>
            <w:vAlign w:val="bottom"/>
            <w:shd w:val="clear" w:color="auto" w:fill="E8F0F8"/>
          </w:tcPr>
          <w:p>
            <w:pPr>
              <w:spacing w:after="0"/>
              <w:rPr>
                <w:sz w:val="7"/>
                <w:szCs w:val="7"/>
                <w:color w:val="auto"/>
              </w:rPr>
            </w:pPr>
          </w:p>
        </w:tc>
        <w:tc>
          <w:tcPr>
            <w:tcW w:w="1280" w:type="dxa"/>
            <w:vAlign w:val="bottom"/>
            <w:shd w:val="clear" w:color="auto" w:fill="E8F0F8"/>
          </w:tcPr>
          <w:p>
            <w:pPr>
              <w:spacing w:after="0"/>
              <w:rPr>
                <w:sz w:val="7"/>
                <w:szCs w:val="7"/>
                <w:color w:val="auto"/>
              </w:rPr>
            </w:pPr>
          </w:p>
        </w:tc>
        <w:tc>
          <w:tcPr>
            <w:tcW w:w="1120" w:type="dxa"/>
            <w:vAlign w:val="bottom"/>
            <w:shd w:val="clear" w:color="auto" w:fill="E8F0F8"/>
          </w:tcPr>
          <w:p>
            <w:pPr>
              <w:spacing w:after="0"/>
              <w:rPr>
                <w:sz w:val="7"/>
                <w:szCs w:val="7"/>
                <w:color w:val="auto"/>
              </w:rPr>
            </w:pPr>
          </w:p>
        </w:tc>
        <w:tc>
          <w:tcPr>
            <w:tcW w:w="520" w:type="dxa"/>
            <w:vAlign w:val="bottom"/>
            <w:shd w:val="clear" w:color="auto" w:fill="E8F0F8"/>
          </w:tcPr>
          <w:p>
            <w:pPr>
              <w:spacing w:after="0"/>
              <w:rPr>
                <w:sz w:val="7"/>
                <w:szCs w:val="7"/>
                <w:color w:val="auto"/>
              </w:rPr>
            </w:pPr>
          </w:p>
        </w:tc>
        <w:tc>
          <w:tcPr>
            <w:tcW w:w="2340" w:type="dxa"/>
            <w:vAlign w:val="bottom"/>
            <w:gridSpan w:val="2"/>
            <w:vMerge w:val="continue"/>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jc w:val="right"/>
              <w:ind w:right="241"/>
              <w:spacing w:after="0" w:line="175" w:lineRule="exact"/>
              <w:rPr>
                <w:sz w:val="20"/>
                <w:szCs w:val="20"/>
                <w:color w:val="auto"/>
              </w:rPr>
            </w:pPr>
            <w:r>
              <w:rPr>
                <w:rFonts w:ascii="Arial" w:cs="Arial" w:eastAsia="Arial" w:hAnsi="Arial"/>
                <w:sz w:val="16"/>
                <w:szCs w:val="16"/>
                <w:color w:val="auto"/>
              </w:rPr>
              <w:t>2021</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ind w:left="280"/>
              <w:spacing w:after="0" w:line="175" w:lineRule="exact"/>
              <w:rPr>
                <w:sz w:val="20"/>
                <w:szCs w:val="20"/>
                <w:color w:val="auto"/>
              </w:rPr>
            </w:pPr>
            <w:r>
              <w:rPr>
                <w:rFonts w:ascii="Arial" w:cs="Arial" w:eastAsia="Arial" w:hAnsi="Arial"/>
                <w:sz w:val="16"/>
                <w:szCs w:val="16"/>
                <w:color w:val="auto"/>
              </w:rPr>
              <w:t>3.1B</w:t>
            </w:r>
          </w:p>
        </w:tc>
        <w:tc>
          <w:tcPr>
            <w:tcW w:w="900" w:type="dxa"/>
            <w:vAlign w:val="bottom"/>
          </w:tcPr>
          <w:p>
            <w:pPr>
              <w:jc w:val="center"/>
              <w:spacing w:after="0" w:line="175" w:lineRule="exact"/>
              <w:rPr>
                <w:sz w:val="20"/>
                <w:szCs w:val="20"/>
                <w:color w:val="auto"/>
              </w:rPr>
            </w:pPr>
            <w:r>
              <w:rPr>
                <w:rFonts w:ascii="Arial" w:cs="Arial" w:eastAsia="Arial" w:hAnsi="Arial"/>
                <w:sz w:val="13"/>
                <w:szCs w:val="13"/>
                <w:color w:val="auto"/>
              </w:rPr>
              <w:t>$ 3.4B</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jc w:val="right"/>
              <w:ind w:right="241"/>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6"/>
                <w:szCs w:val="16"/>
                <w:color w:val="auto"/>
              </w:rPr>
            </w:pPr>
          </w:p>
        </w:tc>
        <w:tc>
          <w:tcPr>
            <w:tcW w:w="1440" w:type="dxa"/>
            <w:vAlign w:val="bottom"/>
          </w:tcPr>
          <w:p>
            <w:pPr>
              <w:jc w:val="center"/>
              <w:ind w:right="399"/>
              <w:spacing w:after="0"/>
              <w:rPr>
                <w:sz w:val="20"/>
                <w:szCs w:val="20"/>
                <w:color w:val="auto"/>
              </w:rPr>
            </w:pPr>
            <w:r>
              <w:rPr>
                <w:rFonts w:ascii="Arial" w:cs="Arial" w:eastAsia="Arial" w:hAnsi="Arial"/>
                <w:sz w:val="16"/>
                <w:szCs w:val="16"/>
                <w:color w:val="auto"/>
                <w:w w:val="97"/>
              </w:rPr>
              <w:t>Target set at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60" w:type="dxa"/>
            <w:vAlign w:val="bottom"/>
            <w:vMerge w:val="restart"/>
          </w:tcPr>
          <w:p>
            <w:pPr>
              <w:ind w:left="60"/>
              <w:spacing w:after="0"/>
              <w:rPr>
                <w:sz w:val="20"/>
                <w:szCs w:val="20"/>
                <w:color w:val="auto"/>
              </w:rPr>
            </w:pPr>
            <w:r>
              <w:rPr>
                <w:rFonts w:ascii="Arial" w:cs="Arial" w:eastAsia="Arial" w:hAnsi="Arial"/>
                <w:sz w:val="16"/>
                <w:szCs w:val="16"/>
                <w:color w:val="auto"/>
              </w:rPr>
              <w:t>Adjusted Free Cash Flow</w:t>
            </w:r>
          </w:p>
        </w:tc>
        <w:tc>
          <w:tcPr>
            <w:tcW w:w="1280" w:type="dxa"/>
            <w:vAlign w:val="bottom"/>
            <w:vMerge w:val="restart"/>
          </w:tcPr>
          <w:p>
            <w:pPr>
              <w:jc w:val="right"/>
              <w:ind w:right="64"/>
              <w:spacing w:after="0"/>
              <w:rPr>
                <w:sz w:val="20"/>
                <w:szCs w:val="20"/>
                <w:color w:val="auto"/>
              </w:rPr>
            </w:pPr>
            <w:r>
              <w:rPr>
                <w:rFonts w:ascii="Arial" w:cs="Arial" w:eastAsia="Arial" w:hAnsi="Arial"/>
                <w:sz w:val="16"/>
                <w:szCs w:val="16"/>
                <w:color w:val="auto"/>
              </w:rPr>
              <w:t>28%</w:t>
            </w:r>
          </w:p>
        </w:tc>
        <w:tc>
          <w:tcPr>
            <w:tcW w:w="112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rPr>
              <w:t>beginning of 2022 Target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120" w:type="dxa"/>
            <w:vAlign w:val="bottom"/>
            <w:vMerge w:val="restart"/>
          </w:tcPr>
          <w:p>
            <w:pPr>
              <w:jc w:val="right"/>
              <w:ind w:right="241"/>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2"/>
                <w:szCs w:val="12"/>
                <w:color w:val="auto"/>
              </w:rPr>
            </w:pPr>
          </w:p>
        </w:tc>
        <w:tc>
          <w:tcPr>
            <w:tcW w:w="1440" w:type="dxa"/>
            <w:vAlign w:val="bottom"/>
            <w:vMerge w:val="restart"/>
          </w:tcPr>
          <w:p>
            <w:pPr>
              <w:jc w:val="center"/>
              <w:ind w:right="399"/>
              <w:spacing w:after="0"/>
              <w:rPr>
                <w:sz w:val="20"/>
                <w:szCs w:val="20"/>
                <w:color w:val="auto"/>
              </w:rPr>
            </w:pPr>
            <w:r>
              <w:rPr>
                <w:rFonts w:ascii="Arial" w:cs="Arial" w:eastAsia="Arial" w:hAnsi="Arial"/>
                <w:sz w:val="16"/>
                <w:szCs w:val="16"/>
                <w:color w:val="auto"/>
              </w:rPr>
              <w:t>set at</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42"/>
        </w:trPr>
        <w:tc>
          <w:tcPr>
            <w:tcW w:w="2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960" w:type="dxa"/>
            <w:vAlign w:val="bottom"/>
            <w:gridSpan w:val="2"/>
            <w:vMerge w:val="restart"/>
          </w:tcPr>
          <w:p>
            <w:pPr>
              <w:jc w:val="center"/>
              <w:spacing w:after="0"/>
              <w:rPr>
                <w:sz w:val="20"/>
                <w:szCs w:val="20"/>
                <w:color w:val="auto"/>
              </w:rPr>
            </w:pPr>
            <w:r>
              <w:rPr>
                <w:rFonts w:ascii="Arial" w:cs="Arial" w:eastAsia="Arial" w:hAnsi="Arial"/>
                <w:sz w:val="16"/>
                <w:szCs w:val="16"/>
                <w:color w:val="auto"/>
              </w:rPr>
              <w:t>beginning of 2023</w:t>
            </w: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40" w:type="dxa"/>
            <w:vAlign w:val="bottom"/>
            <w:vMerge w:val="restart"/>
          </w:tcPr>
          <w:p>
            <w:pPr>
              <w:ind w:left="80"/>
              <w:spacing w:after="0"/>
              <w:rPr>
                <w:sz w:val="20"/>
                <w:szCs w:val="20"/>
                <w:color w:val="auto"/>
              </w:rPr>
            </w:pPr>
            <w:r>
              <w:rPr>
                <w:rFonts w:ascii="Arial" w:cs="Arial" w:eastAsia="Arial" w:hAnsi="Arial"/>
                <w:sz w:val="16"/>
                <w:szCs w:val="16"/>
                <w:color w:val="auto"/>
              </w:rPr>
              <w:t>Cash-</w:t>
            </w:r>
          </w:p>
        </w:tc>
        <w:tc>
          <w:tcPr>
            <w:tcW w:w="10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40" w:type="dxa"/>
            <w:vAlign w:val="bottom"/>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40% / 20%</w:t>
            </w:r>
          </w:p>
        </w:tc>
        <w:tc>
          <w:tcPr>
            <w:tcW w:w="2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500"/>
              <w:spacing w:after="0"/>
              <w:rPr>
                <w:sz w:val="20"/>
                <w:szCs w:val="20"/>
                <w:color w:val="auto"/>
              </w:rPr>
            </w:pPr>
            <w:r>
              <w:rPr>
                <w:rFonts w:ascii="Arial" w:cs="Arial" w:eastAsia="Arial" w:hAnsi="Arial"/>
                <w:sz w:val="16"/>
                <w:szCs w:val="16"/>
                <w:color w:val="auto"/>
              </w:rPr>
              <w:t>10.5B to</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40" w:type="dxa"/>
            <w:vAlign w:val="bottom"/>
            <w:vMerge w:val="restart"/>
          </w:tcPr>
          <w:p>
            <w:pPr>
              <w:ind w:left="80"/>
              <w:spacing w:after="0"/>
              <w:rPr>
                <w:sz w:val="20"/>
                <w:szCs w:val="20"/>
                <w:color w:val="auto"/>
              </w:rPr>
            </w:pPr>
            <w:r>
              <w:rPr>
                <w:rFonts w:ascii="Arial" w:cs="Arial" w:eastAsia="Arial" w:hAnsi="Arial"/>
                <w:sz w:val="16"/>
                <w:szCs w:val="16"/>
                <w:color w:val="auto"/>
              </w:rPr>
              <w:t>Settled: 40%</w:t>
            </w:r>
          </w:p>
        </w:tc>
        <w:tc>
          <w:tcPr>
            <w:tcW w:w="106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vMerge w:val="restart"/>
          </w:tcPr>
          <w:p>
            <w:pPr>
              <w:jc w:val="right"/>
              <w:ind w:right="241"/>
              <w:spacing w:after="0"/>
              <w:rPr>
                <w:sz w:val="20"/>
                <w:szCs w:val="20"/>
                <w:color w:val="auto"/>
              </w:rPr>
            </w:pPr>
            <w:r>
              <w:rPr>
                <w:rFonts w:ascii="Arial" w:cs="Arial" w:eastAsia="Arial" w:hAnsi="Arial"/>
                <w:sz w:val="16"/>
                <w:szCs w:val="16"/>
                <w:color w:val="auto"/>
              </w:rPr>
              <w:t>2021</w:t>
            </w:r>
          </w:p>
        </w:tc>
        <w:tc>
          <w:tcPr>
            <w:tcW w:w="5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4"/>
                <w:szCs w:val="14"/>
                <w:color w:val="auto"/>
              </w:rPr>
              <w:t>$ 11.1B</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320"/>
              <w:spacing w:after="0"/>
              <w:rPr>
                <w:sz w:val="20"/>
                <w:szCs w:val="20"/>
                <w:color w:val="auto"/>
              </w:rPr>
            </w:pPr>
            <w:r>
              <w:rPr>
                <w:rFonts w:ascii="Arial" w:cs="Arial" w:eastAsia="Arial" w:hAnsi="Arial"/>
                <w:sz w:val="16"/>
                <w:szCs w:val="16"/>
                <w:color w:val="auto"/>
              </w:rPr>
              <w:t>10.6B</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vMerge w:val="restart"/>
          </w:tcPr>
          <w:p>
            <w:pPr>
              <w:jc w:val="right"/>
              <w:ind w:right="241"/>
              <w:spacing w:after="0"/>
              <w:rPr>
                <w:sz w:val="20"/>
                <w:szCs w:val="20"/>
                <w:color w:val="auto"/>
              </w:rPr>
            </w:pPr>
            <w:r>
              <w:rPr>
                <w:rFonts w:ascii="Arial" w:cs="Arial" w:eastAsia="Arial" w:hAnsi="Arial"/>
                <w:sz w:val="16"/>
                <w:szCs w:val="16"/>
                <w:color w:val="auto"/>
              </w:rPr>
              <w:t>2022</w:t>
            </w:r>
          </w:p>
        </w:tc>
        <w:tc>
          <w:tcPr>
            <w:tcW w:w="5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60" w:type="dxa"/>
            <w:vAlign w:val="bottom"/>
            <w:vMerge w:val="restart"/>
          </w:tcPr>
          <w:p>
            <w:pPr>
              <w:ind w:left="60"/>
              <w:spacing w:after="0"/>
              <w:rPr>
                <w:sz w:val="20"/>
                <w:szCs w:val="20"/>
                <w:color w:val="auto"/>
              </w:rPr>
            </w:pPr>
            <w:r>
              <w:rPr>
                <w:rFonts w:ascii="Arial" w:cs="Arial" w:eastAsia="Arial" w:hAnsi="Arial"/>
                <w:sz w:val="16"/>
                <w:szCs w:val="16"/>
                <w:color w:val="auto"/>
              </w:rPr>
              <w:t>Revenue</w:t>
            </w:r>
          </w:p>
        </w:tc>
        <w:tc>
          <w:tcPr>
            <w:tcW w:w="1280" w:type="dxa"/>
            <w:vAlign w:val="bottom"/>
            <w:vMerge w:val="restart"/>
          </w:tcPr>
          <w:p>
            <w:pPr>
              <w:jc w:val="right"/>
              <w:ind w:right="64"/>
              <w:spacing w:after="0"/>
              <w:rPr>
                <w:sz w:val="20"/>
                <w:szCs w:val="20"/>
                <w:color w:val="auto"/>
              </w:rPr>
            </w:pPr>
            <w:r>
              <w:rPr>
                <w:rFonts w:ascii="Arial" w:cs="Arial" w:eastAsia="Arial" w:hAnsi="Arial"/>
                <w:sz w:val="16"/>
                <w:szCs w:val="16"/>
                <w:color w:val="auto"/>
              </w:rPr>
              <w:t>12%</w:t>
            </w:r>
          </w:p>
        </w:tc>
        <w:tc>
          <w:tcPr>
            <w:tcW w:w="11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vMerge w:val="restart"/>
          </w:tcPr>
          <w:p>
            <w:pPr>
              <w:jc w:val="center"/>
              <w:ind w:right="399"/>
              <w:spacing w:after="0"/>
              <w:rPr>
                <w:sz w:val="20"/>
                <w:szCs w:val="20"/>
                <w:color w:val="auto"/>
              </w:rPr>
            </w:pPr>
            <w:r>
              <w:rPr>
                <w:rFonts w:ascii="Arial" w:cs="Arial" w:eastAsia="Arial" w:hAnsi="Arial"/>
                <w:sz w:val="16"/>
                <w:szCs w:val="16"/>
                <w:color w:val="auto"/>
                <w:w w:val="97"/>
              </w:rPr>
              <w:t>Target set at</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960" w:type="dxa"/>
            <w:vAlign w:val="bottom"/>
            <w:gridSpan w:val="2"/>
            <w:vMerge w:val="restart"/>
          </w:tcPr>
          <w:p>
            <w:pPr>
              <w:jc w:val="center"/>
              <w:spacing w:after="0"/>
              <w:rPr>
                <w:sz w:val="20"/>
                <w:szCs w:val="20"/>
                <w:color w:val="auto"/>
              </w:rPr>
            </w:pPr>
            <w:r>
              <w:rPr>
                <w:rFonts w:ascii="Arial" w:cs="Arial" w:eastAsia="Arial" w:hAnsi="Arial"/>
                <w:sz w:val="16"/>
                <w:szCs w:val="16"/>
                <w:color w:val="auto"/>
              </w:rPr>
              <w:t>beginning of 2022</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20" w:type="dxa"/>
            <w:vAlign w:val="bottom"/>
            <w:vMerge w:val="restart"/>
          </w:tcPr>
          <w:p>
            <w:pPr>
              <w:jc w:val="right"/>
              <w:ind w:right="241"/>
              <w:spacing w:after="0"/>
              <w:rPr>
                <w:sz w:val="20"/>
                <w:szCs w:val="20"/>
                <w:color w:val="auto"/>
              </w:rPr>
            </w:pPr>
            <w:r>
              <w:rPr>
                <w:rFonts w:ascii="Arial" w:cs="Arial" w:eastAsia="Arial" w:hAnsi="Arial"/>
                <w:sz w:val="16"/>
                <w:szCs w:val="16"/>
                <w:color w:val="auto"/>
              </w:rPr>
              <w:t>2023</w:t>
            </w:r>
          </w:p>
        </w:tc>
        <w:tc>
          <w:tcPr>
            <w:tcW w:w="1960" w:type="dxa"/>
            <w:vAlign w:val="bottom"/>
            <w:gridSpan w:val="2"/>
            <w:vMerge w:val="continue"/>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205"/>
        </w:trPr>
        <w:tc>
          <w:tcPr>
            <w:tcW w:w="2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jc w:val="center"/>
              <w:ind w:right="399"/>
              <w:spacing w:after="0"/>
              <w:rPr>
                <w:sz w:val="20"/>
                <w:szCs w:val="20"/>
                <w:color w:val="auto"/>
              </w:rPr>
            </w:pPr>
            <w:r>
              <w:rPr>
                <w:rFonts w:ascii="Arial" w:cs="Arial" w:eastAsia="Arial" w:hAnsi="Arial"/>
                <w:sz w:val="16"/>
                <w:szCs w:val="16"/>
                <w:color w:val="auto"/>
                <w:w w:val="97"/>
              </w:rPr>
              <w:t>Target set at</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-1200785</wp:posOffset>
            </wp:positionV>
            <wp:extent cx="6995160" cy="13290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95160" cy="13290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-1449070</wp:posOffset>
            </wp:positionV>
            <wp:extent cx="570039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8640"/>
        <w:spacing w:after="0"/>
        <w:rPr>
          <w:sz w:val="20"/>
          <w:szCs w:val="20"/>
          <w:color w:val="auto"/>
        </w:rPr>
      </w:pPr>
      <w:r>
        <w:rPr>
          <w:rFonts w:ascii="Arial" w:cs="Arial" w:eastAsia="Arial" w:hAnsi="Arial"/>
          <w:sz w:val="16"/>
          <w:szCs w:val="16"/>
          <w:color w:val="auto"/>
        </w:rPr>
        <w:t>beginning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the 2021 PSU Awards Table</w:t>
      </w:r>
    </w:p>
    <w:p>
      <w:pPr>
        <w:spacing w:after="0" w:line="121" w:lineRule="exact"/>
        <w:rPr>
          <w:sz w:val="20"/>
          <w:szCs w:val="20"/>
          <w:color w:val="auto"/>
        </w:rPr>
      </w:pPr>
    </w:p>
    <w:p>
      <w:pPr>
        <w:ind w:left="440" w:right="100" w:hanging="324"/>
        <w:spacing w:after="0" w:line="252" w:lineRule="auto"/>
        <w:tabs>
          <w:tab w:leader="none" w:pos="4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This financial measure was based on our Non-GAAP free cash flow, as adjusted to add $105.0 million related to an upfront payment made in connection with entering into a collaboration and license agreement with InnoCare, $43.0 million related to a milestone payment associated with the FDA approval of ADUHELM in the U.S. and $12.0 million related to other commercial milestone payments, partially offset by the subtraction of $116.0 million from the ADUHELM sales impact on working capital, $62.0 million related to the Italy rebate impact and $2.0 million related to share repurchases in 2021 under our 2020 Share Repurchase Program. These items were either not originally contemplated or their magnitude or timing was uncertain at the time the Company performance goals were originally established.</w:t>
      </w:r>
    </w:p>
    <w:p>
      <w:pPr>
        <w:spacing w:after="0" w:line="86" w:lineRule="exact"/>
        <w:rPr>
          <w:rFonts w:ascii="Arial" w:cs="Arial" w:eastAsia="Arial" w:hAnsi="Arial"/>
          <w:sz w:val="14"/>
          <w:szCs w:val="14"/>
          <w:color w:val="auto"/>
        </w:rPr>
      </w:pPr>
    </w:p>
    <w:p>
      <w:pPr>
        <w:ind w:left="440" w:hanging="324"/>
        <w:spacing w:after="0"/>
        <w:tabs>
          <w:tab w:leader="none" w:pos="4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This financial measure was based on our publicly reported revenue of $11.0 billion, as adjusted to neutralize the effects of foreign exchange rate fluctuations.</w:t>
      </w:r>
    </w:p>
    <w:p>
      <w:pPr>
        <w:sectPr>
          <w:pgSz w:w="11900" w:h="16838" w:orient="portrait"/>
          <w:cols w:equalWidth="0" w:num="1">
            <w:col w:w="11140"/>
          </w:cols>
          <w:pgMar w:left="320" w:top="455" w:right="439" w:bottom="1440" w:gutter="0" w:footer="0" w:header="0"/>
        </w:sectPr>
      </w:pPr>
    </w:p>
    <w:p>
      <w:pPr>
        <w:spacing w:after="0" w:line="293"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The 2021 Stock-Settled PSUs metric, which was approved by our C&amp;MD Committee, was the achievement of a pipeline milestone performance for the three-year period of 2021 through 2023.</w:t>
      </w:r>
    </w:p>
    <w:p>
      <w:pPr>
        <w:spacing w:after="0" w:line="171"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Pipeline milestone performance over the three-year period of 2021 through 2023 was selected to drive our long-term strategic direction and stockholder value creation through our pipeline progress and development. We believe measuring pipeline milestone goals and performance are critical to the long-term success of the Company and our stockholders. These goals measure key milestone achievements as we advance assets and technologies through our research and development pipeline, which has a significant</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54 </w:t>
      </w:r>
      <w:r>
        <w:rPr>
          <w:sz w:val="1"/>
          <w:szCs w:val="1"/>
          <w:color w:val="auto"/>
        </w:rPr>
        <w:drawing>
          <wp:inline distT="0" distB="0" distL="0" distR="0">
            <wp:extent cx="38735" cy="19685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influence on our ability to create long-term stockholder value.</w:t>
      </w:r>
    </w:p>
    <w:p>
      <w:pPr>
        <w:spacing w:after="0" w:line="22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2021 Cash-Settled PSUs financial metrics are adjusted free cash flow and revenue. At the beginning of each year during the performance period for our 2021 Cash-Settled PSU awards, our C&amp;MD Committee will approve the targets for each of these financial metrics for such year. Our C&amp;MD Committee decided that because of the nature of our business, in which operating metrics can potentially be impacted positively or negatively by events outside of the control of executives, the design of the PSU program would be based, in part, on the use of three one-year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596265</wp:posOffset>
            </wp:positionV>
            <wp:extent cx="102870" cy="939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400" w:space="340"/>
            <w:col w:w="5400"/>
          </w:cols>
          <w:pgMar w:left="320" w:top="455" w:right="4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5" w:lineRule="exact"/>
        <w:rPr>
          <w:sz w:val="20"/>
          <w:szCs w:val="20"/>
          <w:color w:val="auto"/>
        </w:rPr>
      </w:pPr>
    </w:p>
    <w:p>
      <w:pPr>
        <w:ind w:left="380" w:hanging="264"/>
        <w:spacing w:after="0" w:line="253" w:lineRule="auto"/>
        <w:tabs>
          <w:tab w:leader="none" w:pos="380" w:val="left"/>
        </w:tabs>
        <w:numPr>
          <w:ilvl w:val="0"/>
          <w:numId w:val="122"/>
        </w:numPr>
        <w:rPr>
          <w:rFonts w:ascii="Arial" w:cs="Arial" w:eastAsia="Arial" w:hAnsi="Arial"/>
          <w:sz w:val="16"/>
          <w:szCs w:val="16"/>
          <w:color w:val="1A6DBB"/>
        </w:rPr>
      </w:pPr>
      <w:r>
        <w:rPr>
          <w:rFonts w:ascii="Arial" w:cs="Arial" w:eastAsia="Arial" w:hAnsi="Arial"/>
          <w:sz w:val="16"/>
          <w:szCs w:val="16"/>
          <w:color w:val="auto"/>
        </w:rPr>
        <w:t>Our C&amp;MD Committee views free cash flow as a critical measure to align the interests of management with those of our stockholders as it reflects the net cash flow available to the Company to pursue opportunities and investments that enhance stockholder value. As such, a cash flow performance goal encourages management to optimize capital expenditures, invest prudently in high return projects and optimize working capital.</w:t>
      </w:r>
    </w:p>
    <w:p>
      <w:pPr>
        <w:spacing w:after="0" w:line="86" w:lineRule="exact"/>
        <w:rPr>
          <w:rFonts w:ascii="Arial" w:cs="Arial" w:eastAsia="Arial" w:hAnsi="Arial"/>
          <w:sz w:val="16"/>
          <w:szCs w:val="16"/>
          <w:color w:val="1A6DBB"/>
        </w:rPr>
      </w:pPr>
    </w:p>
    <w:p>
      <w:pPr>
        <w:jc w:val="both"/>
        <w:ind w:left="380" w:right="100" w:hanging="264"/>
        <w:spacing w:after="0" w:line="266" w:lineRule="auto"/>
        <w:tabs>
          <w:tab w:leader="none" w:pos="380" w:val="left"/>
        </w:tabs>
        <w:numPr>
          <w:ilvl w:val="0"/>
          <w:numId w:val="122"/>
        </w:numPr>
        <w:rPr>
          <w:rFonts w:ascii="Arial" w:cs="Arial" w:eastAsia="Arial" w:hAnsi="Arial"/>
          <w:sz w:val="16"/>
          <w:szCs w:val="16"/>
          <w:color w:val="1A6DBB"/>
        </w:rPr>
      </w:pPr>
      <w:r>
        <w:rPr>
          <w:rFonts w:ascii="Arial" w:cs="Arial" w:eastAsia="Arial" w:hAnsi="Arial"/>
          <w:sz w:val="16"/>
          <w:szCs w:val="16"/>
          <w:color w:val="auto"/>
        </w:rPr>
        <w:t>We selected revenue as a performance measure to further reinforce the importance of achieving and exceeding our revenue goal and to provide an additional incentive</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left="260" w:right="100"/>
        <w:spacing w:after="0" w:line="286" w:lineRule="auto"/>
        <w:rPr>
          <w:sz w:val="20"/>
          <w:szCs w:val="20"/>
          <w:color w:val="auto"/>
        </w:rPr>
      </w:pPr>
      <w:r>
        <w:rPr>
          <w:rFonts w:ascii="Arial" w:cs="Arial" w:eastAsia="Arial" w:hAnsi="Arial"/>
          <w:sz w:val="16"/>
          <w:szCs w:val="16"/>
          <w:color w:val="auto"/>
        </w:rPr>
        <w:t>(outside our annual bonus plan) to achieve such goal with the imposition of longer-term vesting requirements to encourage retention.</w:t>
      </w:r>
    </w:p>
    <w:p>
      <w:pPr>
        <w:spacing w:after="0" w:line="4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order to further motivate our executives to drive the organization toward the achievement and potential over-achievement of these goals, we provide for a maximum payout opportunity of 200% for our PSU awards. Participants may ultimately earn between 0% and 200% of the target number of PSUs granted based on the degree of actual performance goal achievement, generally subject to continued service with the Company.</w:t>
      </w:r>
    </w:p>
    <w:p>
      <w:pPr>
        <w:spacing w:after="0" w:line="601" w:lineRule="exact"/>
        <w:rPr>
          <w:sz w:val="20"/>
          <w:szCs w:val="20"/>
          <w:color w:val="auto"/>
        </w:rPr>
      </w:pPr>
    </w:p>
    <w:p>
      <w:pPr>
        <w:sectPr>
          <w:pgSz w:w="11900" w:h="16838" w:orient="portrait"/>
          <w:cols w:equalWidth="0" w:num="2">
            <w:col w:w="5340" w:space="400"/>
            <w:col w:w="5400"/>
          </w:cols>
          <w:pgMar w:left="320" w:top="455" w:right="439" w:bottom="1440" w:gutter="0" w:footer="0" w:header="0"/>
          <w:type w:val="continuous"/>
        </w:sect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1A6DBB"/>
        </w:rPr>
        <w:t>2019 PSU Award Payout</w:t>
      </w:r>
    </w:p>
    <w:p>
      <w:pPr>
        <w:spacing w:after="0" w:line="10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Set forth below is a summary of the performance metrics and weightings that our C&amp;MD Committee established for our 2019 PSU awards and the degree to which we achieved the performance goals for the 2019 Stock-Settled PSUs and the 2019 Cash-Settled PSUs.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2019 Stock-Settled PSUs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180" w:type="dxa"/>
            <w:vAlign w:val="bottom"/>
            <w:shd w:val="clear" w:color="auto" w:fill="1A6DBB"/>
          </w:tcPr>
          <w:p>
            <w:pPr>
              <w:spacing w:after="0"/>
              <w:rPr>
                <w:sz w:val="15"/>
                <w:szCs w:val="15"/>
                <w:color w:val="auto"/>
              </w:rPr>
            </w:pPr>
          </w:p>
        </w:tc>
        <w:tc>
          <w:tcPr>
            <w:tcW w:w="1120" w:type="dxa"/>
            <w:vAlign w:val="bottom"/>
            <w:vMerge w:val="restart"/>
            <w:shd w:val="clear" w:color="auto" w:fill="1A6DBB"/>
          </w:tcPr>
          <w:p>
            <w:pPr>
              <w:jc w:val="right"/>
              <w:ind w:right="64"/>
              <w:spacing w:after="0"/>
              <w:rPr>
                <w:sz w:val="20"/>
                <w:szCs w:val="20"/>
                <w:color w:val="auto"/>
              </w:rPr>
            </w:pPr>
            <w:r>
              <w:rPr>
                <w:rFonts w:ascii="Arial" w:cs="Arial" w:eastAsia="Arial" w:hAnsi="Arial"/>
                <w:sz w:val="14"/>
                <w:szCs w:val="14"/>
                <w:color w:val="FFFFFF"/>
              </w:rPr>
              <w:t>Performance</w:t>
            </w:r>
          </w:p>
        </w:tc>
        <w:tc>
          <w:tcPr>
            <w:tcW w:w="300" w:type="dxa"/>
            <w:vAlign w:val="bottom"/>
            <w:shd w:val="clear" w:color="auto" w:fill="1A6DBB"/>
          </w:tcPr>
          <w:p>
            <w:pPr>
              <w:spacing w:after="0"/>
              <w:rPr>
                <w:sz w:val="15"/>
                <w:szCs w:val="15"/>
                <w:color w:val="auto"/>
              </w:rPr>
            </w:pPr>
          </w:p>
        </w:tc>
        <w:tc>
          <w:tcPr>
            <w:tcW w:w="960" w:type="dxa"/>
            <w:vAlign w:val="bottom"/>
            <w:shd w:val="clear" w:color="auto" w:fill="1A6DBB"/>
          </w:tcPr>
          <w:p>
            <w:pPr>
              <w:spacing w:after="0"/>
              <w:rPr>
                <w:sz w:val="15"/>
                <w:szCs w:val="15"/>
                <w:color w:val="auto"/>
              </w:rPr>
            </w:pPr>
          </w:p>
        </w:tc>
        <w:tc>
          <w:tcPr>
            <w:tcW w:w="1120" w:type="dxa"/>
            <w:vAlign w:val="bottom"/>
            <w:shd w:val="clear" w:color="auto" w:fill="1A6DBB"/>
          </w:tcPr>
          <w:p>
            <w:pPr>
              <w:spacing w:after="0"/>
              <w:rPr>
                <w:sz w:val="15"/>
                <w:szCs w:val="15"/>
                <w:color w:val="auto"/>
              </w:rPr>
            </w:pPr>
          </w:p>
        </w:tc>
        <w:tc>
          <w:tcPr>
            <w:tcW w:w="1460" w:type="dxa"/>
            <w:vAlign w:val="bottom"/>
            <w:shd w:val="clear" w:color="auto" w:fill="1A6DBB"/>
          </w:tcPr>
          <w:p>
            <w:pPr>
              <w:ind w:left="200"/>
              <w:spacing w:after="0"/>
              <w:rPr>
                <w:sz w:val="20"/>
                <w:szCs w:val="20"/>
                <w:color w:val="auto"/>
              </w:rPr>
            </w:pPr>
            <w:r>
              <w:rPr>
                <w:rFonts w:ascii="Arial" w:cs="Arial" w:eastAsia="Arial" w:hAnsi="Arial"/>
                <w:sz w:val="14"/>
                <w:szCs w:val="14"/>
                <w:color w:val="FFFFFF"/>
                <w:w w:val="99"/>
              </w:rPr>
              <w:t>Performance Target</w:t>
            </w:r>
          </w:p>
        </w:tc>
        <w:tc>
          <w:tcPr>
            <w:tcW w:w="1240" w:type="dxa"/>
            <w:vAlign w:val="bottom"/>
            <w:shd w:val="clear" w:color="auto" w:fill="1A6DBB"/>
          </w:tcPr>
          <w:p>
            <w:pPr>
              <w:spacing w:after="0"/>
              <w:rPr>
                <w:sz w:val="15"/>
                <w:szCs w:val="15"/>
                <w:color w:val="auto"/>
              </w:rPr>
            </w:pPr>
          </w:p>
        </w:tc>
        <w:tc>
          <w:tcPr>
            <w:tcW w:w="580" w:type="dxa"/>
            <w:vAlign w:val="bottom"/>
            <w:shd w:val="clear" w:color="auto" w:fill="1A6DBB"/>
          </w:tcPr>
          <w:p>
            <w:pPr>
              <w:spacing w:after="0"/>
              <w:rPr>
                <w:sz w:val="15"/>
                <w:szCs w:val="15"/>
                <w:color w:val="auto"/>
              </w:rPr>
            </w:pPr>
          </w:p>
        </w:tc>
        <w:tc>
          <w:tcPr>
            <w:tcW w:w="260" w:type="dxa"/>
            <w:vAlign w:val="bottom"/>
            <w:shd w:val="clear" w:color="auto" w:fill="1A6DBB"/>
          </w:tcPr>
          <w:p>
            <w:pPr>
              <w:spacing w:after="0"/>
              <w:rPr>
                <w:sz w:val="15"/>
                <w:szCs w:val="15"/>
                <w:color w:val="auto"/>
              </w:rPr>
            </w:pPr>
          </w:p>
        </w:tc>
        <w:tc>
          <w:tcPr>
            <w:tcW w:w="800" w:type="dxa"/>
            <w:vAlign w:val="bottom"/>
            <w:shd w:val="clear" w:color="auto" w:fill="1A6DBB"/>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80" w:type="dxa"/>
            <w:vAlign w:val="bottom"/>
            <w:shd w:val="clear" w:color="auto" w:fill="1A6DBB"/>
          </w:tcPr>
          <w:p>
            <w:pPr>
              <w:spacing w:after="0"/>
              <w:rPr>
                <w:sz w:val="14"/>
                <w:szCs w:val="14"/>
                <w:color w:val="auto"/>
              </w:rPr>
            </w:pPr>
          </w:p>
        </w:tc>
        <w:tc>
          <w:tcPr>
            <w:tcW w:w="1120" w:type="dxa"/>
            <w:vAlign w:val="bottom"/>
            <w:vMerge w:val="continue"/>
            <w:shd w:val="clear" w:color="auto" w:fill="1A6DBB"/>
          </w:tcPr>
          <w:p>
            <w:pPr>
              <w:spacing w:after="0"/>
              <w:rPr>
                <w:sz w:val="14"/>
                <w:szCs w:val="14"/>
                <w:color w:val="auto"/>
              </w:rPr>
            </w:pPr>
          </w:p>
        </w:tc>
        <w:tc>
          <w:tcPr>
            <w:tcW w:w="300" w:type="dxa"/>
            <w:vAlign w:val="bottom"/>
            <w:shd w:val="clear" w:color="auto" w:fill="1A6DBB"/>
          </w:tcPr>
          <w:p>
            <w:pPr>
              <w:spacing w:after="0"/>
              <w:rPr>
                <w:sz w:val="14"/>
                <w:szCs w:val="14"/>
                <w:color w:val="auto"/>
              </w:rPr>
            </w:pPr>
          </w:p>
        </w:tc>
        <w:tc>
          <w:tcPr>
            <w:tcW w:w="960" w:type="dxa"/>
            <w:vAlign w:val="bottom"/>
            <w:shd w:val="clear" w:color="auto" w:fill="1A6DBB"/>
          </w:tcPr>
          <w:p>
            <w:pPr>
              <w:spacing w:after="0"/>
              <w:rPr>
                <w:sz w:val="14"/>
                <w:szCs w:val="14"/>
                <w:color w:val="auto"/>
              </w:rPr>
            </w:pPr>
          </w:p>
        </w:tc>
        <w:tc>
          <w:tcPr>
            <w:tcW w:w="1120" w:type="dxa"/>
            <w:vAlign w:val="bottom"/>
            <w:shd w:val="clear" w:color="auto" w:fill="1A6DBB"/>
          </w:tcPr>
          <w:p>
            <w:pPr>
              <w:spacing w:after="0"/>
              <w:rPr>
                <w:sz w:val="14"/>
                <w:szCs w:val="14"/>
                <w:color w:val="auto"/>
              </w:rPr>
            </w:pPr>
          </w:p>
        </w:tc>
        <w:tc>
          <w:tcPr>
            <w:tcW w:w="1460" w:type="dxa"/>
            <w:vAlign w:val="bottom"/>
            <w:shd w:val="clear" w:color="auto" w:fill="1A6DBB"/>
          </w:tcPr>
          <w:p>
            <w:pPr>
              <w:spacing w:after="0"/>
              <w:rPr>
                <w:sz w:val="14"/>
                <w:szCs w:val="14"/>
                <w:color w:val="auto"/>
              </w:rPr>
            </w:pPr>
          </w:p>
        </w:tc>
        <w:tc>
          <w:tcPr>
            <w:tcW w:w="1240" w:type="dxa"/>
            <w:vAlign w:val="bottom"/>
            <w:shd w:val="clear" w:color="auto" w:fill="1A6DBB"/>
          </w:tcPr>
          <w:p>
            <w:pPr>
              <w:spacing w:after="0"/>
              <w:rPr>
                <w:sz w:val="14"/>
                <w:szCs w:val="14"/>
                <w:color w:val="auto"/>
              </w:rPr>
            </w:pPr>
          </w:p>
        </w:tc>
        <w:tc>
          <w:tcPr>
            <w:tcW w:w="58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Performance Metrics</w:t>
            </w:r>
          </w:p>
        </w:tc>
        <w:tc>
          <w:tcPr>
            <w:tcW w:w="1120" w:type="dxa"/>
            <w:vAlign w:val="bottom"/>
            <w:shd w:val="clear" w:color="auto" w:fill="1A6DBB"/>
          </w:tcPr>
          <w:p>
            <w:pPr>
              <w:jc w:val="right"/>
              <w:ind w:right="264"/>
              <w:spacing w:after="0"/>
              <w:rPr>
                <w:sz w:val="20"/>
                <w:szCs w:val="20"/>
                <w:color w:val="auto"/>
              </w:rPr>
            </w:pPr>
            <w:r>
              <w:rPr>
                <w:rFonts w:ascii="Arial" w:cs="Arial" w:eastAsia="Arial" w:hAnsi="Arial"/>
                <w:sz w:val="14"/>
                <w:szCs w:val="14"/>
                <w:color w:val="FFFFFF"/>
              </w:rPr>
              <w:t>Period</w:t>
            </w:r>
          </w:p>
        </w:tc>
        <w:tc>
          <w:tcPr>
            <w:tcW w:w="300" w:type="dxa"/>
            <w:vAlign w:val="bottom"/>
            <w:shd w:val="clear" w:color="auto" w:fill="1A6DBB"/>
          </w:tcPr>
          <w:p>
            <w:pPr>
              <w:spacing w:after="0"/>
              <w:rPr>
                <w:sz w:val="14"/>
                <w:szCs w:val="14"/>
                <w:color w:val="auto"/>
              </w:rPr>
            </w:pPr>
          </w:p>
        </w:tc>
        <w:tc>
          <w:tcPr>
            <w:tcW w:w="960" w:type="dxa"/>
            <w:vAlign w:val="bottom"/>
            <w:shd w:val="clear" w:color="auto" w:fill="1A6DBB"/>
          </w:tcPr>
          <w:p>
            <w:pPr>
              <w:jc w:val="right"/>
              <w:ind w:right="221"/>
              <w:spacing w:after="0"/>
              <w:rPr>
                <w:sz w:val="20"/>
                <w:szCs w:val="20"/>
                <w:color w:val="auto"/>
              </w:rPr>
            </w:pPr>
            <w:r>
              <w:rPr>
                <w:rFonts w:ascii="Arial" w:cs="Arial" w:eastAsia="Arial" w:hAnsi="Arial"/>
                <w:sz w:val="14"/>
                <w:szCs w:val="14"/>
                <w:color w:val="FFFFFF"/>
              </w:rPr>
              <w:t>Threshold</w:t>
            </w:r>
          </w:p>
        </w:tc>
        <w:tc>
          <w:tcPr>
            <w:tcW w:w="112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8"/>
              </w:rPr>
              <w:t>Target</w:t>
            </w:r>
          </w:p>
        </w:tc>
        <w:tc>
          <w:tcPr>
            <w:tcW w:w="1460" w:type="dxa"/>
            <w:vAlign w:val="bottom"/>
            <w:shd w:val="clear" w:color="auto" w:fill="1A6DBB"/>
          </w:tcPr>
          <w:p>
            <w:pPr>
              <w:ind w:left="440"/>
              <w:spacing w:after="0"/>
              <w:rPr>
                <w:sz w:val="20"/>
                <w:szCs w:val="20"/>
                <w:color w:val="auto"/>
              </w:rPr>
            </w:pPr>
            <w:r>
              <w:rPr>
                <w:rFonts w:ascii="Arial" w:cs="Arial" w:eastAsia="Arial" w:hAnsi="Arial"/>
                <w:sz w:val="14"/>
                <w:szCs w:val="14"/>
                <w:color w:val="FFFFFF"/>
              </w:rPr>
              <w:t>Max</w:t>
            </w:r>
          </w:p>
        </w:tc>
        <w:tc>
          <w:tcPr>
            <w:tcW w:w="1240" w:type="dxa"/>
            <w:vAlign w:val="bottom"/>
            <w:shd w:val="clear" w:color="auto" w:fill="1A6DBB"/>
          </w:tcPr>
          <w:p>
            <w:pPr>
              <w:jc w:val="center"/>
              <w:ind w:right="125"/>
              <w:spacing w:after="0"/>
              <w:rPr>
                <w:sz w:val="20"/>
                <w:szCs w:val="20"/>
                <w:color w:val="auto"/>
              </w:rPr>
            </w:pPr>
            <w:r>
              <w:rPr>
                <w:rFonts w:ascii="Arial" w:cs="Arial" w:eastAsia="Arial" w:hAnsi="Arial"/>
                <w:sz w:val="14"/>
                <w:szCs w:val="14"/>
                <w:color w:val="FFFFFF"/>
              </w:rPr>
              <w:t>Results</w:t>
            </w:r>
          </w:p>
        </w:tc>
        <w:tc>
          <w:tcPr>
            <w:tcW w:w="840" w:type="dxa"/>
            <w:vAlign w:val="bottom"/>
            <w:gridSpan w:val="2"/>
            <w:shd w:val="clear" w:color="auto" w:fill="1A6DBB"/>
          </w:tcPr>
          <w:p>
            <w:pPr>
              <w:jc w:val="right"/>
              <w:ind w:right="280"/>
              <w:spacing w:after="0"/>
              <w:rPr>
                <w:sz w:val="20"/>
                <w:szCs w:val="20"/>
                <w:color w:val="auto"/>
              </w:rPr>
            </w:pPr>
            <w:r>
              <w:rPr>
                <w:rFonts w:ascii="Arial" w:cs="Arial" w:eastAsia="Arial" w:hAnsi="Arial"/>
                <w:sz w:val="14"/>
                <w:szCs w:val="14"/>
                <w:color w:val="FFFFFF"/>
              </w:rPr>
              <w:t>Weight</w:t>
            </w:r>
          </w:p>
        </w:tc>
        <w:tc>
          <w:tcPr>
            <w:tcW w:w="800" w:type="dxa"/>
            <w:vAlign w:val="bottom"/>
            <w:shd w:val="clear" w:color="auto" w:fill="1A6DBB"/>
          </w:tcPr>
          <w:p>
            <w:pPr>
              <w:jc w:val="right"/>
              <w:ind w:right="161"/>
              <w:spacing w:after="0"/>
              <w:rPr>
                <w:sz w:val="20"/>
                <w:szCs w:val="20"/>
                <w:color w:val="auto"/>
              </w:rPr>
            </w:pPr>
            <w:r>
              <w:rPr>
                <w:rFonts w:ascii="Arial" w:cs="Arial" w:eastAsia="Arial" w:hAnsi="Arial"/>
                <w:sz w:val="14"/>
                <w:szCs w:val="14"/>
                <w:color w:val="FFFFFF"/>
              </w:rPr>
              <w:t>Payout</w:t>
            </w:r>
          </w:p>
        </w:tc>
        <w:tc>
          <w:tcPr>
            <w:tcW w:w="0" w:type="dxa"/>
            <w:vAlign w:val="bottom"/>
          </w:tcPr>
          <w:p>
            <w:pPr>
              <w:spacing w:after="0"/>
              <w:rPr>
                <w:sz w:val="1"/>
                <w:szCs w:val="1"/>
                <w:color w:val="auto"/>
              </w:rPr>
            </w:pPr>
          </w:p>
        </w:tc>
      </w:tr>
      <w:tr>
        <w:trPr>
          <w:trHeight w:val="203"/>
        </w:trPr>
        <w:tc>
          <w:tcPr>
            <w:tcW w:w="3180" w:type="dxa"/>
            <w:vAlign w:val="bottom"/>
            <w:shd w:val="clear" w:color="auto" w:fill="E8F0F8"/>
          </w:tcPr>
          <w:p>
            <w:pPr>
              <w:ind w:left="80"/>
              <w:spacing w:after="0"/>
              <w:rPr>
                <w:sz w:val="20"/>
                <w:szCs w:val="20"/>
                <w:color w:val="auto"/>
              </w:rPr>
            </w:pPr>
            <w:r>
              <w:rPr>
                <w:rFonts w:ascii="Arial" w:cs="Arial" w:eastAsia="Arial" w:hAnsi="Arial"/>
                <w:sz w:val="16"/>
                <w:szCs w:val="16"/>
                <w:color w:val="auto"/>
              </w:rPr>
              <w:t>Adjusted Non-GAAP diluted EPS</w:t>
            </w:r>
          </w:p>
        </w:tc>
        <w:tc>
          <w:tcPr>
            <w:tcW w:w="1120" w:type="dxa"/>
            <w:vAlign w:val="bottom"/>
            <w:shd w:val="clear" w:color="auto" w:fill="E8F0F8"/>
          </w:tcPr>
          <w:p>
            <w:pPr>
              <w:jc w:val="right"/>
              <w:ind w:right="24"/>
              <w:spacing w:after="0"/>
              <w:rPr>
                <w:sz w:val="20"/>
                <w:szCs w:val="20"/>
                <w:color w:val="auto"/>
              </w:rPr>
            </w:pPr>
            <w:r>
              <w:rPr>
                <w:rFonts w:ascii="Arial" w:cs="Arial" w:eastAsia="Arial" w:hAnsi="Arial"/>
                <w:sz w:val="16"/>
                <w:szCs w:val="16"/>
                <w:color w:val="auto"/>
              </w:rPr>
              <w:t>2019-2021</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0F8"/>
          </w:tcPr>
          <w:p>
            <w:pPr>
              <w:jc w:val="right"/>
              <w:ind w:right="141"/>
              <w:spacing w:after="0"/>
              <w:rPr>
                <w:sz w:val="20"/>
                <w:szCs w:val="20"/>
                <w:color w:val="auto"/>
              </w:rPr>
            </w:pPr>
            <w:r>
              <w:rPr>
                <w:rFonts w:ascii="Arial" w:cs="Arial" w:eastAsia="Arial" w:hAnsi="Arial"/>
                <w:sz w:val="16"/>
                <w:szCs w:val="16"/>
                <w:color w:val="auto"/>
              </w:rPr>
              <w:t>29.77</w:t>
            </w:r>
          </w:p>
        </w:tc>
        <w:tc>
          <w:tcPr>
            <w:tcW w:w="112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  31.55</w:t>
            </w:r>
          </w:p>
        </w:tc>
        <w:tc>
          <w:tcPr>
            <w:tcW w:w="1460" w:type="dxa"/>
            <w:vAlign w:val="bottom"/>
            <w:shd w:val="clear" w:color="auto" w:fill="E8F0F8"/>
          </w:tcPr>
          <w:p>
            <w:pPr>
              <w:ind w:left="220"/>
              <w:spacing w:after="0"/>
              <w:rPr>
                <w:sz w:val="20"/>
                <w:szCs w:val="20"/>
                <w:color w:val="auto"/>
              </w:rPr>
            </w:pPr>
            <w:r>
              <w:rPr>
                <w:rFonts w:ascii="Arial" w:cs="Arial" w:eastAsia="Arial" w:hAnsi="Arial"/>
                <w:sz w:val="16"/>
                <w:szCs w:val="16"/>
                <w:color w:val="auto"/>
              </w:rPr>
              <w:t>$   33.13</w:t>
            </w:r>
          </w:p>
        </w:tc>
        <w:tc>
          <w:tcPr>
            <w:tcW w:w="1240" w:type="dxa"/>
            <w:vAlign w:val="bottom"/>
            <w:shd w:val="clear" w:color="auto" w:fill="E8F0F8"/>
          </w:tcPr>
          <w:p>
            <w:pPr>
              <w:jc w:val="right"/>
              <w:ind w:right="45"/>
              <w:spacing w:after="0" w:line="202" w:lineRule="exact"/>
              <w:rPr>
                <w:sz w:val="20"/>
                <w:szCs w:val="20"/>
                <w:color w:val="auto"/>
              </w:rPr>
            </w:pPr>
            <w:r>
              <w:rPr>
                <w:rFonts w:ascii="Arial" w:cs="Arial" w:eastAsia="Arial" w:hAnsi="Arial"/>
                <w:sz w:val="14"/>
                <w:szCs w:val="14"/>
                <w:color w:val="auto"/>
              </w:rPr>
              <w:t>$30.75</w:t>
            </w:r>
            <w:r>
              <w:rPr>
                <w:rFonts w:ascii="Arial" w:cs="Arial" w:eastAsia="Arial" w:hAnsi="Arial"/>
                <w:sz w:val="23"/>
                <w:szCs w:val="23"/>
                <w:color w:val="auto"/>
                <w:vertAlign w:val="superscript"/>
              </w:rPr>
              <w:t>(1)</w:t>
            </w:r>
          </w:p>
        </w:tc>
        <w:tc>
          <w:tcPr>
            <w:tcW w:w="840" w:type="dxa"/>
            <w:vAlign w:val="bottom"/>
            <w:gridSpan w:val="2"/>
            <w:shd w:val="clear" w:color="auto" w:fill="E8F0F8"/>
          </w:tcPr>
          <w:p>
            <w:pPr>
              <w:jc w:val="right"/>
              <w:ind w:right="120"/>
              <w:spacing w:after="0"/>
              <w:rPr>
                <w:sz w:val="20"/>
                <w:szCs w:val="20"/>
                <w:color w:val="auto"/>
              </w:rPr>
            </w:pPr>
            <w:r>
              <w:rPr>
                <w:rFonts w:ascii="Arial" w:cs="Arial" w:eastAsia="Arial" w:hAnsi="Arial"/>
                <w:sz w:val="16"/>
                <w:szCs w:val="16"/>
                <w:color w:val="auto"/>
              </w:rPr>
              <w:t>30%</w:t>
            </w:r>
          </w:p>
        </w:tc>
        <w:tc>
          <w:tcPr>
            <w:tcW w:w="8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175"/>
        </w:trPr>
        <w:tc>
          <w:tcPr>
            <w:tcW w:w="3180" w:type="dxa"/>
            <w:vAlign w:val="bottom"/>
            <w:shd w:val="clear" w:color="auto" w:fill="BAD3EA"/>
          </w:tcPr>
          <w:p>
            <w:pPr>
              <w:ind w:left="80"/>
              <w:spacing w:after="0" w:line="175" w:lineRule="exact"/>
              <w:rPr>
                <w:sz w:val="20"/>
                <w:szCs w:val="20"/>
                <w:color w:val="auto"/>
              </w:rPr>
            </w:pPr>
            <w:r>
              <w:rPr>
                <w:rFonts w:ascii="Arial" w:cs="Arial" w:eastAsia="Arial" w:hAnsi="Arial"/>
                <w:sz w:val="16"/>
                <w:szCs w:val="16"/>
                <w:color w:val="auto"/>
              </w:rPr>
              <w:t>Pipeline Milestone Performance</w:t>
            </w:r>
          </w:p>
        </w:tc>
        <w:tc>
          <w:tcPr>
            <w:tcW w:w="1120" w:type="dxa"/>
            <w:vAlign w:val="bottom"/>
            <w:shd w:val="clear" w:color="auto" w:fill="BAD3EA"/>
          </w:tcPr>
          <w:p>
            <w:pPr>
              <w:spacing w:after="0"/>
              <w:rPr>
                <w:sz w:val="15"/>
                <w:szCs w:val="15"/>
                <w:color w:val="auto"/>
              </w:rPr>
            </w:pPr>
          </w:p>
        </w:tc>
        <w:tc>
          <w:tcPr>
            <w:tcW w:w="300" w:type="dxa"/>
            <w:vAlign w:val="bottom"/>
            <w:shd w:val="clear" w:color="auto" w:fill="BAD3EA"/>
          </w:tcPr>
          <w:p>
            <w:pPr>
              <w:spacing w:after="0"/>
              <w:rPr>
                <w:sz w:val="15"/>
                <w:szCs w:val="15"/>
                <w:color w:val="auto"/>
              </w:rPr>
            </w:pPr>
          </w:p>
        </w:tc>
        <w:tc>
          <w:tcPr>
            <w:tcW w:w="3540" w:type="dxa"/>
            <w:vAlign w:val="bottom"/>
            <w:gridSpan w:val="3"/>
            <w:shd w:val="clear" w:color="auto" w:fill="BAD3EA"/>
          </w:tcPr>
          <w:p>
            <w:pPr>
              <w:jc w:val="center"/>
              <w:ind w:right="404"/>
              <w:spacing w:after="0" w:line="175" w:lineRule="exact"/>
              <w:rPr>
                <w:sz w:val="20"/>
                <w:szCs w:val="20"/>
                <w:color w:val="auto"/>
              </w:rPr>
            </w:pPr>
            <w:r>
              <w:rPr>
                <w:rFonts w:ascii="Arial" w:cs="Arial" w:eastAsia="Arial" w:hAnsi="Arial"/>
                <w:sz w:val="16"/>
                <w:szCs w:val="16"/>
                <w:color w:val="auto"/>
              </w:rPr>
              <w:t>Specific goals are not disclosed</w:t>
            </w:r>
          </w:p>
        </w:tc>
        <w:tc>
          <w:tcPr>
            <w:tcW w:w="1240" w:type="dxa"/>
            <w:vAlign w:val="bottom"/>
            <w:vMerge w:val="restart"/>
            <w:shd w:val="clear" w:color="auto" w:fill="BAD3EA"/>
          </w:tcPr>
          <w:p>
            <w:pPr>
              <w:jc w:val="center"/>
              <w:ind w:right="145"/>
              <w:spacing w:after="0"/>
              <w:rPr>
                <w:sz w:val="20"/>
                <w:szCs w:val="20"/>
                <w:color w:val="auto"/>
              </w:rPr>
            </w:pPr>
            <w:r>
              <w:rPr>
                <w:rFonts w:ascii="Arial" w:cs="Arial" w:eastAsia="Arial" w:hAnsi="Arial"/>
                <w:sz w:val="16"/>
                <w:szCs w:val="16"/>
                <w:color w:val="auto"/>
                <w:w w:val="96"/>
              </w:rPr>
              <w:t>Above Goal</w:t>
            </w:r>
            <w:r>
              <w:rPr>
                <w:rFonts w:ascii="Arial" w:cs="Arial" w:eastAsia="Arial" w:hAnsi="Arial"/>
                <w:sz w:val="27"/>
                <w:szCs w:val="27"/>
                <w:color w:val="auto"/>
                <w:w w:val="96"/>
                <w:vertAlign w:val="superscript"/>
              </w:rPr>
              <w:t>(2)</w:t>
            </w:r>
          </w:p>
        </w:tc>
        <w:tc>
          <w:tcPr>
            <w:tcW w:w="580" w:type="dxa"/>
            <w:vAlign w:val="bottom"/>
            <w:shd w:val="clear" w:color="auto" w:fill="BAD3EA"/>
          </w:tcPr>
          <w:p>
            <w:pPr>
              <w:spacing w:after="0"/>
              <w:rPr>
                <w:sz w:val="15"/>
                <w:szCs w:val="15"/>
                <w:color w:val="auto"/>
              </w:rPr>
            </w:pPr>
          </w:p>
        </w:tc>
        <w:tc>
          <w:tcPr>
            <w:tcW w:w="260" w:type="dxa"/>
            <w:vAlign w:val="bottom"/>
            <w:shd w:val="clear" w:color="auto" w:fill="BAD3EA"/>
          </w:tcPr>
          <w:p>
            <w:pPr>
              <w:spacing w:after="0"/>
              <w:rPr>
                <w:sz w:val="15"/>
                <w:szCs w:val="15"/>
                <w:color w:val="auto"/>
              </w:rPr>
            </w:pPr>
          </w:p>
        </w:tc>
        <w:tc>
          <w:tcPr>
            <w:tcW w:w="800" w:type="dxa"/>
            <w:vAlign w:val="bottom"/>
            <w:shd w:val="clear" w:color="auto" w:fill="BAD3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BAD3EA"/>
          </w:tcPr>
          <w:p>
            <w:pPr>
              <w:spacing w:after="0"/>
              <w:rPr>
                <w:sz w:val="17"/>
                <w:szCs w:val="17"/>
                <w:color w:val="auto"/>
              </w:rPr>
            </w:pPr>
          </w:p>
        </w:tc>
        <w:tc>
          <w:tcPr>
            <w:tcW w:w="1120" w:type="dxa"/>
            <w:vAlign w:val="bottom"/>
            <w:shd w:val="clear" w:color="auto" w:fill="BAD3EA"/>
          </w:tcPr>
          <w:p>
            <w:pPr>
              <w:jc w:val="right"/>
              <w:ind w:right="24"/>
              <w:spacing w:after="0"/>
              <w:rPr>
                <w:sz w:val="20"/>
                <w:szCs w:val="20"/>
                <w:color w:val="auto"/>
              </w:rPr>
            </w:pPr>
            <w:r>
              <w:rPr>
                <w:rFonts w:ascii="Arial" w:cs="Arial" w:eastAsia="Arial" w:hAnsi="Arial"/>
                <w:sz w:val="16"/>
                <w:szCs w:val="16"/>
                <w:color w:val="auto"/>
              </w:rPr>
              <w:t>2019-2021</w:t>
            </w:r>
          </w:p>
        </w:tc>
        <w:tc>
          <w:tcPr>
            <w:tcW w:w="300" w:type="dxa"/>
            <w:vAlign w:val="bottom"/>
            <w:shd w:val="clear" w:color="auto" w:fill="BAD3EA"/>
          </w:tcPr>
          <w:p>
            <w:pPr>
              <w:spacing w:after="0"/>
              <w:rPr>
                <w:sz w:val="17"/>
                <w:szCs w:val="17"/>
                <w:color w:val="auto"/>
              </w:rPr>
            </w:pPr>
          </w:p>
        </w:tc>
        <w:tc>
          <w:tcPr>
            <w:tcW w:w="3540" w:type="dxa"/>
            <w:vAlign w:val="bottom"/>
            <w:gridSpan w:val="3"/>
            <w:shd w:val="clear" w:color="auto" w:fill="BAD3EA"/>
          </w:tcPr>
          <w:p>
            <w:pPr>
              <w:jc w:val="center"/>
              <w:ind w:right="424"/>
              <w:spacing w:after="0"/>
              <w:rPr>
                <w:sz w:val="20"/>
                <w:szCs w:val="20"/>
                <w:color w:val="auto"/>
              </w:rPr>
            </w:pPr>
            <w:r>
              <w:rPr>
                <w:rFonts w:ascii="Arial" w:cs="Arial" w:eastAsia="Arial" w:hAnsi="Arial"/>
                <w:sz w:val="16"/>
                <w:szCs w:val="16"/>
                <w:color w:val="auto"/>
              </w:rPr>
              <w:t>for competitive reasons</w:t>
            </w:r>
          </w:p>
        </w:tc>
        <w:tc>
          <w:tcPr>
            <w:tcW w:w="1240" w:type="dxa"/>
            <w:vAlign w:val="bottom"/>
            <w:vMerge w:val="continue"/>
            <w:shd w:val="clear" w:color="auto" w:fill="BAD3EA"/>
          </w:tcPr>
          <w:p>
            <w:pPr>
              <w:spacing w:after="0"/>
              <w:rPr>
                <w:sz w:val="17"/>
                <w:szCs w:val="17"/>
                <w:color w:val="auto"/>
              </w:rPr>
            </w:pPr>
          </w:p>
        </w:tc>
        <w:tc>
          <w:tcPr>
            <w:tcW w:w="840" w:type="dxa"/>
            <w:vAlign w:val="bottom"/>
            <w:gridSpan w:val="2"/>
            <w:shd w:val="clear" w:color="auto" w:fill="BAD3EA"/>
          </w:tcPr>
          <w:p>
            <w:pPr>
              <w:jc w:val="right"/>
              <w:ind w:right="120"/>
              <w:spacing w:after="0"/>
              <w:rPr>
                <w:sz w:val="20"/>
                <w:szCs w:val="20"/>
                <w:color w:val="auto"/>
              </w:rPr>
            </w:pPr>
            <w:r>
              <w:rPr>
                <w:rFonts w:ascii="Arial" w:cs="Arial" w:eastAsia="Arial" w:hAnsi="Arial"/>
                <w:sz w:val="16"/>
                <w:szCs w:val="16"/>
                <w:color w:val="auto"/>
              </w:rPr>
              <w:t>30%</w:t>
            </w:r>
          </w:p>
        </w:tc>
        <w:tc>
          <w:tcPr>
            <w:tcW w:w="8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center"/>
              <w:ind w:left="624"/>
              <w:spacing w:after="0"/>
              <w:rPr>
                <w:sz w:val="20"/>
                <w:szCs w:val="20"/>
                <w:color w:val="auto"/>
              </w:rPr>
            </w:pPr>
            <w:r>
              <w:rPr>
                <w:rFonts w:ascii="Arial" w:cs="Arial" w:eastAsia="Arial" w:hAnsi="Arial"/>
                <w:sz w:val="16"/>
                <w:szCs w:val="16"/>
                <w:b w:val="1"/>
                <w:bCs w:val="1"/>
                <w:color w:val="auto"/>
              </w:rPr>
              <w:t>2019 Stock-Settled PSU Multiplier</w:t>
            </w:r>
          </w:p>
        </w:tc>
        <w:tc>
          <w:tcPr>
            <w:tcW w:w="260" w:type="dxa"/>
            <w:vAlign w:val="bottom"/>
            <w:tcBorders>
              <w:bottom w:val="single" w:sz="8" w:color="auto"/>
            </w:tcBorders>
            <w:shd w:val="clear" w:color="auto" w:fill="BAD3EA"/>
          </w:tcPr>
          <w:p>
            <w:pPr>
              <w:spacing w:after="0"/>
              <w:rPr>
                <w:sz w:val="16"/>
                <w:szCs w:val="16"/>
                <w:color w:val="auto"/>
              </w:rPr>
            </w:pPr>
          </w:p>
        </w:tc>
        <w:tc>
          <w:tcPr>
            <w:tcW w:w="800" w:type="dxa"/>
            <w:vAlign w:val="bottom"/>
            <w:tcBorders>
              <w:bottom w:val="single" w:sz="8" w:color="auto"/>
            </w:tcBorders>
            <w:shd w:val="clear" w:color="auto" w:fill="BAD3EA"/>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-367665</wp:posOffset>
            </wp:positionV>
            <wp:extent cx="6326505" cy="3600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326505" cy="36004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-496570</wp:posOffset>
            </wp:positionV>
            <wp:extent cx="49720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i w:val="1"/>
          <w:iCs w:val="1"/>
          <w:color w:val="auto"/>
        </w:rPr>
        <w:t>Notes to the 2019 Stock-Settled PSUs Table</w:t>
      </w:r>
    </w:p>
    <w:p>
      <w:pPr>
        <w:spacing w:after="0" w:line="113" w:lineRule="exact"/>
        <w:rPr>
          <w:sz w:val="20"/>
          <w:szCs w:val="20"/>
          <w:color w:val="auto"/>
        </w:rPr>
      </w:pPr>
    </w:p>
    <w:p>
      <w:pPr>
        <w:ind w:left="440" w:right="80" w:hanging="324"/>
        <w:spacing w:after="0" w:line="256" w:lineRule="auto"/>
        <w:tabs>
          <w:tab w:leader="none" w:pos="4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These financial measures were based on our publicly announced Non-GAAP diluted EPS of $19.13, as adjusted as follows: the addition of $5.44 to exclude the impact of business development transactions, $8.29 to exclude the adverse impact of multiple TECFIDERA generic entrants that entered the U.S. market in 2020 and $2.58 to exclude the impact from ADUHELM, partially offset by the subtraction of $4.69 to exclude the impact of share repurchases. These items were either not originally contemplated or their magnitude or timing was uncertain at the time the Company performance goals were originally established.</w:t>
      </w:r>
    </w:p>
    <w:p>
      <w:pPr>
        <w:spacing w:after="0" w:line="82" w:lineRule="exact"/>
        <w:rPr>
          <w:rFonts w:ascii="Arial" w:cs="Arial" w:eastAsia="Arial" w:hAnsi="Arial"/>
          <w:sz w:val="14"/>
          <w:szCs w:val="14"/>
          <w:color w:val="auto"/>
        </w:rPr>
      </w:pPr>
    </w:p>
    <w:p>
      <w:pPr>
        <w:ind w:left="440" w:right="40" w:hanging="324"/>
        <w:spacing w:after="0" w:line="263" w:lineRule="auto"/>
        <w:tabs>
          <w:tab w:leader="none" w:pos="4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Company continued to expand and re-shape its pipeline of pre-clinical and clinical stage programs through the advancement of internal programs, external business development activities, and exceeding expectations with respect to the level of confidence and momentum of its clinical stage portfolio. Specific details are not disclosed for competitive reasons.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2019 Cash-Settled PSUs</w:t>
      </w:r>
    </w:p>
    <w:p>
      <w:pPr>
        <w:spacing w:after="0" w:line="260" w:lineRule="exact"/>
        <w:rPr>
          <w:sz w:val="20"/>
          <w:szCs w:val="20"/>
          <w:color w:val="auto"/>
        </w:rPr>
      </w:pPr>
    </w:p>
    <w:tbl>
      <w:tblPr>
        <w:tblLayout w:type="fixed"/>
        <w:tblInd w:w="130" w:type="dxa"/>
        <w:tblCellMar>
          <w:top w:w="0" w:type="dxa"/>
          <w:left w:w="0" w:type="dxa"/>
          <w:bottom w:w="0" w:type="dxa"/>
          <w:right w:w="0" w:type="dxa"/>
        </w:tblCellMar>
      </w:tblPr>
      <w:tr>
        <w:trPr>
          <w:trHeight w:val="175"/>
        </w:trPr>
        <w:tc>
          <w:tcPr>
            <w:tcW w:w="280" w:type="dxa"/>
            <w:vAlign w:val="bottom"/>
            <w:tcBorders>
              <w:left w:val="single" w:sz="8" w:color="1A6DBB"/>
              <w:right w:val="single" w:sz="8" w:color="1A6DBB"/>
            </w:tcBorders>
            <w:shd w:val="clear" w:color="auto" w:fill="1A6DBB"/>
          </w:tcPr>
          <w:p>
            <w:pPr>
              <w:spacing w:after="0"/>
              <w:rPr>
                <w:sz w:val="15"/>
                <w:szCs w:val="15"/>
                <w:color w:val="auto"/>
              </w:rPr>
            </w:pPr>
          </w:p>
        </w:tc>
        <w:tc>
          <w:tcPr>
            <w:tcW w:w="2520" w:type="dxa"/>
            <w:vAlign w:val="bottom"/>
            <w:shd w:val="clear" w:color="auto" w:fill="1A6DBB"/>
          </w:tcPr>
          <w:p>
            <w:pPr>
              <w:spacing w:after="0"/>
              <w:rPr>
                <w:sz w:val="15"/>
                <w:szCs w:val="15"/>
                <w:color w:val="auto"/>
              </w:rPr>
            </w:pPr>
          </w:p>
        </w:tc>
        <w:tc>
          <w:tcPr>
            <w:tcW w:w="1160" w:type="dxa"/>
            <w:vAlign w:val="bottom"/>
            <w:vMerge w:val="restart"/>
            <w:shd w:val="clear" w:color="auto" w:fill="1A6DBB"/>
          </w:tcPr>
          <w:p>
            <w:pPr>
              <w:jc w:val="right"/>
              <w:spacing w:after="0"/>
              <w:rPr>
                <w:sz w:val="20"/>
                <w:szCs w:val="20"/>
                <w:color w:val="auto"/>
              </w:rPr>
            </w:pPr>
            <w:r>
              <w:rPr>
                <w:rFonts w:ascii="Arial" w:cs="Arial" w:eastAsia="Arial" w:hAnsi="Arial"/>
                <w:sz w:val="14"/>
                <w:szCs w:val="14"/>
                <w:color w:val="FFFFFF"/>
              </w:rPr>
              <w:t>Performance</w:t>
            </w:r>
          </w:p>
        </w:tc>
        <w:tc>
          <w:tcPr>
            <w:tcW w:w="440" w:type="dxa"/>
            <w:vAlign w:val="bottom"/>
            <w:shd w:val="clear" w:color="auto" w:fill="1A6DBB"/>
          </w:tcPr>
          <w:p>
            <w:pPr>
              <w:spacing w:after="0"/>
              <w:rPr>
                <w:sz w:val="15"/>
                <w:szCs w:val="15"/>
                <w:color w:val="auto"/>
              </w:rPr>
            </w:pPr>
          </w:p>
        </w:tc>
        <w:tc>
          <w:tcPr>
            <w:tcW w:w="660" w:type="dxa"/>
            <w:vAlign w:val="bottom"/>
            <w:shd w:val="clear" w:color="auto" w:fill="1A6DBB"/>
          </w:tcPr>
          <w:p>
            <w:pPr>
              <w:spacing w:after="0"/>
              <w:rPr>
                <w:sz w:val="15"/>
                <w:szCs w:val="15"/>
                <w:color w:val="auto"/>
              </w:rPr>
            </w:pPr>
          </w:p>
        </w:tc>
        <w:tc>
          <w:tcPr>
            <w:tcW w:w="280" w:type="dxa"/>
            <w:vAlign w:val="bottom"/>
            <w:shd w:val="clear" w:color="auto" w:fill="1A6DBB"/>
          </w:tcPr>
          <w:p>
            <w:pPr>
              <w:spacing w:after="0"/>
              <w:rPr>
                <w:sz w:val="15"/>
                <w:szCs w:val="15"/>
                <w:color w:val="auto"/>
              </w:rPr>
            </w:pPr>
          </w:p>
        </w:tc>
        <w:tc>
          <w:tcPr>
            <w:tcW w:w="1120" w:type="dxa"/>
            <w:vAlign w:val="bottom"/>
            <w:shd w:val="clear" w:color="auto" w:fill="1A6DBB"/>
          </w:tcPr>
          <w:p>
            <w:pPr>
              <w:spacing w:after="0"/>
              <w:rPr>
                <w:sz w:val="15"/>
                <w:szCs w:val="15"/>
                <w:color w:val="auto"/>
              </w:rPr>
            </w:pPr>
          </w:p>
        </w:tc>
        <w:tc>
          <w:tcPr>
            <w:tcW w:w="1460" w:type="dxa"/>
            <w:vAlign w:val="bottom"/>
            <w:gridSpan w:val="2"/>
            <w:shd w:val="clear" w:color="auto" w:fill="1A6DBB"/>
          </w:tcPr>
          <w:p>
            <w:pPr>
              <w:jc w:val="right"/>
              <w:ind w:right="80"/>
              <w:spacing w:after="0"/>
              <w:rPr>
                <w:sz w:val="20"/>
                <w:szCs w:val="20"/>
                <w:color w:val="auto"/>
              </w:rPr>
            </w:pPr>
            <w:r>
              <w:rPr>
                <w:rFonts w:ascii="Arial" w:cs="Arial" w:eastAsia="Arial" w:hAnsi="Arial"/>
                <w:sz w:val="14"/>
                <w:szCs w:val="14"/>
                <w:color w:val="FFFFFF"/>
              </w:rPr>
              <w:t>Performance Target</w:t>
            </w:r>
          </w:p>
        </w:tc>
        <w:tc>
          <w:tcPr>
            <w:tcW w:w="1240" w:type="dxa"/>
            <w:vAlign w:val="bottom"/>
            <w:shd w:val="clear" w:color="auto" w:fill="1A6DBB"/>
          </w:tcPr>
          <w:p>
            <w:pPr>
              <w:spacing w:after="0"/>
              <w:rPr>
                <w:sz w:val="15"/>
                <w:szCs w:val="15"/>
                <w:color w:val="auto"/>
              </w:rPr>
            </w:pPr>
          </w:p>
        </w:tc>
        <w:tc>
          <w:tcPr>
            <w:tcW w:w="780" w:type="dxa"/>
            <w:vAlign w:val="bottom"/>
            <w:shd w:val="clear" w:color="auto" w:fill="1A6DBB"/>
          </w:tcPr>
          <w:p>
            <w:pPr>
              <w:spacing w:after="0"/>
              <w:rPr>
                <w:sz w:val="15"/>
                <w:szCs w:val="15"/>
                <w:color w:val="auto"/>
              </w:rPr>
            </w:pPr>
          </w:p>
        </w:tc>
        <w:tc>
          <w:tcPr>
            <w:tcW w:w="1080" w:type="dxa"/>
            <w:vAlign w:val="bottom"/>
            <w:shd w:val="clear" w:color="auto" w:fill="1A6DBB"/>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0" w:type="dxa"/>
            <w:vAlign w:val="bottom"/>
            <w:tcBorders>
              <w:left w:val="single" w:sz="8" w:color="1A6DBB"/>
              <w:right w:val="single" w:sz="8" w:color="1A6DBB"/>
            </w:tcBorders>
            <w:shd w:val="clear" w:color="auto" w:fill="1A6DBB"/>
          </w:tcPr>
          <w:p>
            <w:pPr>
              <w:spacing w:after="0"/>
              <w:rPr>
                <w:sz w:val="14"/>
                <w:szCs w:val="14"/>
                <w:color w:val="auto"/>
              </w:rPr>
            </w:pPr>
          </w:p>
        </w:tc>
        <w:tc>
          <w:tcPr>
            <w:tcW w:w="2520" w:type="dxa"/>
            <w:vAlign w:val="bottom"/>
            <w:shd w:val="clear" w:color="auto" w:fill="1A6DBB"/>
          </w:tcPr>
          <w:p>
            <w:pPr>
              <w:spacing w:after="0"/>
              <w:rPr>
                <w:sz w:val="14"/>
                <w:szCs w:val="14"/>
                <w:color w:val="auto"/>
              </w:rPr>
            </w:pPr>
          </w:p>
        </w:tc>
        <w:tc>
          <w:tcPr>
            <w:tcW w:w="1160" w:type="dxa"/>
            <w:vAlign w:val="bottom"/>
            <w:vMerge w:val="continue"/>
            <w:shd w:val="clear" w:color="auto" w:fill="1A6DBB"/>
          </w:tcPr>
          <w:p>
            <w:pPr>
              <w:spacing w:after="0"/>
              <w:rPr>
                <w:sz w:val="14"/>
                <w:szCs w:val="14"/>
                <w:color w:val="auto"/>
              </w:rPr>
            </w:pPr>
          </w:p>
        </w:tc>
        <w:tc>
          <w:tcPr>
            <w:tcW w:w="440" w:type="dxa"/>
            <w:vAlign w:val="bottom"/>
            <w:shd w:val="clear" w:color="auto" w:fill="1A6DBB"/>
          </w:tcPr>
          <w:p>
            <w:pPr>
              <w:spacing w:after="0"/>
              <w:rPr>
                <w:sz w:val="14"/>
                <w:szCs w:val="14"/>
                <w:color w:val="auto"/>
              </w:rPr>
            </w:pPr>
          </w:p>
        </w:tc>
        <w:tc>
          <w:tcPr>
            <w:tcW w:w="660" w:type="dxa"/>
            <w:vAlign w:val="bottom"/>
            <w:shd w:val="clear" w:color="auto" w:fill="1A6DBB"/>
          </w:tcPr>
          <w:p>
            <w:pPr>
              <w:spacing w:after="0"/>
              <w:rPr>
                <w:sz w:val="14"/>
                <w:szCs w:val="14"/>
                <w:color w:val="auto"/>
              </w:rPr>
            </w:pPr>
          </w:p>
        </w:tc>
        <w:tc>
          <w:tcPr>
            <w:tcW w:w="280" w:type="dxa"/>
            <w:vAlign w:val="bottom"/>
            <w:shd w:val="clear" w:color="auto" w:fill="1A6DBB"/>
          </w:tcPr>
          <w:p>
            <w:pPr>
              <w:spacing w:after="0"/>
              <w:rPr>
                <w:sz w:val="14"/>
                <w:szCs w:val="14"/>
                <w:color w:val="auto"/>
              </w:rPr>
            </w:pPr>
          </w:p>
        </w:tc>
        <w:tc>
          <w:tcPr>
            <w:tcW w:w="1120" w:type="dxa"/>
            <w:vAlign w:val="bottom"/>
            <w:shd w:val="clear" w:color="auto" w:fill="1A6DBB"/>
          </w:tcPr>
          <w:p>
            <w:pPr>
              <w:spacing w:after="0"/>
              <w:rPr>
                <w:sz w:val="14"/>
                <w:szCs w:val="14"/>
                <w:color w:val="auto"/>
              </w:rPr>
            </w:pPr>
          </w:p>
        </w:tc>
        <w:tc>
          <w:tcPr>
            <w:tcW w:w="380" w:type="dxa"/>
            <w:vAlign w:val="bottom"/>
            <w:shd w:val="clear" w:color="auto" w:fill="1A6DBB"/>
          </w:tcPr>
          <w:p>
            <w:pPr>
              <w:spacing w:after="0"/>
              <w:rPr>
                <w:sz w:val="14"/>
                <w:szCs w:val="14"/>
                <w:color w:val="auto"/>
              </w:rPr>
            </w:pPr>
          </w:p>
        </w:tc>
        <w:tc>
          <w:tcPr>
            <w:tcW w:w="1080" w:type="dxa"/>
            <w:vAlign w:val="bottom"/>
            <w:shd w:val="clear" w:color="auto" w:fill="1A6DBB"/>
          </w:tcPr>
          <w:p>
            <w:pPr>
              <w:spacing w:after="0"/>
              <w:rPr>
                <w:sz w:val="14"/>
                <w:szCs w:val="14"/>
                <w:color w:val="auto"/>
              </w:rPr>
            </w:pPr>
          </w:p>
        </w:tc>
        <w:tc>
          <w:tcPr>
            <w:tcW w:w="1240" w:type="dxa"/>
            <w:vAlign w:val="bottom"/>
            <w:shd w:val="clear" w:color="auto" w:fill="1A6DBB"/>
          </w:tcPr>
          <w:p>
            <w:pPr>
              <w:spacing w:after="0"/>
              <w:rPr>
                <w:sz w:val="14"/>
                <w:szCs w:val="14"/>
                <w:color w:val="auto"/>
              </w:rPr>
            </w:pPr>
          </w:p>
        </w:tc>
        <w:tc>
          <w:tcPr>
            <w:tcW w:w="780" w:type="dxa"/>
            <w:vAlign w:val="bottom"/>
            <w:shd w:val="clear" w:color="auto" w:fill="1A6DBB"/>
          </w:tcPr>
          <w:p>
            <w:pPr>
              <w:spacing w:after="0"/>
              <w:rPr>
                <w:sz w:val="14"/>
                <w:szCs w:val="14"/>
                <w:color w:val="auto"/>
              </w:rPr>
            </w:pPr>
          </w:p>
        </w:tc>
        <w:tc>
          <w:tcPr>
            <w:tcW w:w="108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Borders>
              <w:left w:val="single" w:sz="8" w:color="1A6DBB"/>
            </w:tcBorders>
            <w:gridSpan w:val="2"/>
            <w:shd w:val="clear" w:color="auto" w:fill="1A6DBB"/>
          </w:tcPr>
          <w:p>
            <w:pPr>
              <w:ind w:left="80"/>
              <w:spacing w:after="0"/>
              <w:rPr>
                <w:sz w:val="20"/>
                <w:szCs w:val="20"/>
                <w:color w:val="auto"/>
              </w:rPr>
            </w:pPr>
            <w:r>
              <w:rPr>
                <w:rFonts w:ascii="Arial" w:cs="Arial" w:eastAsia="Arial" w:hAnsi="Arial"/>
                <w:sz w:val="14"/>
                <w:szCs w:val="14"/>
                <w:color w:val="FFFFFF"/>
              </w:rPr>
              <w:t>Performance Metrics</w:t>
            </w:r>
          </w:p>
        </w:tc>
        <w:tc>
          <w:tcPr>
            <w:tcW w:w="1160" w:type="dxa"/>
            <w:vAlign w:val="bottom"/>
            <w:shd w:val="clear" w:color="auto" w:fill="1A6DBB"/>
          </w:tcPr>
          <w:p>
            <w:pPr>
              <w:jc w:val="right"/>
              <w:ind w:right="181"/>
              <w:spacing w:after="0"/>
              <w:rPr>
                <w:sz w:val="20"/>
                <w:szCs w:val="20"/>
                <w:color w:val="auto"/>
              </w:rPr>
            </w:pPr>
            <w:r>
              <w:rPr>
                <w:rFonts w:ascii="Arial" w:cs="Arial" w:eastAsia="Arial" w:hAnsi="Arial"/>
                <w:sz w:val="14"/>
                <w:szCs w:val="14"/>
                <w:color w:val="FFFFFF"/>
              </w:rPr>
              <w:t>Period</w:t>
            </w:r>
          </w:p>
        </w:tc>
        <w:tc>
          <w:tcPr>
            <w:tcW w:w="1100" w:type="dxa"/>
            <w:vAlign w:val="bottom"/>
            <w:gridSpan w:val="2"/>
            <w:shd w:val="clear" w:color="auto" w:fill="1A6DBB"/>
          </w:tcPr>
          <w:p>
            <w:pPr>
              <w:ind w:left="300"/>
              <w:spacing w:after="0"/>
              <w:rPr>
                <w:sz w:val="20"/>
                <w:szCs w:val="20"/>
                <w:color w:val="auto"/>
              </w:rPr>
            </w:pPr>
            <w:r>
              <w:rPr>
                <w:rFonts w:ascii="Arial" w:cs="Arial" w:eastAsia="Arial" w:hAnsi="Arial"/>
                <w:sz w:val="14"/>
                <w:szCs w:val="14"/>
                <w:color w:val="FFFFFF"/>
              </w:rPr>
              <w:t>Threshold</w:t>
            </w:r>
          </w:p>
        </w:tc>
        <w:tc>
          <w:tcPr>
            <w:tcW w:w="280" w:type="dxa"/>
            <w:vAlign w:val="bottom"/>
            <w:shd w:val="clear" w:color="auto" w:fill="1A6DBB"/>
          </w:tcPr>
          <w:p>
            <w:pPr>
              <w:spacing w:after="0"/>
              <w:rPr>
                <w:sz w:val="14"/>
                <w:szCs w:val="14"/>
                <w:color w:val="auto"/>
              </w:rPr>
            </w:pPr>
          </w:p>
        </w:tc>
        <w:tc>
          <w:tcPr>
            <w:tcW w:w="1120" w:type="dxa"/>
            <w:vAlign w:val="bottom"/>
            <w:shd w:val="clear" w:color="auto" w:fill="1A6DBB"/>
          </w:tcPr>
          <w:p>
            <w:pPr>
              <w:jc w:val="right"/>
              <w:ind w:right="360"/>
              <w:spacing w:after="0"/>
              <w:rPr>
                <w:sz w:val="20"/>
                <w:szCs w:val="20"/>
                <w:color w:val="auto"/>
              </w:rPr>
            </w:pPr>
            <w:r>
              <w:rPr>
                <w:rFonts w:ascii="Arial" w:cs="Arial" w:eastAsia="Arial" w:hAnsi="Arial"/>
                <w:sz w:val="14"/>
                <w:szCs w:val="14"/>
                <w:color w:val="FFFFFF"/>
              </w:rPr>
              <w:t>Target</w:t>
            </w:r>
          </w:p>
        </w:tc>
        <w:tc>
          <w:tcPr>
            <w:tcW w:w="380" w:type="dxa"/>
            <w:vAlign w:val="bottom"/>
            <w:shd w:val="clear" w:color="auto" w:fill="1A6DBB"/>
          </w:tcPr>
          <w:p>
            <w:pPr>
              <w:spacing w:after="0"/>
              <w:rPr>
                <w:sz w:val="14"/>
                <w:szCs w:val="14"/>
                <w:color w:val="auto"/>
              </w:rPr>
            </w:pPr>
          </w:p>
        </w:tc>
        <w:tc>
          <w:tcPr>
            <w:tcW w:w="1080" w:type="dxa"/>
            <w:vAlign w:val="bottom"/>
            <w:shd w:val="clear" w:color="auto" w:fill="1A6DBB"/>
          </w:tcPr>
          <w:p>
            <w:pPr>
              <w:jc w:val="right"/>
              <w:ind w:right="700"/>
              <w:spacing w:after="0"/>
              <w:rPr>
                <w:sz w:val="20"/>
                <w:szCs w:val="20"/>
                <w:color w:val="auto"/>
              </w:rPr>
            </w:pPr>
            <w:r>
              <w:rPr>
                <w:rFonts w:ascii="Arial" w:cs="Arial" w:eastAsia="Arial" w:hAnsi="Arial"/>
                <w:sz w:val="14"/>
                <w:szCs w:val="14"/>
                <w:color w:val="FFFFFF"/>
              </w:rPr>
              <w:t>Max</w:t>
            </w:r>
          </w:p>
        </w:tc>
        <w:tc>
          <w:tcPr>
            <w:tcW w:w="1240" w:type="dxa"/>
            <w:vAlign w:val="bottom"/>
            <w:shd w:val="clear" w:color="auto" w:fill="1A6DBB"/>
          </w:tcPr>
          <w:p>
            <w:pPr>
              <w:jc w:val="right"/>
              <w:ind w:right="532"/>
              <w:spacing w:after="0"/>
              <w:rPr>
                <w:sz w:val="20"/>
                <w:szCs w:val="20"/>
                <w:color w:val="auto"/>
              </w:rPr>
            </w:pPr>
            <w:r>
              <w:rPr>
                <w:rFonts w:ascii="Arial" w:cs="Arial" w:eastAsia="Arial" w:hAnsi="Arial"/>
                <w:sz w:val="14"/>
                <w:szCs w:val="14"/>
                <w:color w:val="FFFFFF"/>
              </w:rPr>
              <w:t>Results</w:t>
            </w:r>
          </w:p>
        </w:tc>
        <w:tc>
          <w:tcPr>
            <w:tcW w:w="780" w:type="dxa"/>
            <w:vAlign w:val="bottom"/>
            <w:shd w:val="clear" w:color="auto" w:fill="1A6DBB"/>
          </w:tcPr>
          <w:p>
            <w:pPr>
              <w:jc w:val="right"/>
              <w:ind w:right="120"/>
              <w:spacing w:after="0"/>
              <w:rPr>
                <w:sz w:val="20"/>
                <w:szCs w:val="20"/>
                <w:color w:val="auto"/>
              </w:rPr>
            </w:pPr>
            <w:r>
              <w:rPr>
                <w:rFonts w:ascii="Arial" w:cs="Arial" w:eastAsia="Arial" w:hAnsi="Arial"/>
                <w:sz w:val="14"/>
                <w:szCs w:val="14"/>
                <w:color w:val="FFFFFF"/>
              </w:rPr>
              <w:t>Weight</w:t>
            </w:r>
          </w:p>
        </w:tc>
        <w:tc>
          <w:tcPr>
            <w:tcW w:w="1080" w:type="dxa"/>
            <w:vAlign w:val="bottom"/>
            <w:shd w:val="clear" w:color="auto" w:fill="1A6DBB"/>
          </w:tcPr>
          <w:p>
            <w:pPr>
              <w:jc w:val="right"/>
              <w:ind w:right="363"/>
              <w:spacing w:after="0"/>
              <w:rPr>
                <w:sz w:val="20"/>
                <w:szCs w:val="20"/>
                <w:color w:val="auto"/>
              </w:rPr>
            </w:pPr>
            <w:r>
              <w:rPr>
                <w:rFonts w:ascii="Arial" w:cs="Arial" w:eastAsia="Arial" w:hAnsi="Arial"/>
                <w:sz w:val="14"/>
                <w:szCs w:val="14"/>
                <w:color w:val="FFFFFF"/>
              </w:rPr>
              <w:t>Multiplier</w:t>
            </w:r>
          </w:p>
        </w:tc>
        <w:tc>
          <w:tcPr>
            <w:tcW w:w="0" w:type="dxa"/>
            <w:vAlign w:val="bottom"/>
          </w:tcPr>
          <w:p>
            <w:pPr>
              <w:spacing w:after="0"/>
              <w:rPr>
                <w:sz w:val="1"/>
                <w:szCs w:val="1"/>
                <w:color w:val="auto"/>
              </w:rPr>
            </w:pPr>
          </w:p>
        </w:tc>
      </w:tr>
      <w:tr>
        <w:trPr>
          <w:trHeight w:val="203"/>
        </w:trPr>
        <w:tc>
          <w:tcPr>
            <w:tcW w:w="280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Adjusted Free Cash Flow</w:t>
            </w:r>
          </w:p>
        </w:tc>
        <w:tc>
          <w:tcPr>
            <w:tcW w:w="11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2019</w:t>
            </w:r>
          </w:p>
        </w:tc>
        <w:tc>
          <w:tcPr>
            <w:tcW w:w="440" w:type="dxa"/>
            <w:vAlign w:val="bottom"/>
            <w:shd w:val="clear" w:color="auto" w:fill="E8F0F8"/>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8F0F8"/>
          </w:tcPr>
          <w:p>
            <w:pPr>
              <w:jc w:val="right"/>
              <w:ind w:right="79"/>
              <w:spacing w:after="0"/>
              <w:rPr>
                <w:sz w:val="20"/>
                <w:szCs w:val="20"/>
                <w:color w:val="auto"/>
              </w:rPr>
            </w:pPr>
            <w:r>
              <w:rPr>
                <w:rFonts w:ascii="Arial" w:cs="Arial" w:eastAsia="Arial" w:hAnsi="Arial"/>
                <w:sz w:val="16"/>
                <w:szCs w:val="16"/>
                <w:color w:val="auto"/>
              </w:rPr>
              <w:t>4.9B</w:t>
            </w:r>
          </w:p>
        </w:tc>
        <w:tc>
          <w:tcPr>
            <w:tcW w:w="2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5.5B</w:t>
            </w:r>
          </w:p>
        </w:tc>
        <w:tc>
          <w:tcPr>
            <w:tcW w:w="3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8F0F8"/>
          </w:tcPr>
          <w:p>
            <w:pPr>
              <w:jc w:val="right"/>
              <w:ind w:right="560"/>
              <w:spacing w:after="0"/>
              <w:rPr>
                <w:sz w:val="20"/>
                <w:szCs w:val="20"/>
                <w:color w:val="auto"/>
              </w:rPr>
            </w:pPr>
            <w:r>
              <w:rPr>
                <w:rFonts w:ascii="Arial" w:cs="Arial" w:eastAsia="Arial" w:hAnsi="Arial"/>
                <w:sz w:val="16"/>
                <w:szCs w:val="16"/>
                <w:color w:val="auto"/>
              </w:rPr>
              <w:t>6.3B</w:t>
            </w:r>
          </w:p>
        </w:tc>
        <w:tc>
          <w:tcPr>
            <w:tcW w:w="1240" w:type="dxa"/>
            <w:vAlign w:val="bottom"/>
            <w:shd w:val="clear" w:color="auto" w:fill="E8F0F8"/>
          </w:tcPr>
          <w:p>
            <w:pPr>
              <w:jc w:val="right"/>
              <w:ind w:right="72"/>
              <w:spacing w:after="0" w:line="202" w:lineRule="exact"/>
              <w:rPr>
                <w:sz w:val="20"/>
                <w:szCs w:val="20"/>
                <w:color w:val="auto"/>
              </w:rPr>
            </w:pPr>
            <w:r>
              <w:rPr>
                <w:rFonts w:ascii="Arial" w:cs="Arial" w:eastAsia="Arial" w:hAnsi="Arial"/>
                <w:sz w:val="14"/>
                <w:szCs w:val="14"/>
                <w:color w:val="auto"/>
              </w:rPr>
              <w:t>$6.0B</w:t>
            </w:r>
            <w:r>
              <w:rPr>
                <w:rFonts w:ascii="Arial" w:cs="Arial" w:eastAsia="Arial" w:hAnsi="Arial"/>
                <w:sz w:val="23"/>
                <w:szCs w:val="23"/>
                <w:color w:val="auto"/>
                <w:vertAlign w:val="superscript"/>
              </w:rPr>
              <w:t>(1)</w:t>
            </w:r>
          </w:p>
        </w:tc>
        <w:tc>
          <w:tcPr>
            <w:tcW w:w="7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28%</w:t>
            </w:r>
          </w:p>
        </w:tc>
        <w:tc>
          <w:tcPr>
            <w:tcW w:w="1080" w:type="dxa"/>
            <w:vAlign w:val="bottom"/>
            <w:shd w:val="clear" w:color="auto" w:fill="E8F0F8"/>
          </w:tcPr>
          <w:p>
            <w:pPr>
              <w:jc w:val="right"/>
              <w:ind w:right="223"/>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189"/>
        </w:trPr>
        <w:tc>
          <w:tcPr>
            <w:tcW w:w="280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Revenue</w:t>
            </w:r>
          </w:p>
        </w:tc>
        <w:tc>
          <w:tcPr>
            <w:tcW w:w="11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2019</w:t>
            </w:r>
          </w:p>
        </w:tc>
        <w:tc>
          <w:tcPr>
            <w:tcW w:w="440" w:type="dxa"/>
            <w:vAlign w:val="bottom"/>
            <w:shd w:val="clear" w:color="auto" w:fill="BAD3EA"/>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3EA"/>
          </w:tcPr>
          <w:p>
            <w:pPr>
              <w:jc w:val="right"/>
              <w:ind w:right="79"/>
              <w:spacing w:after="0"/>
              <w:rPr>
                <w:sz w:val="20"/>
                <w:szCs w:val="20"/>
                <w:color w:val="auto"/>
              </w:rPr>
            </w:pPr>
            <w:r>
              <w:rPr>
                <w:rFonts w:ascii="Arial" w:cs="Arial" w:eastAsia="Arial" w:hAnsi="Arial"/>
                <w:sz w:val="16"/>
                <w:szCs w:val="16"/>
                <w:color w:val="auto"/>
              </w:rPr>
              <w:t>13.0B</w:t>
            </w:r>
          </w:p>
        </w:tc>
        <w:tc>
          <w:tcPr>
            <w:tcW w:w="2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13.7B</w:t>
            </w:r>
          </w:p>
        </w:tc>
        <w:tc>
          <w:tcPr>
            <w:tcW w:w="3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BAD3EA"/>
          </w:tcPr>
          <w:p>
            <w:pPr>
              <w:jc w:val="right"/>
              <w:ind w:right="560"/>
              <w:spacing w:after="0"/>
              <w:rPr>
                <w:sz w:val="20"/>
                <w:szCs w:val="20"/>
                <w:color w:val="auto"/>
              </w:rPr>
            </w:pPr>
            <w:r>
              <w:rPr>
                <w:rFonts w:ascii="Arial" w:cs="Arial" w:eastAsia="Arial" w:hAnsi="Arial"/>
                <w:sz w:val="16"/>
                <w:szCs w:val="16"/>
                <w:color w:val="auto"/>
              </w:rPr>
              <w:t>14.6B</w:t>
            </w:r>
          </w:p>
        </w:tc>
        <w:tc>
          <w:tcPr>
            <w:tcW w:w="1240" w:type="dxa"/>
            <w:vAlign w:val="bottom"/>
            <w:shd w:val="clear" w:color="auto" w:fill="BAD3EA"/>
          </w:tcPr>
          <w:p>
            <w:pPr>
              <w:jc w:val="right"/>
              <w:ind w:right="72"/>
              <w:spacing w:after="0" w:line="189" w:lineRule="exact"/>
              <w:rPr>
                <w:sz w:val="20"/>
                <w:szCs w:val="20"/>
                <w:color w:val="auto"/>
              </w:rPr>
            </w:pPr>
            <w:r>
              <w:rPr>
                <w:rFonts w:ascii="Arial" w:cs="Arial" w:eastAsia="Arial" w:hAnsi="Arial"/>
                <w:sz w:val="13"/>
                <w:szCs w:val="13"/>
                <w:color w:val="auto"/>
              </w:rPr>
              <w:t>$14.4B</w:t>
            </w:r>
            <w:r>
              <w:rPr>
                <w:rFonts w:ascii="Arial" w:cs="Arial" w:eastAsia="Arial" w:hAnsi="Arial"/>
                <w:sz w:val="21"/>
                <w:szCs w:val="21"/>
                <w:color w:val="auto"/>
                <w:vertAlign w:val="superscript"/>
              </w:rPr>
              <w:t>(2)</w:t>
            </w:r>
          </w:p>
        </w:tc>
        <w:tc>
          <w:tcPr>
            <w:tcW w:w="7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12%</w:t>
            </w:r>
          </w:p>
        </w:tc>
        <w:tc>
          <w:tcPr>
            <w:tcW w:w="1080" w:type="dxa"/>
            <w:vAlign w:val="bottom"/>
            <w:shd w:val="clear" w:color="auto" w:fill="BAD3EA"/>
          </w:tcPr>
          <w:p>
            <w:pPr>
              <w:jc w:val="right"/>
              <w:ind w:right="223"/>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189"/>
        </w:trPr>
        <w:tc>
          <w:tcPr>
            <w:tcW w:w="280" w:type="dxa"/>
            <w:vAlign w:val="bottom"/>
            <w:tcBorders>
              <w:left w:val="single" w:sz="8" w:color="E8F0F8"/>
              <w:right w:val="single" w:sz="8" w:color="E8F0F8"/>
            </w:tcBorders>
            <w:shd w:val="clear" w:color="auto" w:fill="E8F0F8"/>
          </w:tcPr>
          <w:p>
            <w:pPr>
              <w:spacing w:after="0"/>
              <w:rPr>
                <w:sz w:val="16"/>
                <w:szCs w:val="16"/>
                <w:color w:val="auto"/>
              </w:rPr>
            </w:pPr>
          </w:p>
        </w:tc>
        <w:tc>
          <w:tcPr>
            <w:tcW w:w="2520" w:type="dxa"/>
            <w:vAlign w:val="bottom"/>
            <w:shd w:val="clear" w:color="auto" w:fill="E8F0F8"/>
          </w:tcPr>
          <w:p>
            <w:pPr>
              <w:spacing w:after="0"/>
              <w:rPr>
                <w:sz w:val="16"/>
                <w:szCs w:val="16"/>
                <w:color w:val="auto"/>
              </w:rPr>
            </w:pPr>
          </w:p>
        </w:tc>
        <w:tc>
          <w:tcPr>
            <w:tcW w:w="1160" w:type="dxa"/>
            <w:vAlign w:val="bottom"/>
            <w:shd w:val="clear" w:color="auto" w:fill="E8F0F8"/>
          </w:tcPr>
          <w:p>
            <w:pPr>
              <w:spacing w:after="0"/>
              <w:rPr>
                <w:sz w:val="16"/>
                <w:szCs w:val="16"/>
                <w:color w:val="auto"/>
              </w:rPr>
            </w:pPr>
          </w:p>
        </w:tc>
        <w:tc>
          <w:tcPr>
            <w:tcW w:w="440" w:type="dxa"/>
            <w:vAlign w:val="bottom"/>
            <w:shd w:val="clear" w:color="auto" w:fill="E8F0F8"/>
          </w:tcPr>
          <w:p>
            <w:pPr>
              <w:spacing w:after="0"/>
              <w:rPr>
                <w:sz w:val="16"/>
                <w:szCs w:val="16"/>
                <w:color w:val="auto"/>
              </w:rPr>
            </w:pPr>
          </w:p>
        </w:tc>
        <w:tc>
          <w:tcPr>
            <w:tcW w:w="660" w:type="dxa"/>
            <w:vAlign w:val="bottom"/>
            <w:shd w:val="clear" w:color="auto" w:fill="E8F0F8"/>
          </w:tcPr>
          <w:p>
            <w:pPr>
              <w:spacing w:after="0"/>
              <w:rPr>
                <w:sz w:val="16"/>
                <w:szCs w:val="16"/>
                <w:color w:val="auto"/>
              </w:rPr>
            </w:pPr>
          </w:p>
        </w:tc>
        <w:tc>
          <w:tcPr>
            <w:tcW w:w="280" w:type="dxa"/>
            <w:vAlign w:val="bottom"/>
            <w:shd w:val="clear" w:color="auto" w:fill="E8F0F8"/>
          </w:tcPr>
          <w:p>
            <w:pPr>
              <w:spacing w:after="0"/>
              <w:rPr>
                <w:sz w:val="16"/>
                <w:szCs w:val="16"/>
                <w:color w:val="auto"/>
              </w:rPr>
            </w:pPr>
          </w:p>
        </w:tc>
        <w:tc>
          <w:tcPr>
            <w:tcW w:w="4600" w:type="dxa"/>
            <w:vAlign w:val="bottom"/>
            <w:gridSpan w:val="5"/>
            <w:shd w:val="clear" w:color="auto" w:fill="E8F0F8"/>
          </w:tcPr>
          <w:p>
            <w:pPr>
              <w:jc w:val="right"/>
              <w:ind w:right="120"/>
              <w:spacing w:after="0"/>
              <w:rPr>
                <w:sz w:val="20"/>
                <w:szCs w:val="20"/>
                <w:color w:val="auto"/>
              </w:rPr>
            </w:pPr>
            <w:r>
              <w:rPr>
                <w:rFonts w:ascii="Arial" w:cs="Arial" w:eastAsia="Arial" w:hAnsi="Arial"/>
                <w:sz w:val="16"/>
                <w:szCs w:val="16"/>
                <w:b w:val="1"/>
                <w:bCs w:val="1"/>
                <w:color w:val="auto"/>
              </w:rPr>
              <w:t>2019 Tranche of 2019 Cash-Settled PSU Multiplier</w:t>
            </w:r>
          </w:p>
        </w:tc>
        <w:tc>
          <w:tcPr>
            <w:tcW w:w="1080" w:type="dxa"/>
            <w:vAlign w:val="bottom"/>
            <w:shd w:val="clear" w:color="auto" w:fill="E8F0F8"/>
          </w:tcPr>
          <w:p>
            <w:pPr>
              <w:jc w:val="right"/>
              <w:ind w:right="163"/>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189"/>
        </w:trPr>
        <w:tc>
          <w:tcPr>
            <w:tcW w:w="280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Adjusted Free Cash Flow</w:t>
            </w:r>
          </w:p>
        </w:tc>
        <w:tc>
          <w:tcPr>
            <w:tcW w:w="11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2020</w:t>
            </w:r>
          </w:p>
        </w:tc>
        <w:tc>
          <w:tcPr>
            <w:tcW w:w="440" w:type="dxa"/>
            <w:vAlign w:val="bottom"/>
            <w:shd w:val="clear" w:color="auto" w:fill="BAD3EA"/>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3EA"/>
          </w:tcPr>
          <w:p>
            <w:pPr>
              <w:jc w:val="right"/>
              <w:ind w:right="79"/>
              <w:spacing w:after="0"/>
              <w:rPr>
                <w:sz w:val="20"/>
                <w:szCs w:val="20"/>
                <w:color w:val="auto"/>
              </w:rPr>
            </w:pPr>
            <w:r>
              <w:rPr>
                <w:rFonts w:ascii="Arial" w:cs="Arial" w:eastAsia="Arial" w:hAnsi="Arial"/>
                <w:sz w:val="16"/>
                <w:szCs w:val="16"/>
                <w:color w:val="auto"/>
              </w:rPr>
              <w:t>5.7B</w:t>
            </w:r>
          </w:p>
        </w:tc>
        <w:tc>
          <w:tcPr>
            <w:tcW w:w="2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BAD3EA"/>
          </w:tcPr>
          <w:p>
            <w:pPr>
              <w:jc w:val="right"/>
              <w:spacing w:after="0"/>
              <w:rPr>
                <w:sz w:val="20"/>
                <w:szCs w:val="20"/>
                <w:color w:val="auto"/>
              </w:rPr>
            </w:pPr>
            <w:r>
              <w:rPr>
                <w:rFonts w:ascii="Arial" w:cs="Arial" w:eastAsia="Arial" w:hAnsi="Arial"/>
                <w:sz w:val="16"/>
                <w:szCs w:val="16"/>
                <w:color w:val="auto"/>
              </w:rPr>
              <w:t>6.3B</w:t>
            </w:r>
          </w:p>
        </w:tc>
        <w:tc>
          <w:tcPr>
            <w:tcW w:w="3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BAD3EA"/>
          </w:tcPr>
          <w:p>
            <w:pPr>
              <w:jc w:val="right"/>
              <w:ind w:right="560"/>
              <w:spacing w:after="0"/>
              <w:rPr>
                <w:sz w:val="20"/>
                <w:szCs w:val="20"/>
                <w:color w:val="auto"/>
              </w:rPr>
            </w:pPr>
            <w:r>
              <w:rPr>
                <w:rFonts w:ascii="Arial" w:cs="Arial" w:eastAsia="Arial" w:hAnsi="Arial"/>
                <w:sz w:val="16"/>
                <w:szCs w:val="16"/>
                <w:color w:val="auto"/>
              </w:rPr>
              <w:t>7.0B</w:t>
            </w:r>
          </w:p>
        </w:tc>
        <w:tc>
          <w:tcPr>
            <w:tcW w:w="1240" w:type="dxa"/>
            <w:vAlign w:val="bottom"/>
            <w:shd w:val="clear" w:color="auto" w:fill="BAD3EA"/>
          </w:tcPr>
          <w:p>
            <w:pPr>
              <w:jc w:val="right"/>
              <w:ind w:right="72"/>
              <w:spacing w:after="0" w:line="189" w:lineRule="exact"/>
              <w:rPr>
                <w:sz w:val="20"/>
                <w:szCs w:val="20"/>
                <w:color w:val="auto"/>
              </w:rPr>
            </w:pPr>
            <w:r>
              <w:rPr>
                <w:rFonts w:ascii="Arial" w:cs="Arial" w:eastAsia="Arial" w:hAnsi="Arial"/>
                <w:sz w:val="13"/>
                <w:szCs w:val="13"/>
                <w:color w:val="auto"/>
              </w:rPr>
              <w:t>$6.3B</w:t>
            </w:r>
            <w:r>
              <w:rPr>
                <w:rFonts w:ascii="Arial" w:cs="Arial" w:eastAsia="Arial" w:hAnsi="Arial"/>
                <w:sz w:val="21"/>
                <w:szCs w:val="21"/>
                <w:color w:val="auto"/>
                <w:vertAlign w:val="superscript"/>
              </w:rPr>
              <w:t>(3)</w:t>
            </w:r>
          </w:p>
        </w:tc>
        <w:tc>
          <w:tcPr>
            <w:tcW w:w="7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28%</w:t>
            </w:r>
          </w:p>
        </w:tc>
        <w:tc>
          <w:tcPr>
            <w:tcW w:w="1080" w:type="dxa"/>
            <w:vAlign w:val="bottom"/>
            <w:shd w:val="clear" w:color="auto" w:fill="BAD3EA"/>
          </w:tcPr>
          <w:p>
            <w:pPr>
              <w:jc w:val="right"/>
              <w:ind w:right="223"/>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189"/>
        </w:trPr>
        <w:tc>
          <w:tcPr>
            <w:tcW w:w="280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Revenue</w:t>
            </w:r>
          </w:p>
        </w:tc>
        <w:tc>
          <w:tcPr>
            <w:tcW w:w="11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2020</w:t>
            </w:r>
          </w:p>
        </w:tc>
        <w:tc>
          <w:tcPr>
            <w:tcW w:w="440" w:type="dxa"/>
            <w:vAlign w:val="bottom"/>
            <w:shd w:val="clear" w:color="auto" w:fill="E8F0F8"/>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8F0F8"/>
          </w:tcPr>
          <w:p>
            <w:pPr>
              <w:jc w:val="right"/>
              <w:ind w:right="79"/>
              <w:spacing w:after="0"/>
              <w:rPr>
                <w:sz w:val="20"/>
                <w:szCs w:val="20"/>
                <w:color w:val="auto"/>
              </w:rPr>
            </w:pPr>
            <w:r>
              <w:rPr>
                <w:rFonts w:ascii="Arial" w:cs="Arial" w:eastAsia="Arial" w:hAnsi="Arial"/>
                <w:sz w:val="16"/>
                <w:szCs w:val="16"/>
                <w:color w:val="auto"/>
              </w:rPr>
              <w:t>13.3B</w:t>
            </w:r>
          </w:p>
        </w:tc>
        <w:tc>
          <w:tcPr>
            <w:tcW w:w="2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14.1B</w:t>
            </w:r>
          </w:p>
        </w:tc>
        <w:tc>
          <w:tcPr>
            <w:tcW w:w="3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8F0F8"/>
          </w:tcPr>
          <w:p>
            <w:pPr>
              <w:jc w:val="right"/>
              <w:ind w:right="560"/>
              <w:spacing w:after="0"/>
              <w:rPr>
                <w:sz w:val="20"/>
                <w:szCs w:val="20"/>
                <w:color w:val="auto"/>
              </w:rPr>
            </w:pPr>
            <w:r>
              <w:rPr>
                <w:rFonts w:ascii="Arial" w:cs="Arial" w:eastAsia="Arial" w:hAnsi="Arial"/>
                <w:sz w:val="16"/>
                <w:szCs w:val="16"/>
                <w:color w:val="auto"/>
              </w:rPr>
              <w:t>15.0B</w:t>
            </w:r>
          </w:p>
        </w:tc>
        <w:tc>
          <w:tcPr>
            <w:tcW w:w="1240" w:type="dxa"/>
            <w:vAlign w:val="bottom"/>
            <w:shd w:val="clear" w:color="auto" w:fill="E8F0F8"/>
          </w:tcPr>
          <w:p>
            <w:pPr>
              <w:jc w:val="right"/>
              <w:ind w:right="72"/>
              <w:spacing w:after="0" w:line="189" w:lineRule="exact"/>
              <w:rPr>
                <w:sz w:val="20"/>
                <w:szCs w:val="20"/>
                <w:color w:val="auto"/>
              </w:rPr>
            </w:pPr>
            <w:r>
              <w:rPr>
                <w:rFonts w:ascii="Arial" w:cs="Arial" w:eastAsia="Arial" w:hAnsi="Arial"/>
                <w:sz w:val="13"/>
                <w:szCs w:val="13"/>
                <w:color w:val="auto"/>
              </w:rPr>
              <w:t>$13.9B</w:t>
            </w:r>
            <w:r>
              <w:rPr>
                <w:rFonts w:ascii="Arial" w:cs="Arial" w:eastAsia="Arial" w:hAnsi="Arial"/>
                <w:sz w:val="21"/>
                <w:szCs w:val="21"/>
                <w:color w:val="auto"/>
                <w:vertAlign w:val="superscript"/>
              </w:rPr>
              <w:t>(4)</w:t>
            </w:r>
          </w:p>
        </w:tc>
        <w:tc>
          <w:tcPr>
            <w:tcW w:w="7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12%</w:t>
            </w:r>
          </w:p>
        </w:tc>
        <w:tc>
          <w:tcPr>
            <w:tcW w:w="1080" w:type="dxa"/>
            <w:vAlign w:val="bottom"/>
            <w:shd w:val="clear" w:color="auto" w:fill="E8F0F8"/>
          </w:tcPr>
          <w:p>
            <w:pPr>
              <w:jc w:val="right"/>
              <w:ind w:right="223"/>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189"/>
        </w:trPr>
        <w:tc>
          <w:tcPr>
            <w:tcW w:w="280" w:type="dxa"/>
            <w:vAlign w:val="bottom"/>
            <w:tcBorders>
              <w:left w:val="single" w:sz="8" w:color="BAD3EA"/>
              <w:right w:val="single" w:sz="8" w:color="BAD3EA"/>
            </w:tcBorders>
            <w:shd w:val="clear" w:color="auto" w:fill="BAD3EA"/>
          </w:tcPr>
          <w:p>
            <w:pPr>
              <w:spacing w:after="0"/>
              <w:rPr>
                <w:sz w:val="16"/>
                <w:szCs w:val="16"/>
                <w:color w:val="auto"/>
              </w:rPr>
            </w:pPr>
          </w:p>
        </w:tc>
        <w:tc>
          <w:tcPr>
            <w:tcW w:w="2520" w:type="dxa"/>
            <w:vAlign w:val="bottom"/>
            <w:shd w:val="clear" w:color="auto" w:fill="BAD3EA"/>
          </w:tcPr>
          <w:p>
            <w:pPr>
              <w:spacing w:after="0"/>
              <w:rPr>
                <w:sz w:val="16"/>
                <w:szCs w:val="16"/>
                <w:color w:val="auto"/>
              </w:rPr>
            </w:pPr>
          </w:p>
        </w:tc>
        <w:tc>
          <w:tcPr>
            <w:tcW w:w="1160" w:type="dxa"/>
            <w:vAlign w:val="bottom"/>
            <w:shd w:val="clear" w:color="auto" w:fill="BAD3EA"/>
          </w:tcPr>
          <w:p>
            <w:pPr>
              <w:spacing w:after="0"/>
              <w:rPr>
                <w:sz w:val="16"/>
                <w:szCs w:val="16"/>
                <w:color w:val="auto"/>
              </w:rPr>
            </w:pPr>
          </w:p>
        </w:tc>
        <w:tc>
          <w:tcPr>
            <w:tcW w:w="440" w:type="dxa"/>
            <w:vAlign w:val="bottom"/>
            <w:shd w:val="clear" w:color="auto" w:fill="BAD3EA"/>
          </w:tcPr>
          <w:p>
            <w:pPr>
              <w:spacing w:after="0"/>
              <w:rPr>
                <w:sz w:val="16"/>
                <w:szCs w:val="16"/>
                <w:color w:val="auto"/>
              </w:rPr>
            </w:pPr>
          </w:p>
        </w:tc>
        <w:tc>
          <w:tcPr>
            <w:tcW w:w="660" w:type="dxa"/>
            <w:vAlign w:val="bottom"/>
            <w:shd w:val="clear" w:color="auto" w:fill="BAD3EA"/>
          </w:tcPr>
          <w:p>
            <w:pPr>
              <w:spacing w:after="0"/>
              <w:rPr>
                <w:sz w:val="16"/>
                <w:szCs w:val="16"/>
                <w:color w:val="auto"/>
              </w:rPr>
            </w:pPr>
          </w:p>
        </w:tc>
        <w:tc>
          <w:tcPr>
            <w:tcW w:w="280" w:type="dxa"/>
            <w:vAlign w:val="bottom"/>
            <w:shd w:val="clear" w:color="auto" w:fill="BAD3EA"/>
          </w:tcPr>
          <w:p>
            <w:pPr>
              <w:spacing w:after="0"/>
              <w:rPr>
                <w:sz w:val="16"/>
                <w:szCs w:val="16"/>
                <w:color w:val="auto"/>
              </w:rPr>
            </w:pPr>
          </w:p>
        </w:tc>
        <w:tc>
          <w:tcPr>
            <w:tcW w:w="4600" w:type="dxa"/>
            <w:vAlign w:val="bottom"/>
            <w:gridSpan w:val="5"/>
            <w:shd w:val="clear" w:color="auto" w:fill="BAD3EA"/>
          </w:tcPr>
          <w:p>
            <w:pPr>
              <w:jc w:val="right"/>
              <w:ind w:right="120"/>
              <w:spacing w:after="0"/>
              <w:rPr>
                <w:sz w:val="20"/>
                <w:szCs w:val="20"/>
                <w:color w:val="auto"/>
              </w:rPr>
            </w:pPr>
            <w:r>
              <w:rPr>
                <w:rFonts w:ascii="Arial" w:cs="Arial" w:eastAsia="Arial" w:hAnsi="Arial"/>
                <w:sz w:val="16"/>
                <w:szCs w:val="16"/>
                <w:b w:val="1"/>
                <w:bCs w:val="1"/>
                <w:color w:val="auto"/>
              </w:rPr>
              <w:t>2020 Tranche of 2019 Cash-Settled PSU Multiplier</w:t>
            </w:r>
          </w:p>
        </w:tc>
        <w:tc>
          <w:tcPr>
            <w:tcW w:w="1080" w:type="dxa"/>
            <w:vAlign w:val="bottom"/>
            <w:shd w:val="clear" w:color="auto" w:fill="BAD3EA"/>
          </w:tcPr>
          <w:p>
            <w:pPr>
              <w:jc w:val="right"/>
              <w:spacing w:after="0" w:line="189" w:lineRule="exact"/>
              <w:rPr>
                <w:sz w:val="20"/>
                <w:szCs w:val="20"/>
                <w:color w:val="auto"/>
              </w:rPr>
            </w:pPr>
            <w:r>
              <w:rPr>
                <w:rFonts w:ascii="Arial" w:cs="Arial" w:eastAsia="Arial" w:hAnsi="Arial"/>
                <w:sz w:val="13"/>
                <w:szCs w:val="13"/>
                <w:color w:val="auto"/>
              </w:rPr>
              <w:t>90.0%*</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189"/>
        </w:trPr>
        <w:tc>
          <w:tcPr>
            <w:tcW w:w="2800" w:type="dxa"/>
            <w:vAlign w:val="bottom"/>
            <w:tcBorders>
              <w:left w:val="single" w:sz="8" w:color="E8F0F8"/>
            </w:tcBorders>
            <w:gridSpan w:val="2"/>
            <w:shd w:val="clear" w:color="auto" w:fill="E8F0F8"/>
          </w:tcPr>
          <w:p>
            <w:pPr>
              <w:ind w:left="80"/>
              <w:spacing w:after="0"/>
              <w:rPr>
                <w:sz w:val="20"/>
                <w:szCs w:val="20"/>
                <w:color w:val="auto"/>
              </w:rPr>
            </w:pPr>
            <w:r>
              <w:rPr>
                <w:rFonts w:ascii="Arial" w:cs="Arial" w:eastAsia="Arial" w:hAnsi="Arial"/>
                <w:sz w:val="16"/>
                <w:szCs w:val="16"/>
                <w:color w:val="auto"/>
              </w:rPr>
              <w:t>Adjusted Free Cash Flow</w:t>
            </w:r>
          </w:p>
        </w:tc>
        <w:tc>
          <w:tcPr>
            <w:tcW w:w="11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2021</w:t>
            </w:r>
          </w:p>
        </w:tc>
        <w:tc>
          <w:tcPr>
            <w:tcW w:w="440" w:type="dxa"/>
            <w:vAlign w:val="bottom"/>
            <w:shd w:val="clear" w:color="auto" w:fill="E8F0F8"/>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8F0F8"/>
          </w:tcPr>
          <w:p>
            <w:pPr>
              <w:jc w:val="right"/>
              <w:ind w:right="79"/>
              <w:spacing w:after="0"/>
              <w:rPr>
                <w:sz w:val="20"/>
                <w:szCs w:val="20"/>
                <w:color w:val="auto"/>
              </w:rPr>
            </w:pPr>
            <w:r>
              <w:rPr>
                <w:rFonts w:ascii="Arial" w:cs="Arial" w:eastAsia="Arial" w:hAnsi="Arial"/>
                <w:sz w:val="16"/>
                <w:szCs w:val="16"/>
                <w:color w:val="auto"/>
              </w:rPr>
              <w:t>2.8B</w:t>
            </w:r>
          </w:p>
        </w:tc>
        <w:tc>
          <w:tcPr>
            <w:tcW w:w="2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8F0F8"/>
          </w:tcPr>
          <w:p>
            <w:pPr>
              <w:jc w:val="right"/>
              <w:spacing w:after="0"/>
              <w:rPr>
                <w:sz w:val="20"/>
                <w:szCs w:val="20"/>
                <w:color w:val="auto"/>
              </w:rPr>
            </w:pPr>
            <w:r>
              <w:rPr>
                <w:rFonts w:ascii="Arial" w:cs="Arial" w:eastAsia="Arial" w:hAnsi="Arial"/>
                <w:sz w:val="16"/>
                <w:szCs w:val="16"/>
                <w:color w:val="auto"/>
              </w:rPr>
              <w:t>3.1B</w:t>
            </w:r>
          </w:p>
        </w:tc>
        <w:tc>
          <w:tcPr>
            <w:tcW w:w="3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8F0F8"/>
          </w:tcPr>
          <w:p>
            <w:pPr>
              <w:jc w:val="right"/>
              <w:ind w:right="560"/>
              <w:spacing w:after="0"/>
              <w:rPr>
                <w:sz w:val="20"/>
                <w:szCs w:val="20"/>
                <w:color w:val="auto"/>
              </w:rPr>
            </w:pPr>
            <w:r>
              <w:rPr>
                <w:rFonts w:ascii="Arial" w:cs="Arial" w:eastAsia="Arial" w:hAnsi="Arial"/>
                <w:sz w:val="16"/>
                <w:szCs w:val="16"/>
                <w:color w:val="auto"/>
              </w:rPr>
              <w:t>3.4B</w:t>
            </w:r>
          </w:p>
        </w:tc>
        <w:tc>
          <w:tcPr>
            <w:tcW w:w="1240" w:type="dxa"/>
            <w:vAlign w:val="bottom"/>
            <w:shd w:val="clear" w:color="auto" w:fill="E8F0F8"/>
          </w:tcPr>
          <w:p>
            <w:pPr>
              <w:jc w:val="right"/>
              <w:ind w:right="72"/>
              <w:spacing w:after="0" w:line="189" w:lineRule="exact"/>
              <w:rPr>
                <w:sz w:val="20"/>
                <w:szCs w:val="20"/>
                <w:color w:val="auto"/>
              </w:rPr>
            </w:pPr>
            <w:r>
              <w:rPr>
                <w:rFonts w:ascii="Arial" w:cs="Arial" w:eastAsia="Arial" w:hAnsi="Arial"/>
                <w:sz w:val="13"/>
                <w:szCs w:val="13"/>
                <w:color w:val="auto"/>
              </w:rPr>
              <w:t>$3.4B</w:t>
            </w:r>
            <w:r>
              <w:rPr>
                <w:rFonts w:ascii="Arial" w:cs="Arial" w:eastAsia="Arial" w:hAnsi="Arial"/>
                <w:sz w:val="21"/>
                <w:szCs w:val="21"/>
                <w:color w:val="auto"/>
                <w:vertAlign w:val="superscript"/>
              </w:rPr>
              <w:t>(5)</w:t>
            </w:r>
          </w:p>
        </w:tc>
        <w:tc>
          <w:tcPr>
            <w:tcW w:w="7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28%</w:t>
            </w:r>
          </w:p>
        </w:tc>
        <w:tc>
          <w:tcPr>
            <w:tcW w:w="1080" w:type="dxa"/>
            <w:vAlign w:val="bottom"/>
            <w:shd w:val="clear" w:color="auto" w:fill="E8F0F8"/>
          </w:tcPr>
          <w:p>
            <w:pPr>
              <w:jc w:val="right"/>
              <w:ind w:right="223"/>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189"/>
        </w:trPr>
        <w:tc>
          <w:tcPr>
            <w:tcW w:w="2800" w:type="dxa"/>
            <w:vAlign w:val="bottom"/>
            <w:tcBorders>
              <w:left w:val="single" w:sz="8" w:color="BAD3EA"/>
            </w:tcBorders>
            <w:gridSpan w:val="2"/>
            <w:shd w:val="clear" w:color="auto" w:fill="BAD3EA"/>
          </w:tcPr>
          <w:p>
            <w:pPr>
              <w:ind w:left="80"/>
              <w:spacing w:after="0"/>
              <w:rPr>
                <w:sz w:val="20"/>
                <w:szCs w:val="20"/>
                <w:color w:val="auto"/>
              </w:rPr>
            </w:pPr>
            <w:r>
              <w:rPr>
                <w:rFonts w:ascii="Arial" w:cs="Arial" w:eastAsia="Arial" w:hAnsi="Arial"/>
                <w:sz w:val="16"/>
                <w:szCs w:val="16"/>
                <w:color w:val="auto"/>
              </w:rPr>
              <w:t>Revenue</w:t>
            </w:r>
          </w:p>
        </w:tc>
        <w:tc>
          <w:tcPr>
            <w:tcW w:w="11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2021</w:t>
            </w:r>
          </w:p>
        </w:tc>
        <w:tc>
          <w:tcPr>
            <w:tcW w:w="440" w:type="dxa"/>
            <w:vAlign w:val="bottom"/>
            <w:shd w:val="clear" w:color="auto" w:fill="BAD3EA"/>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BAD3EA"/>
          </w:tcPr>
          <w:p>
            <w:pPr>
              <w:jc w:val="right"/>
              <w:ind w:right="79"/>
              <w:spacing w:after="0"/>
              <w:rPr>
                <w:sz w:val="20"/>
                <w:szCs w:val="20"/>
                <w:color w:val="auto"/>
              </w:rPr>
            </w:pPr>
            <w:r>
              <w:rPr>
                <w:rFonts w:ascii="Arial" w:cs="Arial" w:eastAsia="Arial" w:hAnsi="Arial"/>
                <w:sz w:val="16"/>
                <w:szCs w:val="16"/>
                <w:color w:val="auto"/>
              </w:rPr>
              <w:t>10.1B</w:t>
            </w:r>
          </w:p>
        </w:tc>
        <w:tc>
          <w:tcPr>
            <w:tcW w:w="2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BAD3EA"/>
          </w:tcPr>
          <w:p>
            <w:pPr>
              <w:jc w:val="right"/>
              <w:spacing w:after="0"/>
              <w:rPr>
                <w:sz w:val="20"/>
                <w:szCs w:val="20"/>
                <w:color w:val="auto"/>
              </w:rPr>
            </w:pPr>
            <w:r>
              <w:rPr>
                <w:rFonts w:ascii="Arial" w:cs="Arial" w:eastAsia="Arial" w:hAnsi="Arial"/>
                <w:sz w:val="16"/>
                <w:szCs w:val="16"/>
                <w:color w:val="auto"/>
                <w:w w:val="98"/>
              </w:rPr>
              <w:t>10.5B to 10.6B</w:t>
            </w:r>
          </w:p>
        </w:tc>
        <w:tc>
          <w:tcPr>
            <w:tcW w:w="3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BAD3EA"/>
          </w:tcPr>
          <w:p>
            <w:pPr>
              <w:jc w:val="right"/>
              <w:ind w:right="560"/>
              <w:spacing w:after="0"/>
              <w:rPr>
                <w:sz w:val="20"/>
                <w:szCs w:val="20"/>
                <w:color w:val="auto"/>
              </w:rPr>
            </w:pPr>
            <w:r>
              <w:rPr>
                <w:rFonts w:ascii="Arial" w:cs="Arial" w:eastAsia="Arial" w:hAnsi="Arial"/>
                <w:sz w:val="16"/>
                <w:szCs w:val="16"/>
                <w:color w:val="auto"/>
              </w:rPr>
              <w:t>11.3B</w:t>
            </w:r>
          </w:p>
        </w:tc>
        <w:tc>
          <w:tcPr>
            <w:tcW w:w="1240" w:type="dxa"/>
            <w:vAlign w:val="bottom"/>
            <w:shd w:val="clear" w:color="auto" w:fill="BAD3EA"/>
          </w:tcPr>
          <w:p>
            <w:pPr>
              <w:jc w:val="right"/>
              <w:ind w:right="72"/>
              <w:spacing w:after="0" w:line="189" w:lineRule="exact"/>
              <w:rPr>
                <w:sz w:val="20"/>
                <w:szCs w:val="20"/>
                <w:color w:val="auto"/>
              </w:rPr>
            </w:pPr>
            <w:r>
              <w:rPr>
                <w:rFonts w:ascii="Arial" w:cs="Arial" w:eastAsia="Arial" w:hAnsi="Arial"/>
                <w:sz w:val="13"/>
                <w:szCs w:val="13"/>
                <w:color w:val="auto"/>
              </w:rPr>
              <w:t>$11.1B</w:t>
            </w:r>
            <w:r>
              <w:rPr>
                <w:rFonts w:ascii="Arial" w:cs="Arial" w:eastAsia="Arial" w:hAnsi="Arial"/>
                <w:sz w:val="21"/>
                <w:szCs w:val="21"/>
                <w:color w:val="auto"/>
                <w:vertAlign w:val="superscript"/>
              </w:rPr>
              <w:t>(6)</w:t>
            </w:r>
          </w:p>
        </w:tc>
        <w:tc>
          <w:tcPr>
            <w:tcW w:w="7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12%</w:t>
            </w:r>
          </w:p>
        </w:tc>
        <w:tc>
          <w:tcPr>
            <w:tcW w:w="1080" w:type="dxa"/>
            <w:vAlign w:val="bottom"/>
            <w:shd w:val="clear" w:color="auto" w:fill="BAD3EA"/>
          </w:tcPr>
          <w:p>
            <w:pPr>
              <w:jc w:val="right"/>
              <w:ind w:right="223"/>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189"/>
        </w:trPr>
        <w:tc>
          <w:tcPr>
            <w:tcW w:w="280" w:type="dxa"/>
            <w:vAlign w:val="bottom"/>
            <w:tcBorders>
              <w:left w:val="single" w:sz="8" w:color="E8F0F8"/>
              <w:bottom w:val="single" w:sz="8" w:color="auto"/>
              <w:right w:val="single" w:sz="8" w:color="E8F0F8"/>
            </w:tcBorders>
            <w:shd w:val="clear" w:color="auto" w:fill="E8F0F8"/>
          </w:tcPr>
          <w:p>
            <w:pPr>
              <w:spacing w:after="0"/>
              <w:rPr>
                <w:sz w:val="16"/>
                <w:szCs w:val="16"/>
                <w:color w:val="auto"/>
              </w:rPr>
            </w:pPr>
          </w:p>
        </w:tc>
        <w:tc>
          <w:tcPr>
            <w:tcW w:w="2520" w:type="dxa"/>
            <w:vAlign w:val="bottom"/>
            <w:tcBorders>
              <w:bottom w:val="single" w:sz="8" w:color="auto"/>
            </w:tcBorders>
            <w:shd w:val="clear" w:color="auto" w:fill="E8F0F8"/>
          </w:tcPr>
          <w:p>
            <w:pPr>
              <w:spacing w:after="0"/>
              <w:rPr>
                <w:sz w:val="16"/>
                <w:szCs w:val="16"/>
                <w:color w:val="auto"/>
              </w:rPr>
            </w:pPr>
          </w:p>
        </w:tc>
        <w:tc>
          <w:tcPr>
            <w:tcW w:w="1160" w:type="dxa"/>
            <w:vAlign w:val="bottom"/>
            <w:tcBorders>
              <w:bottom w:val="single" w:sz="8" w:color="auto"/>
            </w:tcBorders>
            <w:shd w:val="clear" w:color="auto" w:fill="E8F0F8"/>
          </w:tcPr>
          <w:p>
            <w:pPr>
              <w:spacing w:after="0"/>
              <w:rPr>
                <w:sz w:val="16"/>
                <w:szCs w:val="16"/>
                <w:color w:val="auto"/>
              </w:rPr>
            </w:pPr>
          </w:p>
        </w:tc>
        <w:tc>
          <w:tcPr>
            <w:tcW w:w="440" w:type="dxa"/>
            <w:vAlign w:val="bottom"/>
            <w:tcBorders>
              <w:bottom w:val="single" w:sz="8" w:color="auto"/>
            </w:tcBorders>
            <w:shd w:val="clear" w:color="auto" w:fill="E8F0F8"/>
          </w:tcPr>
          <w:p>
            <w:pPr>
              <w:spacing w:after="0"/>
              <w:rPr>
                <w:sz w:val="16"/>
                <w:szCs w:val="16"/>
                <w:color w:val="auto"/>
              </w:rPr>
            </w:pPr>
          </w:p>
        </w:tc>
        <w:tc>
          <w:tcPr>
            <w:tcW w:w="660" w:type="dxa"/>
            <w:vAlign w:val="bottom"/>
            <w:tcBorders>
              <w:bottom w:val="single" w:sz="8" w:color="auto"/>
            </w:tcBorders>
            <w:shd w:val="clear" w:color="auto" w:fill="E8F0F8"/>
          </w:tcPr>
          <w:p>
            <w:pPr>
              <w:spacing w:after="0"/>
              <w:rPr>
                <w:sz w:val="16"/>
                <w:szCs w:val="16"/>
                <w:color w:val="auto"/>
              </w:rPr>
            </w:pPr>
          </w:p>
        </w:tc>
        <w:tc>
          <w:tcPr>
            <w:tcW w:w="280" w:type="dxa"/>
            <w:vAlign w:val="bottom"/>
            <w:tcBorders>
              <w:bottom w:val="single" w:sz="8" w:color="auto"/>
            </w:tcBorders>
            <w:shd w:val="clear" w:color="auto" w:fill="E8F0F8"/>
          </w:tcPr>
          <w:p>
            <w:pPr>
              <w:spacing w:after="0"/>
              <w:rPr>
                <w:sz w:val="16"/>
                <w:szCs w:val="16"/>
                <w:color w:val="auto"/>
              </w:rPr>
            </w:pPr>
          </w:p>
        </w:tc>
        <w:tc>
          <w:tcPr>
            <w:tcW w:w="4600" w:type="dxa"/>
            <w:vAlign w:val="bottom"/>
            <w:tcBorders>
              <w:bottom w:val="single" w:sz="8" w:color="auto"/>
            </w:tcBorders>
            <w:gridSpan w:val="5"/>
            <w:shd w:val="clear" w:color="auto" w:fill="E8F0F8"/>
          </w:tcPr>
          <w:p>
            <w:pPr>
              <w:jc w:val="right"/>
              <w:ind w:right="120"/>
              <w:spacing w:after="0"/>
              <w:rPr>
                <w:sz w:val="20"/>
                <w:szCs w:val="20"/>
                <w:color w:val="auto"/>
              </w:rPr>
            </w:pPr>
            <w:r>
              <w:rPr>
                <w:rFonts w:ascii="Arial" w:cs="Arial" w:eastAsia="Arial" w:hAnsi="Arial"/>
                <w:sz w:val="16"/>
                <w:szCs w:val="16"/>
                <w:b w:val="1"/>
                <w:bCs w:val="1"/>
                <w:color w:val="auto"/>
              </w:rPr>
              <w:t>2021 Tranche of 2019 Cash-Settled PSU Multiplier</w:t>
            </w:r>
          </w:p>
        </w:tc>
        <w:tc>
          <w:tcPr>
            <w:tcW w:w="1080" w:type="dxa"/>
            <w:vAlign w:val="bottom"/>
            <w:tcBorders>
              <w:bottom w:val="single" w:sz="8" w:color="auto"/>
            </w:tcBorders>
            <w:shd w:val="clear" w:color="auto" w:fill="E8F0F8"/>
          </w:tcPr>
          <w:p>
            <w:pPr>
              <w:jc w:val="right"/>
              <w:spacing w:after="0" w:line="189" w:lineRule="exact"/>
              <w:rPr>
                <w:sz w:val="20"/>
                <w:szCs w:val="20"/>
                <w:color w:val="auto"/>
              </w:rPr>
            </w:pPr>
            <w:r>
              <w:rPr>
                <w:rFonts w:ascii="Arial" w:cs="Arial" w:eastAsia="Arial" w:hAnsi="Arial"/>
                <w:sz w:val="13"/>
                <w:szCs w:val="13"/>
                <w:color w:val="auto"/>
              </w:rPr>
              <w:t>155.0%*</w:t>
            </w:r>
            <w:r>
              <w:rPr>
                <w:rFonts w:ascii="Arial" w:cs="Arial" w:eastAsia="Arial" w:hAnsi="Arial"/>
                <w:sz w:val="21"/>
                <w:szCs w:val="21"/>
                <w:color w:val="auto"/>
                <w:vertAlign w:val="superscript"/>
              </w:rPr>
              <w:t>(7)</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2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80" w:type="dxa"/>
            <w:vAlign w:val="bottom"/>
            <w:tcBorders>
              <w:left w:val="single" w:sz="8" w:color="1A6DBB"/>
              <w:right w:val="single" w:sz="8" w:color="1A6DBB"/>
            </w:tcBorders>
          </w:tcPr>
          <w:p>
            <w:pPr>
              <w:ind w:left="60"/>
              <w:spacing w:after="0"/>
              <w:rPr>
                <w:sz w:val="20"/>
                <w:szCs w:val="20"/>
                <w:color w:val="auto"/>
              </w:rPr>
            </w:pPr>
            <w:r>
              <w:rPr>
                <w:rFonts w:ascii="Arial" w:cs="Arial" w:eastAsia="Arial" w:hAnsi="Arial"/>
                <w:sz w:val="12"/>
                <w:szCs w:val="12"/>
                <w:color w:val="1A6DBB"/>
              </w:rPr>
              <w:t>55</w:t>
            </w:r>
          </w:p>
        </w:tc>
        <w:tc>
          <w:tcPr>
            <w:tcW w:w="2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80" w:type="dxa"/>
            <w:vAlign w:val="bottom"/>
            <w:tcBorders>
              <w:left w:val="single" w:sz="8" w:color="1A6DBB"/>
              <w:right w:val="single" w:sz="8" w:color="1A6DBB"/>
            </w:tcBorders>
          </w:tcPr>
          <w:p>
            <w:pPr>
              <w:spacing w:after="0"/>
              <w:rPr>
                <w:sz w:val="2"/>
                <w:szCs w:val="2"/>
                <w:color w:val="auto"/>
              </w:rPr>
            </w:pPr>
          </w:p>
        </w:tc>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2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-1388110</wp:posOffset>
            </wp:positionV>
            <wp:extent cx="52203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203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-196215</wp:posOffset>
            </wp:positionV>
            <wp:extent cx="419735" cy="1371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124"/>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200" w:lineRule="exact"/>
        <w:rPr>
          <w:rFonts w:ascii="Arial" w:cs="Arial" w:eastAsia="Arial" w:hAnsi="Arial"/>
          <w:sz w:val="90"/>
          <w:szCs w:val="90"/>
          <w:color w:val="1A6DBB"/>
        </w:rPr>
      </w:pPr>
    </w:p>
    <w:p>
      <w:pPr>
        <w:spacing w:after="0" w:line="201" w:lineRule="exact"/>
        <w:rPr>
          <w:rFonts w:ascii="Arial" w:cs="Arial" w:eastAsia="Arial" w:hAnsi="Arial"/>
          <w:sz w:val="90"/>
          <w:szCs w:val="90"/>
          <w:color w:val="1A6DBB"/>
        </w:rPr>
      </w:pPr>
    </w:p>
    <w:p>
      <w:pPr>
        <w:ind w:left="120"/>
        <w:spacing w:after="0"/>
        <w:rPr>
          <w:rFonts w:ascii="Arial" w:cs="Arial" w:eastAsia="Arial" w:hAnsi="Arial"/>
          <w:sz w:val="90"/>
          <w:szCs w:val="90"/>
          <w:color w:val="1A6DBB"/>
        </w:rPr>
      </w:pPr>
      <w:r>
        <w:rPr>
          <w:rFonts w:ascii="Arial" w:cs="Arial" w:eastAsia="Arial" w:hAnsi="Arial"/>
          <w:sz w:val="14"/>
          <w:szCs w:val="14"/>
          <w:i w:val="1"/>
          <w:iCs w:val="1"/>
          <w:color w:val="auto"/>
        </w:rPr>
        <w:t>* Numbers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-920115</wp:posOffset>
            </wp:positionV>
            <wp:extent cx="69951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 to the 2019 Cash-Settled PSUs Table</w:t>
      </w:r>
    </w:p>
    <w:p>
      <w:pPr>
        <w:spacing w:after="0" w:line="121" w:lineRule="exact"/>
        <w:rPr>
          <w:sz w:val="20"/>
          <w:szCs w:val="20"/>
          <w:color w:val="auto"/>
        </w:rPr>
      </w:pPr>
    </w:p>
    <w:p>
      <w:pPr>
        <w:ind w:left="540" w:hanging="424"/>
        <w:spacing w:after="0" w:line="248"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financial measure was based on our Non-GAAP free cash flow, as adjusted to subtract $170.0 million for the decline in operating taxes due to the change in the Company’s tax profile, $58.0 million for cost savings due to the termination of certain clinical programs in 2019 and $78.0 million to remove the favorable impact of the launch delay of rituximab biosimilars, partially offset by the addition of $33.0 million to reflect the impact of our acquisition of Nightstar Therapeutics plc and</w:t>
      </w:r>
    </w:p>
    <w:p>
      <w:pPr>
        <w:ind w:left="540" w:right="620"/>
        <w:spacing w:after="0" w:line="241" w:lineRule="auto"/>
        <w:rPr>
          <w:rFonts w:ascii="Arial" w:cs="Arial" w:eastAsia="Arial" w:hAnsi="Arial"/>
          <w:sz w:val="14"/>
          <w:szCs w:val="14"/>
          <w:color w:val="auto"/>
        </w:rPr>
      </w:pPr>
      <w:r>
        <w:rPr>
          <w:rFonts w:ascii="Arial" w:cs="Arial" w:eastAsia="Arial" w:hAnsi="Arial"/>
          <w:sz w:val="14"/>
          <w:szCs w:val="14"/>
          <w:color w:val="auto"/>
        </w:rPr>
        <w:t>$50.0 million related to higher than originally contemplated stock repurchases in 2019, as none of these items were originally contemplated at the time these performance goals were determined.</w:t>
      </w:r>
    </w:p>
    <w:p>
      <w:pPr>
        <w:ind w:left="540" w:hanging="424"/>
        <w:spacing w:after="0"/>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financial measure was based on our publicly reported revenue of $14.4 billion, as adjusted to neutralize the effects of foreign exchange rate fluctuations.</w:t>
      </w:r>
    </w:p>
    <w:p>
      <w:pPr>
        <w:spacing w:after="0" w:line="1" w:lineRule="exact"/>
        <w:rPr>
          <w:rFonts w:ascii="Arial" w:cs="Arial" w:eastAsia="Arial" w:hAnsi="Arial"/>
          <w:sz w:val="14"/>
          <w:szCs w:val="14"/>
          <w:color w:val="auto"/>
        </w:rPr>
      </w:pPr>
    </w:p>
    <w:p>
      <w:pPr>
        <w:ind w:left="540" w:right="60" w:hanging="424"/>
        <w:spacing w:after="0" w:line="242"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financial measure was based on our Non-GAAP free cash flow, as adjusted to exclude the adverse impact of multiple TECFIDERA generic entrants that entered the U.S. market in 2020, the addition of $177.0 million related to a one-time license payment from a contract manufacturing customer and $52.0 million related to share repurchases in 2020 under our 2020 Share Repurchase Program, our December 2019 Share Repurchase Program and our March 2019 Share Repurchase Program. These items were either not originally contemplated or their magnitude or timing was uncertain at the time the Company performance goals were originally established.</w:t>
      </w:r>
    </w:p>
    <w:p>
      <w:pPr>
        <w:spacing w:after="0" w:line="160" w:lineRule="exact"/>
        <w:rPr>
          <w:rFonts w:ascii="Arial" w:cs="Arial" w:eastAsia="Arial" w:hAnsi="Arial"/>
          <w:sz w:val="14"/>
          <w:szCs w:val="14"/>
          <w:color w:val="auto"/>
        </w:rPr>
      </w:pPr>
    </w:p>
    <w:p>
      <w:pPr>
        <w:ind w:left="540" w:right="340" w:hanging="424"/>
        <w:spacing w:after="0" w:line="241"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financial measure was based on our publicly reported revenue of $13.4 billion, as adjusted to neutralize the effects of foreign exchange rate fluctuations and exclude the adverse impact of multiple TECFIDERA generic entrants that entered the U.S. market in 2020.</w:t>
      </w:r>
    </w:p>
    <w:p>
      <w:pPr>
        <w:ind w:left="540" w:right="20" w:hanging="424"/>
        <w:spacing w:after="0" w:line="241"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financial measure was based on our Non-GAAP free cash flow, as adjusted to add $105.0 million related to an upfront payment made in connection with entering into a collaboration and license agreement with InnoCare, $43.0 million related to a milestone payment associated with the FDA approval of ADUHELM in the U.S. and $12.0 million related to other commercial milestone payments, partially offset by the subtraction of $116.0 million from the ADUHELM sales impact on working capital, $62.0 million related to the Italy rebate impact and $2.0 million related to share repurchases in 2021 under our 2020 Share Repurchase Program. These items were either not originally contemplated or their magnitude or timing was uncertain at the time the Company performance goals were originally established.</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This financial measure was based on our publicly reported revenue of $11.0 billion, as adjusted to neutralize the effects of foreign exchange rate fluctuations.</w:t>
      </w:r>
    </w:p>
    <w:p>
      <w:pPr>
        <w:spacing w:after="0" w:line="1" w:lineRule="exact"/>
        <w:rPr>
          <w:rFonts w:ascii="Arial" w:cs="Arial" w:eastAsia="Arial" w:hAnsi="Arial"/>
          <w:sz w:val="14"/>
          <w:szCs w:val="14"/>
          <w:color w:val="auto"/>
        </w:rPr>
      </w:pPr>
    </w:p>
    <w:p>
      <w:pPr>
        <w:ind w:left="540" w:hanging="424"/>
        <w:spacing w:after="0" w:line="243"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utilized the same performance metrics for the 2021 (i.e., second) tranche of the 2020 Cash-Settled PSUs and the 2021 (i.e., third) tranche of the 2019 Cash-Settled PSUs and, therefore, the multiplier for the 2021 tranche of the 2020 Cash-Settled PSUs and the 2019 Cash-Settled PSUs for the NEOs was also 155% for our NEOs.</w:t>
      </w:r>
    </w:p>
    <w:p>
      <w:pPr>
        <w:spacing w:after="0" w:line="159" w:lineRule="exact"/>
        <w:rPr>
          <w:rFonts w:ascii="Arial" w:cs="Arial" w:eastAsia="Arial" w:hAnsi="Arial"/>
          <w:sz w:val="14"/>
          <w:szCs w:val="14"/>
          <w:color w:val="auto"/>
        </w:rPr>
      </w:pPr>
    </w:p>
    <w:p>
      <w:pPr>
        <w:ind w:left="540" w:right="20" w:hanging="424"/>
        <w:spacing w:after="0" w:line="249"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Notwithstanding the attainment of these performance metrics and the strength of management’s performance, our C&amp;MD Committee believed it was important to hold the members of our Executive Committee, which includes all of our NEOs, accountable for the Company’s overall financial results and business performance. As a result, our C&amp;MD Committee exercised its discretion and decreased the multiplier for the 2020 tranche of the 2019 Cash-Settled PSUs for the members of our Executive Committee, including all of our NEOs, by 10%, which resulted in a multiplier for our NEOs of 90%.</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2019 PSUs Payout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final payouts under our 2019 Stock-Settled PSUs and 2019 Cash-Settled PSUs were as follows:</w:t>
      </w:r>
    </w:p>
    <w:p>
      <w:pPr>
        <w:spacing w:after="0" w:line="262" w:lineRule="exact"/>
        <w:rPr>
          <w:sz w:val="20"/>
          <w:szCs w:val="20"/>
          <w:color w:val="auto"/>
        </w:rPr>
      </w:pPr>
    </w:p>
    <w:tbl>
      <w:tblPr>
        <w:tblLayout w:type="fixed"/>
        <w:tblInd w:w="1440" w:type="dxa"/>
        <w:tblCellMar>
          <w:top w:w="0" w:type="dxa"/>
          <w:left w:w="0" w:type="dxa"/>
          <w:bottom w:w="0" w:type="dxa"/>
          <w:right w:w="0" w:type="dxa"/>
        </w:tblCellMar>
      </w:tblPr>
      <w:tr>
        <w:trPr>
          <w:trHeight w:val="166"/>
        </w:trPr>
        <w:tc>
          <w:tcPr>
            <w:tcW w:w="2260" w:type="dxa"/>
            <w:vAlign w:val="bottom"/>
            <w:shd w:val="clear" w:color="auto" w:fill="1A6DBB"/>
          </w:tcPr>
          <w:p>
            <w:pPr>
              <w:spacing w:after="0"/>
              <w:rPr>
                <w:sz w:val="14"/>
                <w:szCs w:val="14"/>
                <w:color w:val="auto"/>
              </w:rPr>
            </w:pPr>
          </w:p>
        </w:tc>
        <w:tc>
          <w:tcPr>
            <w:tcW w:w="2040" w:type="dxa"/>
            <w:vAlign w:val="bottom"/>
            <w:shd w:val="clear" w:color="auto" w:fill="1A6DBB"/>
          </w:tcPr>
          <w:p>
            <w:pPr>
              <w:spacing w:after="0"/>
              <w:rPr>
                <w:sz w:val="14"/>
                <w:szCs w:val="14"/>
                <w:color w:val="auto"/>
              </w:rPr>
            </w:pP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Actual 2019</w:t>
            </w:r>
          </w:p>
        </w:tc>
        <w:tc>
          <w:tcPr>
            <w:tcW w:w="1400" w:type="dxa"/>
            <w:vAlign w:val="bottom"/>
            <w:gridSpan w:val="2"/>
            <w:shd w:val="clear" w:color="auto" w:fill="1A6DBB"/>
          </w:tcPr>
          <w:p>
            <w:pPr>
              <w:jc w:val="right"/>
              <w:ind w:right="279"/>
              <w:spacing w:after="0"/>
              <w:rPr>
                <w:sz w:val="20"/>
                <w:szCs w:val="20"/>
                <w:color w:val="auto"/>
              </w:rPr>
            </w:pPr>
            <w:r>
              <w:rPr>
                <w:rFonts w:ascii="Arial" w:cs="Arial" w:eastAsia="Arial" w:hAnsi="Arial"/>
                <w:sz w:val="14"/>
                <w:szCs w:val="14"/>
                <w:color w:val="FFFFFF"/>
              </w:rPr>
              <w:t>Target 2019</w:t>
            </w:r>
          </w:p>
        </w:tc>
        <w:tc>
          <w:tcPr>
            <w:tcW w:w="1280" w:type="dxa"/>
            <w:vAlign w:val="bottom"/>
            <w:shd w:val="clear" w:color="auto" w:fill="1A6DBB"/>
          </w:tcPr>
          <w:p>
            <w:pPr>
              <w:jc w:val="center"/>
              <w:ind w:left="83"/>
              <w:spacing w:after="0"/>
              <w:rPr>
                <w:sz w:val="20"/>
                <w:szCs w:val="20"/>
                <w:color w:val="auto"/>
              </w:rPr>
            </w:pPr>
            <w:r>
              <w:rPr>
                <w:rFonts w:ascii="Arial" w:cs="Arial" w:eastAsia="Arial" w:hAnsi="Arial"/>
                <w:sz w:val="14"/>
                <w:szCs w:val="14"/>
                <w:color w:val="FFFFFF"/>
              </w:rPr>
              <w:t>Actual 2019</w:t>
            </w:r>
          </w:p>
        </w:tc>
      </w:tr>
      <w:tr>
        <w:trPr>
          <w:trHeight w:val="162"/>
        </w:trPr>
        <w:tc>
          <w:tcPr>
            <w:tcW w:w="2260" w:type="dxa"/>
            <w:vAlign w:val="bottom"/>
            <w:shd w:val="clear" w:color="auto" w:fill="1A6DBB"/>
          </w:tcPr>
          <w:p>
            <w:pPr>
              <w:spacing w:after="0"/>
              <w:rPr>
                <w:sz w:val="14"/>
                <w:szCs w:val="14"/>
                <w:color w:val="auto"/>
              </w:rPr>
            </w:pPr>
          </w:p>
        </w:tc>
        <w:tc>
          <w:tcPr>
            <w:tcW w:w="2040" w:type="dxa"/>
            <w:vAlign w:val="bottom"/>
            <w:shd w:val="clear" w:color="auto" w:fill="1A6DBB"/>
          </w:tcPr>
          <w:p>
            <w:pPr>
              <w:jc w:val="center"/>
              <w:ind w:left="142"/>
              <w:spacing w:after="0"/>
              <w:rPr>
                <w:sz w:val="20"/>
                <w:szCs w:val="20"/>
                <w:color w:val="auto"/>
              </w:rPr>
            </w:pPr>
            <w:r>
              <w:rPr>
                <w:rFonts w:ascii="Arial" w:cs="Arial" w:eastAsia="Arial" w:hAnsi="Arial"/>
                <w:sz w:val="14"/>
                <w:szCs w:val="14"/>
                <w:color w:val="FFFFFF"/>
              </w:rPr>
              <w:t>Target 2019 Stock-</w:t>
            </w: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Stock-Settled</w:t>
            </w:r>
          </w:p>
        </w:tc>
        <w:tc>
          <w:tcPr>
            <w:tcW w:w="1400" w:type="dxa"/>
            <w:vAlign w:val="bottom"/>
            <w:gridSpan w:val="2"/>
            <w:shd w:val="clear" w:color="auto" w:fill="1A6DBB"/>
          </w:tcPr>
          <w:p>
            <w:pPr>
              <w:ind w:left="240"/>
              <w:spacing w:after="0"/>
              <w:rPr>
                <w:sz w:val="20"/>
                <w:szCs w:val="20"/>
                <w:color w:val="auto"/>
              </w:rPr>
            </w:pPr>
            <w:r>
              <w:rPr>
                <w:rFonts w:ascii="Arial" w:cs="Arial" w:eastAsia="Arial" w:hAnsi="Arial"/>
                <w:sz w:val="14"/>
                <w:szCs w:val="14"/>
                <w:color w:val="FFFFFF"/>
              </w:rPr>
              <w:t>Cash-Settled</w:t>
            </w:r>
          </w:p>
        </w:tc>
        <w:tc>
          <w:tcPr>
            <w:tcW w:w="1280" w:type="dxa"/>
            <w:vAlign w:val="bottom"/>
            <w:shd w:val="clear" w:color="auto" w:fill="1A6DBB"/>
          </w:tcPr>
          <w:p>
            <w:pPr>
              <w:jc w:val="center"/>
              <w:ind w:left="83"/>
              <w:spacing w:after="0"/>
              <w:rPr>
                <w:sz w:val="20"/>
                <w:szCs w:val="20"/>
                <w:color w:val="auto"/>
              </w:rPr>
            </w:pPr>
            <w:r>
              <w:rPr>
                <w:rFonts w:ascii="Arial" w:cs="Arial" w:eastAsia="Arial" w:hAnsi="Arial"/>
                <w:sz w:val="14"/>
                <w:szCs w:val="14"/>
                <w:color w:val="FFFFFF"/>
              </w:rPr>
              <w:t>Cash-Settled</w:t>
            </w:r>
          </w:p>
        </w:tc>
      </w:tr>
      <w:tr>
        <w:trPr>
          <w:trHeight w:val="162"/>
        </w:trPr>
        <w:tc>
          <w:tcPr>
            <w:tcW w:w="2260" w:type="dxa"/>
            <w:vAlign w:val="bottom"/>
            <w:shd w:val="clear" w:color="auto" w:fill="1A6DBB"/>
          </w:tcPr>
          <w:p>
            <w:pPr>
              <w:spacing w:after="0"/>
              <w:rPr>
                <w:sz w:val="14"/>
                <w:szCs w:val="14"/>
                <w:color w:val="auto"/>
              </w:rPr>
            </w:pPr>
          </w:p>
        </w:tc>
        <w:tc>
          <w:tcPr>
            <w:tcW w:w="2040" w:type="dxa"/>
            <w:vAlign w:val="bottom"/>
            <w:shd w:val="clear" w:color="auto" w:fill="1A6DBB"/>
          </w:tcPr>
          <w:p>
            <w:pPr>
              <w:jc w:val="center"/>
              <w:ind w:left="142"/>
              <w:spacing w:after="0"/>
              <w:rPr>
                <w:sz w:val="20"/>
                <w:szCs w:val="20"/>
                <w:color w:val="auto"/>
              </w:rPr>
            </w:pPr>
            <w:r>
              <w:rPr>
                <w:rFonts w:ascii="Arial" w:cs="Arial" w:eastAsia="Arial" w:hAnsi="Arial"/>
                <w:sz w:val="14"/>
                <w:szCs w:val="14"/>
                <w:color w:val="FFFFFF"/>
              </w:rPr>
              <w:t>Settled PSU</w:t>
            </w:r>
          </w:p>
        </w:tc>
        <w:tc>
          <w:tcPr>
            <w:tcW w:w="1380" w:type="dxa"/>
            <w:vAlign w:val="bottom"/>
            <w:shd w:val="clear" w:color="auto" w:fill="1A6DBB"/>
          </w:tcPr>
          <w:p>
            <w:pPr>
              <w:jc w:val="center"/>
              <w:ind w:left="3"/>
              <w:spacing w:after="0"/>
              <w:rPr>
                <w:sz w:val="20"/>
                <w:szCs w:val="20"/>
                <w:color w:val="auto"/>
              </w:rPr>
            </w:pPr>
            <w:r>
              <w:rPr>
                <w:rFonts w:ascii="Arial" w:cs="Arial" w:eastAsia="Arial" w:hAnsi="Arial"/>
                <w:sz w:val="14"/>
                <w:szCs w:val="14"/>
                <w:color w:val="FFFFFF"/>
              </w:rPr>
              <w:t>PSU Award</w:t>
            </w:r>
          </w:p>
        </w:tc>
        <w:tc>
          <w:tcPr>
            <w:tcW w:w="1400" w:type="dxa"/>
            <w:vAlign w:val="bottom"/>
            <w:gridSpan w:val="2"/>
            <w:shd w:val="clear" w:color="auto" w:fill="1A6DBB"/>
          </w:tcPr>
          <w:p>
            <w:pPr>
              <w:jc w:val="right"/>
              <w:ind w:right="279"/>
              <w:spacing w:after="0"/>
              <w:rPr>
                <w:sz w:val="20"/>
                <w:szCs w:val="20"/>
                <w:color w:val="auto"/>
              </w:rPr>
            </w:pPr>
            <w:r>
              <w:rPr>
                <w:rFonts w:ascii="Arial" w:cs="Arial" w:eastAsia="Arial" w:hAnsi="Arial"/>
                <w:sz w:val="14"/>
                <w:szCs w:val="14"/>
                <w:color w:val="FFFFFF"/>
              </w:rPr>
              <w:t>PSU Award</w:t>
            </w:r>
          </w:p>
        </w:tc>
        <w:tc>
          <w:tcPr>
            <w:tcW w:w="1280" w:type="dxa"/>
            <w:vAlign w:val="bottom"/>
            <w:shd w:val="clear" w:color="auto" w:fill="1A6DBB"/>
          </w:tcPr>
          <w:p>
            <w:pPr>
              <w:jc w:val="center"/>
              <w:ind w:left="103"/>
              <w:spacing w:after="0"/>
              <w:rPr>
                <w:sz w:val="20"/>
                <w:szCs w:val="20"/>
                <w:color w:val="auto"/>
              </w:rPr>
            </w:pPr>
            <w:r>
              <w:rPr>
                <w:rFonts w:ascii="Arial" w:cs="Arial" w:eastAsia="Arial" w:hAnsi="Arial"/>
                <w:sz w:val="14"/>
                <w:szCs w:val="14"/>
                <w:color w:val="FFFFFF"/>
              </w:rPr>
              <w:t>PSU Award</w:t>
            </w:r>
          </w:p>
        </w:tc>
      </w:tr>
      <w:tr>
        <w:trPr>
          <w:trHeight w:val="171"/>
        </w:trPr>
        <w:tc>
          <w:tcPr>
            <w:tcW w:w="22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2040" w:type="dxa"/>
            <w:vAlign w:val="bottom"/>
            <w:shd w:val="clear" w:color="auto" w:fill="1A6DBB"/>
          </w:tcPr>
          <w:p>
            <w:pPr>
              <w:jc w:val="center"/>
              <w:ind w:left="142"/>
              <w:spacing w:after="0"/>
              <w:rPr>
                <w:sz w:val="20"/>
                <w:szCs w:val="20"/>
                <w:color w:val="auto"/>
              </w:rPr>
            </w:pPr>
            <w:r>
              <w:rPr>
                <w:rFonts w:ascii="Arial" w:cs="Arial" w:eastAsia="Arial" w:hAnsi="Arial"/>
                <w:sz w:val="14"/>
                <w:szCs w:val="14"/>
                <w:color w:val="FFFFFF"/>
              </w:rPr>
              <w:t>Award at Grant (#)</w:t>
            </w: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Earned (#)</w:t>
            </w:r>
          </w:p>
        </w:tc>
        <w:tc>
          <w:tcPr>
            <w:tcW w:w="1400" w:type="dxa"/>
            <w:vAlign w:val="bottom"/>
            <w:gridSpan w:val="2"/>
            <w:shd w:val="clear" w:color="auto" w:fill="1A6DBB"/>
          </w:tcPr>
          <w:p>
            <w:pPr>
              <w:jc w:val="right"/>
              <w:ind w:right="279"/>
              <w:spacing w:after="0"/>
              <w:rPr>
                <w:sz w:val="20"/>
                <w:szCs w:val="20"/>
                <w:color w:val="auto"/>
              </w:rPr>
            </w:pPr>
            <w:r>
              <w:rPr>
                <w:rFonts w:ascii="Arial" w:cs="Arial" w:eastAsia="Arial" w:hAnsi="Arial"/>
                <w:sz w:val="14"/>
                <w:szCs w:val="14"/>
                <w:color w:val="FFFFFF"/>
              </w:rPr>
              <w:t>at Grant ($)</w:t>
            </w:r>
          </w:p>
        </w:tc>
        <w:tc>
          <w:tcPr>
            <w:tcW w:w="1280" w:type="dxa"/>
            <w:vAlign w:val="bottom"/>
            <w:shd w:val="clear" w:color="auto" w:fill="1A6DBB"/>
          </w:tcPr>
          <w:p>
            <w:pPr>
              <w:jc w:val="center"/>
              <w:ind w:left="83"/>
              <w:spacing w:after="0"/>
              <w:rPr>
                <w:sz w:val="20"/>
                <w:szCs w:val="20"/>
                <w:color w:val="auto"/>
              </w:rPr>
            </w:pPr>
            <w:r>
              <w:rPr>
                <w:rFonts w:ascii="Arial" w:cs="Arial" w:eastAsia="Arial" w:hAnsi="Arial"/>
                <w:sz w:val="14"/>
                <w:szCs w:val="14"/>
                <w:color w:val="FFFFFF"/>
              </w:rPr>
              <w:t>Earned ($)</w:t>
            </w:r>
          </w:p>
        </w:tc>
      </w:tr>
      <w:tr>
        <w:trPr>
          <w:trHeight w:val="189"/>
        </w:trPr>
        <w:tc>
          <w:tcPr>
            <w:tcW w:w="22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 Vounatsos</w:t>
            </w:r>
          </w:p>
        </w:tc>
        <w:tc>
          <w:tcPr>
            <w:tcW w:w="2040" w:type="dxa"/>
            <w:vAlign w:val="bottom"/>
            <w:shd w:val="clear" w:color="auto" w:fill="E8F0F8"/>
          </w:tcPr>
          <w:p>
            <w:pPr>
              <w:jc w:val="right"/>
              <w:ind w:right="222"/>
              <w:spacing w:after="0"/>
              <w:rPr>
                <w:sz w:val="20"/>
                <w:szCs w:val="20"/>
                <w:color w:val="auto"/>
              </w:rPr>
            </w:pPr>
            <w:r>
              <w:rPr>
                <w:rFonts w:ascii="Arial" w:cs="Arial" w:eastAsia="Arial" w:hAnsi="Arial"/>
                <w:sz w:val="16"/>
                <w:szCs w:val="16"/>
                <w:color w:val="auto"/>
              </w:rPr>
              <w:t>11,270</w:t>
            </w:r>
          </w:p>
        </w:tc>
        <w:tc>
          <w:tcPr>
            <w:tcW w:w="1380" w:type="dxa"/>
            <w:vAlign w:val="bottom"/>
            <w:shd w:val="clear" w:color="auto" w:fill="E8F0F8"/>
          </w:tcPr>
          <w:p>
            <w:pPr>
              <w:jc w:val="right"/>
              <w:ind w:right="143"/>
              <w:spacing w:after="0"/>
              <w:rPr>
                <w:sz w:val="20"/>
                <w:szCs w:val="20"/>
                <w:color w:val="auto"/>
              </w:rPr>
            </w:pPr>
            <w:r>
              <w:rPr>
                <w:rFonts w:ascii="Arial" w:cs="Arial" w:eastAsia="Arial" w:hAnsi="Arial"/>
                <w:sz w:val="16"/>
                <w:szCs w:val="16"/>
                <w:color w:val="auto"/>
              </w:rPr>
              <w:t>10,594</w:t>
            </w:r>
          </w:p>
        </w:tc>
        <w:tc>
          <w:tcPr>
            <w:tcW w:w="1400" w:type="dxa"/>
            <w:vAlign w:val="bottom"/>
            <w:gridSpan w:val="2"/>
            <w:shd w:val="clear" w:color="auto" w:fill="E8F0F8"/>
          </w:tcPr>
          <w:p>
            <w:pPr>
              <w:jc w:val="right"/>
              <w:ind w:right="239"/>
              <w:spacing w:after="0"/>
              <w:rPr>
                <w:sz w:val="20"/>
                <w:szCs w:val="20"/>
                <w:color w:val="auto"/>
              </w:rPr>
            </w:pPr>
            <w:r>
              <w:rPr>
                <w:rFonts w:ascii="Arial" w:cs="Arial" w:eastAsia="Arial" w:hAnsi="Arial"/>
                <w:sz w:val="16"/>
                <w:szCs w:val="16"/>
                <w:color w:val="auto"/>
              </w:rPr>
              <w:t>$ 2,400,000</w:t>
            </w:r>
          </w:p>
        </w:tc>
        <w:tc>
          <w:tcPr>
            <w:tcW w:w="1280" w:type="dxa"/>
            <w:vAlign w:val="bottom"/>
            <w:shd w:val="clear" w:color="auto" w:fill="E8F0F8"/>
          </w:tcPr>
          <w:p>
            <w:pPr>
              <w:jc w:val="right"/>
              <w:ind w:right="63"/>
              <w:spacing w:after="0"/>
              <w:rPr>
                <w:sz w:val="20"/>
                <w:szCs w:val="20"/>
                <w:color w:val="auto"/>
              </w:rPr>
            </w:pPr>
            <w:r>
              <w:rPr>
                <w:rFonts w:ascii="Arial" w:cs="Arial" w:eastAsia="Arial" w:hAnsi="Arial"/>
                <w:sz w:val="16"/>
                <w:szCs w:val="16"/>
                <w:color w:val="auto"/>
              </w:rPr>
              <w:t>2,285,759</w:t>
            </w:r>
          </w:p>
        </w:tc>
      </w:tr>
      <w:tr>
        <w:trPr>
          <w:trHeight w:val="189"/>
        </w:trPr>
        <w:tc>
          <w:tcPr>
            <w:tcW w:w="2260" w:type="dxa"/>
            <w:vAlign w:val="bottom"/>
            <w:shd w:val="clear" w:color="auto" w:fill="BAD3EA"/>
          </w:tcPr>
          <w:p>
            <w:pPr>
              <w:ind w:left="80"/>
              <w:spacing w:after="0"/>
              <w:rPr>
                <w:sz w:val="20"/>
                <w:szCs w:val="20"/>
                <w:color w:val="auto"/>
              </w:rPr>
            </w:pPr>
            <w:r>
              <w:rPr>
                <w:rFonts w:ascii="Arial" w:cs="Arial" w:eastAsia="Arial" w:hAnsi="Arial"/>
                <w:sz w:val="16"/>
                <w:szCs w:val="16"/>
                <w:color w:val="auto"/>
              </w:rPr>
              <w:t>M. McDonnell</w:t>
            </w:r>
          </w:p>
        </w:tc>
        <w:tc>
          <w:tcPr>
            <w:tcW w:w="2040" w:type="dxa"/>
            <w:vAlign w:val="bottom"/>
            <w:shd w:val="clear" w:color="auto" w:fill="BAD3EA"/>
          </w:tcPr>
          <w:p>
            <w:pPr>
              <w:jc w:val="right"/>
              <w:ind w:right="222"/>
              <w:spacing w:after="0"/>
              <w:rPr>
                <w:sz w:val="20"/>
                <w:szCs w:val="20"/>
                <w:color w:val="auto"/>
              </w:rPr>
            </w:pPr>
            <w:r>
              <w:rPr>
                <w:rFonts w:ascii="Arial" w:cs="Arial" w:eastAsia="Arial" w:hAnsi="Arial"/>
                <w:sz w:val="16"/>
                <w:szCs w:val="16"/>
                <w:color w:val="auto"/>
              </w:rPr>
              <w:t>—</w:t>
            </w:r>
          </w:p>
        </w:tc>
        <w:tc>
          <w:tcPr>
            <w:tcW w:w="1380" w:type="dxa"/>
            <w:vAlign w:val="bottom"/>
            <w:shd w:val="clear" w:color="auto" w:fill="BAD3EA"/>
          </w:tcPr>
          <w:p>
            <w:pPr>
              <w:jc w:val="right"/>
              <w:ind w:right="143"/>
              <w:spacing w:after="0"/>
              <w:rPr>
                <w:sz w:val="20"/>
                <w:szCs w:val="20"/>
                <w:color w:val="auto"/>
              </w:rPr>
            </w:pPr>
            <w:r>
              <w:rPr>
                <w:rFonts w:ascii="Arial" w:cs="Arial" w:eastAsia="Arial" w:hAnsi="Arial"/>
                <w:sz w:val="16"/>
                <w:szCs w:val="16"/>
                <w:color w:val="auto"/>
              </w:rPr>
              <w:t>—</w:t>
            </w:r>
          </w:p>
        </w:tc>
        <w:tc>
          <w:tcPr>
            <w:tcW w:w="420" w:type="dxa"/>
            <w:vAlign w:val="bottom"/>
            <w:shd w:val="clear" w:color="auto" w:fill="BAD3EA"/>
          </w:tcPr>
          <w:p>
            <w:pPr>
              <w:spacing w:after="0"/>
              <w:rPr>
                <w:sz w:val="16"/>
                <w:szCs w:val="16"/>
                <w:color w:val="auto"/>
              </w:rPr>
            </w:pPr>
          </w:p>
        </w:tc>
        <w:tc>
          <w:tcPr>
            <w:tcW w:w="980" w:type="dxa"/>
            <w:vAlign w:val="bottom"/>
            <w:shd w:val="clear" w:color="auto" w:fill="BAD3EA"/>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BAD3EA"/>
          </w:tcPr>
          <w:p>
            <w:pPr>
              <w:jc w:val="right"/>
              <w:ind w:right="63"/>
              <w:spacing w:after="0"/>
              <w:rPr>
                <w:sz w:val="20"/>
                <w:szCs w:val="20"/>
                <w:color w:val="auto"/>
              </w:rPr>
            </w:pPr>
            <w:r>
              <w:rPr>
                <w:rFonts w:ascii="Arial" w:cs="Arial" w:eastAsia="Arial" w:hAnsi="Arial"/>
                <w:sz w:val="16"/>
                <w:szCs w:val="16"/>
                <w:color w:val="auto"/>
              </w:rPr>
              <w:t>—</w:t>
            </w:r>
          </w:p>
        </w:tc>
      </w:tr>
      <w:tr>
        <w:trPr>
          <w:trHeight w:val="189"/>
        </w:trPr>
        <w:tc>
          <w:tcPr>
            <w:tcW w:w="2260" w:type="dxa"/>
            <w:vAlign w:val="bottom"/>
            <w:shd w:val="clear" w:color="auto" w:fill="E8F0F8"/>
          </w:tcPr>
          <w:p>
            <w:pPr>
              <w:ind w:left="80"/>
              <w:spacing w:after="0"/>
              <w:rPr>
                <w:sz w:val="20"/>
                <w:szCs w:val="20"/>
                <w:color w:val="auto"/>
              </w:rPr>
            </w:pPr>
            <w:r>
              <w:rPr>
                <w:rFonts w:ascii="Arial" w:cs="Arial" w:eastAsia="Arial" w:hAnsi="Arial"/>
                <w:sz w:val="16"/>
                <w:szCs w:val="16"/>
                <w:color w:val="auto"/>
              </w:rPr>
              <w:t>A. Sandrock</w:t>
            </w:r>
          </w:p>
        </w:tc>
        <w:tc>
          <w:tcPr>
            <w:tcW w:w="2040" w:type="dxa"/>
            <w:vAlign w:val="bottom"/>
            <w:shd w:val="clear" w:color="auto" w:fill="E8F0F8"/>
          </w:tcPr>
          <w:p>
            <w:pPr>
              <w:jc w:val="right"/>
              <w:ind w:right="222"/>
              <w:spacing w:after="0"/>
              <w:rPr>
                <w:sz w:val="20"/>
                <w:szCs w:val="20"/>
                <w:color w:val="auto"/>
              </w:rPr>
            </w:pPr>
            <w:r>
              <w:rPr>
                <w:rFonts w:ascii="Arial" w:cs="Arial" w:eastAsia="Arial" w:hAnsi="Arial"/>
                <w:sz w:val="16"/>
                <w:szCs w:val="16"/>
                <w:color w:val="auto"/>
              </w:rPr>
              <w:t>3,100</w:t>
            </w:r>
          </w:p>
        </w:tc>
        <w:tc>
          <w:tcPr>
            <w:tcW w:w="1380" w:type="dxa"/>
            <w:vAlign w:val="bottom"/>
            <w:shd w:val="clear" w:color="auto" w:fill="E8F0F8"/>
          </w:tcPr>
          <w:p>
            <w:pPr>
              <w:jc w:val="right"/>
              <w:ind w:right="143"/>
              <w:spacing w:after="0"/>
              <w:rPr>
                <w:sz w:val="20"/>
                <w:szCs w:val="20"/>
                <w:color w:val="auto"/>
              </w:rPr>
            </w:pPr>
            <w:r>
              <w:rPr>
                <w:rFonts w:ascii="Arial" w:cs="Arial" w:eastAsia="Arial" w:hAnsi="Arial"/>
                <w:sz w:val="16"/>
                <w:szCs w:val="16"/>
                <w:color w:val="auto"/>
              </w:rPr>
              <w:t>2,914</w:t>
            </w:r>
          </w:p>
        </w:tc>
        <w:tc>
          <w:tcPr>
            <w:tcW w:w="420" w:type="dxa"/>
            <w:vAlign w:val="bottom"/>
            <w:shd w:val="clear" w:color="auto" w:fill="E8F0F8"/>
          </w:tcPr>
          <w:p>
            <w:pPr>
              <w:ind w:left="2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8F0F8"/>
          </w:tcPr>
          <w:p>
            <w:pPr>
              <w:jc w:val="right"/>
              <w:ind w:right="239"/>
              <w:spacing w:after="0"/>
              <w:rPr>
                <w:sz w:val="20"/>
                <w:szCs w:val="20"/>
                <w:color w:val="auto"/>
              </w:rPr>
            </w:pPr>
            <w:r>
              <w:rPr>
                <w:rFonts w:ascii="Arial" w:cs="Arial" w:eastAsia="Arial" w:hAnsi="Arial"/>
                <w:sz w:val="16"/>
                <w:szCs w:val="16"/>
                <w:color w:val="auto"/>
              </w:rPr>
              <w:t>660,000</w:t>
            </w:r>
          </w:p>
        </w:tc>
        <w:tc>
          <w:tcPr>
            <w:tcW w:w="1280" w:type="dxa"/>
            <w:vAlign w:val="bottom"/>
            <w:shd w:val="clear" w:color="auto" w:fill="E8F0F8"/>
          </w:tcPr>
          <w:p>
            <w:pPr>
              <w:jc w:val="right"/>
              <w:ind w:right="63"/>
              <w:spacing w:after="0"/>
              <w:rPr>
                <w:sz w:val="20"/>
                <w:szCs w:val="20"/>
                <w:color w:val="auto"/>
              </w:rPr>
            </w:pPr>
            <w:r>
              <w:rPr>
                <w:rFonts w:ascii="Arial" w:cs="Arial" w:eastAsia="Arial" w:hAnsi="Arial"/>
                <w:sz w:val="16"/>
                <w:szCs w:val="16"/>
                <w:color w:val="auto"/>
              </w:rPr>
              <w:t>628,115</w:t>
            </w:r>
          </w:p>
        </w:tc>
      </w:tr>
      <w:tr>
        <w:trPr>
          <w:trHeight w:val="189"/>
        </w:trPr>
        <w:tc>
          <w:tcPr>
            <w:tcW w:w="2260" w:type="dxa"/>
            <w:vAlign w:val="bottom"/>
            <w:shd w:val="clear" w:color="auto" w:fill="BAD3EA"/>
          </w:tcPr>
          <w:p>
            <w:pPr>
              <w:ind w:left="80"/>
              <w:spacing w:after="0"/>
              <w:rPr>
                <w:sz w:val="20"/>
                <w:szCs w:val="20"/>
                <w:color w:val="auto"/>
              </w:rPr>
            </w:pPr>
            <w:r>
              <w:rPr>
                <w:rFonts w:ascii="Arial" w:cs="Arial" w:eastAsia="Arial" w:hAnsi="Arial"/>
                <w:sz w:val="16"/>
                <w:szCs w:val="16"/>
                <w:color w:val="auto"/>
              </w:rPr>
              <w:t>S. Alexander</w:t>
            </w:r>
          </w:p>
        </w:tc>
        <w:tc>
          <w:tcPr>
            <w:tcW w:w="2040" w:type="dxa"/>
            <w:vAlign w:val="bottom"/>
            <w:shd w:val="clear" w:color="auto" w:fill="BAD3EA"/>
          </w:tcPr>
          <w:p>
            <w:pPr>
              <w:jc w:val="right"/>
              <w:ind w:right="222"/>
              <w:spacing w:after="0"/>
              <w:rPr>
                <w:sz w:val="20"/>
                <w:szCs w:val="20"/>
                <w:color w:val="auto"/>
              </w:rPr>
            </w:pPr>
            <w:r>
              <w:rPr>
                <w:rFonts w:ascii="Arial" w:cs="Arial" w:eastAsia="Arial" w:hAnsi="Arial"/>
                <w:sz w:val="16"/>
                <w:szCs w:val="16"/>
                <w:color w:val="auto"/>
              </w:rPr>
              <w:t>3,005</w:t>
            </w:r>
          </w:p>
        </w:tc>
        <w:tc>
          <w:tcPr>
            <w:tcW w:w="1380" w:type="dxa"/>
            <w:vAlign w:val="bottom"/>
            <w:shd w:val="clear" w:color="auto" w:fill="BAD3EA"/>
          </w:tcPr>
          <w:p>
            <w:pPr>
              <w:jc w:val="right"/>
              <w:ind w:right="143"/>
              <w:spacing w:after="0"/>
              <w:rPr>
                <w:sz w:val="20"/>
                <w:szCs w:val="20"/>
                <w:color w:val="auto"/>
              </w:rPr>
            </w:pPr>
            <w:r>
              <w:rPr>
                <w:rFonts w:ascii="Arial" w:cs="Arial" w:eastAsia="Arial" w:hAnsi="Arial"/>
                <w:sz w:val="16"/>
                <w:szCs w:val="16"/>
                <w:color w:val="auto"/>
              </w:rPr>
              <w:t>2,825</w:t>
            </w:r>
          </w:p>
        </w:tc>
        <w:tc>
          <w:tcPr>
            <w:tcW w:w="420" w:type="dxa"/>
            <w:vAlign w:val="bottom"/>
            <w:shd w:val="clear" w:color="auto" w:fill="BAD3EA"/>
          </w:tcPr>
          <w:p>
            <w:pPr>
              <w:ind w:left="240"/>
              <w:spacing w:after="0"/>
              <w:rPr>
                <w:sz w:val="20"/>
                <w:szCs w:val="20"/>
                <w:color w:val="auto"/>
              </w:rPr>
            </w:pPr>
            <w:r>
              <w:rPr>
                <w:rFonts w:ascii="Arial" w:cs="Arial" w:eastAsia="Arial" w:hAnsi="Arial"/>
                <w:sz w:val="16"/>
                <w:szCs w:val="16"/>
                <w:color w:val="auto"/>
              </w:rPr>
              <w:t>$</w:t>
            </w:r>
          </w:p>
        </w:tc>
        <w:tc>
          <w:tcPr>
            <w:tcW w:w="980" w:type="dxa"/>
            <w:vAlign w:val="bottom"/>
            <w:shd w:val="clear" w:color="auto" w:fill="BAD3EA"/>
          </w:tcPr>
          <w:p>
            <w:pPr>
              <w:jc w:val="right"/>
              <w:ind w:right="239"/>
              <w:spacing w:after="0"/>
              <w:rPr>
                <w:sz w:val="20"/>
                <w:szCs w:val="20"/>
                <w:color w:val="auto"/>
              </w:rPr>
            </w:pPr>
            <w:r>
              <w:rPr>
                <w:rFonts w:ascii="Arial" w:cs="Arial" w:eastAsia="Arial" w:hAnsi="Arial"/>
                <w:sz w:val="16"/>
                <w:szCs w:val="16"/>
                <w:color w:val="auto"/>
              </w:rPr>
              <w:t>640,000</w:t>
            </w:r>
          </w:p>
        </w:tc>
        <w:tc>
          <w:tcPr>
            <w:tcW w:w="1280" w:type="dxa"/>
            <w:vAlign w:val="bottom"/>
            <w:shd w:val="clear" w:color="auto" w:fill="BAD3EA"/>
          </w:tcPr>
          <w:p>
            <w:pPr>
              <w:jc w:val="right"/>
              <w:ind w:right="63"/>
              <w:spacing w:after="0"/>
              <w:rPr>
                <w:sz w:val="20"/>
                <w:szCs w:val="20"/>
                <w:color w:val="auto"/>
              </w:rPr>
            </w:pPr>
            <w:r>
              <w:rPr>
                <w:rFonts w:ascii="Arial" w:cs="Arial" w:eastAsia="Arial" w:hAnsi="Arial"/>
                <w:sz w:val="16"/>
                <w:szCs w:val="16"/>
                <w:color w:val="auto"/>
              </w:rPr>
              <w:t>609,893</w:t>
            </w:r>
          </w:p>
        </w:tc>
      </w:tr>
      <w:tr>
        <w:trPr>
          <w:trHeight w:val="189"/>
        </w:trPr>
        <w:tc>
          <w:tcPr>
            <w:tcW w:w="226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C. Guindo</w:t>
            </w:r>
          </w:p>
        </w:tc>
        <w:tc>
          <w:tcPr>
            <w:tcW w:w="2040" w:type="dxa"/>
            <w:vAlign w:val="bottom"/>
            <w:tcBorders>
              <w:bottom w:val="single" w:sz="8" w:color="auto"/>
            </w:tcBorders>
            <w:shd w:val="clear" w:color="auto" w:fill="E8F0F8"/>
          </w:tcPr>
          <w:p>
            <w:pPr>
              <w:jc w:val="right"/>
              <w:ind w:right="222"/>
              <w:spacing w:after="0"/>
              <w:rPr>
                <w:sz w:val="20"/>
                <w:szCs w:val="20"/>
                <w:color w:val="auto"/>
              </w:rPr>
            </w:pPr>
            <w:r>
              <w:rPr>
                <w:rFonts w:ascii="Arial" w:cs="Arial" w:eastAsia="Arial" w:hAnsi="Arial"/>
                <w:sz w:val="16"/>
                <w:szCs w:val="16"/>
                <w:color w:val="auto"/>
              </w:rPr>
              <w:t>3,285</w:t>
            </w:r>
          </w:p>
        </w:tc>
        <w:tc>
          <w:tcPr>
            <w:tcW w:w="1380" w:type="dxa"/>
            <w:vAlign w:val="bottom"/>
            <w:tcBorders>
              <w:bottom w:val="single" w:sz="8" w:color="auto"/>
            </w:tcBorders>
            <w:shd w:val="clear" w:color="auto" w:fill="E8F0F8"/>
          </w:tcPr>
          <w:p>
            <w:pPr>
              <w:jc w:val="right"/>
              <w:ind w:right="143"/>
              <w:spacing w:after="0"/>
              <w:rPr>
                <w:sz w:val="20"/>
                <w:szCs w:val="20"/>
                <w:color w:val="auto"/>
              </w:rPr>
            </w:pPr>
            <w:r>
              <w:rPr>
                <w:rFonts w:ascii="Arial" w:cs="Arial" w:eastAsia="Arial" w:hAnsi="Arial"/>
                <w:sz w:val="16"/>
                <w:szCs w:val="16"/>
                <w:color w:val="auto"/>
              </w:rPr>
              <w:t>3,088</w:t>
            </w:r>
          </w:p>
        </w:tc>
        <w:tc>
          <w:tcPr>
            <w:tcW w:w="420" w:type="dxa"/>
            <w:vAlign w:val="bottom"/>
            <w:tcBorders>
              <w:bottom w:val="single" w:sz="8" w:color="auto"/>
            </w:tcBorders>
            <w:shd w:val="clear" w:color="auto" w:fill="E8F0F8"/>
          </w:tcPr>
          <w:p>
            <w:pPr>
              <w:ind w:lef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8F0F8"/>
          </w:tcPr>
          <w:p>
            <w:pPr>
              <w:jc w:val="right"/>
              <w:ind w:right="239"/>
              <w:spacing w:after="0"/>
              <w:rPr>
                <w:sz w:val="20"/>
                <w:szCs w:val="20"/>
                <w:color w:val="auto"/>
              </w:rPr>
            </w:pPr>
            <w:r>
              <w:rPr>
                <w:rFonts w:ascii="Arial" w:cs="Arial" w:eastAsia="Arial" w:hAnsi="Arial"/>
                <w:sz w:val="16"/>
                <w:szCs w:val="16"/>
                <w:color w:val="auto"/>
              </w:rPr>
              <w:t>700,000</w:t>
            </w:r>
          </w:p>
        </w:tc>
        <w:tc>
          <w:tcPr>
            <w:tcW w:w="1280" w:type="dxa"/>
            <w:vAlign w:val="bottom"/>
            <w:tcBorders>
              <w:bottom w:val="single" w:sz="8" w:color="auto"/>
            </w:tcBorders>
            <w:shd w:val="clear" w:color="auto" w:fill="E8F0F8"/>
          </w:tcPr>
          <w:p>
            <w:pPr>
              <w:jc w:val="right"/>
              <w:ind w:right="63"/>
              <w:spacing w:after="0"/>
              <w:rPr>
                <w:sz w:val="20"/>
                <w:szCs w:val="20"/>
                <w:color w:val="auto"/>
              </w:rPr>
            </w:pPr>
            <w:r>
              <w:rPr>
                <w:rFonts w:ascii="Arial" w:cs="Arial" w:eastAsia="Arial" w:hAnsi="Arial"/>
                <w:sz w:val="16"/>
                <w:szCs w:val="16"/>
                <w:color w:val="auto"/>
              </w:rPr>
              <w:t>667,640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79705" cy="1968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56 </w:t>
      </w:r>
      <w:r>
        <w:rPr>
          <w:sz w:val="1"/>
          <w:szCs w:val="1"/>
          <w:color w:val="auto"/>
        </w:rPr>
        <w:drawing>
          <wp:inline distT="0" distB="0" distL="0" distR="0">
            <wp:extent cx="38735" cy="19685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0015" cy="3873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2021 MSUs</w:t>
      </w:r>
    </w:p>
    <w:p>
      <w:pPr>
        <w:spacing w:after="0" w:line="11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MSUs comprised 50% of our executives’ target LTI for 2021. MSUs are performance-based RSUs that are earned based on our common stock price performance from the date of grant to each of the three annual vesting dates. Each annual tranche is assessed against our stock price on the original grant date, such that the awards vesting in 2022, 2023 and 2024 will be assessed against the 2021 grant date stock price, thereby aligning long-term executive interests with those of our stockholders. On each vesting date, the performance multiplier is determined based on the stock price growth measured from the grant date to such vesting date using the average closing stock price for the 30 calendar days following and including the grant date and 30 calendar days prior to and including such vesting date for MSUs granted in 2021.</w:t>
      </w:r>
    </w:p>
    <w:p>
      <w:pPr>
        <w:spacing w:after="0" w:line="76"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Participants may ultimately earn between 0% and 200% of the target number of MSUs awarded based on our actual stock performance. The maximum payout percentage of MSUs granted in 2021 is consistent with those granted in 2020 (200%). Once the performance multiplier is determined, it is applied to the target number of MSUs granted to each executive and can increase or decrease the overall number of MSUs earned based on our stock price performance.</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MSU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2854325" cy="12172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85432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three-year vesting period ties executive compensation directly to our common stock price performance, as both the MSUs earned and the value actually received in respect of MSUs are dependent on the performance of our common stock over the three-year vesting period. On each vesting date, the earned MSUs are settled in shares of our common stock. MSUs directly align long-term interests of our executives with stockholders, as the payout is directly tied to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179705" cy="1968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following table shows the vesting date, performance period and performance multiplier applied for MSUs vesting in 2021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20" w:type="dxa"/>
            <w:vAlign w:val="bottom"/>
            <w:shd w:val="clear" w:color="auto" w:fill="1A6DBB"/>
          </w:tcPr>
          <w:p>
            <w:pPr>
              <w:spacing w:after="0"/>
              <w:rPr>
                <w:sz w:val="14"/>
                <w:szCs w:val="14"/>
                <w:color w:val="auto"/>
              </w:rPr>
            </w:pPr>
          </w:p>
        </w:tc>
        <w:tc>
          <w:tcPr>
            <w:tcW w:w="100" w:type="dxa"/>
            <w:vAlign w:val="bottom"/>
            <w:shd w:val="clear" w:color="auto" w:fill="1A6DBB"/>
          </w:tcPr>
          <w:p>
            <w:pPr>
              <w:spacing w:after="0"/>
              <w:rPr>
                <w:sz w:val="14"/>
                <w:szCs w:val="14"/>
                <w:color w:val="auto"/>
              </w:rPr>
            </w:pPr>
          </w:p>
        </w:tc>
        <w:tc>
          <w:tcPr>
            <w:tcW w:w="5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Vesting</w:t>
            </w:r>
          </w:p>
        </w:tc>
        <w:tc>
          <w:tcPr>
            <w:tcW w:w="960" w:type="dxa"/>
            <w:vAlign w:val="bottom"/>
            <w:shd w:val="clear" w:color="auto" w:fill="1A6DBB"/>
          </w:tcPr>
          <w:p>
            <w:pPr>
              <w:jc w:val="right"/>
              <w:ind w:right="2"/>
              <w:spacing w:after="0"/>
              <w:rPr>
                <w:sz w:val="20"/>
                <w:szCs w:val="20"/>
                <w:color w:val="auto"/>
              </w:rPr>
            </w:pPr>
            <w:r>
              <w:rPr>
                <w:rFonts w:ascii="Arial" w:cs="Arial" w:eastAsia="Arial" w:hAnsi="Arial"/>
                <w:sz w:val="14"/>
                <w:szCs w:val="14"/>
                <w:color w:val="FFFFFF"/>
              </w:rPr>
              <w:t>Performance</w:t>
            </w:r>
          </w:p>
        </w:tc>
        <w:tc>
          <w:tcPr>
            <w:tcW w:w="980" w:type="dxa"/>
            <w:vAlign w:val="bottom"/>
            <w:shd w:val="clear" w:color="auto" w:fill="1A6DBB"/>
          </w:tcPr>
          <w:p>
            <w:pPr>
              <w:jc w:val="right"/>
              <w:ind w:right="2"/>
              <w:spacing w:after="0"/>
              <w:rPr>
                <w:sz w:val="20"/>
                <w:szCs w:val="20"/>
                <w:color w:val="auto"/>
              </w:rPr>
            </w:pPr>
            <w:r>
              <w:rPr>
                <w:rFonts w:ascii="Arial" w:cs="Arial" w:eastAsia="Arial" w:hAnsi="Arial"/>
                <w:sz w:val="14"/>
                <w:szCs w:val="14"/>
                <w:color w:val="FFFFFF"/>
              </w:rPr>
              <w:t>Performance</w:t>
            </w:r>
          </w:p>
        </w:tc>
        <w:tc>
          <w:tcPr>
            <w:tcW w:w="0" w:type="dxa"/>
            <w:vAlign w:val="bottom"/>
          </w:tcPr>
          <w:p>
            <w:pPr>
              <w:spacing w:after="0"/>
              <w:rPr>
                <w:sz w:val="1"/>
                <w:szCs w:val="1"/>
                <w:color w:val="auto"/>
              </w:rPr>
            </w:pPr>
          </w:p>
        </w:tc>
      </w:tr>
      <w:tr>
        <w:trPr>
          <w:trHeight w:val="185"/>
        </w:trPr>
        <w:tc>
          <w:tcPr>
            <w:tcW w:w="28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Grant Date</w:t>
            </w:r>
          </w:p>
        </w:tc>
        <w:tc>
          <w:tcPr>
            <w:tcW w:w="100" w:type="dxa"/>
            <w:vAlign w:val="bottom"/>
            <w:shd w:val="clear" w:color="auto" w:fill="1A6DBB"/>
          </w:tcPr>
          <w:p>
            <w:pPr>
              <w:spacing w:after="0"/>
              <w:rPr>
                <w:sz w:val="16"/>
                <w:szCs w:val="16"/>
                <w:color w:val="auto"/>
              </w:rPr>
            </w:pPr>
          </w:p>
        </w:tc>
        <w:tc>
          <w:tcPr>
            <w:tcW w:w="5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Date</w:t>
            </w:r>
          </w:p>
        </w:tc>
        <w:tc>
          <w:tcPr>
            <w:tcW w:w="960" w:type="dxa"/>
            <w:vAlign w:val="bottom"/>
            <w:shd w:val="clear" w:color="auto" w:fill="1A6DBB"/>
          </w:tcPr>
          <w:p>
            <w:pPr>
              <w:jc w:val="right"/>
              <w:ind w:right="202"/>
              <w:spacing w:after="0"/>
              <w:rPr>
                <w:sz w:val="20"/>
                <w:szCs w:val="20"/>
                <w:color w:val="auto"/>
              </w:rPr>
            </w:pPr>
            <w:r>
              <w:rPr>
                <w:rFonts w:ascii="Arial" w:cs="Arial" w:eastAsia="Arial" w:hAnsi="Arial"/>
                <w:sz w:val="14"/>
                <w:szCs w:val="14"/>
                <w:color w:val="FFFFFF"/>
              </w:rPr>
              <w:t>Period</w:t>
            </w:r>
          </w:p>
        </w:tc>
        <w:tc>
          <w:tcPr>
            <w:tcW w:w="980" w:type="dxa"/>
            <w:vAlign w:val="bottom"/>
            <w:shd w:val="clear" w:color="auto" w:fill="1A6DBB"/>
          </w:tcPr>
          <w:p>
            <w:pPr>
              <w:jc w:val="right"/>
              <w:ind w:right="122"/>
              <w:spacing w:after="0"/>
              <w:rPr>
                <w:sz w:val="20"/>
                <w:szCs w:val="20"/>
                <w:color w:val="auto"/>
              </w:rPr>
            </w:pPr>
            <w:r>
              <w:rPr>
                <w:rFonts w:ascii="Arial" w:cs="Arial" w:eastAsia="Arial" w:hAnsi="Arial"/>
                <w:sz w:val="14"/>
                <w:szCs w:val="14"/>
                <w:color w:val="FFFFFF"/>
              </w:rPr>
              <w:t>Multiplier</w:t>
            </w:r>
          </w:p>
        </w:tc>
        <w:tc>
          <w:tcPr>
            <w:tcW w:w="0" w:type="dxa"/>
            <w:vAlign w:val="bottom"/>
          </w:tcPr>
          <w:p>
            <w:pPr>
              <w:spacing w:after="0"/>
              <w:rPr>
                <w:sz w:val="1"/>
                <w:szCs w:val="1"/>
                <w:color w:val="auto"/>
              </w:rPr>
            </w:pPr>
          </w:p>
        </w:tc>
      </w:tr>
      <w:tr>
        <w:trPr>
          <w:trHeight w:val="216"/>
        </w:trPr>
        <w:tc>
          <w:tcPr>
            <w:tcW w:w="2820" w:type="dxa"/>
            <w:vAlign w:val="bottom"/>
            <w:shd w:val="clear" w:color="auto" w:fill="E8F0F8"/>
          </w:tcPr>
          <w:p>
            <w:pPr>
              <w:ind w:left="80"/>
              <w:spacing w:after="0"/>
              <w:rPr>
                <w:sz w:val="20"/>
                <w:szCs w:val="20"/>
                <w:color w:val="auto"/>
              </w:rPr>
            </w:pPr>
            <w:r>
              <w:rPr>
                <w:rFonts w:ascii="Arial" w:cs="Arial" w:eastAsia="Arial" w:hAnsi="Arial"/>
                <w:sz w:val="16"/>
                <w:szCs w:val="16"/>
                <w:color w:val="auto"/>
              </w:rPr>
              <w:t>2/2021</w:t>
            </w:r>
          </w:p>
        </w:tc>
        <w:tc>
          <w:tcPr>
            <w:tcW w:w="640" w:type="dxa"/>
            <w:vAlign w:val="bottom"/>
            <w:gridSpan w:val="2"/>
            <w:shd w:val="clear" w:color="auto" w:fill="E8F0F8"/>
          </w:tcPr>
          <w:p>
            <w:pPr>
              <w:jc w:val="center"/>
              <w:spacing w:after="0"/>
              <w:rPr>
                <w:sz w:val="20"/>
                <w:szCs w:val="20"/>
                <w:color w:val="auto"/>
              </w:rPr>
            </w:pPr>
            <w:r>
              <w:rPr>
                <w:rFonts w:ascii="Arial" w:cs="Arial" w:eastAsia="Arial" w:hAnsi="Arial"/>
                <w:sz w:val="16"/>
                <w:szCs w:val="16"/>
                <w:color w:val="auto"/>
              </w:rPr>
              <w:t>2/2022</w:t>
            </w:r>
          </w:p>
        </w:tc>
        <w:tc>
          <w:tcPr>
            <w:tcW w:w="960" w:type="dxa"/>
            <w:vAlign w:val="bottom"/>
            <w:shd w:val="clear" w:color="auto" w:fill="E8F0F8"/>
          </w:tcPr>
          <w:p>
            <w:pPr>
              <w:jc w:val="right"/>
              <w:ind w:right="2"/>
              <w:spacing w:after="0"/>
              <w:rPr>
                <w:sz w:val="20"/>
                <w:szCs w:val="20"/>
                <w:color w:val="auto"/>
              </w:rPr>
            </w:pPr>
            <w:r>
              <w:rPr>
                <w:rFonts w:ascii="Arial" w:cs="Arial" w:eastAsia="Arial" w:hAnsi="Arial"/>
                <w:sz w:val="16"/>
                <w:szCs w:val="16"/>
                <w:color w:val="auto"/>
              </w:rPr>
              <w:t>1 year</w:t>
            </w:r>
          </w:p>
        </w:tc>
        <w:tc>
          <w:tcPr>
            <w:tcW w:w="9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2820" w:type="dxa"/>
            <w:vAlign w:val="bottom"/>
            <w:vMerge w:val="restart"/>
            <w:shd w:val="clear" w:color="auto" w:fill="BAD3EA"/>
          </w:tcPr>
          <w:p>
            <w:pPr>
              <w:ind w:left="80"/>
              <w:spacing w:after="0"/>
              <w:rPr>
                <w:sz w:val="20"/>
                <w:szCs w:val="20"/>
                <w:color w:val="auto"/>
              </w:rPr>
            </w:pPr>
            <w:r>
              <w:rPr>
                <w:rFonts w:ascii="Arial" w:cs="Arial" w:eastAsia="Arial" w:hAnsi="Arial"/>
                <w:sz w:val="16"/>
                <w:szCs w:val="16"/>
                <w:color w:val="auto"/>
              </w:rPr>
              <w:t>2/2020</w:t>
            </w:r>
          </w:p>
        </w:tc>
        <w:tc>
          <w:tcPr>
            <w:tcW w:w="100" w:type="dxa"/>
            <w:vAlign w:val="bottom"/>
            <w:shd w:val="clear" w:color="auto" w:fill="BAD3EA"/>
          </w:tcPr>
          <w:p>
            <w:pPr>
              <w:spacing w:after="0"/>
              <w:rPr>
                <w:sz w:val="18"/>
                <w:szCs w:val="18"/>
                <w:color w:val="auto"/>
              </w:rPr>
            </w:pPr>
          </w:p>
        </w:tc>
        <w:tc>
          <w:tcPr>
            <w:tcW w:w="54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2/2022</w:t>
            </w:r>
          </w:p>
        </w:tc>
        <w:tc>
          <w:tcPr>
            <w:tcW w:w="960" w:type="dxa"/>
            <w:vAlign w:val="bottom"/>
            <w:shd w:val="clear" w:color="auto" w:fill="BAD3EA"/>
          </w:tcPr>
          <w:p>
            <w:pPr>
              <w:jc w:val="right"/>
              <w:ind w:right="2"/>
              <w:spacing w:after="0"/>
              <w:rPr>
                <w:sz w:val="20"/>
                <w:szCs w:val="20"/>
                <w:color w:val="auto"/>
              </w:rPr>
            </w:pPr>
            <w:r>
              <w:rPr>
                <w:rFonts w:ascii="Arial" w:cs="Arial" w:eastAsia="Arial" w:hAnsi="Arial"/>
                <w:sz w:val="16"/>
                <w:szCs w:val="16"/>
                <w:color w:val="auto"/>
              </w:rPr>
              <w:t>2 years</w:t>
            </w:r>
          </w:p>
        </w:tc>
        <w:tc>
          <w:tcPr>
            <w:tcW w:w="980" w:type="dxa"/>
            <w:vAlign w:val="bottom"/>
            <w:shd w:val="clear" w:color="auto" w:fill="BAD3EA"/>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06"/>
        </w:trPr>
        <w:tc>
          <w:tcPr>
            <w:tcW w:w="2820" w:type="dxa"/>
            <w:vAlign w:val="bottom"/>
            <w:vMerge w:val="continue"/>
            <w:shd w:val="clear" w:color="auto" w:fill="BAD3EA"/>
          </w:tcPr>
          <w:p>
            <w:pPr>
              <w:spacing w:after="0"/>
              <w:rPr>
                <w:sz w:val="9"/>
                <w:szCs w:val="9"/>
                <w:color w:val="auto"/>
              </w:rPr>
            </w:pPr>
          </w:p>
        </w:tc>
        <w:tc>
          <w:tcPr>
            <w:tcW w:w="100" w:type="dxa"/>
            <w:vAlign w:val="bottom"/>
            <w:shd w:val="clear" w:color="auto" w:fill="BAD3EA"/>
          </w:tcPr>
          <w:p>
            <w:pPr>
              <w:spacing w:after="0"/>
              <w:rPr>
                <w:sz w:val="9"/>
                <w:szCs w:val="9"/>
                <w:color w:val="auto"/>
              </w:rPr>
            </w:pPr>
          </w:p>
        </w:tc>
        <w:tc>
          <w:tcPr>
            <w:tcW w:w="54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2/2021</w:t>
            </w:r>
          </w:p>
        </w:tc>
        <w:tc>
          <w:tcPr>
            <w:tcW w:w="960" w:type="dxa"/>
            <w:vAlign w:val="bottom"/>
            <w:vMerge w:val="restart"/>
            <w:shd w:val="clear" w:color="auto" w:fill="BAD3EA"/>
          </w:tcPr>
          <w:p>
            <w:pPr>
              <w:jc w:val="right"/>
              <w:ind w:right="2"/>
              <w:spacing w:after="0"/>
              <w:rPr>
                <w:sz w:val="20"/>
                <w:szCs w:val="20"/>
                <w:color w:val="auto"/>
              </w:rPr>
            </w:pPr>
            <w:r>
              <w:rPr>
                <w:rFonts w:ascii="Arial" w:cs="Arial" w:eastAsia="Arial" w:hAnsi="Arial"/>
                <w:sz w:val="16"/>
                <w:szCs w:val="16"/>
                <w:color w:val="auto"/>
              </w:rPr>
              <w:t>1 year</w:t>
            </w:r>
          </w:p>
        </w:tc>
        <w:tc>
          <w:tcPr>
            <w:tcW w:w="980" w:type="dxa"/>
            <w:vAlign w:val="bottom"/>
            <w:vMerge w:val="restart"/>
            <w:shd w:val="clear" w:color="auto" w:fill="BAD3EA"/>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83"/>
        </w:trPr>
        <w:tc>
          <w:tcPr>
            <w:tcW w:w="2820" w:type="dxa"/>
            <w:vAlign w:val="bottom"/>
            <w:shd w:val="clear" w:color="auto" w:fill="BAD3EA"/>
          </w:tcPr>
          <w:p>
            <w:pPr>
              <w:spacing w:after="0"/>
              <w:rPr>
                <w:sz w:val="7"/>
                <w:szCs w:val="7"/>
                <w:color w:val="auto"/>
              </w:rPr>
            </w:pPr>
          </w:p>
        </w:tc>
        <w:tc>
          <w:tcPr>
            <w:tcW w:w="100" w:type="dxa"/>
            <w:vAlign w:val="bottom"/>
            <w:shd w:val="clear" w:color="auto" w:fill="BAD3EA"/>
          </w:tcPr>
          <w:p>
            <w:pPr>
              <w:spacing w:after="0"/>
              <w:rPr>
                <w:sz w:val="7"/>
                <w:szCs w:val="7"/>
                <w:color w:val="auto"/>
              </w:rPr>
            </w:pPr>
          </w:p>
        </w:tc>
        <w:tc>
          <w:tcPr>
            <w:tcW w:w="540" w:type="dxa"/>
            <w:vAlign w:val="bottom"/>
            <w:vMerge w:val="continue"/>
            <w:shd w:val="clear" w:color="auto" w:fill="BAD3EA"/>
          </w:tcPr>
          <w:p>
            <w:pPr>
              <w:spacing w:after="0"/>
              <w:rPr>
                <w:sz w:val="7"/>
                <w:szCs w:val="7"/>
                <w:color w:val="auto"/>
              </w:rPr>
            </w:pPr>
          </w:p>
        </w:tc>
        <w:tc>
          <w:tcPr>
            <w:tcW w:w="960" w:type="dxa"/>
            <w:vAlign w:val="bottom"/>
            <w:vMerge w:val="continue"/>
            <w:shd w:val="clear" w:color="auto" w:fill="BAD3EA"/>
          </w:tcPr>
          <w:p>
            <w:pPr>
              <w:spacing w:after="0"/>
              <w:rPr>
                <w:sz w:val="7"/>
                <w:szCs w:val="7"/>
                <w:color w:val="auto"/>
              </w:rPr>
            </w:pPr>
          </w:p>
        </w:tc>
        <w:tc>
          <w:tcPr>
            <w:tcW w:w="980" w:type="dxa"/>
            <w:vAlign w:val="bottom"/>
            <w:vMerge w:val="continue"/>
            <w:shd w:val="clear" w:color="auto" w:fill="BAD3EA"/>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20" w:type="dxa"/>
            <w:vAlign w:val="bottom"/>
            <w:vMerge w:val="restart"/>
            <w:shd w:val="clear" w:color="auto" w:fill="E8F0F8"/>
          </w:tcPr>
          <w:p>
            <w:pPr>
              <w:ind w:left="80"/>
              <w:spacing w:after="0"/>
              <w:rPr>
                <w:sz w:val="20"/>
                <w:szCs w:val="20"/>
                <w:color w:val="auto"/>
              </w:rPr>
            </w:pPr>
            <w:r>
              <w:rPr>
                <w:rFonts w:ascii="Arial" w:cs="Arial" w:eastAsia="Arial" w:hAnsi="Arial"/>
                <w:sz w:val="16"/>
                <w:szCs w:val="16"/>
                <w:color w:val="auto"/>
              </w:rPr>
              <w:t>2/2019</w:t>
            </w:r>
          </w:p>
        </w:tc>
        <w:tc>
          <w:tcPr>
            <w:tcW w:w="100" w:type="dxa"/>
            <w:vAlign w:val="bottom"/>
            <w:shd w:val="clear" w:color="auto" w:fill="E8F0F8"/>
          </w:tcPr>
          <w:p>
            <w:pPr>
              <w:spacing w:after="0"/>
              <w:rPr>
                <w:sz w:val="18"/>
                <w:szCs w:val="18"/>
                <w:color w:val="auto"/>
              </w:rPr>
            </w:pPr>
          </w:p>
        </w:tc>
        <w:tc>
          <w:tcPr>
            <w:tcW w:w="54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2/2022</w:t>
            </w:r>
          </w:p>
        </w:tc>
        <w:tc>
          <w:tcPr>
            <w:tcW w:w="960" w:type="dxa"/>
            <w:vAlign w:val="bottom"/>
            <w:shd w:val="clear" w:color="auto" w:fill="E8F0F8"/>
          </w:tcPr>
          <w:p>
            <w:pPr>
              <w:jc w:val="right"/>
              <w:ind w:right="2"/>
              <w:spacing w:after="0"/>
              <w:rPr>
                <w:sz w:val="20"/>
                <w:szCs w:val="20"/>
                <w:color w:val="auto"/>
              </w:rPr>
            </w:pPr>
            <w:r>
              <w:rPr>
                <w:rFonts w:ascii="Arial" w:cs="Arial" w:eastAsia="Arial" w:hAnsi="Arial"/>
                <w:sz w:val="16"/>
                <w:szCs w:val="16"/>
                <w:color w:val="auto"/>
              </w:rPr>
              <w:t>3 years</w:t>
            </w:r>
          </w:p>
        </w:tc>
        <w:tc>
          <w:tcPr>
            <w:tcW w:w="980" w:type="dxa"/>
            <w:vAlign w:val="bottom"/>
            <w:shd w:val="clear" w:color="auto" w:fill="E8F0F8"/>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06"/>
        </w:trPr>
        <w:tc>
          <w:tcPr>
            <w:tcW w:w="2820" w:type="dxa"/>
            <w:vAlign w:val="bottom"/>
            <w:vMerge w:val="continue"/>
            <w:shd w:val="clear" w:color="auto" w:fill="E8F0F8"/>
          </w:tcPr>
          <w:p>
            <w:pPr>
              <w:spacing w:after="0"/>
              <w:rPr>
                <w:sz w:val="9"/>
                <w:szCs w:val="9"/>
                <w:color w:val="auto"/>
              </w:rPr>
            </w:pPr>
          </w:p>
        </w:tc>
        <w:tc>
          <w:tcPr>
            <w:tcW w:w="100" w:type="dxa"/>
            <w:vAlign w:val="bottom"/>
            <w:shd w:val="clear" w:color="auto" w:fill="E8F0F8"/>
          </w:tcPr>
          <w:p>
            <w:pPr>
              <w:spacing w:after="0"/>
              <w:rPr>
                <w:sz w:val="9"/>
                <w:szCs w:val="9"/>
                <w:color w:val="auto"/>
              </w:rPr>
            </w:pPr>
          </w:p>
        </w:tc>
        <w:tc>
          <w:tcPr>
            <w:tcW w:w="540" w:type="dxa"/>
            <w:vAlign w:val="bottom"/>
            <w:vMerge w:val="restart"/>
            <w:shd w:val="clear" w:color="auto" w:fill="E8F0F8"/>
          </w:tcPr>
          <w:p>
            <w:pPr>
              <w:jc w:val="center"/>
              <w:spacing w:after="0"/>
              <w:rPr>
                <w:sz w:val="20"/>
                <w:szCs w:val="20"/>
                <w:color w:val="auto"/>
              </w:rPr>
            </w:pPr>
            <w:r>
              <w:rPr>
                <w:rFonts w:ascii="Arial" w:cs="Arial" w:eastAsia="Arial" w:hAnsi="Arial"/>
                <w:sz w:val="16"/>
                <w:szCs w:val="16"/>
                <w:color w:val="auto"/>
              </w:rPr>
              <w:t>2/2021</w:t>
            </w:r>
          </w:p>
        </w:tc>
        <w:tc>
          <w:tcPr>
            <w:tcW w:w="960" w:type="dxa"/>
            <w:vAlign w:val="bottom"/>
            <w:vMerge w:val="restart"/>
            <w:shd w:val="clear" w:color="auto" w:fill="E8F0F8"/>
          </w:tcPr>
          <w:p>
            <w:pPr>
              <w:jc w:val="right"/>
              <w:ind w:right="2"/>
              <w:spacing w:after="0"/>
              <w:rPr>
                <w:sz w:val="20"/>
                <w:szCs w:val="20"/>
                <w:color w:val="auto"/>
              </w:rPr>
            </w:pPr>
            <w:r>
              <w:rPr>
                <w:rFonts w:ascii="Arial" w:cs="Arial" w:eastAsia="Arial" w:hAnsi="Arial"/>
                <w:sz w:val="16"/>
                <w:szCs w:val="16"/>
                <w:color w:val="auto"/>
              </w:rPr>
              <w:t>2 years</w:t>
            </w:r>
          </w:p>
        </w:tc>
        <w:tc>
          <w:tcPr>
            <w:tcW w:w="980" w:type="dxa"/>
            <w:vAlign w:val="bottom"/>
            <w:vMerge w:val="restart"/>
            <w:shd w:val="clear" w:color="auto" w:fill="E8F0F8"/>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83"/>
        </w:trPr>
        <w:tc>
          <w:tcPr>
            <w:tcW w:w="2820" w:type="dxa"/>
            <w:vAlign w:val="bottom"/>
            <w:tcBorders>
              <w:bottom w:val="single" w:sz="8" w:color="auto"/>
            </w:tcBorders>
            <w:shd w:val="clear" w:color="auto" w:fill="E8F0F8"/>
          </w:tcPr>
          <w:p>
            <w:pPr>
              <w:spacing w:after="0"/>
              <w:rPr>
                <w:sz w:val="7"/>
                <w:szCs w:val="7"/>
                <w:color w:val="auto"/>
              </w:rPr>
            </w:pPr>
          </w:p>
        </w:tc>
        <w:tc>
          <w:tcPr>
            <w:tcW w:w="100" w:type="dxa"/>
            <w:vAlign w:val="bottom"/>
            <w:tcBorders>
              <w:bottom w:val="single" w:sz="8" w:color="auto"/>
            </w:tcBorders>
            <w:shd w:val="clear" w:color="auto" w:fill="E8F0F8"/>
          </w:tcPr>
          <w:p>
            <w:pPr>
              <w:spacing w:after="0"/>
              <w:rPr>
                <w:sz w:val="7"/>
                <w:szCs w:val="7"/>
                <w:color w:val="auto"/>
              </w:rPr>
            </w:pPr>
          </w:p>
        </w:tc>
        <w:tc>
          <w:tcPr>
            <w:tcW w:w="540" w:type="dxa"/>
            <w:vAlign w:val="bottom"/>
            <w:tcBorders>
              <w:bottom w:val="single" w:sz="8" w:color="auto"/>
            </w:tcBorders>
            <w:vMerge w:val="continue"/>
            <w:shd w:val="clear" w:color="auto" w:fill="E8F0F8"/>
          </w:tcPr>
          <w:p>
            <w:pPr>
              <w:spacing w:after="0"/>
              <w:rPr>
                <w:sz w:val="7"/>
                <w:szCs w:val="7"/>
                <w:color w:val="auto"/>
              </w:rPr>
            </w:pPr>
          </w:p>
        </w:tc>
        <w:tc>
          <w:tcPr>
            <w:tcW w:w="960" w:type="dxa"/>
            <w:vAlign w:val="bottom"/>
            <w:tcBorders>
              <w:bottom w:val="single" w:sz="8" w:color="auto"/>
            </w:tcBorders>
            <w:vMerge w:val="continue"/>
            <w:shd w:val="clear" w:color="auto" w:fill="E8F0F8"/>
          </w:tcPr>
          <w:p>
            <w:pPr>
              <w:spacing w:after="0"/>
              <w:rPr>
                <w:sz w:val="7"/>
                <w:szCs w:val="7"/>
                <w:color w:val="auto"/>
              </w:rPr>
            </w:pPr>
          </w:p>
        </w:tc>
        <w:tc>
          <w:tcPr>
            <w:tcW w:w="980" w:type="dxa"/>
            <w:vAlign w:val="bottom"/>
            <w:tcBorders>
              <w:bottom w:val="single" w:sz="8" w:color="auto"/>
            </w:tcBorders>
            <w:vMerge w:val="continue"/>
            <w:shd w:val="clear" w:color="auto" w:fill="E8F0F8"/>
          </w:tcPr>
          <w:p>
            <w:pPr>
              <w:spacing w:after="0"/>
              <w:rPr>
                <w:sz w:val="7"/>
                <w:szCs w:val="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2022 LTI Program</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connection with preparing for the engagement we had with our stockholders in 2021 to obtain feedback on our executive compensation program, our C&amp;MD Committee, along with our internal compensation group and Pearl Meyer, the independent compensation consultants to the C&amp;MD Committee, assessed our executive compensation programs, with particular focus on our LTI program, to identify opportunities for change. Through this review, we identified areas of alignment to assist in guiding our LTI redesign. As part of this review, our C&amp;MD Committee requested that Pearl Meyer provide market data regarding the prevalence of different LTI design programs to ensure that any changes we would approve would be market competitive. There was also a desire to simplify our LTI program and to move to a uniform performance period for all long-term awards.</w:t>
      </w:r>
    </w:p>
    <w:p>
      <w:pPr>
        <w:spacing w:after="0" w:line="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After receiving feedback from our stockholders and reviewing the market data presented by Pearl Meyer, the C&amp;MD Committee determined that it was appropriate to change the structure of our LTI program, starting in 2022. Under the new LTI program as it applies to our executive officers, we will grant PSUs and time-based RSUs, with 50% of the value of each executive’s annual LTI award comprised of PSUs (assuming target performance) and 50% comprised of RSUs. The performance metric for PSUs will be a three-year cumulative relative total shareholder return (rTSR) metric and PSUs will vest on the third anniversary of the date of grant, with the number of PSUs earned based on this cumulative rTSR metric. Our comparator group for purposes of measuring rTSR will be our peer group for executive compensation purposes, as in effect on the date of grant. Target performance will be the 55th percentile of this peer group, with threshold and maximum performance at the 25th and 75th percentiles, with payouts of 25% at</w:t>
      </w:r>
    </w:p>
    <w:p>
      <w:pPr>
        <w:spacing w:after="0" w:line="233" w:lineRule="exact"/>
        <w:rPr>
          <w:sz w:val="20"/>
          <w:szCs w:val="20"/>
          <w:color w:val="auto"/>
        </w:rPr>
      </w:pPr>
    </w:p>
    <w:p>
      <w:pPr>
        <w:sectPr>
          <w:pgSz w:w="11900" w:h="16838" w:orient="portrait"/>
          <w:cols w:equalWidth="0" w:num="2">
            <w:col w:w="5400" w:space="340"/>
            <w:col w:w="5400"/>
          </w:cols>
          <w:pgMar w:left="320" w:top="455" w:right="439" w:bottom="1440" w:gutter="0" w:footer="0" w:header="0"/>
          <w:type w:val="continuous"/>
        </w:sectPr>
      </w:pPr>
    </w:p>
    <w:p>
      <w:pPr>
        <w:spacing w:after="0" w:line="57"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57 </w:t>
      </w:r>
      <w:r>
        <w:rPr>
          <w:sz w:val="1"/>
          <w:szCs w:val="1"/>
          <w:color w:val="auto"/>
        </w:rPr>
        <w:drawing>
          <wp:inline distT="0" distB="0" distL="0" distR="0">
            <wp:extent cx="38735" cy="19685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-38100</wp:posOffset>
            </wp:positionV>
            <wp:extent cx="120015"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0015" cy="3873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46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5"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threshold and 200% at maximum, respectively. Our C&amp;MD Committee decided to grant RSUs to promote retention and to provide some level of value to executives who remain employed with the Company over the vesting period. RSUs will vest as to one-third of the award on each of the first three anniversaries of the grant date of the award. The changes to our program design are intended to simplify our plan, drive our long-term business strategy, support our retention objectives, reflect competitive market practices, and strengthen alignment with stockholder interests.</w:t>
      </w:r>
    </w:p>
    <w:p>
      <w:pPr>
        <w:spacing w:after="0" w:line="75"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The table below outlines a summary of annual awards granted to our NEOs in 2022 under our new LTI program.</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800" w:type="dxa"/>
            <w:vAlign w:val="bottom"/>
            <w:shd w:val="clear" w:color="auto" w:fill="1A6DBB"/>
          </w:tcPr>
          <w:p>
            <w:pPr>
              <w:spacing w:after="0"/>
              <w:rPr>
                <w:sz w:val="15"/>
                <w:szCs w:val="15"/>
                <w:color w:val="auto"/>
              </w:rPr>
            </w:pPr>
          </w:p>
        </w:tc>
        <w:tc>
          <w:tcPr>
            <w:tcW w:w="17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Performance Stock</w:t>
            </w:r>
          </w:p>
        </w:tc>
        <w:tc>
          <w:tcPr>
            <w:tcW w:w="17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Restricted Stock</w:t>
            </w:r>
          </w:p>
        </w:tc>
      </w:tr>
      <w:tr>
        <w:trPr>
          <w:trHeight w:val="205"/>
        </w:trPr>
        <w:tc>
          <w:tcPr>
            <w:tcW w:w="1800" w:type="dxa"/>
            <w:vAlign w:val="bottom"/>
            <w:tcBorders>
              <w:bottom w:val="single" w:sz="8" w:color="1A6DBB"/>
            </w:tcBorders>
            <w:shd w:val="clear" w:color="auto" w:fill="1A6DBB"/>
          </w:tcPr>
          <w:p>
            <w:pPr>
              <w:spacing w:after="0"/>
              <w:rPr>
                <w:sz w:val="20"/>
                <w:szCs w:val="20"/>
                <w:color w:val="auto"/>
              </w:rPr>
            </w:pPr>
            <w:r>
              <w:rPr>
                <w:rFonts w:ascii="Arial" w:cs="Arial" w:eastAsia="Arial" w:hAnsi="Arial"/>
                <w:sz w:val="14"/>
                <w:szCs w:val="14"/>
                <w:color w:val="FFFFFF"/>
              </w:rPr>
              <w:t>Terms</w:t>
            </w:r>
          </w:p>
        </w:tc>
        <w:tc>
          <w:tcPr>
            <w:tcW w:w="178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Units</w:t>
            </w:r>
          </w:p>
        </w:tc>
        <w:tc>
          <w:tcPr>
            <w:tcW w:w="170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Units</w:t>
            </w:r>
          </w:p>
        </w:tc>
      </w:tr>
      <w:tr>
        <w:trPr>
          <w:trHeight w:val="175"/>
        </w:trPr>
        <w:tc>
          <w:tcPr>
            <w:tcW w:w="1800" w:type="dxa"/>
            <w:vAlign w:val="bottom"/>
            <w:shd w:val="clear" w:color="auto" w:fill="E8F0F8"/>
          </w:tcPr>
          <w:p>
            <w:pPr>
              <w:ind w:left="100"/>
              <w:spacing w:after="0" w:line="175" w:lineRule="exact"/>
              <w:rPr>
                <w:sz w:val="20"/>
                <w:szCs w:val="20"/>
                <w:color w:val="auto"/>
              </w:rPr>
            </w:pPr>
            <w:r>
              <w:rPr>
                <w:rFonts w:ascii="Arial" w:cs="Arial" w:eastAsia="Arial" w:hAnsi="Arial"/>
                <w:sz w:val="16"/>
                <w:szCs w:val="16"/>
                <w:color w:val="auto"/>
              </w:rPr>
              <w:t>Proportion of</w:t>
            </w:r>
          </w:p>
        </w:tc>
        <w:tc>
          <w:tcPr>
            <w:tcW w:w="1780" w:type="dxa"/>
            <w:vAlign w:val="bottom"/>
            <w:shd w:val="clear" w:color="auto" w:fill="E8F0F8"/>
          </w:tcPr>
          <w:p>
            <w:pPr>
              <w:jc w:val="center"/>
              <w:spacing w:after="0" w:line="175" w:lineRule="exact"/>
              <w:rPr>
                <w:sz w:val="20"/>
                <w:szCs w:val="20"/>
                <w:color w:val="auto"/>
              </w:rPr>
            </w:pPr>
            <w:r>
              <w:rPr>
                <w:rFonts w:ascii="Arial" w:cs="Arial" w:eastAsia="Arial" w:hAnsi="Arial"/>
                <w:sz w:val="16"/>
                <w:szCs w:val="16"/>
                <w:color w:val="auto"/>
                <w:w w:val="99"/>
              </w:rPr>
              <w:t>50%</w:t>
            </w:r>
          </w:p>
        </w:tc>
        <w:tc>
          <w:tcPr>
            <w:tcW w:w="1700" w:type="dxa"/>
            <w:vAlign w:val="bottom"/>
            <w:shd w:val="clear" w:color="auto" w:fill="E8F0F8"/>
          </w:tcPr>
          <w:p>
            <w:pPr>
              <w:jc w:val="center"/>
              <w:spacing w:after="0" w:line="175" w:lineRule="exact"/>
              <w:rPr>
                <w:sz w:val="20"/>
                <w:szCs w:val="20"/>
                <w:color w:val="auto"/>
              </w:rPr>
            </w:pPr>
            <w:r>
              <w:rPr>
                <w:rFonts w:ascii="Arial" w:cs="Arial" w:eastAsia="Arial" w:hAnsi="Arial"/>
                <w:sz w:val="16"/>
                <w:szCs w:val="16"/>
                <w:color w:val="auto"/>
                <w:w w:val="99"/>
              </w:rPr>
              <w:t>50%</w:t>
            </w:r>
          </w:p>
        </w:tc>
      </w:tr>
      <w:tr>
        <w:trPr>
          <w:trHeight w:val="251"/>
        </w:trPr>
        <w:tc>
          <w:tcPr>
            <w:tcW w:w="18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Annual Target Value</w:t>
            </w:r>
          </w:p>
        </w:tc>
        <w:tc>
          <w:tcPr>
            <w:tcW w:w="1780" w:type="dxa"/>
            <w:vAlign w:val="bottom"/>
            <w:tcBorders>
              <w:bottom w:val="single" w:sz="8" w:color="E8F0F8"/>
            </w:tcBorders>
            <w:shd w:val="clear" w:color="auto" w:fill="E8F0F8"/>
          </w:tcPr>
          <w:p>
            <w:pPr>
              <w:spacing w:after="0"/>
              <w:rPr>
                <w:sz w:val="21"/>
                <w:szCs w:val="21"/>
                <w:color w:val="auto"/>
              </w:rPr>
            </w:pPr>
          </w:p>
        </w:tc>
        <w:tc>
          <w:tcPr>
            <w:tcW w:w="1700" w:type="dxa"/>
            <w:vAlign w:val="bottom"/>
            <w:tcBorders>
              <w:bottom w:val="single" w:sz="8" w:color="E8F0F8"/>
            </w:tcBorders>
            <w:shd w:val="clear" w:color="auto" w:fill="E8F0F8"/>
          </w:tcPr>
          <w:p>
            <w:pPr>
              <w:spacing w:after="0"/>
              <w:rPr>
                <w:sz w:val="21"/>
                <w:szCs w:val="21"/>
                <w:color w:val="auto"/>
              </w:rPr>
            </w:pPr>
          </w:p>
        </w:tc>
      </w:tr>
      <w:tr>
        <w:trPr>
          <w:trHeight w:val="223"/>
        </w:trPr>
        <w:tc>
          <w:tcPr>
            <w:tcW w:w="180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rPr>
              <w:t>Settlement</w:t>
            </w:r>
          </w:p>
        </w:tc>
        <w:tc>
          <w:tcPr>
            <w:tcW w:w="17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100% Stock Settled</w:t>
            </w:r>
          </w:p>
        </w:tc>
        <w:tc>
          <w:tcPr>
            <w:tcW w:w="170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100% Stock Settled</w:t>
            </w:r>
          </w:p>
        </w:tc>
      </w:tr>
      <w:tr>
        <w:trPr>
          <w:trHeight w:val="175"/>
        </w:trPr>
        <w:tc>
          <w:tcPr>
            <w:tcW w:w="1800" w:type="dxa"/>
            <w:vAlign w:val="bottom"/>
            <w:shd w:val="clear" w:color="auto" w:fill="E8F0F8"/>
          </w:tcPr>
          <w:p>
            <w:pPr>
              <w:ind w:left="100"/>
              <w:spacing w:after="0" w:line="175" w:lineRule="exact"/>
              <w:rPr>
                <w:sz w:val="20"/>
                <w:szCs w:val="20"/>
                <w:color w:val="auto"/>
              </w:rPr>
            </w:pPr>
            <w:r>
              <w:rPr>
                <w:rFonts w:ascii="Arial" w:cs="Arial" w:eastAsia="Arial" w:hAnsi="Arial"/>
                <w:sz w:val="16"/>
                <w:szCs w:val="16"/>
                <w:color w:val="auto"/>
              </w:rPr>
              <w:t>Performance</w:t>
            </w:r>
          </w:p>
        </w:tc>
        <w:tc>
          <w:tcPr>
            <w:tcW w:w="1780" w:type="dxa"/>
            <w:vAlign w:val="bottom"/>
            <w:shd w:val="clear" w:color="auto" w:fill="E8F0F8"/>
          </w:tcPr>
          <w:p>
            <w:pPr>
              <w:jc w:val="center"/>
              <w:spacing w:after="0" w:line="175" w:lineRule="exact"/>
              <w:rPr>
                <w:sz w:val="20"/>
                <w:szCs w:val="20"/>
                <w:color w:val="auto"/>
              </w:rPr>
            </w:pPr>
            <w:r>
              <w:rPr>
                <w:rFonts w:ascii="Arial" w:cs="Arial" w:eastAsia="Arial" w:hAnsi="Arial"/>
                <w:sz w:val="16"/>
                <w:szCs w:val="16"/>
                <w:color w:val="auto"/>
                <w:w w:val="99"/>
              </w:rPr>
              <w:t>3 years</w:t>
            </w:r>
          </w:p>
        </w:tc>
        <w:tc>
          <w:tcPr>
            <w:tcW w:w="1700" w:type="dxa"/>
            <w:vAlign w:val="bottom"/>
            <w:shd w:val="clear" w:color="auto" w:fill="E8F0F8"/>
          </w:tcPr>
          <w:p>
            <w:pPr>
              <w:jc w:val="center"/>
              <w:spacing w:after="0" w:line="175" w:lineRule="exact"/>
              <w:rPr>
                <w:sz w:val="20"/>
                <w:szCs w:val="20"/>
                <w:color w:val="auto"/>
              </w:rPr>
            </w:pPr>
            <w:r>
              <w:rPr>
                <w:rFonts w:ascii="Arial" w:cs="Arial" w:eastAsia="Arial" w:hAnsi="Arial"/>
                <w:sz w:val="16"/>
                <w:szCs w:val="16"/>
                <w:color w:val="auto"/>
              </w:rPr>
              <w:t>n/a</w:t>
            </w:r>
          </w:p>
        </w:tc>
      </w:tr>
      <w:tr>
        <w:trPr>
          <w:trHeight w:val="251"/>
        </w:trPr>
        <w:tc>
          <w:tcPr>
            <w:tcW w:w="180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Period(s)</w:t>
            </w:r>
          </w:p>
        </w:tc>
        <w:tc>
          <w:tcPr>
            <w:tcW w:w="17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(2022-2024)</w:t>
            </w:r>
          </w:p>
        </w:tc>
        <w:tc>
          <w:tcPr>
            <w:tcW w:w="1700" w:type="dxa"/>
            <w:vAlign w:val="bottom"/>
            <w:tcBorders>
              <w:bottom w:val="single" w:sz="8" w:color="E8F0F8"/>
            </w:tcBorders>
            <w:shd w:val="clear" w:color="auto" w:fill="E8F0F8"/>
          </w:tcPr>
          <w:p>
            <w:pPr>
              <w:spacing w:after="0"/>
              <w:rPr>
                <w:sz w:val="21"/>
                <w:szCs w:val="21"/>
                <w:color w:val="auto"/>
              </w:rPr>
            </w:pPr>
          </w:p>
        </w:tc>
      </w:tr>
      <w:tr>
        <w:trPr>
          <w:trHeight w:val="175"/>
        </w:trPr>
        <w:tc>
          <w:tcPr>
            <w:tcW w:w="1800" w:type="dxa"/>
            <w:vAlign w:val="bottom"/>
            <w:shd w:val="clear" w:color="auto" w:fill="BAD3EA"/>
          </w:tcPr>
          <w:p>
            <w:pPr>
              <w:ind w:left="100"/>
              <w:spacing w:after="0" w:line="175" w:lineRule="exact"/>
              <w:rPr>
                <w:sz w:val="20"/>
                <w:szCs w:val="20"/>
                <w:color w:val="auto"/>
              </w:rPr>
            </w:pPr>
            <w:r>
              <w:rPr>
                <w:rFonts w:ascii="Arial" w:cs="Arial" w:eastAsia="Arial" w:hAnsi="Arial"/>
                <w:sz w:val="16"/>
                <w:szCs w:val="16"/>
                <w:color w:val="auto"/>
              </w:rPr>
              <w:t>Metrics and</w:t>
            </w:r>
          </w:p>
        </w:tc>
        <w:tc>
          <w:tcPr>
            <w:tcW w:w="1780" w:type="dxa"/>
            <w:vAlign w:val="bottom"/>
            <w:shd w:val="clear" w:color="auto" w:fill="BAD3EA"/>
          </w:tcPr>
          <w:p>
            <w:pPr>
              <w:jc w:val="center"/>
              <w:spacing w:after="0" w:line="175" w:lineRule="exact"/>
              <w:rPr>
                <w:sz w:val="20"/>
                <w:szCs w:val="20"/>
                <w:color w:val="auto"/>
              </w:rPr>
            </w:pPr>
            <w:r>
              <w:rPr>
                <w:rFonts w:ascii="Arial" w:cs="Arial" w:eastAsia="Arial" w:hAnsi="Arial"/>
                <w:sz w:val="16"/>
                <w:szCs w:val="16"/>
                <w:color w:val="auto"/>
                <w:w w:val="99"/>
              </w:rPr>
              <w:t>Relative total</w:t>
            </w:r>
          </w:p>
        </w:tc>
        <w:tc>
          <w:tcPr>
            <w:tcW w:w="1700" w:type="dxa"/>
            <w:vAlign w:val="bottom"/>
            <w:shd w:val="clear" w:color="auto" w:fill="BAD3EA"/>
          </w:tcPr>
          <w:p>
            <w:pPr>
              <w:jc w:val="center"/>
              <w:spacing w:after="0" w:line="175" w:lineRule="exact"/>
              <w:rPr>
                <w:sz w:val="20"/>
                <w:szCs w:val="20"/>
                <w:color w:val="auto"/>
              </w:rPr>
            </w:pPr>
            <w:r>
              <w:rPr>
                <w:rFonts w:ascii="Arial" w:cs="Arial" w:eastAsia="Arial" w:hAnsi="Arial"/>
                <w:sz w:val="16"/>
                <w:szCs w:val="16"/>
                <w:color w:val="auto"/>
              </w:rPr>
              <w:t>n/a</w:t>
            </w:r>
          </w:p>
        </w:tc>
      </w:tr>
      <w:tr>
        <w:trPr>
          <w:trHeight w:val="189"/>
        </w:trPr>
        <w:tc>
          <w:tcPr>
            <w:tcW w:w="18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Weighting</w:t>
            </w:r>
          </w:p>
        </w:tc>
        <w:tc>
          <w:tcPr>
            <w:tcW w:w="178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shareholder return</w:t>
            </w:r>
          </w:p>
        </w:tc>
        <w:tc>
          <w:tcPr>
            <w:tcW w:w="1700" w:type="dxa"/>
            <w:vAlign w:val="bottom"/>
            <w:shd w:val="clear" w:color="auto" w:fill="BAD3EA"/>
          </w:tcPr>
          <w:p>
            <w:pPr>
              <w:spacing w:after="0"/>
              <w:rPr>
                <w:sz w:val="16"/>
                <w:szCs w:val="16"/>
                <w:color w:val="auto"/>
              </w:rPr>
            </w:pPr>
          </w:p>
        </w:tc>
      </w:tr>
      <w:tr>
        <w:trPr>
          <w:trHeight w:val="251"/>
        </w:trPr>
        <w:tc>
          <w:tcPr>
            <w:tcW w:w="1800" w:type="dxa"/>
            <w:vAlign w:val="bottom"/>
            <w:tcBorders>
              <w:bottom w:val="single" w:sz="8" w:color="BAD3EA"/>
            </w:tcBorders>
            <w:shd w:val="clear" w:color="auto" w:fill="BAD3EA"/>
          </w:tcPr>
          <w:p>
            <w:pPr>
              <w:spacing w:after="0"/>
              <w:rPr>
                <w:sz w:val="21"/>
                <w:szCs w:val="21"/>
                <w:color w:val="auto"/>
              </w:rPr>
            </w:pPr>
          </w:p>
        </w:tc>
        <w:tc>
          <w:tcPr>
            <w:tcW w:w="17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7"/>
              </w:rPr>
              <w:t>100%</w:t>
            </w:r>
          </w:p>
        </w:tc>
        <w:tc>
          <w:tcPr>
            <w:tcW w:w="1700" w:type="dxa"/>
            <w:vAlign w:val="bottom"/>
            <w:tcBorders>
              <w:bottom w:val="single" w:sz="8" w:color="BAD3EA"/>
            </w:tcBorders>
            <w:shd w:val="clear" w:color="auto" w:fill="BAD3EA"/>
          </w:tcPr>
          <w:p>
            <w:pPr>
              <w:spacing w:after="0"/>
              <w:rPr>
                <w:sz w:val="21"/>
                <w:szCs w:val="21"/>
                <w:color w:val="auto"/>
              </w:rPr>
            </w:pPr>
          </w:p>
        </w:tc>
      </w:tr>
      <w:tr>
        <w:trPr>
          <w:trHeight w:val="175"/>
        </w:trPr>
        <w:tc>
          <w:tcPr>
            <w:tcW w:w="1800" w:type="dxa"/>
            <w:vAlign w:val="bottom"/>
            <w:shd w:val="clear" w:color="auto" w:fill="E8F0F8"/>
          </w:tcPr>
          <w:p>
            <w:pPr>
              <w:ind w:left="80"/>
              <w:spacing w:after="0" w:line="175" w:lineRule="exact"/>
              <w:rPr>
                <w:sz w:val="20"/>
                <w:szCs w:val="20"/>
                <w:color w:val="auto"/>
              </w:rPr>
            </w:pPr>
            <w:r>
              <w:rPr>
                <w:rFonts w:ascii="Arial" w:cs="Arial" w:eastAsia="Arial" w:hAnsi="Arial"/>
                <w:sz w:val="16"/>
                <w:szCs w:val="16"/>
                <w:color w:val="auto"/>
              </w:rPr>
              <w:t>Threshold /</w:t>
            </w:r>
          </w:p>
        </w:tc>
        <w:tc>
          <w:tcPr>
            <w:tcW w:w="1780" w:type="dxa"/>
            <w:vAlign w:val="bottom"/>
            <w:shd w:val="clear" w:color="auto" w:fill="E8F0F8"/>
          </w:tcPr>
          <w:p>
            <w:pPr>
              <w:jc w:val="center"/>
              <w:spacing w:after="0" w:line="175" w:lineRule="exact"/>
              <w:rPr>
                <w:sz w:val="20"/>
                <w:szCs w:val="20"/>
                <w:color w:val="auto"/>
              </w:rPr>
            </w:pPr>
            <w:r>
              <w:rPr>
                <w:rFonts w:ascii="Arial" w:cs="Arial" w:eastAsia="Arial" w:hAnsi="Arial"/>
                <w:sz w:val="16"/>
                <w:szCs w:val="16"/>
                <w:color w:val="auto"/>
              </w:rPr>
              <w:t>50% / 200%</w:t>
            </w:r>
          </w:p>
        </w:tc>
        <w:tc>
          <w:tcPr>
            <w:tcW w:w="1700" w:type="dxa"/>
            <w:vAlign w:val="bottom"/>
            <w:shd w:val="clear" w:color="auto" w:fill="E8F0F8"/>
          </w:tcPr>
          <w:p>
            <w:pPr>
              <w:jc w:val="center"/>
              <w:spacing w:after="0" w:line="175" w:lineRule="exact"/>
              <w:rPr>
                <w:sz w:val="20"/>
                <w:szCs w:val="20"/>
                <w:color w:val="auto"/>
              </w:rPr>
            </w:pPr>
            <w:r>
              <w:rPr>
                <w:rFonts w:ascii="Arial" w:cs="Arial" w:eastAsia="Arial" w:hAnsi="Arial"/>
                <w:sz w:val="16"/>
                <w:szCs w:val="16"/>
                <w:color w:val="auto"/>
              </w:rPr>
              <w:t>n/a</w:t>
            </w:r>
          </w:p>
        </w:tc>
      </w:tr>
      <w:tr>
        <w:trPr>
          <w:trHeight w:val="189"/>
        </w:trPr>
        <w:tc>
          <w:tcPr>
            <w:tcW w:w="18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Maximum Payout</w:t>
            </w:r>
          </w:p>
        </w:tc>
        <w:tc>
          <w:tcPr>
            <w:tcW w:w="1780" w:type="dxa"/>
            <w:vAlign w:val="bottom"/>
            <w:shd w:val="clear" w:color="auto" w:fill="E8F0F8"/>
          </w:tcPr>
          <w:p>
            <w:pPr>
              <w:spacing w:after="0"/>
              <w:rPr>
                <w:sz w:val="16"/>
                <w:szCs w:val="16"/>
                <w:color w:val="auto"/>
              </w:rPr>
            </w:pPr>
          </w:p>
        </w:tc>
        <w:tc>
          <w:tcPr>
            <w:tcW w:w="1700" w:type="dxa"/>
            <w:vAlign w:val="bottom"/>
            <w:shd w:val="clear" w:color="auto" w:fill="E8F0F8"/>
          </w:tcPr>
          <w:p>
            <w:pPr>
              <w:spacing w:after="0"/>
              <w:rPr>
                <w:sz w:val="16"/>
                <w:szCs w:val="16"/>
                <w:color w:val="auto"/>
              </w:rPr>
            </w:pPr>
          </w:p>
        </w:tc>
      </w:tr>
      <w:tr>
        <w:trPr>
          <w:trHeight w:val="251"/>
        </w:trPr>
        <w:tc>
          <w:tcPr>
            <w:tcW w:w="180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 of Target Award)</w:t>
            </w:r>
          </w:p>
        </w:tc>
        <w:tc>
          <w:tcPr>
            <w:tcW w:w="1780" w:type="dxa"/>
            <w:vAlign w:val="bottom"/>
            <w:tcBorders>
              <w:bottom w:val="single" w:sz="8" w:color="E8F0F8"/>
            </w:tcBorders>
            <w:shd w:val="clear" w:color="auto" w:fill="E8F0F8"/>
          </w:tcPr>
          <w:p>
            <w:pPr>
              <w:spacing w:after="0"/>
              <w:rPr>
                <w:sz w:val="21"/>
                <w:szCs w:val="21"/>
                <w:color w:val="auto"/>
              </w:rPr>
            </w:pPr>
          </w:p>
        </w:tc>
        <w:tc>
          <w:tcPr>
            <w:tcW w:w="1700" w:type="dxa"/>
            <w:vAlign w:val="bottom"/>
            <w:tcBorders>
              <w:bottom w:val="single" w:sz="8" w:color="E8F0F8"/>
            </w:tcBorders>
            <w:shd w:val="clear" w:color="auto" w:fill="E8F0F8"/>
          </w:tcPr>
          <w:p>
            <w:pPr>
              <w:spacing w:after="0"/>
              <w:rPr>
                <w:sz w:val="21"/>
                <w:szCs w:val="21"/>
                <w:color w:val="auto"/>
              </w:rPr>
            </w:pPr>
          </w:p>
        </w:tc>
      </w:tr>
      <w:tr>
        <w:trPr>
          <w:trHeight w:val="175"/>
        </w:trPr>
        <w:tc>
          <w:tcPr>
            <w:tcW w:w="1800" w:type="dxa"/>
            <w:vAlign w:val="bottom"/>
            <w:shd w:val="clear" w:color="auto" w:fill="BAD3EA"/>
          </w:tcPr>
          <w:p>
            <w:pPr>
              <w:ind w:left="100"/>
              <w:spacing w:after="0" w:line="175" w:lineRule="exact"/>
              <w:rPr>
                <w:sz w:val="20"/>
                <w:szCs w:val="20"/>
                <w:color w:val="auto"/>
              </w:rPr>
            </w:pPr>
            <w:r>
              <w:rPr>
                <w:rFonts w:ascii="Arial" w:cs="Arial" w:eastAsia="Arial" w:hAnsi="Arial"/>
                <w:sz w:val="16"/>
                <w:szCs w:val="16"/>
                <w:color w:val="auto"/>
              </w:rPr>
              <w:t>Vesting</w:t>
            </w:r>
          </w:p>
        </w:tc>
        <w:tc>
          <w:tcPr>
            <w:tcW w:w="1780" w:type="dxa"/>
            <w:vAlign w:val="bottom"/>
            <w:shd w:val="clear" w:color="auto" w:fill="BAD3EA"/>
          </w:tcPr>
          <w:p>
            <w:pPr>
              <w:jc w:val="center"/>
              <w:spacing w:after="0" w:line="175" w:lineRule="exact"/>
              <w:rPr>
                <w:sz w:val="20"/>
                <w:szCs w:val="20"/>
                <w:color w:val="auto"/>
              </w:rPr>
            </w:pPr>
            <w:r>
              <w:rPr>
                <w:rFonts w:ascii="Arial" w:cs="Arial" w:eastAsia="Arial" w:hAnsi="Arial"/>
                <w:sz w:val="16"/>
                <w:szCs w:val="16"/>
                <w:color w:val="auto"/>
              </w:rPr>
              <w:t>3-year Cliff Vesting</w:t>
            </w:r>
          </w:p>
        </w:tc>
        <w:tc>
          <w:tcPr>
            <w:tcW w:w="1700" w:type="dxa"/>
            <w:vAlign w:val="bottom"/>
            <w:shd w:val="clear" w:color="auto" w:fill="BAD3EA"/>
          </w:tcPr>
          <w:p>
            <w:pPr>
              <w:jc w:val="center"/>
              <w:spacing w:after="0" w:line="175" w:lineRule="exact"/>
              <w:rPr>
                <w:sz w:val="20"/>
                <w:szCs w:val="20"/>
                <w:color w:val="auto"/>
              </w:rPr>
            </w:pPr>
            <w:r>
              <w:rPr>
                <w:rFonts w:ascii="Arial" w:cs="Arial" w:eastAsia="Arial" w:hAnsi="Arial"/>
                <w:sz w:val="16"/>
                <w:szCs w:val="16"/>
                <w:color w:val="auto"/>
              </w:rPr>
              <w:t>Annual Ratable</w:t>
            </w:r>
          </w:p>
        </w:tc>
      </w:tr>
      <w:tr>
        <w:trPr>
          <w:trHeight w:val="189"/>
        </w:trPr>
        <w:tc>
          <w:tcPr>
            <w:tcW w:w="1800" w:type="dxa"/>
            <w:vAlign w:val="bottom"/>
            <w:shd w:val="clear" w:color="auto" w:fill="BAD3EA"/>
          </w:tcPr>
          <w:p>
            <w:pPr>
              <w:spacing w:after="0"/>
              <w:rPr>
                <w:sz w:val="16"/>
                <w:szCs w:val="16"/>
                <w:color w:val="auto"/>
              </w:rPr>
            </w:pPr>
          </w:p>
        </w:tc>
        <w:tc>
          <w:tcPr>
            <w:tcW w:w="1780" w:type="dxa"/>
            <w:vAlign w:val="bottom"/>
            <w:shd w:val="clear" w:color="auto" w:fill="BAD3EA"/>
          </w:tcPr>
          <w:p>
            <w:pPr>
              <w:spacing w:after="0"/>
              <w:rPr>
                <w:sz w:val="16"/>
                <w:szCs w:val="16"/>
                <w:color w:val="auto"/>
              </w:rPr>
            </w:pPr>
          </w:p>
        </w:tc>
        <w:tc>
          <w:tcPr>
            <w:tcW w:w="170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Vesting over 3 years</w:t>
            </w:r>
          </w:p>
        </w:tc>
      </w:tr>
      <w:tr>
        <w:trPr>
          <w:trHeight w:val="215"/>
        </w:trPr>
        <w:tc>
          <w:tcPr>
            <w:tcW w:w="1800" w:type="dxa"/>
            <w:vAlign w:val="bottom"/>
            <w:shd w:val="clear" w:color="auto" w:fill="BAD3EA"/>
          </w:tcPr>
          <w:p>
            <w:pPr>
              <w:spacing w:after="0"/>
              <w:rPr>
                <w:sz w:val="18"/>
                <w:szCs w:val="18"/>
                <w:color w:val="auto"/>
              </w:rPr>
            </w:pPr>
          </w:p>
        </w:tc>
        <w:tc>
          <w:tcPr>
            <w:tcW w:w="1780" w:type="dxa"/>
            <w:vAlign w:val="bottom"/>
            <w:shd w:val="clear" w:color="auto" w:fill="BAD3EA"/>
          </w:tcPr>
          <w:p>
            <w:pPr>
              <w:spacing w:after="0"/>
              <w:rPr>
                <w:sz w:val="18"/>
                <w:szCs w:val="18"/>
                <w:color w:val="auto"/>
              </w:rPr>
            </w:pPr>
          </w:p>
        </w:tc>
        <w:tc>
          <w:tcPr>
            <w:tcW w:w="170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(1/3 per year)</w:t>
            </w:r>
          </w:p>
        </w:tc>
      </w:tr>
      <w:tr>
        <w:trPr>
          <w:trHeight w:val="56"/>
        </w:trPr>
        <w:tc>
          <w:tcPr>
            <w:tcW w:w="1800" w:type="dxa"/>
            <w:vAlign w:val="bottom"/>
            <w:shd w:val="clear" w:color="auto" w:fill="BAD3EA"/>
          </w:tcPr>
          <w:p>
            <w:pPr>
              <w:spacing w:after="0"/>
              <w:rPr>
                <w:sz w:val="4"/>
                <w:szCs w:val="4"/>
                <w:color w:val="auto"/>
              </w:rPr>
            </w:pPr>
          </w:p>
        </w:tc>
        <w:tc>
          <w:tcPr>
            <w:tcW w:w="1780" w:type="dxa"/>
            <w:vAlign w:val="bottom"/>
            <w:shd w:val="clear" w:color="auto" w:fill="BAD3EA"/>
          </w:tcPr>
          <w:p>
            <w:pPr>
              <w:spacing w:after="0"/>
              <w:rPr>
                <w:sz w:val="4"/>
                <w:szCs w:val="4"/>
                <w:color w:val="auto"/>
              </w:rPr>
            </w:pPr>
          </w:p>
        </w:tc>
        <w:tc>
          <w:tcPr>
            <w:tcW w:w="1700" w:type="dxa"/>
            <w:vAlign w:val="bottom"/>
            <w:shd w:val="clear" w:color="auto" w:fill="BAD3EA"/>
          </w:tcPr>
          <w:p>
            <w:pPr>
              <w:spacing w:after="0"/>
              <w:rPr>
                <w:sz w:val="4"/>
                <w:szCs w:val="4"/>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Total Target Direct Compensation and Realizable Pay</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to better align pay with market by focusing on core compensation elements as well as the intended target value and actual value of these awards consistent with our pay-for-performance philosophy.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 example, Mr. Vounatsos’ 2021 total target direct compensation was</w:t>
      </w:r>
    </w:p>
    <w:p>
      <w:pPr>
        <w:spacing w:after="0" w:line="2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$16.34 million, comprised of $1.54 million base salary, $2.31 million target bonus (150% of base salary) and $12.5 million target LTI award value. As of December 31, 2021, Mr. Vounatsos’ realizable pay was calculated at $13.25 million, which reflects 81% of the target intended value to be delivered, and is comprised of $1.54 million base salary, $1.15 million actual bonus payout and $10.56 million LTI award tracking value (numbers may not recalculate based on rounding). The LTI value in the Summary Compensation Table differs from our C&amp;MD Committee approved target value for 2021 because of the valuation methodology used for accounting purposes in reporting the grant date fair value of equity awards. This valuation is done in accordance with ASC 718. Because incentive compensation makes up such a large portion of compensation for our NEOs, we believe tracking the actual payout and potential realizable value of awards compared to the intended target value to be delivered can help ensure our performance-based incentives and overall compensation are aligned with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Retirement Plans</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maintain a tax-qualified 401(k) plan, as well as a Supplemental Savings Plan (SSP), which is a non-qualified deferred compensation plan covering our executive officers and other eligible employees in the U.S. We offer the SSP as part of the retirement savings component of our benefits program. We designed the SSP to be competitive with the non-qualified deferred compensation plans offered by companies in our peer group the time it was adopted. Details of the SSP are discussed under the heading “2021 Non-Qualified Deferred Compensation” below.</w:t>
      </w:r>
    </w:p>
    <w:p>
      <w:pPr>
        <w:spacing w:after="0" w:line="181"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6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As part of its review of our NEOs’ compensation, our C&amp;MD Committee considers total target direct compensation as well as realizable pay. Total target direct compensation refers to the sum of salary, target bonus and target LTI awards. Realizable pay refers to the sum of salary, actual bonus and the tracked potential payout value of LTI awards, including performance criteria and stock price. Other elements such as changes in pension value and nonqualified deferred compensation earnings, shown in the Summary Compensation Table, are not considered in these analyses because they are program-based benefits whose plan designs are not typically subject to annual change. Our C&amp;MD Committee believes these assessments can be used</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58 </w:t>
      </w:r>
      <w:r>
        <w:rPr>
          <w:sz w:val="1"/>
          <w:szCs w:val="1"/>
          <w:color w:val="auto"/>
        </w:rPr>
        <w:drawing>
          <wp:inline distT="0" distB="0" distL="0" distR="0">
            <wp:extent cx="38735" cy="19685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A6DBB"/>
        </w:rPr>
        <w:t>Other Benefits</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In addition to eligibility for the benefit programs generally provided to all employees, such as our employee stock purchase plan, 401(k) plan and medical, dental, vision, life and disability insurance, we provide certain supplemental benefits to our executives. These benefits include: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Life Insurance</w:t>
      </w:r>
    </w:p>
    <w:p>
      <w:pPr>
        <w:spacing w:after="0" w:line="1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All of our U.S. executives, including our NEOs, receive Company-paid term life insurance equal to three times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382270</wp:posOffset>
            </wp:positionV>
            <wp:extent cx="102870" cy="9398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40" w:space="400"/>
            <w:col w:w="5380"/>
          </w:cols>
          <w:pgMar w:left="320" w:top="455" w:right="4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base salary, up to a maximum benefit amount. In 2021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maximum benefit amount for the CEO was $1.5 million and was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$2.25 million for the other NEOs. Employees who are not executives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 Company-paid term life insurance equal to two times their annual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base salary. The additional value of Company-provided life insurance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officers reflects competitive practices and is consistent with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philosophy to provide appropriate levels of financial security for our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employees based on their positions within the Company. The cost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Company-paid life insurance in excess of a $50,000 insurance level is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taxable income to U.S. employees and is not grossed up by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further encourages effective leadership in the closing and integration of significant transactions affecting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Stock Ownership Guidelines</w:t>
      </w:r>
    </w:p>
    <w:p>
      <w:pPr>
        <w:spacing w:after="0" w:line="108"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We maintain stock ownership guidelines for our executive officers to strengthen and reinforce the link our compensation programs create between our executives and our stockholders. A summary of our stock ownership guidelines is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shd w:val="clear" w:color="auto" w:fill="1A6DBB"/>
          </w:tcPr>
          <w:p>
            <w:pPr>
              <w:spacing w:after="0"/>
              <w:rPr>
                <w:sz w:val="14"/>
                <w:szCs w:val="14"/>
                <w:color w:val="auto"/>
              </w:rPr>
            </w:pPr>
          </w:p>
        </w:tc>
        <w:tc>
          <w:tcPr>
            <w:tcW w:w="1740" w:type="dxa"/>
            <w:vAlign w:val="bottom"/>
            <w:shd w:val="clear" w:color="auto" w:fill="1A6DBB"/>
          </w:tcPr>
          <w:p>
            <w:pPr>
              <w:jc w:val="center"/>
              <w:ind w:left="168"/>
              <w:spacing w:after="0"/>
              <w:rPr>
                <w:sz w:val="20"/>
                <w:szCs w:val="20"/>
                <w:color w:val="auto"/>
              </w:rPr>
            </w:pPr>
            <w:r>
              <w:rPr>
                <w:rFonts w:ascii="Arial" w:cs="Arial" w:eastAsia="Arial" w:hAnsi="Arial"/>
                <w:sz w:val="14"/>
                <w:szCs w:val="14"/>
                <w:color w:val="FFFFFF"/>
              </w:rPr>
              <w:t>Number of Shares</w:t>
            </w:r>
          </w:p>
        </w:tc>
      </w:tr>
      <w:tr>
        <w:trPr>
          <w:trHeight w:val="192"/>
        </w:trPr>
        <w:tc>
          <w:tcPr>
            <w:tcW w:w="36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Level</w:t>
            </w:r>
          </w:p>
        </w:tc>
        <w:tc>
          <w:tcPr>
            <w:tcW w:w="1740" w:type="dxa"/>
            <w:vAlign w:val="bottom"/>
            <w:tcBorders>
              <w:bottom w:val="single" w:sz="8" w:color="E8F0F8"/>
            </w:tcBorders>
            <w:shd w:val="clear" w:color="auto" w:fill="1A6DBB"/>
          </w:tcPr>
          <w:p>
            <w:pPr>
              <w:jc w:val="center"/>
              <w:ind w:left="168"/>
              <w:spacing w:after="0"/>
              <w:rPr>
                <w:sz w:val="20"/>
                <w:szCs w:val="20"/>
                <w:color w:val="auto"/>
              </w:rPr>
            </w:pPr>
            <w:r>
              <w:rPr>
                <w:rFonts w:ascii="Arial" w:cs="Arial" w:eastAsia="Arial" w:hAnsi="Arial"/>
                <w:sz w:val="14"/>
                <w:szCs w:val="14"/>
                <w:color w:val="FFFFFF"/>
              </w:rPr>
              <w:t>Equal in Value to:</w:t>
            </w:r>
          </w:p>
        </w:tc>
      </w:tr>
    </w:tbl>
    <w:p>
      <w:pPr>
        <w:spacing w:after="0" w:line="20" w:lineRule="exact"/>
        <w:rPr>
          <w:sz w:val="20"/>
          <w:szCs w:val="20"/>
          <w:color w:val="auto"/>
        </w:rPr>
      </w:pPr>
    </w:p>
    <w:p>
      <w:pPr>
        <w:sectPr>
          <w:pgSz w:w="11900" w:h="16838" w:orient="portrait"/>
          <w:cols w:equalWidth="0" w:num="2">
            <w:col w:w="5360" w:space="380"/>
            <w:col w:w="5400"/>
          </w:cols>
          <w:pgMar w:left="320" w:top="455" w:right="439" w:bottom="1440" w:gutter="0" w:footer="0" w:header="0"/>
          <w:type w:val="continuous"/>
        </w:sectPr>
      </w:pP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Executive Physicals, Tax Preparation, Financial and Estate Planning</w:t>
      </w:r>
    </w:p>
    <w:p>
      <w:pPr>
        <w:spacing w:after="0" w:line="111"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Our executive officers, other than our CEO, are eligible for reimbursement of expenses incurred for tax preparation and financial and estate planning services as well as the purchase of tax preparation and financial planning software, subject to annual expense limits of $7,500 for Executive Vice Presidents. Such reimbursements are taxable income to our executives and are not grossed up.</w:t>
      </w:r>
    </w:p>
    <w:p>
      <w:pPr>
        <w:spacing w:after="0" w:line="74"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All of our executive officers, including our CEO, are eligible for reimbursement for the cost of their executive physicals, subject to the annual expense limits noted above of $7,500 for our Executive Vice Presidents and CEO. This benefit provides our executives with additional flexibility to proactively manage their health and wellness.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Relocation Expenses</w:t>
      </w:r>
    </w:p>
    <w:p>
      <w:pPr>
        <w:spacing w:after="0" w:line="111"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6"/>
          <w:szCs w:val="16"/>
          <w:color w:val="auto"/>
        </w:rPr>
        <w:t>Under our Executive Relocation Policy, we will, in certain circumstances, provide relocation benefits when employees first join us. Mr. McDonnell was eligible for benefits under this policy during 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Post-Termination Compensation and Benefits</w:t>
      </w:r>
    </w:p>
    <w:p>
      <w:pPr>
        <w:spacing w:after="0" w:line="10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We provide severance benefits to all of our executive officers if their employment is terminated without cause or in certain other circumstances. The terms of these arrangements and the amounts payable under them are described below for each NEO under the heading “Potential Payments Upon Termination or Change in Control.” We provide these benefits because we believe that severance protection is necessary to help our executives maintain their focus on the best interests of the Company when providing advice to the Company and when making strategic decisions about a potential corporate transaction or change in control, and</w:t>
      </w:r>
    </w:p>
    <w:p>
      <w:pPr>
        <w:spacing w:after="0" w:line="259"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59 </w:t>
      </w:r>
      <w:r>
        <w:rPr>
          <w:sz w:val="1"/>
          <w:szCs w:val="1"/>
          <w:color w:val="auto"/>
        </w:rPr>
        <w:drawing>
          <wp:inline distT="0" distB="0" distL="0" distR="0">
            <wp:extent cx="38735" cy="19685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660" w:type="dxa"/>
            <w:vAlign w:val="bottom"/>
            <w:shd w:val="clear" w:color="auto" w:fill="E8F0F8"/>
          </w:tcPr>
          <w:p>
            <w:pPr>
              <w:ind w:left="80"/>
              <w:spacing w:after="0"/>
              <w:rPr>
                <w:sz w:val="20"/>
                <w:szCs w:val="20"/>
                <w:color w:val="auto"/>
              </w:rPr>
            </w:pPr>
            <w:r>
              <w:rPr>
                <w:rFonts w:ascii="Arial" w:cs="Arial" w:eastAsia="Arial" w:hAnsi="Arial"/>
                <w:sz w:val="16"/>
                <w:szCs w:val="16"/>
                <w:color w:val="auto"/>
              </w:rPr>
              <w:t>CEO</w:t>
            </w:r>
          </w:p>
        </w:tc>
        <w:tc>
          <w:tcPr>
            <w:tcW w:w="1740" w:type="dxa"/>
            <w:vAlign w:val="bottom"/>
            <w:shd w:val="clear" w:color="auto" w:fill="E8F0F8"/>
          </w:tcPr>
          <w:p>
            <w:pPr>
              <w:ind w:left="460"/>
              <w:spacing w:after="0"/>
              <w:rPr>
                <w:sz w:val="20"/>
                <w:szCs w:val="20"/>
                <w:color w:val="auto"/>
              </w:rPr>
            </w:pPr>
            <w:r>
              <w:rPr>
                <w:rFonts w:ascii="Arial" w:cs="Arial" w:eastAsia="Arial" w:hAnsi="Arial"/>
                <w:sz w:val="16"/>
                <w:szCs w:val="16"/>
                <w:color w:val="auto"/>
              </w:rPr>
              <w:t>6x base salary</w:t>
            </w:r>
          </w:p>
        </w:tc>
      </w:tr>
      <w:tr>
        <w:trPr>
          <w:trHeight w:val="228"/>
        </w:trPr>
        <w:tc>
          <w:tcPr>
            <w:tcW w:w="3660" w:type="dxa"/>
            <w:vAlign w:val="bottom"/>
            <w:shd w:val="clear" w:color="auto" w:fill="BAD3EA"/>
          </w:tcPr>
          <w:p>
            <w:pPr>
              <w:ind w:left="80"/>
              <w:spacing w:after="0"/>
              <w:rPr>
                <w:sz w:val="20"/>
                <w:szCs w:val="20"/>
                <w:color w:val="auto"/>
              </w:rPr>
            </w:pPr>
            <w:r>
              <w:rPr>
                <w:rFonts w:ascii="Arial" w:cs="Arial" w:eastAsia="Arial" w:hAnsi="Arial"/>
                <w:sz w:val="16"/>
                <w:szCs w:val="16"/>
                <w:color w:val="auto"/>
              </w:rPr>
              <w:t>Executive Vice Presidents</w:t>
            </w:r>
          </w:p>
        </w:tc>
        <w:tc>
          <w:tcPr>
            <w:tcW w:w="1740" w:type="dxa"/>
            <w:vAlign w:val="bottom"/>
            <w:shd w:val="clear" w:color="auto" w:fill="BAD3EA"/>
          </w:tcPr>
          <w:p>
            <w:pPr>
              <w:ind w:left="460"/>
              <w:spacing w:after="0"/>
              <w:rPr>
                <w:sz w:val="20"/>
                <w:szCs w:val="20"/>
                <w:color w:val="auto"/>
              </w:rPr>
            </w:pPr>
            <w:r>
              <w:rPr>
                <w:rFonts w:ascii="Arial" w:cs="Arial" w:eastAsia="Arial" w:hAnsi="Arial"/>
                <w:sz w:val="16"/>
                <w:szCs w:val="16"/>
                <w:color w:val="auto"/>
              </w:rPr>
              <w:t>3x base salary</w:t>
            </w:r>
          </w:p>
        </w:tc>
      </w:tr>
      <w:tr>
        <w:trPr>
          <w:trHeight w:val="29"/>
        </w:trPr>
        <w:tc>
          <w:tcPr>
            <w:tcW w:w="3660" w:type="dxa"/>
            <w:vAlign w:val="bottom"/>
            <w:shd w:val="clear" w:color="auto" w:fill="BAD3EA"/>
          </w:tcPr>
          <w:p>
            <w:pPr>
              <w:spacing w:after="0"/>
              <w:rPr>
                <w:sz w:val="2"/>
                <w:szCs w:val="2"/>
                <w:color w:val="auto"/>
              </w:rPr>
            </w:pPr>
          </w:p>
        </w:tc>
        <w:tc>
          <w:tcPr>
            <w:tcW w:w="1740" w:type="dxa"/>
            <w:vAlign w:val="bottom"/>
            <w:shd w:val="clear" w:color="auto" w:fill="BAD3EA"/>
          </w:tcPr>
          <w:p>
            <w:pPr>
              <w:spacing w:after="0"/>
              <w:rPr>
                <w:sz w:val="2"/>
                <w:szCs w:val="2"/>
                <w:color w:val="auto"/>
              </w:rPr>
            </w:pPr>
          </w:p>
        </w:tc>
      </w:tr>
    </w:tbl>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Executive officers have five years from their initial appointment to meet this requirement. In the event the requirement is not met within that time, 100% of vested shares received in respect of LTI awards are required to be held until the requirement is satisfied. Only stock owned outright and underlying vested or earned performance-based equity awards is credited toward the stock ownership requirement. Shares underlying unvested or unearned performance-based equity awards are not included in the calculation. All of our executive officers currently meet the stock ownership requirement or are still within the five-year period to meet such requirement.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Recoupment of Compensation</w:t>
      </w:r>
    </w:p>
    <w:p>
      <w:pPr>
        <w:spacing w:after="0" w:line="10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may recover compensation from our employees, including our executive officers, who engage in detrimental or competitive activity. Detrimental activity includes any action or failure to act that constitutes financial malfeasance that is materially injurious to the Company, violates our Code of Business Conduct (Values in Action), results in a restatement of our earnings or financial results or results in a violation or breach of law or contract. Competitive activity includes any action or failure to act that violates non-disclosure, non-competition and/or non-solicitation agreements. Our 2021 Performance-Based Management Incentive Plan allows for the forfeiture and/or repayment of cash-based awards, and our 2008 Omnibus Equity Plan and our 2017 Omnibus Equity Plan each allow for the cancellation of LTI awards in these circumstances as well as the forfeiture of stock or cash acquired upon vesting or sale of LTI awards. In addition, cash sign-on bonuses paid to our NEOs may be subject to repayment if the NEO voluntarily resigns from the Company or if his or her employment is terminated by the Company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384175</wp:posOffset>
            </wp:positionV>
            <wp:extent cx="102870" cy="946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80" w:space="360"/>
            <w:col w:w="5400"/>
          </w:cols>
          <w:pgMar w:left="320" w:top="455" w:right="4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Insider Trading, Hedging and Pledging Policy Prohibitions</w:t>
      </w:r>
    </w:p>
    <w:p>
      <w:pPr>
        <w:spacing w:after="0" w:line="108"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We maintain a Global Insider Trading and Information Policy that prohibits our employees, officers, temporary staff and directors, members of their immediate family and family trusts (or similar entities) controlled by or benefitting such persons from, among other things, engaging in hedging or derivative or similar transactions with respect to the Company’s equity securities, including, purchases or sales of puts and calls, options, forward contracts, put and call collars, equity or performance swap or exchange fund agreements, or any similar agreements or arrangements, purchasing Company stock on margin, borrowing against any account in which Company securities are held, pledging Company securities as collateral for a loan or engaging in short sales of the Company’s securities. No categories of hedging transactions are specifically permitted by our Global Insider Trading and Information Policy and those that are specifically prohibited are noted above.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Tax-Deductibility of Compensation</w:t>
      </w:r>
    </w:p>
    <w:p>
      <w:pPr>
        <w:spacing w:after="0" w:line="10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Section 162(m) of the Internal Revenue Code generally limits the amount a company may deduct for compensation in excess of $1.0 million paid to certain “covered employees,” subject to certain transition relief applicable to certain arrangements in place as of November 2, 2017, and not materially modified after such date.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60 </w:t>
      </w:r>
      <w:r>
        <w:rPr>
          <w:sz w:val="1"/>
          <w:szCs w:val="1"/>
          <w:color w:val="auto"/>
        </w:rPr>
        <w:drawing>
          <wp:inline distT="0" distB="0" distL="0" distR="0">
            <wp:extent cx="38735" cy="19685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C&amp;MD Committee regularly reviews the provisions of our plans and programs, works with its independent compensation consultant and reviews and considers, among other things, the tax deductibility of compensation payments. Our C&amp;MD Committee, however, believes that compensation programs that attract, retain and reward executive talent and achievement are necessary for our success and, therefore, are in the best interests of the Company and our stockholders without regard to the potential deductibility of the compensation payable under such programs. Consequently, our C&amp;MD Committee will pay or provide, and has paid or provided, compensation that is not tax deductible in whole or in part.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Compensation Committee Report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C&amp;MD Committee furnishes the following report:</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C&amp;MD Committee has reviewed and discussed the CD&amp;A with Biogen management. Based on this review and discussion, the C&amp;MD Committee recommended to the Board of Directors that the CD&amp;A be included in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Brian S. Posner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Maria C. Freire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William D. Jones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Richard C.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293370</wp:posOffset>
            </wp:positionV>
            <wp:extent cx="102870" cy="946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400" w:space="340"/>
            <w:col w:w="5380"/>
          </w:cols>
          <w:pgMar w:left="320" w:top="455" w:right="4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26"/>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Summary Compensation Table</w:t>
      </w:r>
    </w:p>
    <w:p>
      <w:pPr>
        <w:spacing w:after="0" w:line="108"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color w:val="auto"/>
        </w:rPr>
        <w:t>The following table shows the compensation paid to or earned by our NEOs during the years ended December 31, 2021, December 31, 2020, and December 31, 2019, for the year(s) in which they were a named executive officer.</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350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660" w:type="dxa"/>
            <w:vAlign w:val="bottom"/>
            <w:shd w:val="clear" w:color="auto" w:fill="1A6DBB"/>
          </w:tcPr>
          <w:p>
            <w:pPr>
              <w:spacing w:after="0"/>
              <w:rPr>
                <w:sz w:val="14"/>
                <w:szCs w:val="14"/>
                <w:color w:val="auto"/>
              </w:rPr>
            </w:pP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Change in</w:t>
            </w:r>
          </w:p>
        </w:tc>
        <w:tc>
          <w:tcPr>
            <w:tcW w:w="60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r>
      <w:tr>
        <w:trPr>
          <w:trHeight w:val="162"/>
        </w:trPr>
        <w:tc>
          <w:tcPr>
            <w:tcW w:w="350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660" w:type="dxa"/>
            <w:vAlign w:val="bottom"/>
            <w:shd w:val="clear" w:color="auto" w:fill="1A6DBB"/>
          </w:tcPr>
          <w:p>
            <w:pPr>
              <w:spacing w:after="0"/>
              <w:rPr>
                <w:sz w:val="14"/>
                <w:szCs w:val="14"/>
                <w:color w:val="auto"/>
              </w:rPr>
            </w:pP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Pension</w:t>
            </w:r>
          </w:p>
        </w:tc>
        <w:tc>
          <w:tcPr>
            <w:tcW w:w="60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r>
      <w:tr>
        <w:trPr>
          <w:trHeight w:val="162"/>
        </w:trPr>
        <w:tc>
          <w:tcPr>
            <w:tcW w:w="350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660" w:type="dxa"/>
            <w:vAlign w:val="bottom"/>
            <w:shd w:val="clear" w:color="auto" w:fill="1A6DBB"/>
          </w:tcPr>
          <w:p>
            <w:pPr>
              <w:spacing w:after="0"/>
              <w:rPr>
                <w:sz w:val="14"/>
                <w:szCs w:val="14"/>
                <w:color w:val="auto"/>
              </w:rPr>
            </w:pP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Value and</w:t>
            </w:r>
          </w:p>
        </w:tc>
        <w:tc>
          <w:tcPr>
            <w:tcW w:w="60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r>
      <w:tr>
        <w:trPr>
          <w:trHeight w:val="162"/>
        </w:trPr>
        <w:tc>
          <w:tcPr>
            <w:tcW w:w="350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660" w:type="dxa"/>
            <w:vAlign w:val="bottom"/>
            <w:shd w:val="clear" w:color="auto" w:fill="1A6DBB"/>
          </w:tcPr>
          <w:p>
            <w:pPr>
              <w:spacing w:after="0"/>
              <w:rPr>
                <w:sz w:val="14"/>
                <w:szCs w:val="14"/>
                <w:color w:val="auto"/>
              </w:rPr>
            </w:pP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Nonqualified</w:t>
            </w:r>
          </w:p>
        </w:tc>
        <w:tc>
          <w:tcPr>
            <w:tcW w:w="60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r>
      <w:tr>
        <w:trPr>
          <w:trHeight w:val="162"/>
        </w:trPr>
        <w:tc>
          <w:tcPr>
            <w:tcW w:w="350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spacing w:after="0"/>
              <w:rPr>
                <w:sz w:val="14"/>
                <w:szCs w:val="14"/>
                <w:color w:val="auto"/>
              </w:rPr>
            </w:pPr>
          </w:p>
        </w:tc>
        <w:tc>
          <w:tcPr>
            <w:tcW w:w="11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Non-Equity</w:t>
            </w: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Deferred</w:t>
            </w:r>
          </w:p>
        </w:tc>
        <w:tc>
          <w:tcPr>
            <w:tcW w:w="600" w:type="dxa"/>
            <w:vAlign w:val="bottom"/>
            <w:shd w:val="clear" w:color="auto" w:fill="1A6DBB"/>
          </w:tcPr>
          <w:p>
            <w:pPr>
              <w:spacing w:after="0"/>
              <w:rPr>
                <w:sz w:val="14"/>
                <w:szCs w:val="14"/>
                <w:color w:val="auto"/>
              </w:rPr>
            </w:pPr>
          </w:p>
        </w:tc>
        <w:tc>
          <w:tcPr>
            <w:tcW w:w="5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r>
      <w:tr>
        <w:trPr>
          <w:trHeight w:val="162"/>
        </w:trPr>
        <w:tc>
          <w:tcPr>
            <w:tcW w:w="350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jc w:val="center"/>
              <w:ind w:right="68"/>
              <w:spacing w:after="0"/>
              <w:rPr>
                <w:sz w:val="20"/>
                <w:szCs w:val="20"/>
                <w:color w:val="auto"/>
              </w:rPr>
            </w:pPr>
            <w:r>
              <w:rPr>
                <w:rFonts w:ascii="Arial" w:cs="Arial" w:eastAsia="Arial" w:hAnsi="Arial"/>
                <w:sz w:val="14"/>
                <w:szCs w:val="14"/>
                <w:color w:val="FFFFFF"/>
              </w:rPr>
              <w:t>Stock</w:t>
            </w:r>
          </w:p>
        </w:tc>
        <w:tc>
          <w:tcPr>
            <w:tcW w:w="11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Incentive Plan</w:t>
            </w: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Compensation</w:t>
            </w:r>
          </w:p>
        </w:tc>
        <w:tc>
          <w:tcPr>
            <w:tcW w:w="1120" w:type="dxa"/>
            <w:vAlign w:val="bottom"/>
            <w:gridSpan w:val="2"/>
            <w:shd w:val="clear" w:color="auto" w:fill="1A6DBB"/>
          </w:tcPr>
          <w:p>
            <w:pPr>
              <w:jc w:val="right"/>
              <w:ind w:right="188"/>
              <w:spacing w:after="0"/>
              <w:rPr>
                <w:sz w:val="20"/>
                <w:szCs w:val="20"/>
                <w:color w:val="auto"/>
              </w:rPr>
            </w:pPr>
            <w:r>
              <w:rPr>
                <w:rFonts w:ascii="Arial" w:cs="Arial" w:eastAsia="Arial" w:hAnsi="Arial"/>
                <w:sz w:val="14"/>
                <w:szCs w:val="14"/>
                <w:color w:val="FFFFFF"/>
              </w:rPr>
              <w:t>All Other</w:t>
            </w: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r>
      <w:tr>
        <w:trPr>
          <w:trHeight w:val="162"/>
        </w:trPr>
        <w:tc>
          <w:tcPr>
            <w:tcW w:w="3500" w:type="dxa"/>
            <w:vAlign w:val="bottom"/>
            <w:shd w:val="clear" w:color="auto" w:fill="1A6DBB"/>
          </w:tcPr>
          <w:p>
            <w:pPr>
              <w:ind w:left="40"/>
              <w:spacing w:after="0"/>
              <w:rPr>
                <w:sz w:val="20"/>
                <w:szCs w:val="20"/>
                <w:color w:val="auto"/>
              </w:rPr>
            </w:pPr>
            <w:r>
              <w:rPr>
                <w:rFonts w:ascii="Arial" w:cs="Arial" w:eastAsia="Arial" w:hAnsi="Arial"/>
                <w:sz w:val="14"/>
                <w:szCs w:val="14"/>
                <w:color w:val="FFFFFF"/>
              </w:rPr>
              <w:t>Name and Principal Position</w:t>
            </w:r>
          </w:p>
        </w:tc>
        <w:tc>
          <w:tcPr>
            <w:tcW w:w="500" w:type="dxa"/>
            <w:vAlign w:val="bottom"/>
            <w:shd w:val="clear" w:color="auto" w:fill="1A6DBB"/>
          </w:tcPr>
          <w:p>
            <w:pPr>
              <w:ind w:left="140"/>
              <w:spacing w:after="0"/>
              <w:rPr>
                <w:sz w:val="20"/>
                <w:szCs w:val="20"/>
                <w:color w:val="auto"/>
              </w:rPr>
            </w:pPr>
            <w:r>
              <w:rPr>
                <w:rFonts w:ascii="Arial" w:cs="Arial" w:eastAsia="Arial" w:hAnsi="Arial"/>
                <w:sz w:val="14"/>
                <w:szCs w:val="14"/>
                <w:color w:val="FFFFFF"/>
              </w:rPr>
              <w:t>Year</w:t>
            </w: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jc w:val="right"/>
              <w:ind w:right="168"/>
              <w:spacing w:after="0"/>
              <w:rPr>
                <w:sz w:val="20"/>
                <w:szCs w:val="20"/>
                <w:color w:val="auto"/>
              </w:rPr>
            </w:pPr>
            <w:r>
              <w:rPr>
                <w:rFonts w:ascii="Arial" w:cs="Arial" w:eastAsia="Arial" w:hAnsi="Arial"/>
                <w:sz w:val="14"/>
                <w:szCs w:val="14"/>
                <w:color w:val="FFFFFF"/>
              </w:rPr>
              <w:t>Salary</w:t>
            </w:r>
          </w:p>
        </w:tc>
        <w:tc>
          <w:tcPr>
            <w:tcW w:w="900" w:type="dxa"/>
            <w:vAlign w:val="bottom"/>
            <w:shd w:val="clear" w:color="auto" w:fill="1A6DBB"/>
          </w:tcPr>
          <w:p>
            <w:pPr>
              <w:jc w:val="right"/>
              <w:ind w:right="108"/>
              <w:spacing w:after="0"/>
              <w:rPr>
                <w:sz w:val="20"/>
                <w:szCs w:val="20"/>
                <w:color w:val="auto"/>
              </w:rPr>
            </w:pPr>
            <w:r>
              <w:rPr>
                <w:rFonts w:ascii="Arial" w:cs="Arial" w:eastAsia="Arial" w:hAnsi="Arial"/>
                <w:sz w:val="14"/>
                <w:szCs w:val="14"/>
                <w:color w:val="FFFFFF"/>
              </w:rPr>
              <w:t>Bonus</w:t>
            </w:r>
            <w:r>
              <w:rPr>
                <w:rFonts w:ascii="Arial" w:cs="Arial" w:eastAsia="Arial" w:hAnsi="Arial"/>
                <w:sz w:val="14"/>
                <w:szCs w:val="14"/>
                <w:color w:val="FFFFFF"/>
                <w:vertAlign w:val="superscript"/>
              </w:rPr>
              <w:t>(1)</w:t>
            </w:r>
          </w:p>
        </w:tc>
        <w:tc>
          <w:tcPr>
            <w:tcW w:w="160" w:type="dxa"/>
            <w:vAlign w:val="bottom"/>
            <w:shd w:val="clear" w:color="auto" w:fill="1A6DBB"/>
          </w:tcPr>
          <w:p>
            <w:pPr>
              <w:spacing w:after="0"/>
              <w:rPr>
                <w:sz w:val="14"/>
                <w:szCs w:val="14"/>
                <w:color w:val="auto"/>
              </w:rPr>
            </w:pPr>
          </w:p>
        </w:tc>
        <w:tc>
          <w:tcPr>
            <w:tcW w:w="780" w:type="dxa"/>
            <w:vAlign w:val="bottom"/>
            <w:shd w:val="clear" w:color="auto" w:fill="1A6DBB"/>
          </w:tcPr>
          <w:p>
            <w:pPr>
              <w:jc w:val="center"/>
              <w:ind w:right="88"/>
              <w:spacing w:after="0"/>
              <w:rPr>
                <w:sz w:val="20"/>
                <w:szCs w:val="20"/>
                <w:color w:val="auto"/>
              </w:rPr>
            </w:pPr>
            <w:r>
              <w:rPr>
                <w:rFonts w:ascii="Arial" w:cs="Arial" w:eastAsia="Arial" w:hAnsi="Arial"/>
                <w:sz w:val="14"/>
                <w:szCs w:val="14"/>
                <w:color w:val="FFFFFF"/>
                <w:w w:val="99"/>
              </w:rPr>
              <w:t>Awards</w:t>
            </w:r>
            <w:r>
              <w:rPr>
                <w:rFonts w:ascii="Arial" w:cs="Arial" w:eastAsia="Arial" w:hAnsi="Arial"/>
                <w:sz w:val="14"/>
                <w:szCs w:val="14"/>
                <w:color w:val="FFFFFF"/>
                <w:w w:val="99"/>
                <w:vertAlign w:val="superscript"/>
              </w:rPr>
              <w:t>(2)</w:t>
            </w:r>
          </w:p>
        </w:tc>
        <w:tc>
          <w:tcPr>
            <w:tcW w:w="11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Compensation</w:t>
            </w:r>
            <w:r>
              <w:rPr>
                <w:rFonts w:ascii="Arial" w:cs="Arial" w:eastAsia="Arial" w:hAnsi="Arial"/>
                <w:sz w:val="14"/>
                <w:szCs w:val="14"/>
                <w:color w:val="FFFFFF"/>
                <w:vertAlign w:val="superscript"/>
              </w:rPr>
              <w:t>(3)</w:t>
            </w: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Earnings</w:t>
            </w:r>
            <w:r>
              <w:rPr>
                <w:rFonts w:ascii="Arial" w:cs="Arial" w:eastAsia="Arial" w:hAnsi="Arial"/>
                <w:sz w:val="14"/>
                <w:szCs w:val="14"/>
                <w:color w:val="FFFFFF"/>
                <w:vertAlign w:val="superscript"/>
              </w:rPr>
              <w:t>(4)</w:t>
            </w:r>
          </w:p>
        </w:tc>
        <w:tc>
          <w:tcPr>
            <w:tcW w:w="1120" w:type="dxa"/>
            <w:vAlign w:val="bottom"/>
            <w:gridSpan w:val="2"/>
            <w:shd w:val="clear" w:color="auto" w:fill="1A6DBB"/>
          </w:tcPr>
          <w:p>
            <w:pPr>
              <w:jc w:val="right"/>
              <w:spacing w:after="0"/>
              <w:rPr>
                <w:sz w:val="20"/>
                <w:szCs w:val="20"/>
                <w:color w:val="auto"/>
              </w:rPr>
            </w:pPr>
            <w:r>
              <w:rPr>
                <w:rFonts w:ascii="Arial" w:cs="Arial" w:eastAsia="Arial" w:hAnsi="Arial"/>
                <w:sz w:val="14"/>
                <w:szCs w:val="14"/>
                <w:color w:val="FFFFFF"/>
              </w:rPr>
              <w:t>Compensation</w:t>
            </w:r>
            <w:r>
              <w:rPr>
                <w:rFonts w:ascii="Arial" w:cs="Arial" w:eastAsia="Arial" w:hAnsi="Arial"/>
                <w:sz w:val="14"/>
                <w:szCs w:val="14"/>
                <w:color w:val="FFFFFF"/>
                <w:vertAlign w:val="superscript"/>
              </w:rPr>
              <w:t>(5)</w:t>
            </w:r>
          </w:p>
        </w:tc>
        <w:tc>
          <w:tcPr>
            <w:tcW w:w="140" w:type="dxa"/>
            <w:vAlign w:val="bottom"/>
            <w:shd w:val="clear" w:color="auto" w:fill="1A6DBB"/>
          </w:tcPr>
          <w:p>
            <w:pPr>
              <w:spacing w:after="0"/>
              <w:rPr>
                <w:sz w:val="14"/>
                <w:szCs w:val="14"/>
                <w:color w:val="auto"/>
              </w:rPr>
            </w:pPr>
          </w:p>
        </w:tc>
        <w:tc>
          <w:tcPr>
            <w:tcW w:w="820" w:type="dxa"/>
            <w:vAlign w:val="bottom"/>
            <w:shd w:val="clear" w:color="auto" w:fill="1A6DBB"/>
          </w:tcPr>
          <w:p>
            <w:pPr>
              <w:jc w:val="right"/>
              <w:ind w:right="288"/>
              <w:spacing w:after="0"/>
              <w:rPr>
                <w:sz w:val="20"/>
                <w:szCs w:val="20"/>
                <w:color w:val="auto"/>
              </w:rPr>
            </w:pPr>
            <w:r>
              <w:rPr>
                <w:rFonts w:ascii="Arial" w:cs="Arial" w:eastAsia="Arial" w:hAnsi="Arial"/>
                <w:sz w:val="14"/>
                <w:szCs w:val="14"/>
                <w:color w:val="FFFFFF"/>
              </w:rPr>
              <w:t>Total</w:t>
            </w:r>
          </w:p>
        </w:tc>
      </w:tr>
      <w:tr>
        <w:trPr>
          <w:trHeight w:val="185"/>
        </w:trPr>
        <w:tc>
          <w:tcPr>
            <w:tcW w:w="3500" w:type="dxa"/>
            <w:vAlign w:val="bottom"/>
            <w:shd w:val="clear" w:color="auto" w:fill="1A6DBB"/>
          </w:tcPr>
          <w:p>
            <w:pPr>
              <w:ind w:left="1000"/>
              <w:spacing w:after="0"/>
              <w:rPr>
                <w:sz w:val="20"/>
                <w:szCs w:val="20"/>
                <w:color w:val="auto"/>
              </w:rPr>
            </w:pPr>
            <w:r>
              <w:rPr>
                <w:rFonts w:ascii="Arial" w:cs="Arial" w:eastAsia="Arial" w:hAnsi="Arial"/>
                <w:sz w:val="14"/>
                <w:szCs w:val="14"/>
                <w:color w:val="FFFFFF"/>
              </w:rPr>
              <w:t>(a)</w:t>
            </w:r>
          </w:p>
        </w:tc>
        <w:tc>
          <w:tcPr>
            <w:tcW w:w="500" w:type="dxa"/>
            <w:vAlign w:val="bottom"/>
            <w:shd w:val="clear" w:color="auto" w:fill="1A6DBB"/>
          </w:tcPr>
          <w:p>
            <w:pPr>
              <w:ind w:left="200"/>
              <w:spacing w:after="0"/>
              <w:rPr>
                <w:sz w:val="20"/>
                <w:szCs w:val="20"/>
                <w:color w:val="auto"/>
              </w:rPr>
            </w:pPr>
            <w:r>
              <w:rPr>
                <w:rFonts w:ascii="Arial" w:cs="Arial" w:eastAsia="Arial" w:hAnsi="Arial"/>
                <w:sz w:val="14"/>
                <w:szCs w:val="14"/>
                <w:color w:val="FFFFFF"/>
              </w:rPr>
              <w:t>(b)</w:t>
            </w:r>
          </w:p>
        </w:tc>
        <w:tc>
          <w:tcPr>
            <w:tcW w:w="140" w:type="dxa"/>
            <w:vAlign w:val="bottom"/>
            <w:shd w:val="clear" w:color="auto" w:fill="1A6DBB"/>
          </w:tcPr>
          <w:p>
            <w:pPr>
              <w:spacing w:after="0"/>
              <w:rPr>
                <w:sz w:val="16"/>
                <w:szCs w:val="16"/>
                <w:color w:val="auto"/>
              </w:rPr>
            </w:pPr>
          </w:p>
        </w:tc>
        <w:tc>
          <w:tcPr>
            <w:tcW w:w="720" w:type="dxa"/>
            <w:vAlign w:val="bottom"/>
            <w:shd w:val="clear" w:color="auto" w:fill="1A6DBB"/>
          </w:tcPr>
          <w:p>
            <w:pPr>
              <w:jc w:val="right"/>
              <w:ind w:right="288"/>
              <w:spacing w:after="0"/>
              <w:rPr>
                <w:sz w:val="20"/>
                <w:szCs w:val="20"/>
                <w:color w:val="auto"/>
              </w:rPr>
            </w:pPr>
            <w:r>
              <w:rPr>
                <w:rFonts w:ascii="Arial" w:cs="Arial" w:eastAsia="Arial" w:hAnsi="Arial"/>
                <w:sz w:val="14"/>
                <w:szCs w:val="14"/>
                <w:color w:val="FFFFFF"/>
              </w:rPr>
              <w:t>(c)</w:t>
            </w:r>
          </w:p>
        </w:tc>
        <w:tc>
          <w:tcPr>
            <w:tcW w:w="900" w:type="dxa"/>
            <w:vAlign w:val="bottom"/>
            <w:shd w:val="clear" w:color="auto" w:fill="1A6DBB"/>
          </w:tcPr>
          <w:p>
            <w:pPr>
              <w:jc w:val="right"/>
              <w:ind w:right="268"/>
              <w:spacing w:after="0"/>
              <w:rPr>
                <w:sz w:val="20"/>
                <w:szCs w:val="20"/>
                <w:color w:val="auto"/>
              </w:rPr>
            </w:pPr>
            <w:r>
              <w:rPr>
                <w:rFonts w:ascii="Arial" w:cs="Arial" w:eastAsia="Arial" w:hAnsi="Arial"/>
                <w:sz w:val="14"/>
                <w:szCs w:val="14"/>
                <w:color w:val="FFFFFF"/>
              </w:rPr>
              <w:t>(d)</w:t>
            </w:r>
          </w:p>
        </w:tc>
        <w:tc>
          <w:tcPr>
            <w:tcW w:w="160" w:type="dxa"/>
            <w:vAlign w:val="bottom"/>
            <w:shd w:val="clear" w:color="auto" w:fill="1A6DBB"/>
          </w:tcPr>
          <w:p>
            <w:pPr>
              <w:spacing w:after="0"/>
              <w:rPr>
                <w:sz w:val="16"/>
                <w:szCs w:val="16"/>
                <w:color w:val="auto"/>
              </w:rPr>
            </w:pPr>
          </w:p>
        </w:tc>
        <w:tc>
          <w:tcPr>
            <w:tcW w:w="780" w:type="dxa"/>
            <w:vAlign w:val="bottom"/>
            <w:shd w:val="clear" w:color="auto" w:fill="1A6DBB"/>
          </w:tcPr>
          <w:p>
            <w:pPr>
              <w:jc w:val="center"/>
              <w:ind w:right="88"/>
              <w:spacing w:after="0"/>
              <w:rPr>
                <w:sz w:val="20"/>
                <w:szCs w:val="20"/>
                <w:color w:val="auto"/>
              </w:rPr>
            </w:pPr>
            <w:r>
              <w:rPr>
                <w:rFonts w:ascii="Arial" w:cs="Arial" w:eastAsia="Arial" w:hAnsi="Arial"/>
                <w:sz w:val="14"/>
                <w:szCs w:val="14"/>
                <w:color w:val="FFFFFF"/>
              </w:rPr>
              <w:t>(e)</w:t>
            </w:r>
          </w:p>
        </w:tc>
        <w:tc>
          <w:tcPr>
            <w:tcW w:w="500" w:type="dxa"/>
            <w:vAlign w:val="bottom"/>
            <w:shd w:val="clear" w:color="auto" w:fill="1A6DBB"/>
          </w:tcPr>
          <w:p>
            <w:pPr>
              <w:spacing w:after="0"/>
              <w:rPr>
                <w:sz w:val="16"/>
                <w:szCs w:val="16"/>
                <w:color w:val="auto"/>
              </w:rPr>
            </w:pPr>
          </w:p>
        </w:tc>
        <w:tc>
          <w:tcPr>
            <w:tcW w:w="660" w:type="dxa"/>
            <w:vAlign w:val="bottom"/>
            <w:shd w:val="clear" w:color="auto" w:fill="1A6DBB"/>
          </w:tcPr>
          <w:p>
            <w:pPr>
              <w:jc w:val="center"/>
              <w:ind w:right="408"/>
              <w:spacing w:after="0"/>
              <w:rPr>
                <w:sz w:val="20"/>
                <w:szCs w:val="20"/>
                <w:color w:val="auto"/>
              </w:rPr>
            </w:pPr>
            <w:r>
              <w:rPr>
                <w:rFonts w:ascii="Arial" w:cs="Arial" w:eastAsia="Arial" w:hAnsi="Arial"/>
                <w:sz w:val="14"/>
                <w:szCs w:val="14"/>
                <w:color w:val="FFFFFF"/>
              </w:rPr>
              <w:t>(f)</w:t>
            </w:r>
          </w:p>
        </w:tc>
        <w:tc>
          <w:tcPr>
            <w:tcW w:w="10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w w:val="93"/>
              </w:rPr>
              <w:t>(g)</w:t>
            </w:r>
          </w:p>
        </w:tc>
        <w:tc>
          <w:tcPr>
            <w:tcW w:w="1120" w:type="dxa"/>
            <w:vAlign w:val="bottom"/>
            <w:gridSpan w:val="2"/>
            <w:shd w:val="clear" w:color="auto" w:fill="1A6DBB"/>
          </w:tcPr>
          <w:p>
            <w:pPr>
              <w:ind w:left="480"/>
              <w:spacing w:after="0"/>
              <w:rPr>
                <w:sz w:val="20"/>
                <w:szCs w:val="20"/>
                <w:color w:val="auto"/>
              </w:rPr>
            </w:pPr>
            <w:r>
              <w:rPr>
                <w:rFonts w:ascii="Arial" w:cs="Arial" w:eastAsia="Arial" w:hAnsi="Arial"/>
                <w:sz w:val="14"/>
                <w:szCs w:val="14"/>
                <w:color w:val="FFFFFF"/>
              </w:rPr>
              <w:t>(h)</w:t>
            </w:r>
          </w:p>
        </w:tc>
        <w:tc>
          <w:tcPr>
            <w:tcW w:w="140" w:type="dxa"/>
            <w:vAlign w:val="bottom"/>
            <w:shd w:val="clear" w:color="auto" w:fill="1A6DBB"/>
          </w:tcPr>
          <w:p>
            <w:pPr>
              <w:spacing w:after="0"/>
              <w:rPr>
                <w:sz w:val="16"/>
                <w:szCs w:val="16"/>
                <w:color w:val="auto"/>
              </w:rPr>
            </w:pPr>
          </w:p>
        </w:tc>
        <w:tc>
          <w:tcPr>
            <w:tcW w:w="820" w:type="dxa"/>
            <w:vAlign w:val="bottom"/>
            <w:shd w:val="clear" w:color="auto" w:fill="1A6DBB"/>
          </w:tcPr>
          <w:p>
            <w:pPr>
              <w:jc w:val="right"/>
              <w:ind w:right="368"/>
              <w:spacing w:after="0"/>
              <w:rPr>
                <w:sz w:val="20"/>
                <w:szCs w:val="20"/>
                <w:color w:val="auto"/>
              </w:rPr>
            </w:pPr>
            <w:r>
              <w:rPr>
                <w:rFonts w:ascii="Arial" w:cs="Arial" w:eastAsia="Arial" w:hAnsi="Arial"/>
                <w:sz w:val="14"/>
                <w:szCs w:val="14"/>
                <w:color w:val="FFFFFF"/>
              </w:rPr>
              <w:t>(i)</w:t>
            </w:r>
          </w:p>
        </w:tc>
      </w:tr>
      <w:tr>
        <w:trPr>
          <w:trHeight w:val="162"/>
        </w:trPr>
        <w:tc>
          <w:tcPr>
            <w:tcW w:w="3500" w:type="dxa"/>
            <w:vAlign w:val="bottom"/>
            <w:shd w:val="clear" w:color="auto" w:fill="E8F0F8"/>
          </w:tcPr>
          <w:p>
            <w:pPr>
              <w:ind w:left="40"/>
              <w:spacing w:after="0"/>
              <w:rPr>
                <w:sz w:val="20"/>
                <w:szCs w:val="20"/>
                <w:color w:val="auto"/>
              </w:rPr>
            </w:pPr>
            <w:r>
              <w:rPr>
                <w:rFonts w:ascii="Arial" w:cs="Arial" w:eastAsia="Arial" w:hAnsi="Arial"/>
                <w:sz w:val="14"/>
                <w:szCs w:val="14"/>
                <w:b w:val="1"/>
                <w:bCs w:val="1"/>
                <w:color w:val="auto"/>
              </w:rPr>
              <w:t>Michel Vounatsos</w:t>
            </w:r>
          </w:p>
        </w:tc>
        <w:tc>
          <w:tcPr>
            <w:tcW w:w="5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rPr>
                <w:sz w:val="20"/>
                <w:szCs w:val="20"/>
                <w:color w:val="auto"/>
              </w:rPr>
            </w:pPr>
            <w:r>
              <w:rPr>
                <w:rFonts w:ascii="Arial" w:cs="Arial" w:eastAsia="Arial" w:hAnsi="Arial"/>
                <w:sz w:val="14"/>
                <w:szCs w:val="14"/>
                <w:color w:val="auto"/>
                <w:w w:val="99"/>
              </w:rPr>
              <w:t>1,533,173</w:t>
            </w:r>
          </w:p>
        </w:tc>
        <w:tc>
          <w:tcPr>
            <w:tcW w:w="90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rPr>
                <w:sz w:val="20"/>
                <w:szCs w:val="20"/>
                <w:color w:val="auto"/>
              </w:rPr>
            </w:pPr>
            <w:r>
              <w:rPr>
                <w:rFonts w:ascii="Arial" w:cs="Arial" w:eastAsia="Arial" w:hAnsi="Arial"/>
                <w:sz w:val="14"/>
                <w:szCs w:val="14"/>
                <w:color w:val="auto"/>
                <w:w w:val="99"/>
              </w:rPr>
              <w:t>14,084,314</w:t>
            </w:r>
          </w:p>
        </w:tc>
        <w:tc>
          <w:tcPr>
            <w:tcW w:w="116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$1,153,125</w:t>
            </w:r>
          </w:p>
        </w:tc>
        <w:tc>
          <w:tcPr>
            <w:tcW w:w="1080" w:type="dxa"/>
            <w:vAlign w:val="bottom"/>
            <w:gridSpan w:val="2"/>
            <w:shd w:val="clear" w:color="auto" w:fill="E8F0F8"/>
          </w:tcPr>
          <w:p>
            <w:pPr>
              <w:jc w:val="right"/>
              <w:ind w:right="8"/>
              <w:spacing w:after="0"/>
              <w:rPr>
                <w:sz w:val="20"/>
                <w:szCs w:val="20"/>
                <w:color w:val="auto"/>
              </w:rPr>
            </w:pPr>
            <w:r>
              <w:rPr>
                <w:rFonts w:ascii="Arial" w:cs="Arial" w:eastAsia="Arial" w:hAnsi="Arial"/>
                <w:sz w:val="14"/>
                <w:szCs w:val="14"/>
                <w:color w:val="auto"/>
              </w:rPr>
              <w:t>$494,290</w:t>
            </w:r>
          </w:p>
        </w:tc>
        <w:tc>
          <w:tcPr>
            <w:tcW w:w="112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$424,763</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rPr>
                <w:sz w:val="20"/>
                <w:szCs w:val="20"/>
                <w:color w:val="auto"/>
              </w:rPr>
            </w:pPr>
            <w:r>
              <w:rPr>
                <w:rFonts w:ascii="Arial" w:cs="Arial" w:eastAsia="Arial" w:hAnsi="Arial"/>
                <w:sz w:val="14"/>
                <w:szCs w:val="14"/>
                <w:color w:val="auto"/>
                <w:w w:val="99"/>
              </w:rPr>
              <w:t>17,689,665</w:t>
            </w:r>
          </w:p>
        </w:tc>
      </w:tr>
      <w:tr>
        <w:trPr>
          <w:trHeight w:val="162"/>
        </w:trPr>
        <w:tc>
          <w:tcPr>
            <w:tcW w:w="3500" w:type="dxa"/>
            <w:vAlign w:val="bottom"/>
            <w:shd w:val="clear" w:color="auto" w:fill="E8F0F8"/>
          </w:tcPr>
          <w:p>
            <w:pPr>
              <w:ind w:left="40"/>
              <w:spacing w:after="0"/>
              <w:rPr>
                <w:sz w:val="20"/>
                <w:szCs w:val="20"/>
                <w:color w:val="auto"/>
              </w:rPr>
            </w:pPr>
            <w:r>
              <w:rPr>
                <w:rFonts w:ascii="Arial" w:cs="Arial" w:eastAsia="Arial" w:hAnsi="Arial"/>
                <w:sz w:val="14"/>
                <w:szCs w:val="14"/>
                <w:color w:val="auto"/>
              </w:rPr>
              <w:t>Chief Executive Officer</w:t>
            </w:r>
          </w:p>
        </w:tc>
        <w:tc>
          <w:tcPr>
            <w:tcW w:w="5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rPr>
                <w:sz w:val="20"/>
                <w:szCs w:val="20"/>
                <w:color w:val="auto"/>
              </w:rPr>
            </w:pPr>
            <w:r>
              <w:rPr>
                <w:rFonts w:ascii="Arial" w:cs="Arial" w:eastAsia="Arial" w:hAnsi="Arial"/>
                <w:sz w:val="14"/>
                <w:szCs w:val="14"/>
                <w:color w:val="auto"/>
                <w:w w:val="99"/>
              </w:rPr>
              <w:t>1,488,462</w:t>
            </w:r>
          </w:p>
        </w:tc>
        <w:tc>
          <w:tcPr>
            <w:tcW w:w="90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rPr>
                <w:sz w:val="20"/>
                <w:szCs w:val="20"/>
                <w:color w:val="auto"/>
              </w:rPr>
            </w:pPr>
            <w:r>
              <w:rPr>
                <w:rFonts w:ascii="Arial" w:cs="Arial" w:eastAsia="Arial" w:hAnsi="Arial"/>
                <w:sz w:val="14"/>
                <w:szCs w:val="14"/>
                <w:color w:val="auto"/>
                <w:w w:val="99"/>
              </w:rPr>
              <w:t>13,887,064</w:t>
            </w:r>
          </w:p>
        </w:tc>
        <w:tc>
          <w:tcPr>
            <w:tcW w:w="116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$2,565,000</w:t>
            </w:r>
          </w:p>
        </w:tc>
        <w:tc>
          <w:tcPr>
            <w:tcW w:w="1080" w:type="dxa"/>
            <w:vAlign w:val="bottom"/>
            <w:gridSpan w:val="2"/>
            <w:shd w:val="clear" w:color="auto" w:fill="E8F0F8"/>
          </w:tcPr>
          <w:p>
            <w:pPr>
              <w:jc w:val="right"/>
              <w:ind w:right="8"/>
              <w:spacing w:after="0"/>
              <w:rPr>
                <w:sz w:val="20"/>
                <w:szCs w:val="20"/>
                <w:color w:val="auto"/>
              </w:rPr>
            </w:pPr>
            <w:r>
              <w:rPr>
                <w:rFonts w:ascii="Arial" w:cs="Arial" w:eastAsia="Arial" w:hAnsi="Arial"/>
                <w:sz w:val="14"/>
                <w:szCs w:val="14"/>
                <w:color w:val="auto"/>
              </w:rPr>
              <w:t>$264,358</w:t>
            </w:r>
          </w:p>
        </w:tc>
        <w:tc>
          <w:tcPr>
            <w:tcW w:w="112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$454,945</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rPr>
                <w:sz w:val="20"/>
                <w:szCs w:val="20"/>
                <w:color w:val="auto"/>
              </w:rPr>
            </w:pPr>
            <w:r>
              <w:rPr>
                <w:rFonts w:ascii="Arial" w:cs="Arial" w:eastAsia="Arial" w:hAnsi="Arial"/>
                <w:sz w:val="14"/>
                <w:szCs w:val="14"/>
                <w:color w:val="auto"/>
                <w:w w:val="99"/>
              </w:rPr>
              <w:t>18,659,829</w:t>
            </w:r>
          </w:p>
        </w:tc>
      </w:tr>
      <w:tr>
        <w:trPr>
          <w:trHeight w:val="162"/>
        </w:trPr>
        <w:tc>
          <w:tcPr>
            <w:tcW w:w="3500" w:type="dxa"/>
            <w:vAlign w:val="bottom"/>
            <w:tcBorders>
              <w:bottom w:val="single" w:sz="8" w:color="auto"/>
            </w:tcBorders>
            <w:shd w:val="clear" w:color="auto" w:fill="E8F0F8"/>
          </w:tcPr>
          <w:p>
            <w:pPr>
              <w:spacing w:after="0"/>
              <w:rPr>
                <w:sz w:val="14"/>
                <w:szCs w:val="14"/>
                <w:color w:val="auto"/>
              </w:rPr>
            </w:pPr>
          </w:p>
        </w:tc>
        <w:tc>
          <w:tcPr>
            <w:tcW w:w="500" w:type="dxa"/>
            <w:vAlign w:val="bottom"/>
            <w:tcBorders>
              <w:bottom w:val="single" w:sz="8" w:color="auto"/>
            </w:tcBorders>
            <w:shd w:val="clear" w:color="auto" w:fill="E8F0F8"/>
          </w:tcPr>
          <w:p>
            <w:pPr>
              <w:ind w:left="140"/>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8F0F8"/>
          </w:tcPr>
          <w:p>
            <w:pPr>
              <w:jc w:val="right"/>
              <w:ind w:right="8"/>
              <w:spacing w:after="0"/>
              <w:rPr>
                <w:sz w:val="20"/>
                <w:szCs w:val="20"/>
                <w:color w:val="auto"/>
              </w:rPr>
            </w:pPr>
            <w:r>
              <w:rPr>
                <w:rFonts w:ascii="Arial" w:cs="Arial" w:eastAsia="Arial" w:hAnsi="Arial"/>
                <w:sz w:val="14"/>
                <w:szCs w:val="14"/>
                <w:color w:val="auto"/>
                <w:w w:val="99"/>
              </w:rPr>
              <w:t>1,388,461</w:t>
            </w:r>
          </w:p>
        </w:tc>
        <w:tc>
          <w:tcPr>
            <w:tcW w:w="90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w w:val="99"/>
              </w:rPr>
              <w:t>12,352,030</w:t>
            </w:r>
          </w:p>
        </w:tc>
        <w:tc>
          <w:tcPr>
            <w:tcW w:w="1160" w:type="dxa"/>
            <w:vAlign w:val="bottom"/>
            <w:tcBorders>
              <w:bottom w:val="single" w:sz="8" w:color="auto"/>
            </w:tcBorders>
            <w:gridSpan w:val="2"/>
            <w:shd w:val="clear" w:color="auto" w:fill="E8F0F8"/>
          </w:tcPr>
          <w:p>
            <w:pPr>
              <w:jc w:val="right"/>
              <w:spacing w:after="0"/>
              <w:rPr>
                <w:sz w:val="20"/>
                <w:szCs w:val="20"/>
                <w:color w:val="auto"/>
              </w:rPr>
            </w:pPr>
            <w:r>
              <w:rPr>
                <w:rFonts w:ascii="Arial" w:cs="Arial" w:eastAsia="Arial" w:hAnsi="Arial"/>
                <w:sz w:val="14"/>
                <w:szCs w:val="14"/>
                <w:color w:val="auto"/>
              </w:rPr>
              <w:t>$3,884,000</w:t>
            </w:r>
          </w:p>
        </w:tc>
        <w:tc>
          <w:tcPr>
            <w:tcW w:w="52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8F0F8"/>
          </w:tcPr>
          <w:p>
            <w:pPr>
              <w:jc w:val="right"/>
              <w:ind w:right="8"/>
              <w:spacing w:after="0"/>
              <w:rPr>
                <w:sz w:val="20"/>
                <w:szCs w:val="20"/>
                <w:color w:val="auto"/>
              </w:rPr>
            </w:pPr>
            <w:r>
              <w:rPr>
                <w:rFonts w:ascii="Arial" w:cs="Arial" w:eastAsia="Arial" w:hAnsi="Arial"/>
                <w:sz w:val="14"/>
                <w:szCs w:val="14"/>
                <w:color w:val="auto"/>
              </w:rPr>
              <w:t>85,667</w:t>
            </w:r>
          </w:p>
        </w:tc>
        <w:tc>
          <w:tcPr>
            <w:tcW w:w="1120" w:type="dxa"/>
            <w:vAlign w:val="bottom"/>
            <w:tcBorders>
              <w:bottom w:val="single" w:sz="8" w:color="auto"/>
            </w:tcBorders>
            <w:gridSpan w:val="2"/>
            <w:shd w:val="clear" w:color="auto" w:fill="E8F0F8"/>
          </w:tcPr>
          <w:p>
            <w:pPr>
              <w:jc w:val="right"/>
              <w:spacing w:after="0"/>
              <w:rPr>
                <w:sz w:val="20"/>
                <w:szCs w:val="20"/>
                <w:color w:val="auto"/>
              </w:rPr>
            </w:pPr>
            <w:r>
              <w:rPr>
                <w:rFonts w:ascii="Arial" w:cs="Arial" w:eastAsia="Arial" w:hAnsi="Arial"/>
                <w:sz w:val="14"/>
                <w:szCs w:val="14"/>
                <w:color w:val="auto"/>
              </w:rPr>
              <w:t>$449,700</w:t>
            </w:r>
          </w:p>
        </w:tc>
        <w:tc>
          <w:tcPr>
            <w:tcW w:w="1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28"/>
              <w:spacing w:after="0"/>
              <w:rPr>
                <w:sz w:val="20"/>
                <w:szCs w:val="20"/>
                <w:color w:val="auto"/>
              </w:rPr>
            </w:pPr>
            <w:r>
              <w:rPr>
                <w:rFonts w:ascii="Arial" w:cs="Arial" w:eastAsia="Arial" w:hAnsi="Arial"/>
                <w:sz w:val="14"/>
                <w:szCs w:val="14"/>
                <w:color w:val="auto"/>
                <w:w w:val="99"/>
              </w:rPr>
              <w:t>18,159,858</w:t>
            </w:r>
          </w:p>
        </w:tc>
      </w:tr>
      <w:tr>
        <w:trPr>
          <w:trHeight w:val="155"/>
        </w:trPr>
        <w:tc>
          <w:tcPr>
            <w:tcW w:w="3500" w:type="dxa"/>
            <w:vAlign w:val="bottom"/>
            <w:shd w:val="clear" w:color="auto" w:fill="BAD3EA"/>
          </w:tcPr>
          <w:p>
            <w:pPr>
              <w:ind w:left="40"/>
              <w:spacing w:after="0" w:line="156" w:lineRule="exact"/>
              <w:rPr>
                <w:sz w:val="20"/>
                <w:szCs w:val="20"/>
                <w:color w:val="auto"/>
              </w:rPr>
            </w:pPr>
            <w:r>
              <w:rPr>
                <w:rFonts w:ascii="Arial" w:cs="Arial" w:eastAsia="Arial" w:hAnsi="Arial"/>
                <w:sz w:val="11"/>
                <w:szCs w:val="11"/>
                <w:b w:val="1"/>
                <w:bCs w:val="1"/>
                <w:color w:val="auto"/>
              </w:rPr>
              <w:t>Michael R. McDonnell</w:t>
            </w:r>
            <w:r>
              <w:rPr>
                <w:rFonts w:ascii="Arial" w:cs="Arial" w:eastAsia="Arial" w:hAnsi="Arial"/>
                <w:sz w:val="18"/>
                <w:szCs w:val="18"/>
                <w:color w:val="auto"/>
                <w:vertAlign w:val="superscript"/>
              </w:rPr>
              <w:t>(6)</w:t>
            </w:r>
          </w:p>
        </w:tc>
        <w:tc>
          <w:tcPr>
            <w:tcW w:w="500" w:type="dxa"/>
            <w:vAlign w:val="bottom"/>
            <w:shd w:val="clear" w:color="auto" w:fill="BAD3EA"/>
          </w:tcPr>
          <w:p>
            <w:pPr>
              <w:ind w:left="140"/>
              <w:spacing w:after="0" w:line="155" w:lineRule="exact"/>
              <w:rPr>
                <w:sz w:val="20"/>
                <w:szCs w:val="20"/>
                <w:color w:val="auto"/>
              </w:rPr>
            </w:pPr>
            <w:r>
              <w:rPr>
                <w:rFonts w:ascii="Arial" w:cs="Arial" w:eastAsia="Arial" w:hAnsi="Arial"/>
                <w:sz w:val="14"/>
                <w:szCs w:val="14"/>
                <w:color w:val="auto"/>
              </w:rPr>
              <w:t>2021</w:t>
            </w:r>
          </w:p>
        </w:tc>
        <w:tc>
          <w:tcPr>
            <w:tcW w:w="14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BAD3EA"/>
          </w:tcPr>
          <w:p>
            <w:pPr>
              <w:jc w:val="right"/>
              <w:ind w:right="8"/>
              <w:spacing w:after="0" w:line="155" w:lineRule="exact"/>
              <w:rPr>
                <w:sz w:val="20"/>
                <w:szCs w:val="20"/>
                <w:color w:val="auto"/>
              </w:rPr>
            </w:pPr>
            <w:r>
              <w:rPr>
                <w:rFonts w:ascii="Arial" w:cs="Arial" w:eastAsia="Arial" w:hAnsi="Arial"/>
                <w:sz w:val="14"/>
                <w:szCs w:val="14"/>
                <w:color w:val="auto"/>
              </w:rPr>
              <w:t>868,798</w:t>
            </w:r>
          </w:p>
        </w:tc>
        <w:tc>
          <w:tcPr>
            <w:tcW w:w="90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4,062,291</w:t>
            </w:r>
          </w:p>
        </w:tc>
        <w:tc>
          <w:tcPr>
            <w:tcW w:w="50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836,400</w:t>
            </w:r>
          </w:p>
        </w:tc>
        <w:tc>
          <w:tcPr>
            <w:tcW w:w="52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BAD3EA"/>
          </w:tcPr>
          <w:p>
            <w:pPr>
              <w:jc w:val="right"/>
              <w:ind w:right="8"/>
              <w:spacing w:after="0" w:line="155" w:lineRule="exact"/>
              <w:rPr>
                <w:sz w:val="20"/>
                <w:szCs w:val="20"/>
                <w:color w:val="auto"/>
              </w:rPr>
            </w:pPr>
            <w:r>
              <w:rPr>
                <w:rFonts w:ascii="Arial" w:cs="Arial" w:eastAsia="Arial" w:hAnsi="Arial"/>
                <w:sz w:val="14"/>
                <w:szCs w:val="14"/>
                <w:color w:val="auto"/>
              </w:rPr>
              <w:t>513</w:t>
            </w:r>
          </w:p>
        </w:tc>
        <w:tc>
          <w:tcPr>
            <w:tcW w:w="1120" w:type="dxa"/>
            <w:vAlign w:val="bottom"/>
            <w:gridSpan w:val="2"/>
            <w:shd w:val="clear" w:color="auto" w:fill="BAD3EA"/>
          </w:tcPr>
          <w:p>
            <w:pPr>
              <w:jc w:val="right"/>
              <w:spacing w:after="0" w:line="155" w:lineRule="exact"/>
              <w:rPr>
                <w:sz w:val="20"/>
                <w:szCs w:val="20"/>
                <w:color w:val="auto"/>
              </w:rPr>
            </w:pPr>
            <w:r>
              <w:rPr>
                <w:rFonts w:ascii="Arial" w:cs="Arial" w:eastAsia="Arial" w:hAnsi="Arial"/>
                <w:sz w:val="14"/>
                <w:szCs w:val="14"/>
                <w:color w:val="auto"/>
              </w:rPr>
              <w:t>$150,369</w:t>
            </w:r>
          </w:p>
        </w:tc>
        <w:tc>
          <w:tcPr>
            <w:tcW w:w="14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8"/>
              <w:spacing w:after="0" w:line="155" w:lineRule="exact"/>
              <w:rPr>
                <w:sz w:val="20"/>
                <w:szCs w:val="20"/>
                <w:color w:val="auto"/>
              </w:rPr>
            </w:pPr>
            <w:r>
              <w:rPr>
                <w:rFonts w:ascii="Arial" w:cs="Arial" w:eastAsia="Arial" w:hAnsi="Arial"/>
                <w:sz w:val="14"/>
                <w:szCs w:val="14"/>
                <w:color w:val="auto"/>
              </w:rPr>
              <w:t>5,918,371</w:t>
            </w:r>
          </w:p>
        </w:tc>
      </w:tr>
      <w:tr>
        <w:trPr>
          <w:trHeight w:val="162"/>
        </w:trPr>
        <w:tc>
          <w:tcPr>
            <w:tcW w:w="3500" w:type="dxa"/>
            <w:vAlign w:val="bottom"/>
            <w:shd w:val="clear" w:color="auto" w:fill="BAD3EA"/>
          </w:tcPr>
          <w:p>
            <w:pPr>
              <w:ind w:left="40"/>
              <w:spacing w:after="0"/>
              <w:rPr>
                <w:sz w:val="20"/>
                <w:szCs w:val="20"/>
                <w:color w:val="auto"/>
              </w:rPr>
            </w:pPr>
            <w:r>
              <w:rPr>
                <w:rFonts w:ascii="Arial" w:cs="Arial" w:eastAsia="Arial" w:hAnsi="Arial"/>
                <w:sz w:val="14"/>
                <w:szCs w:val="14"/>
                <w:color w:val="auto"/>
              </w:rPr>
              <w:t>Executive Vice President,</w:t>
            </w:r>
          </w:p>
        </w:tc>
        <w:tc>
          <w:tcPr>
            <w:tcW w:w="500" w:type="dxa"/>
            <w:vAlign w:val="bottom"/>
            <w:shd w:val="clear" w:color="auto" w:fill="BAD3EA"/>
          </w:tcPr>
          <w:p>
            <w:pPr>
              <w:ind w:left="14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BAD3EA"/>
          </w:tcPr>
          <w:p>
            <w:pPr>
              <w:jc w:val="right"/>
              <w:ind w:right="8"/>
              <w:spacing w:after="0"/>
              <w:rPr>
                <w:sz w:val="20"/>
                <w:szCs w:val="20"/>
                <w:color w:val="auto"/>
              </w:rPr>
            </w:pPr>
            <w:r>
              <w:rPr>
                <w:rFonts w:ascii="Arial" w:cs="Arial" w:eastAsia="Arial" w:hAnsi="Arial"/>
                <w:sz w:val="14"/>
                <w:szCs w:val="14"/>
                <w:color w:val="auto"/>
              </w:rPr>
              <w:t>294,231</w:t>
            </w:r>
          </w:p>
        </w:tc>
        <w:tc>
          <w:tcPr>
            <w:tcW w:w="900" w:type="dxa"/>
            <w:vAlign w:val="bottom"/>
            <w:shd w:val="clear" w:color="auto" w:fill="BAD3EA"/>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5,012,308</w:t>
            </w:r>
          </w:p>
        </w:tc>
        <w:tc>
          <w:tcPr>
            <w:tcW w:w="50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263,322</w:t>
            </w:r>
          </w:p>
        </w:tc>
        <w:tc>
          <w:tcPr>
            <w:tcW w:w="520" w:type="dxa"/>
            <w:vAlign w:val="bottom"/>
            <w:shd w:val="clear" w:color="auto" w:fill="BAD3EA"/>
          </w:tcPr>
          <w:p>
            <w:pPr>
              <w:spacing w:after="0"/>
              <w:rPr>
                <w:sz w:val="14"/>
                <w:szCs w:val="14"/>
                <w:color w:val="auto"/>
              </w:rPr>
            </w:pPr>
          </w:p>
        </w:tc>
        <w:tc>
          <w:tcPr>
            <w:tcW w:w="560" w:type="dxa"/>
            <w:vAlign w:val="bottom"/>
            <w:shd w:val="clear" w:color="auto" w:fill="BAD3EA"/>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BAD3EA"/>
          </w:tcPr>
          <w:p>
            <w:pPr>
              <w:ind w:left="480"/>
              <w:spacing w:after="0"/>
              <w:rPr>
                <w:sz w:val="20"/>
                <w:szCs w:val="20"/>
                <w:color w:val="auto"/>
              </w:rPr>
            </w:pPr>
            <w:r>
              <w:rPr>
                <w:rFonts w:ascii="Arial" w:cs="Arial" w:eastAsia="Arial" w:hAnsi="Arial"/>
                <w:sz w:val="14"/>
                <w:szCs w:val="14"/>
                <w:color w:val="auto"/>
              </w:rPr>
              <w:t>$</w:t>
            </w:r>
          </w:p>
        </w:tc>
        <w:tc>
          <w:tcPr>
            <w:tcW w:w="520" w:type="dxa"/>
            <w:vAlign w:val="bottom"/>
            <w:shd w:val="clear" w:color="auto" w:fill="BAD3EA"/>
          </w:tcPr>
          <w:p>
            <w:pPr>
              <w:jc w:val="right"/>
              <w:spacing w:after="0"/>
              <w:rPr>
                <w:sz w:val="20"/>
                <w:szCs w:val="20"/>
                <w:color w:val="auto"/>
              </w:rPr>
            </w:pPr>
            <w:r>
              <w:rPr>
                <w:rFonts w:ascii="Arial" w:cs="Arial" w:eastAsia="Arial" w:hAnsi="Arial"/>
                <w:sz w:val="14"/>
                <w:szCs w:val="14"/>
                <w:color w:val="auto"/>
              </w:rPr>
              <w:t>5,696</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8"/>
              <w:spacing w:after="0"/>
              <w:rPr>
                <w:sz w:val="20"/>
                <w:szCs w:val="20"/>
                <w:color w:val="auto"/>
              </w:rPr>
            </w:pPr>
            <w:r>
              <w:rPr>
                <w:rFonts w:ascii="Arial" w:cs="Arial" w:eastAsia="Arial" w:hAnsi="Arial"/>
                <w:sz w:val="14"/>
                <w:szCs w:val="14"/>
                <w:color w:val="auto"/>
              </w:rPr>
              <w:t>6,575,557</w:t>
            </w:r>
          </w:p>
        </w:tc>
      </w:tr>
      <w:tr>
        <w:trPr>
          <w:trHeight w:val="175"/>
        </w:trPr>
        <w:tc>
          <w:tcPr>
            <w:tcW w:w="3500" w:type="dxa"/>
            <w:vAlign w:val="bottom"/>
            <w:tcBorders>
              <w:bottom w:val="single" w:sz="8" w:color="auto"/>
            </w:tcBorders>
            <w:shd w:val="clear" w:color="auto" w:fill="BAD3EA"/>
          </w:tcPr>
          <w:p>
            <w:pPr>
              <w:ind w:left="40"/>
              <w:spacing w:after="0"/>
              <w:rPr>
                <w:sz w:val="20"/>
                <w:szCs w:val="20"/>
                <w:color w:val="auto"/>
              </w:rPr>
            </w:pPr>
            <w:r>
              <w:rPr>
                <w:rFonts w:ascii="Arial" w:cs="Arial" w:eastAsia="Arial" w:hAnsi="Arial"/>
                <w:sz w:val="14"/>
                <w:szCs w:val="14"/>
                <w:color w:val="auto"/>
              </w:rPr>
              <w:t>Chief Financial Officer</w:t>
            </w:r>
          </w:p>
        </w:tc>
        <w:tc>
          <w:tcPr>
            <w:tcW w:w="500" w:type="dxa"/>
            <w:vAlign w:val="bottom"/>
            <w:tcBorders>
              <w:bottom w:val="single" w:sz="8" w:color="auto"/>
            </w:tcBorders>
            <w:shd w:val="clear" w:color="auto" w:fill="BAD3EA"/>
          </w:tcPr>
          <w:p>
            <w:pPr>
              <w:spacing w:after="0"/>
              <w:rPr>
                <w:sz w:val="15"/>
                <w:szCs w:val="15"/>
                <w:color w:val="auto"/>
              </w:rPr>
            </w:pPr>
          </w:p>
        </w:tc>
        <w:tc>
          <w:tcPr>
            <w:tcW w:w="140" w:type="dxa"/>
            <w:vAlign w:val="bottom"/>
            <w:tcBorders>
              <w:bottom w:val="single" w:sz="8" w:color="auto"/>
            </w:tcBorders>
            <w:shd w:val="clear" w:color="auto" w:fill="BAD3EA"/>
          </w:tcPr>
          <w:p>
            <w:pPr>
              <w:spacing w:after="0"/>
              <w:rPr>
                <w:sz w:val="15"/>
                <w:szCs w:val="15"/>
                <w:color w:val="auto"/>
              </w:rPr>
            </w:pPr>
          </w:p>
        </w:tc>
        <w:tc>
          <w:tcPr>
            <w:tcW w:w="720" w:type="dxa"/>
            <w:vAlign w:val="bottom"/>
            <w:tcBorders>
              <w:bottom w:val="single" w:sz="8" w:color="auto"/>
            </w:tcBorders>
            <w:shd w:val="clear" w:color="auto" w:fill="BAD3EA"/>
          </w:tcPr>
          <w:p>
            <w:pPr>
              <w:spacing w:after="0"/>
              <w:rPr>
                <w:sz w:val="15"/>
                <w:szCs w:val="15"/>
                <w:color w:val="auto"/>
              </w:rPr>
            </w:pPr>
          </w:p>
        </w:tc>
        <w:tc>
          <w:tcPr>
            <w:tcW w:w="900" w:type="dxa"/>
            <w:vAlign w:val="bottom"/>
            <w:tcBorders>
              <w:bottom w:val="single" w:sz="8" w:color="auto"/>
            </w:tcBorders>
            <w:shd w:val="clear" w:color="auto" w:fill="BAD3EA"/>
          </w:tcPr>
          <w:p>
            <w:pPr>
              <w:spacing w:after="0"/>
              <w:rPr>
                <w:sz w:val="15"/>
                <w:szCs w:val="15"/>
                <w:color w:val="auto"/>
              </w:rPr>
            </w:pPr>
          </w:p>
        </w:tc>
        <w:tc>
          <w:tcPr>
            <w:tcW w:w="160" w:type="dxa"/>
            <w:vAlign w:val="bottom"/>
            <w:tcBorders>
              <w:bottom w:val="single" w:sz="8" w:color="auto"/>
            </w:tcBorders>
            <w:shd w:val="clear" w:color="auto" w:fill="BAD3EA"/>
          </w:tcPr>
          <w:p>
            <w:pPr>
              <w:spacing w:after="0"/>
              <w:rPr>
                <w:sz w:val="15"/>
                <w:szCs w:val="15"/>
                <w:color w:val="auto"/>
              </w:rPr>
            </w:pPr>
          </w:p>
        </w:tc>
        <w:tc>
          <w:tcPr>
            <w:tcW w:w="780" w:type="dxa"/>
            <w:vAlign w:val="bottom"/>
            <w:tcBorders>
              <w:bottom w:val="single" w:sz="8" w:color="auto"/>
            </w:tcBorders>
            <w:shd w:val="clear" w:color="auto" w:fill="BAD3EA"/>
          </w:tcPr>
          <w:p>
            <w:pPr>
              <w:spacing w:after="0"/>
              <w:rPr>
                <w:sz w:val="15"/>
                <w:szCs w:val="15"/>
                <w:color w:val="auto"/>
              </w:rPr>
            </w:pPr>
          </w:p>
        </w:tc>
        <w:tc>
          <w:tcPr>
            <w:tcW w:w="500" w:type="dxa"/>
            <w:vAlign w:val="bottom"/>
            <w:tcBorders>
              <w:bottom w:val="single" w:sz="8" w:color="auto"/>
            </w:tcBorders>
            <w:shd w:val="clear" w:color="auto" w:fill="BAD3EA"/>
          </w:tcPr>
          <w:p>
            <w:pPr>
              <w:spacing w:after="0"/>
              <w:rPr>
                <w:sz w:val="15"/>
                <w:szCs w:val="15"/>
                <w:color w:val="auto"/>
              </w:rPr>
            </w:pPr>
          </w:p>
        </w:tc>
        <w:tc>
          <w:tcPr>
            <w:tcW w:w="660" w:type="dxa"/>
            <w:vAlign w:val="bottom"/>
            <w:tcBorders>
              <w:bottom w:val="single" w:sz="8" w:color="auto"/>
            </w:tcBorders>
            <w:shd w:val="clear" w:color="auto" w:fill="BAD3EA"/>
          </w:tcPr>
          <w:p>
            <w:pPr>
              <w:spacing w:after="0"/>
              <w:rPr>
                <w:sz w:val="15"/>
                <w:szCs w:val="15"/>
                <w:color w:val="auto"/>
              </w:rPr>
            </w:pPr>
          </w:p>
        </w:tc>
        <w:tc>
          <w:tcPr>
            <w:tcW w:w="520" w:type="dxa"/>
            <w:vAlign w:val="bottom"/>
            <w:tcBorders>
              <w:bottom w:val="single" w:sz="8" w:color="auto"/>
            </w:tcBorders>
            <w:shd w:val="clear" w:color="auto" w:fill="BAD3EA"/>
          </w:tcPr>
          <w:p>
            <w:pPr>
              <w:spacing w:after="0"/>
              <w:rPr>
                <w:sz w:val="15"/>
                <w:szCs w:val="15"/>
                <w:color w:val="auto"/>
              </w:rPr>
            </w:pPr>
          </w:p>
        </w:tc>
        <w:tc>
          <w:tcPr>
            <w:tcW w:w="560" w:type="dxa"/>
            <w:vAlign w:val="bottom"/>
            <w:tcBorders>
              <w:bottom w:val="single" w:sz="8" w:color="auto"/>
            </w:tcBorders>
            <w:shd w:val="clear" w:color="auto" w:fill="BAD3EA"/>
          </w:tcPr>
          <w:p>
            <w:pPr>
              <w:spacing w:after="0"/>
              <w:rPr>
                <w:sz w:val="15"/>
                <w:szCs w:val="15"/>
                <w:color w:val="auto"/>
              </w:rPr>
            </w:pPr>
          </w:p>
        </w:tc>
        <w:tc>
          <w:tcPr>
            <w:tcW w:w="600" w:type="dxa"/>
            <w:vAlign w:val="bottom"/>
            <w:tcBorders>
              <w:bottom w:val="single" w:sz="8" w:color="auto"/>
            </w:tcBorders>
            <w:shd w:val="clear" w:color="auto" w:fill="BAD3EA"/>
          </w:tcPr>
          <w:p>
            <w:pPr>
              <w:spacing w:after="0"/>
              <w:rPr>
                <w:sz w:val="15"/>
                <w:szCs w:val="15"/>
                <w:color w:val="auto"/>
              </w:rPr>
            </w:pPr>
          </w:p>
        </w:tc>
        <w:tc>
          <w:tcPr>
            <w:tcW w:w="520" w:type="dxa"/>
            <w:vAlign w:val="bottom"/>
            <w:tcBorders>
              <w:bottom w:val="single" w:sz="8" w:color="auto"/>
            </w:tcBorders>
            <w:shd w:val="clear" w:color="auto" w:fill="BAD3EA"/>
          </w:tcPr>
          <w:p>
            <w:pPr>
              <w:spacing w:after="0"/>
              <w:rPr>
                <w:sz w:val="15"/>
                <w:szCs w:val="15"/>
                <w:color w:val="auto"/>
              </w:rPr>
            </w:pPr>
          </w:p>
        </w:tc>
        <w:tc>
          <w:tcPr>
            <w:tcW w:w="140" w:type="dxa"/>
            <w:vAlign w:val="bottom"/>
            <w:tcBorders>
              <w:bottom w:val="single" w:sz="8" w:color="auto"/>
            </w:tcBorders>
            <w:shd w:val="clear" w:color="auto" w:fill="BAD3EA"/>
          </w:tcPr>
          <w:p>
            <w:pPr>
              <w:spacing w:after="0"/>
              <w:rPr>
                <w:sz w:val="15"/>
                <w:szCs w:val="15"/>
                <w:color w:val="auto"/>
              </w:rPr>
            </w:pPr>
          </w:p>
        </w:tc>
        <w:tc>
          <w:tcPr>
            <w:tcW w:w="820" w:type="dxa"/>
            <w:vAlign w:val="bottom"/>
            <w:tcBorders>
              <w:bottom w:val="single" w:sz="8" w:color="auto"/>
            </w:tcBorders>
            <w:shd w:val="clear" w:color="auto" w:fill="BAD3EA"/>
          </w:tcPr>
          <w:p>
            <w:pPr>
              <w:spacing w:after="0"/>
              <w:rPr>
                <w:sz w:val="15"/>
                <w:szCs w:val="15"/>
                <w:color w:val="auto"/>
              </w:rPr>
            </w:pPr>
          </w:p>
        </w:tc>
      </w:tr>
      <w:tr>
        <w:trPr>
          <w:trHeight w:val="156"/>
        </w:trPr>
        <w:tc>
          <w:tcPr>
            <w:tcW w:w="3500" w:type="dxa"/>
            <w:vAlign w:val="bottom"/>
            <w:shd w:val="clear" w:color="auto" w:fill="E8F0F8"/>
          </w:tcPr>
          <w:p>
            <w:pPr>
              <w:ind w:left="40"/>
              <w:spacing w:after="0" w:line="155" w:lineRule="exact"/>
              <w:rPr>
                <w:sz w:val="20"/>
                <w:szCs w:val="20"/>
                <w:color w:val="auto"/>
              </w:rPr>
            </w:pPr>
            <w:r>
              <w:rPr>
                <w:rFonts w:ascii="Arial" w:cs="Arial" w:eastAsia="Arial" w:hAnsi="Arial"/>
                <w:sz w:val="14"/>
                <w:szCs w:val="14"/>
                <w:b w:val="1"/>
                <w:bCs w:val="1"/>
                <w:color w:val="auto"/>
              </w:rPr>
              <w:t>Susan H. Alexander</w:t>
            </w:r>
          </w:p>
        </w:tc>
        <w:tc>
          <w:tcPr>
            <w:tcW w:w="500" w:type="dxa"/>
            <w:vAlign w:val="bottom"/>
            <w:shd w:val="clear" w:color="auto" w:fill="E8F0F8"/>
          </w:tcPr>
          <w:p>
            <w:pPr>
              <w:ind w:left="140"/>
              <w:spacing w:after="0" w:line="155" w:lineRule="exact"/>
              <w:rPr>
                <w:sz w:val="20"/>
                <w:szCs w:val="20"/>
                <w:color w:val="auto"/>
              </w:rPr>
            </w:pPr>
            <w:r>
              <w:rPr>
                <w:rFonts w:ascii="Arial" w:cs="Arial" w:eastAsia="Arial" w:hAnsi="Arial"/>
                <w:sz w:val="14"/>
                <w:szCs w:val="14"/>
                <w:color w:val="auto"/>
              </w:rPr>
              <w:t>2021</w:t>
            </w:r>
          </w:p>
        </w:tc>
        <w:tc>
          <w:tcPr>
            <w:tcW w:w="14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line="155" w:lineRule="exact"/>
              <w:rPr>
                <w:sz w:val="20"/>
                <w:szCs w:val="20"/>
                <w:color w:val="auto"/>
              </w:rPr>
            </w:pPr>
            <w:r>
              <w:rPr>
                <w:rFonts w:ascii="Arial" w:cs="Arial" w:eastAsia="Arial" w:hAnsi="Arial"/>
                <w:sz w:val="14"/>
                <w:szCs w:val="14"/>
                <w:color w:val="auto"/>
              </w:rPr>
              <w:t>832,173</w:t>
            </w:r>
          </w:p>
        </w:tc>
        <w:tc>
          <w:tcPr>
            <w:tcW w:w="90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3,408,917</w:t>
            </w:r>
          </w:p>
        </w:tc>
        <w:tc>
          <w:tcPr>
            <w:tcW w:w="50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813,659</w:t>
            </w:r>
          </w:p>
        </w:tc>
        <w:tc>
          <w:tcPr>
            <w:tcW w:w="1080" w:type="dxa"/>
            <w:vAlign w:val="bottom"/>
            <w:gridSpan w:val="2"/>
            <w:shd w:val="clear" w:color="auto" w:fill="E8F0F8"/>
          </w:tcPr>
          <w:p>
            <w:pPr>
              <w:jc w:val="right"/>
              <w:ind w:right="8"/>
              <w:spacing w:after="0" w:line="155" w:lineRule="exact"/>
              <w:rPr>
                <w:sz w:val="20"/>
                <w:szCs w:val="20"/>
                <w:color w:val="auto"/>
              </w:rPr>
            </w:pPr>
            <w:r>
              <w:rPr>
                <w:rFonts w:ascii="Arial" w:cs="Arial" w:eastAsia="Arial" w:hAnsi="Arial"/>
                <w:sz w:val="14"/>
                <w:szCs w:val="14"/>
                <w:color w:val="auto"/>
              </w:rPr>
              <w:t>$441,999</w:t>
            </w:r>
          </w:p>
        </w:tc>
        <w:tc>
          <w:tcPr>
            <w:tcW w:w="1120" w:type="dxa"/>
            <w:vAlign w:val="bottom"/>
            <w:gridSpan w:val="2"/>
            <w:shd w:val="clear" w:color="auto" w:fill="E8F0F8"/>
          </w:tcPr>
          <w:p>
            <w:pPr>
              <w:jc w:val="right"/>
              <w:spacing w:after="0" w:line="155" w:lineRule="exact"/>
              <w:rPr>
                <w:sz w:val="20"/>
                <w:szCs w:val="20"/>
                <w:color w:val="auto"/>
              </w:rPr>
            </w:pPr>
            <w:r>
              <w:rPr>
                <w:rFonts w:ascii="Arial" w:cs="Arial" w:eastAsia="Arial" w:hAnsi="Arial"/>
                <w:sz w:val="14"/>
                <w:szCs w:val="14"/>
                <w:color w:val="auto"/>
              </w:rPr>
              <w:t>$142,558</w:t>
            </w:r>
          </w:p>
        </w:tc>
        <w:tc>
          <w:tcPr>
            <w:tcW w:w="14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line="155" w:lineRule="exact"/>
              <w:rPr>
                <w:sz w:val="20"/>
                <w:szCs w:val="20"/>
                <w:color w:val="auto"/>
              </w:rPr>
            </w:pPr>
            <w:r>
              <w:rPr>
                <w:rFonts w:ascii="Arial" w:cs="Arial" w:eastAsia="Arial" w:hAnsi="Arial"/>
                <w:sz w:val="14"/>
                <w:szCs w:val="14"/>
                <w:color w:val="auto"/>
              </w:rPr>
              <w:t>5,639,306</w:t>
            </w:r>
          </w:p>
        </w:tc>
      </w:tr>
      <w:tr>
        <w:trPr>
          <w:trHeight w:val="162"/>
        </w:trPr>
        <w:tc>
          <w:tcPr>
            <w:tcW w:w="3500" w:type="dxa"/>
            <w:vAlign w:val="bottom"/>
            <w:shd w:val="clear" w:color="auto" w:fill="E8F0F8"/>
          </w:tcPr>
          <w:p>
            <w:pPr>
              <w:ind w:left="40"/>
              <w:spacing w:after="0"/>
              <w:rPr>
                <w:sz w:val="20"/>
                <w:szCs w:val="20"/>
                <w:color w:val="auto"/>
              </w:rPr>
            </w:pPr>
            <w:r>
              <w:rPr>
                <w:rFonts w:ascii="Arial" w:cs="Arial" w:eastAsia="Arial" w:hAnsi="Arial"/>
                <w:sz w:val="14"/>
                <w:szCs w:val="14"/>
                <w:color w:val="auto"/>
              </w:rPr>
              <w:t>Executive Vice President,</w:t>
            </w:r>
          </w:p>
        </w:tc>
        <w:tc>
          <w:tcPr>
            <w:tcW w:w="5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rPr>
                <w:sz w:val="20"/>
                <w:szCs w:val="20"/>
                <w:color w:val="auto"/>
              </w:rPr>
            </w:pPr>
            <w:r>
              <w:rPr>
                <w:rFonts w:ascii="Arial" w:cs="Arial" w:eastAsia="Arial" w:hAnsi="Arial"/>
                <w:sz w:val="14"/>
                <w:szCs w:val="14"/>
                <w:color w:val="auto"/>
              </w:rPr>
              <w:t>809,695</w:t>
            </w:r>
          </w:p>
        </w:tc>
        <w:tc>
          <w:tcPr>
            <w:tcW w:w="90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3,583,281</w:t>
            </w:r>
          </w:p>
        </w:tc>
        <w:tc>
          <w:tcPr>
            <w:tcW w:w="50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606,392</w:t>
            </w:r>
          </w:p>
        </w:tc>
        <w:tc>
          <w:tcPr>
            <w:tcW w:w="1080" w:type="dxa"/>
            <w:vAlign w:val="bottom"/>
            <w:gridSpan w:val="2"/>
            <w:shd w:val="clear" w:color="auto" w:fill="E8F0F8"/>
          </w:tcPr>
          <w:p>
            <w:pPr>
              <w:jc w:val="right"/>
              <w:ind w:right="8"/>
              <w:spacing w:after="0"/>
              <w:rPr>
                <w:sz w:val="20"/>
                <w:szCs w:val="20"/>
                <w:color w:val="auto"/>
              </w:rPr>
            </w:pPr>
            <w:r>
              <w:rPr>
                <w:rFonts w:ascii="Arial" w:cs="Arial" w:eastAsia="Arial" w:hAnsi="Arial"/>
                <w:sz w:val="14"/>
                <w:szCs w:val="14"/>
                <w:color w:val="auto"/>
              </w:rPr>
              <w:t>$311,416</w:t>
            </w:r>
          </w:p>
        </w:tc>
        <w:tc>
          <w:tcPr>
            <w:tcW w:w="112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$159,261</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rPr>
                <w:sz w:val="20"/>
                <w:szCs w:val="20"/>
                <w:color w:val="auto"/>
              </w:rPr>
            </w:pPr>
            <w:r>
              <w:rPr>
                <w:rFonts w:ascii="Arial" w:cs="Arial" w:eastAsia="Arial" w:hAnsi="Arial"/>
                <w:sz w:val="14"/>
                <w:szCs w:val="14"/>
                <w:color w:val="auto"/>
              </w:rPr>
              <w:t>5,470,045</w:t>
            </w:r>
          </w:p>
        </w:tc>
      </w:tr>
      <w:tr>
        <w:trPr>
          <w:trHeight w:val="162"/>
        </w:trPr>
        <w:tc>
          <w:tcPr>
            <w:tcW w:w="3500" w:type="dxa"/>
            <w:vAlign w:val="bottom"/>
            <w:shd w:val="clear" w:color="auto" w:fill="E8F0F8"/>
          </w:tcPr>
          <w:p>
            <w:pPr>
              <w:ind w:left="40"/>
              <w:spacing w:after="0"/>
              <w:rPr>
                <w:sz w:val="20"/>
                <w:szCs w:val="20"/>
                <w:color w:val="auto"/>
              </w:rPr>
            </w:pPr>
            <w:r>
              <w:rPr>
                <w:rFonts w:ascii="Arial" w:cs="Arial" w:eastAsia="Arial" w:hAnsi="Arial"/>
                <w:sz w:val="14"/>
                <w:szCs w:val="14"/>
                <w:color w:val="auto"/>
              </w:rPr>
              <w:t>Chief Legal Officer</w:t>
            </w:r>
          </w:p>
        </w:tc>
        <w:tc>
          <w:tcPr>
            <w:tcW w:w="5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rPr>
                <w:sz w:val="20"/>
                <w:szCs w:val="20"/>
                <w:color w:val="auto"/>
              </w:rPr>
            </w:pPr>
            <w:r>
              <w:rPr>
                <w:rFonts w:ascii="Arial" w:cs="Arial" w:eastAsia="Arial" w:hAnsi="Arial"/>
                <w:sz w:val="14"/>
                <w:szCs w:val="14"/>
                <w:color w:val="auto"/>
              </w:rPr>
              <w:t>772,373</w:t>
            </w:r>
          </w:p>
        </w:tc>
        <w:tc>
          <w:tcPr>
            <w:tcW w:w="90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3,302,619</w:t>
            </w:r>
          </w:p>
        </w:tc>
        <w:tc>
          <w:tcPr>
            <w:tcW w:w="116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$1,033,451</w:t>
            </w:r>
          </w:p>
        </w:tc>
        <w:tc>
          <w:tcPr>
            <w:tcW w:w="1080" w:type="dxa"/>
            <w:vAlign w:val="bottom"/>
            <w:gridSpan w:val="2"/>
            <w:shd w:val="clear" w:color="auto" w:fill="E8F0F8"/>
          </w:tcPr>
          <w:p>
            <w:pPr>
              <w:jc w:val="right"/>
              <w:ind w:right="8"/>
              <w:spacing w:after="0"/>
              <w:rPr>
                <w:sz w:val="20"/>
                <w:szCs w:val="20"/>
                <w:color w:val="auto"/>
              </w:rPr>
            </w:pPr>
            <w:r>
              <w:rPr>
                <w:rFonts w:ascii="Arial" w:cs="Arial" w:eastAsia="Arial" w:hAnsi="Arial"/>
                <w:sz w:val="14"/>
                <w:szCs w:val="14"/>
                <w:color w:val="auto"/>
              </w:rPr>
              <w:t>$164,782</w:t>
            </w:r>
          </w:p>
        </w:tc>
        <w:tc>
          <w:tcPr>
            <w:tcW w:w="112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$181,785</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rPr>
                <w:sz w:val="20"/>
                <w:szCs w:val="20"/>
                <w:color w:val="auto"/>
              </w:rPr>
            </w:pPr>
            <w:r>
              <w:rPr>
                <w:rFonts w:ascii="Arial" w:cs="Arial" w:eastAsia="Arial" w:hAnsi="Arial"/>
                <w:sz w:val="14"/>
                <w:szCs w:val="14"/>
                <w:color w:val="auto"/>
              </w:rPr>
              <w:t>5,455,010</w:t>
            </w:r>
          </w:p>
        </w:tc>
      </w:tr>
      <w:tr>
        <w:trPr>
          <w:trHeight w:val="162"/>
        </w:trPr>
        <w:tc>
          <w:tcPr>
            <w:tcW w:w="3500" w:type="dxa"/>
            <w:vAlign w:val="bottom"/>
            <w:tcBorders>
              <w:bottom w:val="single" w:sz="8" w:color="auto"/>
            </w:tcBorders>
            <w:shd w:val="clear" w:color="auto" w:fill="E8F0F8"/>
          </w:tcPr>
          <w:p>
            <w:pPr>
              <w:ind w:left="20"/>
              <w:spacing w:after="0"/>
              <w:rPr>
                <w:sz w:val="20"/>
                <w:szCs w:val="20"/>
                <w:color w:val="auto"/>
              </w:rPr>
            </w:pPr>
            <w:r>
              <w:rPr>
                <w:rFonts w:ascii="Arial" w:cs="Arial" w:eastAsia="Arial" w:hAnsi="Arial"/>
                <w:sz w:val="14"/>
                <w:szCs w:val="14"/>
                <w:color w:val="auto"/>
              </w:rPr>
              <w:t>And Secretary</w:t>
            </w:r>
          </w:p>
        </w:tc>
        <w:tc>
          <w:tcPr>
            <w:tcW w:w="500" w:type="dxa"/>
            <w:vAlign w:val="bottom"/>
            <w:tcBorders>
              <w:bottom w:val="single" w:sz="8" w:color="auto"/>
            </w:tcBorders>
            <w:shd w:val="clear" w:color="auto" w:fill="E8F0F8"/>
          </w:tcPr>
          <w:p>
            <w:pPr>
              <w:spacing w:after="0"/>
              <w:rPr>
                <w:sz w:val="14"/>
                <w:szCs w:val="14"/>
                <w:color w:val="auto"/>
              </w:rPr>
            </w:pPr>
          </w:p>
        </w:tc>
        <w:tc>
          <w:tcPr>
            <w:tcW w:w="140" w:type="dxa"/>
            <w:vAlign w:val="bottom"/>
            <w:tcBorders>
              <w:bottom w:val="single" w:sz="8" w:color="auto"/>
            </w:tcBorders>
            <w:shd w:val="clear" w:color="auto" w:fill="E8F0F8"/>
          </w:tcPr>
          <w:p>
            <w:pPr>
              <w:spacing w:after="0"/>
              <w:rPr>
                <w:sz w:val="14"/>
                <w:szCs w:val="14"/>
                <w:color w:val="auto"/>
              </w:rPr>
            </w:pPr>
          </w:p>
        </w:tc>
        <w:tc>
          <w:tcPr>
            <w:tcW w:w="720" w:type="dxa"/>
            <w:vAlign w:val="bottom"/>
            <w:tcBorders>
              <w:bottom w:val="single" w:sz="8" w:color="auto"/>
            </w:tcBorders>
            <w:shd w:val="clear" w:color="auto" w:fill="E8F0F8"/>
          </w:tcPr>
          <w:p>
            <w:pPr>
              <w:spacing w:after="0"/>
              <w:rPr>
                <w:sz w:val="14"/>
                <w:szCs w:val="14"/>
                <w:color w:val="auto"/>
              </w:rPr>
            </w:pPr>
          </w:p>
        </w:tc>
        <w:tc>
          <w:tcPr>
            <w:tcW w:w="900" w:type="dxa"/>
            <w:vAlign w:val="bottom"/>
            <w:tcBorders>
              <w:bottom w:val="single" w:sz="8" w:color="auto"/>
            </w:tcBorders>
            <w:shd w:val="clear" w:color="auto" w:fill="E8F0F8"/>
          </w:tcPr>
          <w:p>
            <w:pPr>
              <w:spacing w:after="0"/>
              <w:rPr>
                <w:sz w:val="14"/>
                <w:szCs w:val="14"/>
                <w:color w:val="auto"/>
              </w:rPr>
            </w:pPr>
          </w:p>
        </w:tc>
        <w:tc>
          <w:tcPr>
            <w:tcW w:w="160" w:type="dxa"/>
            <w:vAlign w:val="bottom"/>
            <w:tcBorders>
              <w:bottom w:val="single" w:sz="8" w:color="auto"/>
            </w:tcBorders>
            <w:shd w:val="clear" w:color="auto" w:fill="E8F0F8"/>
          </w:tcPr>
          <w:p>
            <w:pPr>
              <w:spacing w:after="0"/>
              <w:rPr>
                <w:sz w:val="14"/>
                <w:szCs w:val="14"/>
                <w:color w:val="auto"/>
              </w:rPr>
            </w:pPr>
          </w:p>
        </w:tc>
        <w:tc>
          <w:tcPr>
            <w:tcW w:w="780" w:type="dxa"/>
            <w:vAlign w:val="bottom"/>
            <w:tcBorders>
              <w:bottom w:val="single" w:sz="8" w:color="auto"/>
            </w:tcBorders>
            <w:shd w:val="clear" w:color="auto" w:fill="E8F0F8"/>
          </w:tcPr>
          <w:p>
            <w:pPr>
              <w:spacing w:after="0"/>
              <w:rPr>
                <w:sz w:val="14"/>
                <w:szCs w:val="14"/>
                <w:color w:val="auto"/>
              </w:rPr>
            </w:pPr>
          </w:p>
        </w:tc>
        <w:tc>
          <w:tcPr>
            <w:tcW w:w="500" w:type="dxa"/>
            <w:vAlign w:val="bottom"/>
            <w:tcBorders>
              <w:bottom w:val="single" w:sz="8" w:color="auto"/>
            </w:tcBorders>
            <w:shd w:val="clear" w:color="auto" w:fill="E8F0F8"/>
          </w:tcPr>
          <w:p>
            <w:pPr>
              <w:spacing w:after="0"/>
              <w:rPr>
                <w:sz w:val="14"/>
                <w:szCs w:val="14"/>
                <w:color w:val="auto"/>
              </w:rPr>
            </w:pPr>
          </w:p>
        </w:tc>
        <w:tc>
          <w:tcPr>
            <w:tcW w:w="660" w:type="dxa"/>
            <w:vAlign w:val="bottom"/>
            <w:tcBorders>
              <w:bottom w:val="single" w:sz="8" w:color="auto"/>
            </w:tcBorders>
            <w:shd w:val="clear" w:color="auto" w:fill="E8F0F8"/>
          </w:tcPr>
          <w:p>
            <w:pPr>
              <w:spacing w:after="0"/>
              <w:rPr>
                <w:sz w:val="14"/>
                <w:szCs w:val="14"/>
                <w:color w:val="auto"/>
              </w:rPr>
            </w:pPr>
          </w:p>
        </w:tc>
        <w:tc>
          <w:tcPr>
            <w:tcW w:w="520" w:type="dxa"/>
            <w:vAlign w:val="bottom"/>
            <w:tcBorders>
              <w:bottom w:val="single" w:sz="8" w:color="auto"/>
            </w:tcBorders>
            <w:shd w:val="clear" w:color="auto" w:fill="E8F0F8"/>
          </w:tcPr>
          <w:p>
            <w:pPr>
              <w:spacing w:after="0"/>
              <w:rPr>
                <w:sz w:val="14"/>
                <w:szCs w:val="14"/>
                <w:color w:val="auto"/>
              </w:rPr>
            </w:pPr>
          </w:p>
        </w:tc>
        <w:tc>
          <w:tcPr>
            <w:tcW w:w="560" w:type="dxa"/>
            <w:vAlign w:val="bottom"/>
            <w:tcBorders>
              <w:bottom w:val="single" w:sz="8" w:color="auto"/>
            </w:tcBorders>
            <w:shd w:val="clear" w:color="auto" w:fill="E8F0F8"/>
          </w:tcPr>
          <w:p>
            <w:pPr>
              <w:spacing w:after="0"/>
              <w:rPr>
                <w:sz w:val="14"/>
                <w:szCs w:val="14"/>
                <w:color w:val="auto"/>
              </w:rPr>
            </w:pPr>
          </w:p>
        </w:tc>
        <w:tc>
          <w:tcPr>
            <w:tcW w:w="600" w:type="dxa"/>
            <w:vAlign w:val="bottom"/>
            <w:tcBorders>
              <w:bottom w:val="single" w:sz="8" w:color="auto"/>
            </w:tcBorders>
            <w:shd w:val="clear" w:color="auto" w:fill="E8F0F8"/>
          </w:tcPr>
          <w:p>
            <w:pPr>
              <w:spacing w:after="0"/>
              <w:rPr>
                <w:sz w:val="14"/>
                <w:szCs w:val="14"/>
                <w:color w:val="auto"/>
              </w:rPr>
            </w:pPr>
          </w:p>
        </w:tc>
        <w:tc>
          <w:tcPr>
            <w:tcW w:w="520" w:type="dxa"/>
            <w:vAlign w:val="bottom"/>
            <w:tcBorders>
              <w:bottom w:val="single" w:sz="8" w:color="auto"/>
            </w:tcBorders>
            <w:shd w:val="clear" w:color="auto" w:fill="E8F0F8"/>
          </w:tcPr>
          <w:p>
            <w:pPr>
              <w:spacing w:after="0"/>
              <w:rPr>
                <w:sz w:val="14"/>
                <w:szCs w:val="14"/>
                <w:color w:val="auto"/>
              </w:rPr>
            </w:pPr>
          </w:p>
        </w:tc>
        <w:tc>
          <w:tcPr>
            <w:tcW w:w="140" w:type="dxa"/>
            <w:vAlign w:val="bottom"/>
            <w:tcBorders>
              <w:bottom w:val="single" w:sz="8" w:color="auto"/>
            </w:tcBorders>
            <w:shd w:val="clear" w:color="auto" w:fill="E8F0F8"/>
          </w:tcPr>
          <w:p>
            <w:pPr>
              <w:spacing w:after="0"/>
              <w:rPr>
                <w:sz w:val="14"/>
                <w:szCs w:val="14"/>
                <w:color w:val="auto"/>
              </w:rPr>
            </w:pPr>
          </w:p>
        </w:tc>
        <w:tc>
          <w:tcPr>
            <w:tcW w:w="820" w:type="dxa"/>
            <w:vAlign w:val="bottom"/>
            <w:tcBorders>
              <w:bottom w:val="single" w:sz="8" w:color="auto"/>
            </w:tcBorders>
            <w:shd w:val="clear" w:color="auto" w:fill="E8F0F8"/>
          </w:tcPr>
          <w:p>
            <w:pPr>
              <w:spacing w:after="0"/>
              <w:rPr>
                <w:sz w:val="14"/>
                <w:szCs w:val="14"/>
                <w:color w:val="auto"/>
              </w:rPr>
            </w:pPr>
          </w:p>
        </w:tc>
      </w:tr>
      <w:tr>
        <w:trPr>
          <w:trHeight w:val="156"/>
        </w:trPr>
        <w:tc>
          <w:tcPr>
            <w:tcW w:w="3500" w:type="dxa"/>
            <w:vAlign w:val="bottom"/>
            <w:shd w:val="clear" w:color="auto" w:fill="BAD3EA"/>
          </w:tcPr>
          <w:p>
            <w:pPr>
              <w:ind w:left="40"/>
              <w:spacing w:after="0" w:line="155" w:lineRule="exact"/>
              <w:rPr>
                <w:sz w:val="20"/>
                <w:szCs w:val="20"/>
                <w:color w:val="auto"/>
              </w:rPr>
            </w:pPr>
            <w:r>
              <w:rPr>
                <w:rFonts w:ascii="Arial" w:cs="Arial" w:eastAsia="Arial" w:hAnsi="Arial"/>
                <w:sz w:val="14"/>
                <w:szCs w:val="14"/>
                <w:b w:val="1"/>
                <w:bCs w:val="1"/>
                <w:color w:val="auto"/>
              </w:rPr>
              <w:t>Chirfi Guindo</w:t>
            </w:r>
          </w:p>
        </w:tc>
        <w:tc>
          <w:tcPr>
            <w:tcW w:w="500" w:type="dxa"/>
            <w:vAlign w:val="bottom"/>
            <w:shd w:val="clear" w:color="auto" w:fill="BAD3EA"/>
          </w:tcPr>
          <w:p>
            <w:pPr>
              <w:ind w:left="140"/>
              <w:spacing w:after="0" w:line="155" w:lineRule="exact"/>
              <w:rPr>
                <w:sz w:val="20"/>
                <w:szCs w:val="20"/>
                <w:color w:val="auto"/>
              </w:rPr>
            </w:pPr>
            <w:r>
              <w:rPr>
                <w:rFonts w:ascii="Arial" w:cs="Arial" w:eastAsia="Arial" w:hAnsi="Arial"/>
                <w:sz w:val="14"/>
                <w:szCs w:val="14"/>
                <w:color w:val="auto"/>
              </w:rPr>
              <w:t>2021</w:t>
            </w:r>
          </w:p>
        </w:tc>
        <w:tc>
          <w:tcPr>
            <w:tcW w:w="14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BAD3EA"/>
          </w:tcPr>
          <w:p>
            <w:pPr>
              <w:jc w:val="right"/>
              <w:ind w:right="8"/>
              <w:spacing w:after="0" w:line="155" w:lineRule="exact"/>
              <w:rPr>
                <w:sz w:val="20"/>
                <w:szCs w:val="20"/>
                <w:color w:val="auto"/>
              </w:rPr>
            </w:pPr>
            <w:r>
              <w:rPr>
                <w:rFonts w:ascii="Arial" w:cs="Arial" w:eastAsia="Arial" w:hAnsi="Arial"/>
                <w:sz w:val="14"/>
                <w:szCs w:val="14"/>
                <w:color w:val="auto"/>
              </w:rPr>
              <w:t>618,508</w:t>
            </w:r>
          </w:p>
        </w:tc>
        <w:tc>
          <w:tcPr>
            <w:tcW w:w="90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4,476,969</w:t>
            </w:r>
          </w:p>
        </w:tc>
        <w:tc>
          <w:tcPr>
            <w:tcW w:w="50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586,138</w:t>
            </w:r>
          </w:p>
        </w:tc>
        <w:tc>
          <w:tcPr>
            <w:tcW w:w="520" w:type="dxa"/>
            <w:vAlign w:val="bottom"/>
            <w:shd w:val="clear" w:color="auto" w:fill="BAD3EA"/>
          </w:tcPr>
          <w:p>
            <w:pPr>
              <w:spacing w:after="0"/>
              <w:rPr>
                <w:sz w:val="13"/>
                <w:szCs w:val="13"/>
                <w:color w:val="auto"/>
              </w:rPr>
            </w:pPr>
          </w:p>
        </w:tc>
        <w:tc>
          <w:tcPr>
            <w:tcW w:w="560" w:type="dxa"/>
            <w:vAlign w:val="bottom"/>
            <w:shd w:val="clear" w:color="auto" w:fill="BAD3EA"/>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BAD3EA"/>
          </w:tcPr>
          <w:p>
            <w:pPr>
              <w:ind w:left="480"/>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69,047</w:t>
            </w:r>
          </w:p>
        </w:tc>
        <w:tc>
          <w:tcPr>
            <w:tcW w:w="140" w:type="dxa"/>
            <w:vAlign w:val="bottom"/>
            <w:shd w:val="clear" w:color="auto" w:fill="BAD3EA"/>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8"/>
              <w:spacing w:after="0" w:line="155" w:lineRule="exact"/>
              <w:rPr>
                <w:sz w:val="20"/>
                <w:szCs w:val="20"/>
                <w:color w:val="auto"/>
              </w:rPr>
            </w:pPr>
            <w:r>
              <w:rPr>
                <w:rFonts w:ascii="Arial" w:cs="Arial" w:eastAsia="Arial" w:hAnsi="Arial"/>
                <w:sz w:val="14"/>
                <w:szCs w:val="14"/>
                <w:color w:val="auto"/>
              </w:rPr>
              <w:t>5,750,662</w:t>
            </w:r>
          </w:p>
        </w:tc>
      </w:tr>
      <w:tr>
        <w:trPr>
          <w:trHeight w:val="162"/>
        </w:trPr>
        <w:tc>
          <w:tcPr>
            <w:tcW w:w="3500" w:type="dxa"/>
            <w:vAlign w:val="bottom"/>
            <w:shd w:val="clear" w:color="auto" w:fill="BAD3EA"/>
          </w:tcPr>
          <w:p>
            <w:pPr>
              <w:ind w:left="40"/>
              <w:spacing w:after="0"/>
              <w:rPr>
                <w:sz w:val="20"/>
                <w:szCs w:val="20"/>
                <w:color w:val="auto"/>
              </w:rPr>
            </w:pPr>
            <w:r>
              <w:rPr>
                <w:rFonts w:ascii="Arial" w:cs="Arial" w:eastAsia="Arial" w:hAnsi="Arial"/>
                <w:sz w:val="14"/>
                <w:szCs w:val="14"/>
                <w:color w:val="auto"/>
              </w:rPr>
              <w:t>Executive Vice President,</w:t>
            </w:r>
          </w:p>
        </w:tc>
        <w:tc>
          <w:tcPr>
            <w:tcW w:w="500" w:type="dxa"/>
            <w:vAlign w:val="bottom"/>
            <w:shd w:val="clear" w:color="auto" w:fill="BAD3EA"/>
          </w:tcPr>
          <w:p>
            <w:pPr>
              <w:ind w:left="14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BAD3EA"/>
          </w:tcPr>
          <w:p>
            <w:pPr>
              <w:jc w:val="right"/>
              <w:ind w:right="8"/>
              <w:spacing w:after="0"/>
              <w:rPr>
                <w:sz w:val="20"/>
                <w:szCs w:val="20"/>
                <w:color w:val="auto"/>
              </w:rPr>
            </w:pPr>
            <w:r>
              <w:rPr>
                <w:rFonts w:ascii="Arial" w:cs="Arial" w:eastAsia="Arial" w:hAnsi="Arial"/>
                <w:sz w:val="14"/>
                <w:szCs w:val="14"/>
                <w:color w:val="auto"/>
              </w:rPr>
              <w:t>562,819</w:t>
            </w:r>
          </w:p>
        </w:tc>
        <w:tc>
          <w:tcPr>
            <w:tcW w:w="90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3,961,285</w:t>
            </w:r>
          </w:p>
        </w:tc>
        <w:tc>
          <w:tcPr>
            <w:tcW w:w="50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527,970</w:t>
            </w:r>
          </w:p>
        </w:tc>
        <w:tc>
          <w:tcPr>
            <w:tcW w:w="520" w:type="dxa"/>
            <w:vAlign w:val="bottom"/>
            <w:shd w:val="clear" w:color="auto" w:fill="BAD3EA"/>
          </w:tcPr>
          <w:p>
            <w:pPr>
              <w:spacing w:after="0"/>
              <w:rPr>
                <w:sz w:val="14"/>
                <w:szCs w:val="14"/>
                <w:color w:val="auto"/>
              </w:rPr>
            </w:pPr>
          </w:p>
        </w:tc>
        <w:tc>
          <w:tcPr>
            <w:tcW w:w="560" w:type="dxa"/>
            <w:vAlign w:val="bottom"/>
            <w:shd w:val="clear" w:color="auto" w:fill="BAD3EA"/>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BAD3EA"/>
          </w:tcPr>
          <w:p>
            <w:pPr>
              <w:ind w:left="480"/>
              <w:spacing w:after="0"/>
              <w:rPr>
                <w:sz w:val="20"/>
                <w:szCs w:val="20"/>
                <w:color w:val="auto"/>
              </w:rPr>
            </w:pPr>
            <w:r>
              <w:rPr>
                <w:rFonts w:ascii="Arial" w:cs="Arial" w:eastAsia="Arial" w:hAnsi="Arial"/>
                <w:sz w:val="14"/>
                <w:szCs w:val="14"/>
                <w:color w:val="auto"/>
              </w:rPr>
              <w:t>$</w:t>
            </w:r>
          </w:p>
        </w:tc>
        <w:tc>
          <w:tcPr>
            <w:tcW w:w="520" w:type="dxa"/>
            <w:vAlign w:val="bottom"/>
            <w:shd w:val="clear" w:color="auto" w:fill="BAD3EA"/>
          </w:tcPr>
          <w:p>
            <w:pPr>
              <w:jc w:val="right"/>
              <w:spacing w:after="0"/>
              <w:rPr>
                <w:sz w:val="20"/>
                <w:szCs w:val="20"/>
                <w:color w:val="auto"/>
              </w:rPr>
            </w:pPr>
            <w:r>
              <w:rPr>
                <w:rFonts w:ascii="Arial" w:cs="Arial" w:eastAsia="Arial" w:hAnsi="Arial"/>
                <w:sz w:val="14"/>
                <w:szCs w:val="14"/>
                <w:color w:val="auto"/>
              </w:rPr>
              <w:t>80,721</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8"/>
              <w:spacing w:after="0"/>
              <w:rPr>
                <w:sz w:val="20"/>
                <w:szCs w:val="20"/>
                <w:color w:val="auto"/>
              </w:rPr>
            </w:pPr>
            <w:r>
              <w:rPr>
                <w:rFonts w:ascii="Arial" w:cs="Arial" w:eastAsia="Arial" w:hAnsi="Arial"/>
                <w:sz w:val="14"/>
                <w:szCs w:val="14"/>
                <w:color w:val="auto"/>
              </w:rPr>
              <w:t>5,132,795</w:t>
            </w:r>
          </w:p>
        </w:tc>
      </w:tr>
      <w:tr>
        <w:trPr>
          <w:trHeight w:val="153"/>
        </w:trPr>
        <w:tc>
          <w:tcPr>
            <w:tcW w:w="3500" w:type="dxa"/>
            <w:vAlign w:val="bottom"/>
            <w:shd w:val="clear" w:color="auto" w:fill="BAD3EA"/>
          </w:tcPr>
          <w:p>
            <w:pPr>
              <w:ind w:left="40"/>
              <w:spacing w:after="0" w:line="153" w:lineRule="exact"/>
              <w:rPr>
                <w:sz w:val="20"/>
                <w:szCs w:val="20"/>
                <w:color w:val="auto"/>
              </w:rPr>
            </w:pPr>
            <w:r>
              <w:rPr>
                <w:rFonts w:ascii="Arial" w:cs="Arial" w:eastAsia="Arial" w:hAnsi="Arial"/>
                <w:sz w:val="14"/>
                <w:szCs w:val="14"/>
                <w:color w:val="auto"/>
              </w:rPr>
              <w:t>Global Product Strategy</w:t>
            </w:r>
          </w:p>
        </w:tc>
        <w:tc>
          <w:tcPr>
            <w:tcW w:w="500" w:type="dxa"/>
            <w:vAlign w:val="bottom"/>
            <w:shd w:val="clear" w:color="auto" w:fill="BAD3EA"/>
          </w:tcPr>
          <w:p>
            <w:pPr>
              <w:ind w:left="140"/>
              <w:spacing w:after="0" w:line="153" w:lineRule="exact"/>
              <w:rPr>
                <w:sz w:val="20"/>
                <w:szCs w:val="20"/>
                <w:color w:val="auto"/>
              </w:rPr>
            </w:pPr>
            <w:r>
              <w:rPr>
                <w:rFonts w:ascii="Arial" w:cs="Arial" w:eastAsia="Arial" w:hAnsi="Arial"/>
                <w:sz w:val="14"/>
                <w:szCs w:val="14"/>
                <w:color w:val="auto"/>
              </w:rPr>
              <w:t>2019</w:t>
            </w:r>
          </w:p>
        </w:tc>
        <w:tc>
          <w:tcPr>
            <w:tcW w:w="14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shd w:val="clear" w:color="auto" w:fill="BAD3EA"/>
          </w:tcPr>
          <w:p>
            <w:pPr>
              <w:jc w:val="right"/>
              <w:ind w:right="8"/>
              <w:spacing w:after="0" w:line="153" w:lineRule="exact"/>
              <w:rPr>
                <w:sz w:val="20"/>
                <w:szCs w:val="20"/>
                <w:color w:val="auto"/>
              </w:rPr>
            </w:pPr>
            <w:r>
              <w:rPr>
                <w:rFonts w:ascii="Arial" w:cs="Arial" w:eastAsia="Arial" w:hAnsi="Arial"/>
                <w:sz w:val="14"/>
                <w:szCs w:val="14"/>
                <w:color w:val="auto"/>
              </w:rPr>
              <w:t>526,539</w:t>
            </w:r>
          </w:p>
        </w:tc>
        <w:tc>
          <w:tcPr>
            <w:tcW w:w="90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3,379,426</w:t>
            </w:r>
          </w:p>
        </w:tc>
        <w:tc>
          <w:tcPr>
            <w:tcW w:w="50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706,384</w:t>
            </w:r>
          </w:p>
        </w:tc>
        <w:tc>
          <w:tcPr>
            <w:tcW w:w="520" w:type="dxa"/>
            <w:vAlign w:val="bottom"/>
            <w:shd w:val="clear" w:color="auto" w:fill="BAD3EA"/>
          </w:tcPr>
          <w:p>
            <w:pPr>
              <w:spacing w:after="0"/>
              <w:rPr>
                <w:sz w:val="13"/>
                <w:szCs w:val="13"/>
                <w:color w:val="auto"/>
              </w:rPr>
            </w:pPr>
          </w:p>
        </w:tc>
        <w:tc>
          <w:tcPr>
            <w:tcW w:w="560" w:type="dxa"/>
            <w:vAlign w:val="bottom"/>
            <w:shd w:val="clear" w:color="auto" w:fill="BAD3EA"/>
          </w:tcPr>
          <w:p>
            <w:pPr>
              <w:jc w:val="right"/>
              <w:ind w:right="8"/>
              <w:spacing w:after="0" w:line="153" w:lineRule="exact"/>
              <w:rPr>
                <w:sz w:val="20"/>
                <w:szCs w:val="20"/>
                <w:color w:val="auto"/>
              </w:rPr>
            </w:pPr>
            <w:r>
              <w:rPr>
                <w:rFonts w:ascii="Arial" w:cs="Arial" w:eastAsia="Arial" w:hAnsi="Arial"/>
                <w:sz w:val="14"/>
                <w:szCs w:val="14"/>
                <w:color w:val="auto"/>
              </w:rPr>
              <w:t>—</w:t>
            </w:r>
          </w:p>
        </w:tc>
        <w:tc>
          <w:tcPr>
            <w:tcW w:w="600" w:type="dxa"/>
            <w:vAlign w:val="bottom"/>
            <w:shd w:val="clear" w:color="auto" w:fill="BAD3EA"/>
          </w:tcPr>
          <w:p>
            <w:pPr>
              <w:ind w:left="480"/>
              <w:spacing w:after="0" w:line="153" w:lineRule="exact"/>
              <w:rPr>
                <w:sz w:val="20"/>
                <w:szCs w:val="20"/>
                <w:color w:val="auto"/>
              </w:rPr>
            </w:pPr>
            <w:r>
              <w:rPr>
                <w:rFonts w:ascii="Arial" w:cs="Arial" w:eastAsia="Arial" w:hAnsi="Arial"/>
                <w:sz w:val="14"/>
                <w:szCs w:val="14"/>
                <w:color w:val="auto"/>
              </w:rPr>
              <w:t>$</w:t>
            </w:r>
          </w:p>
        </w:tc>
        <w:tc>
          <w:tcPr>
            <w:tcW w:w="52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82,173</w:t>
            </w:r>
          </w:p>
        </w:tc>
        <w:tc>
          <w:tcPr>
            <w:tcW w:w="140" w:type="dxa"/>
            <w:vAlign w:val="bottom"/>
            <w:shd w:val="clear" w:color="auto" w:fill="BAD3EA"/>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8"/>
              <w:spacing w:after="0" w:line="153" w:lineRule="exact"/>
              <w:rPr>
                <w:sz w:val="20"/>
                <w:szCs w:val="20"/>
                <w:color w:val="auto"/>
              </w:rPr>
            </w:pPr>
            <w:r>
              <w:rPr>
                <w:rFonts w:ascii="Arial" w:cs="Arial" w:eastAsia="Arial" w:hAnsi="Arial"/>
                <w:sz w:val="14"/>
                <w:szCs w:val="14"/>
                <w:color w:val="auto"/>
              </w:rPr>
              <w:t>4,694,522</w:t>
            </w:r>
          </w:p>
        </w:tc>
      </w:tr>
      <w:tr>
        <w:trPr>
          <w:trHeight w:val="185"/>
        </w:trPr>
        <w:tc>
          <w:tcPr>
            <w:tcW w:w="3500" w:type="dxa"/>
            <w:vAlign w:val="bottom"/>
            <w:tcBorders>
              <w:bottom w:val="single" w:sz="8" w:color="auto"/>
            </w:tcBorders>
            <w:shd w:val="clear" w:color="auto" w:fill="BAD3EA"/>
          </w:tcPr>
          <w:p>
            <w:pPr>
              <w:ind w:left="20"/>
              <w:spacing w:after="0"/>
              <w:rPr>
                <w:sz w:val="20"/>
                <w:szCs w:val="20"/>
                <w:color w:val="auto"/>
              </w:rPr>
            </w:pPr>
            <w:r>
              <w:rPr>
                <w:rFonts w:ascii="Arial" w:cs="Arial" w:eastAsia="Arial" w:hAnsi="Arial"/>
                <w:sz w:val="14"/>
                <w:szCs w:val="14"/>
                <w:color w:val="auto"/>
              </w:rPr>
              <w:t>And Commercialization</w:t>
            </w:r>
          </w:p>
        </w:tc>
        <w:tc>
          <w:tcPr>
            <w:tcW w:w="500" w:type="dxa"/>
            <w:vAlign w:val="bottom"/>
            <w:tcBorders>
              <w:bottom w:val="single" w:sz="8" w:color="auto"/>
            </w:tcBorders>
            <w:shd w:val="clear" w:color="auto" w:fill="BAD3EA"/>
          </w:tcPr>
          <w:p>
            <w:pPr>
              <w:spacing w:after="0"/>
              <w:rPr>
                <w:sz w:val="16"/>
                <w:szCs w:val="16"/>
                <w:color w:val="auto"/>
              </w:rPr>
            </w:pPr>
          </w:p>
        </w:tc>
        <w:tc>
          <w:tcPr>
            <w:tcW w:w="140" w:type="dxa"/>
            <w:vAlign w:val="bottom"/>
            <w:tcBorders>
              <w:bottom w:val="single" w:sz="8" w:color="auto"/>
            </w:tcBorders>
            <w:shd w:val="clear" w:color="auto" w:fill="BAD3EA"/>
          </w:tcPr>
          <w:p>
            <w:pPr>
              <w:spacing w:after="0"/>
              <w:rPr>
                <w:sz w:val="16"/>
                <w:szCs w:val="16"/>
                <w:color w:val="auto"/>
              </w:rPr>
            </w:pPr>
          </w:p>
        </w:tc>
        <w:tc>
          <w:tcPr>
            <w:tcW w:w="720" w:type="dxa"/>
            <w:vAlign w:val="bottom"/>
            <w:tcBorders>
              <w:bottom w:val="single" w:sz="8" w:color="auto"/>
            </w:tcBorders>
            <w:shd w:val="clear" w:color="auto" w:fill="BAD3EA"/>
          </w:tcPr>
          <w:p>
            <w:pPr>
              <w:spacing w:after="0"/>
              <w:rPr>
                <w:sz w:val="16"/>
                <w:szCs w:val="16"/>
                <w:color w:val="auto"/>
              </w:rPr>
            </w:pPr>
          </w:p>
        </w:tc>
        <w:tc>
          <w:tcPr>
            <w:tcW w:w="900" w:type="dxa"/>
            <w:vAlign w:val="bottom"/>
            <w:tcBorders>
              <w:bottom w:val="single" w:sz="8" w:color="auto"/>
            </w:tcBorders>
            <w:shd w:val="clear" w:color="auto" w:fill="BAD3EA"/>
          </w:tcPr>
          <w:p>
            <w:pPr>
              <w:spacing w:after="0"/>
              <w:rPr>
                <w:sz w:val="16"/>
                <w:szCs w:val="16"/>
                <w:color w:val="auto"/>
              </w:rPr>
            </w:pPr>
          </w:p>
        </w:tc>
        <w:tc>
          <w:tcPr>
            <w:tcW w:w="160" w:type="dxa"/>
            <w:vAlign w:val="bottom"/>
            <w:tcBorders>
              <w:bottom w:val="single" w:sz="8" w:color="auto"/>
            </w:tcBorders>
            <w:shd w:val="clear" w:color="auto" w:fill="BAD3EA"/>
          </w:tcPr>
          <w:p>
            <w:pPr>
              <w:spacing w:after="0"/>
              <w:rPr>
                <w:sz w:val="16"/>
                <w:szCs w:val="16"/>
                <w:color w:val="auto"/>
              </w:rPr>
            </w:pPr>
          </w:p>
        </w:tc>
        <w:tc>
          <w:tcPr>
            <w:tcW w:w="780" w:type="dxa"/>
            <w:vAlign w:val="bottom"/>
            <w:tcBorders>
              <w:bottom w:val="single" w:sz="8" w:color="auto"/>
            </w:tcBorders>
            <w:shd w:val="clear" w:color="auto" w:fill="BAD3EA"/>
          </w:tcPr>
          <w:p>
            <w:pPr>
              <w:spacing w:after="0"/>
              <w:rPr>
                <w:sz w:val="16"/>
                <w:szCs w:val="16"/>
                <w:color w:val="auto"/>
              </w:rPr>
            </w:pPr>
          </w:p>
        </w:tc>
        <w:tc>
          <w:tcPr>
            <w:tcW w:w="500" w:type="dxa"/>
            <w:vAlign w:val="bottom"/>
            <w:tcBorders>
              <w:bottom w:val="single" w:sz="8" w:color="auto"/>
            </w:tcBorders>
            <w:shd w:val="clear" w:color="auto" w:fill="BAD3EA"/>
          </w:tcPr>
          <w:p>
            <w:pPr>
              <w:spacing w:after="0"/>
              <w:rPr>
                <w:sz w:val="16"/>
                <w:szCs w:val="16"/>
                <w:color w:val="auto"/>
              </w:rPr>
            </w:pPr>
          </w:p>
        </w:tc>
        <w:tc>
          <w:tcPr>
            <w:tcW w:w="660" w:type="dxa"/>
            <w:vAlign w:val="bottom"/>
            <w:tcBorders>
              <w:bottom w:val="single" w:sz="8" w:color="auto"/>
            </w:tcBorders>
            <w:shd w:val="clear" w:color="auto" w:fill="BAD3EA"/>
          </w:tcPr>
          <w:p>
            <w:pPr>
              <w:spacing w:after="0"/>
              <w:rPr>
                <w:sz w:val="16"/>
                <w:szCs w:val="16"/>
                <w:color w:val="auto"/>
              </w:rPr>
            </w:pPr>
          </w:p>
        </w:tc>
        <w:tc>
          <w:tcPr>
            <w:tcW w:w="520" w:type="dxa"/>
            <w:vAlign w:val="bottom"/>
            <w:tcBorders>
              <w:bottom w:val="single" w:sz="8" w:color="auto"/>
            </w:tcBorders>
            <w:shd w:val="clear" w:color="auto" w:fill="BAD3EA"/>
          </w:tcPr>
          <w:p>
            <w:pPr>
              <w:spacing w:after="0"/>
              <w:rPr>
                <w:sz w:val="16"/>
                <w:szCs w:val="16"/>
                <w:color w:val="auto"/>
              </w:rPr>
            </w:pPr>
          </w:p>
        </w:tc>
        <w:tc>
          <w:tcPr>
            <w:tcW w:w="560" w:type="dxa"/>
            <w:vAlign w:val="bottom"/>
            <w:tcBorders>
              <w:bottom w:val="single" w:sz="8" w:color="auto"/>
            </w:tcBorders>
            <w:shd w:val="clear" w:color="auto" w:fill="BAD3EA"/>
          </w:tcPr>
          <w:p>
            <w:pPr>
              <w:spacing w:after="0"/>
              <w:rPr>
                <w:sz w:val="16"/>
                <w:szCs w:val="16"/>
                <w:color w:val="auto"/>
              </w:rPr>
            </w:pPr>
          </w:p>
        </w:tc>
        <w:tc>
          <w:tcPr>
            <w:tcW w:w="600" w:type="dxa"/>
            <w:vAlign w:val="bottom"/>
            <w:tcBorders>
              <w:bottom w:val="single" w:sz="8" w:color="auto"/>
            </w:tcBorders>
            <w:shd w:val="clear" w:color="auto" w:fill="BAD3EA"/>
          </w:tcPr>
          <w:p>
            <w:pPr>
              <w:spacing w:after="0"/>
              <w:rPr>
                <w:sz w:val="16"/>
                <w:szCs w:val="16"/>
                <w:color w:val="auto"/>
              </w:rPr>
            </w:pPr>
          </w:p>
        </w:tc>
        <w:tc>
          <w:tcPr>
            <w:tcW w:w="520" w:type="dxa"/>
            <w:vAlign w:val="bottom"/>
            <w:tcBorders>
              <w:bottom w:val="single" w:sz="8" w:color="auto"/>
            </w:tcBorders>
            <w:shd w:val="clear" w:color="auto" w:fill="BAD3EA"/>
          </w:tcPr>
          <w:p>
            <w:pPr>
              <w:spacing w:after="0"/>
              <w:rPr>
                <w:sz w:val="16"/>
                <w:szCs w:val="16"/>
                <w:color w:val="auto"/>
              </w:rPr>
            </w:pPr>
          </w:p>
        </w:tc>
        <w:tc>
          <w:tcPr>
            <w:tcW w:w="140" w:type="dxa"/>
            <w:vAlign w:val="bottom"/>
            <w:tcBorders>
              <w:bottom w:val="single" w:sz="8" w:color="auto"/>
            </w:tcBorders>
            <w:shd w:val="clear" w:color="auto" w:fill="BAD3EA"/>
          </w:tcPr>
          <w:p>
            <w:pPr>
              <w:spacing w:after="0"/>
              <w:rPr>
                <w:sz w:val="16"/>
                <w:szCs w:val="16"/>
                <w:color w:val="auto"/>
              </w:rPr>
            </w:pPr>
          </w:p>
        </w:tc>
        <w:tc>
          <w:tcPr>
            <w:tcW w:w="820" w:type="dxa"/>
            <w:vAlign w:val="bottom"/>
            <w:tcBorders>
              <w:bottom w:val="single" w:sz="8" w:color="auto"/>
            </w:tcBorders>
            <w:shd w:val="clear" w:color="auto" w:fill="BAD3EA"/>
          </w:tcPr>
          <w:p>
            <w:pPr>
              <w:spacing w:after="0"/>
              <w:rPr>
                <w:sz w:val="16"/>
                <w:szCs w:val="16"/>
                <w:color w:val="auto"/>
              </w:rPr>
            </w:pPr>
          </w:p>
        </w:tc>
      </w:tr>
      <w:tr>
        <w:trPr>
          <w:trHeight w:val="155"/>
        </w:trPr>
        <w:tc>
          <w:tcPr>
            <w:tcW w:w="3500" w:type="dxa"/>
            <w:vAlign w:val="bottom"/>
            <w:shd w:val="clear" w:color="auto" w:fill="E8F0F8"/>
          </w:tcPr>
          <w:p>
            <w:pPr>
              <w:ind w:left="40"/>
              <w:spacing w:after="0" w:line="156" w:lineRule="exact"/>
              <w:rPr>
                <w:sz w:val="20"/>
                <w:szCs w:val="20"/>
                <w:color w:val="auto"/>
              </w:rPr>
            </w:pPr>
            <w:r>
              <w:rPr>
                <w:rFonts w:ascii="Arial" w:cs="Arial" w:eastAsia="Arial" w:hAnsi="Arial"/>
                <w:sz w:val="11"/>
                <w:szCs w:val="11"/>
                <w:b w:val="1"/>
                <w:bCs w:val="1"/>
                <w:color w:val="auto"/>
              </w:rPr>
              <w:t>Alfred W. Sandrock, Jr.</w:t>
            </w:r>
            <w:r>
              <w:rPr>
                <w:rFonts w:ascii="Arial" w:cs="Arial" w:eastAsia="Arial" w:hAnsi="Arial"/>
                <w:sz w:val="18"/>
                <w:szCs w:val="18"/>
                <w:color w:val="auto"/>
                <w:vertAlign w:val="superscript"/>
              </w:rPr>
              <w:t>(7)</w:t>
            </w:r>
          </w:p>
        </w:tc>
        <w:tc>
          <w:tcPr>
            <w:tcW w:w="500" w:type="dxa"/>
            <w:vAlign w:val="bottom"/>
            <w:shd w:val="clear" w:color="auto" w:fill="E8F0F8"/>
          </w:tcPr>
          <w:p>
            <w:pPr>
              <w:ind w:left="140"/>
              <w:spacing w:after="0" w:line="155" w:lineRule="exact"/>
              <w:rPr>
                <w:sz w:val="20"/>
                <w:szCs w:val="20"/>
                <w:color w:val="auto"/>
              </w:rPr>
            </w:pPr>
            <w:r>
              <w:rPr>
                <w:rFonts w:ascii="Arial" w:cs="Arial" w:eastAsia="Arial" w:hAnsi="Arial"/>
                <w:sz w:val="14"/>
                <w:szCs w:val="14"/>
                <w:color w:val="auto"/>
              </w:rPr>
              <w:t>2021</w:t>
            </w:r>
          </w:p>
        </w:tc>
        <w:tc>
          <w:tcPr>
            <w:tcW w:w="14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line="155" w:lineRule="exact"/>
              <w:rPr>
                <w:sz w:val="20"/>
                <w:szCs w:val="20"/>
                <w:color w:val="auto"/>
              </w:rPr>
            </w:pPr>
            <w:r>
              <w:rPr>
                <w:rFonts w:ascii="Arial" w:cs="Arial" w:eastAsia="Arial" w:hAnsi="Arial"/>
                <w:sz w:val="14"/>
                <w:szCs w:val="14"/>
                <w:color w:val="auto"/>
              </w:rPr>
              <w:t>921,621</w:t>
            </w:r>
          </w:p>
        </w:tc>
        <w:tc>
          <w:tcPr>
            <w:tcW w:w="90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4,475,590</w:t>
            </w:r>
          </w:p>
        </w:tc>
        <w:tc>
          <w:tcPr>
            <w:tcW w:w="50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E8F0F8"/>
          </w:tcPr>
          <w:p>
            <w:pPr>
              <w:jc w:val="right"/>
              <w:ind w:right="8"/>
              <w:spacing w:after="0" w:line="155" w:lineRule="exact"/>
              <w:rPr>
                <w:sz w:val="20"/>
                <w:szCs w:val="20"/>
                <w:color w:val="auto"/>
              </w:rPr>
            </w:pPr>
            <w:r>
              <w:rPr>
                <w:rFonts w:ascii="Arial" w:cs="Arial" w:eastAsia="Arial" w:hAnsi="Arial"/>
                <w:sz w:val="14"/>
                <w:szCs w:val="14"/>
                <w:color w:val="auto"/>
              </w:rPr>
              <w:t>$193,267</w:t>
            </w:r>
          </w:p>
        </w:tc>
        <w:tc>
          <w:tcPr>
            <w:tcW w:w="1120" w:type="dxa"/>
            <w:vAlign w:val="bottom"/>
            <w:gridSpan w:val="2"/>
            <w:shd w:val="clear" w:color="auto" w:fill="E8F0F8"/>
          </w:tcPr>
          <w:p>
            <w:pPr>
              <w:jc w:val="right"/>
              <w:spacing w:after="0" w:line="155" w:lineRule="exact"/>
              <w:rPr>
                <w:sz w:val="20"/>
                <w:szCs w:val="20"/>
                <w:color w:val="auto"/>
              </w:rPr>
            </w:pPr>
            <w:r>
              <w:rPr>
                <w:rFonts w:ascii="Arial" w:cs="Arial" w:eastAsia="Arial" w:hAnsi="Arial"/>
                <w:sz w:val="14"/>
                <w:szCs w:val="14"/>
                <w:color w:val="auto"/>
              </w:rPr>
              <w:t>$147,422</w:t>
            </w:r>
          </w:p>
        </w:tc>
        <w:tc>
          <w:tcPr>
            <w:tcW w:w="140" w:type="dxa"/>
            <w:vAlign w:val="bottom"/>
            <w:shd w:val="clear" w:color="auto" w:fill="E8F0F8"/>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line="155" w:lineRule="exact"/>
              <w:rPr>
                <w:sz w:val="20"/>
                <w:szCs w:val="20"/>
                <w:color w:val="auto"/>
              </w:rPr>
            </w:pPr>
            <w:r>
              <w:rPr>
                <w:rFonts w:ascii="Arial" w:cs="Arial" w:eastAsia="Arial" w:hAnsi="Arial"/>
                <w:sz w:val="14"/>
                <w:szCs w:val="14"/>
                <w:color w:val="auto"/>
              </w:rPr>
              <w:t>5,737,900</w:t>
            </w:r>
          </w:p>
        </w:tc>
      </w:tr>
      <w:tr>
        <w:trPr>
          <w:trHeight w:val="153"/>
        </w:trPr>
        <w:tc>
          <w:tcPr>
            <w:tcW w:w="3500" w:type="dxa"/>
            <w:vAlign w:val="bottom"/>
            <w:shd w:val="clear" w:color="auto" w:fill="E8F0F8"/>
          </w:tcPr>
          <w:p>
            <w:pPr>
              <w:ind w:left="40"/>
              <w:spacing w:after="0" w:line="153" w:lineRule="exact"/>
              <w:rPr>
                <w:sz w:val="20"/>
                <w:szCs w:val="20"/>
                <w:color w:val="auto"/>
              </w:rPr>
            </w:pPr>
            <w:r>
              <w:rPr>
                <w:rFonts w:ascii="Arial" w:cs="Arial" w:eastAsia="Arial" w:hAnsi="Arial"/>
                <w:sz w:val="14"/>
                <w:szCs w:val="14"/>
                <w:color w:val="auto"/>
              </w:rPr>
              <w:t>Former Executive Vice</w:t>
            </w:r>
          </w:p>
        </w:tc>
        <w:tc>
          <w:tcPr>
            <w:tcW w:w="500" w:type="dxa"/>
            <w:vAlign w:val="bottom"/>
            <w:shd w:val="clear" w:color="auto" w:fill="E8F0F8"/>
          </w:tcPr>
          <w:p>
            <w:pPr>
              <w:ind w:left="140"/>
              <w:spacing w:after="0" w:line="153" w:lineRule="exact"/>
              <w:rPr>
                <w:sz w:val="20"/>
                <w:szCs w:val="20"/>
                <w:color w:val="auto"/>
              </w:rPr>
            </w:pPr>
            <w:r>
              <w:rPr>
                <w:rFonts w:ascii="Arial" w:cs="Arial" w:eastAsia="Arial" w:hAnsi="Arial"/>
                <w:sz w:val="14"/>
                <w:szCs w:val="14"/>
                <w:color w:val="auto"/>
              </w:rPr>
              <w:t>2020</w:t>
            </w:r>
          </w:p>
        </w:tc>
        <w:tc>
          <w:tcPr>
            <w:tcW w:w="140" w:type="dxa"/>
            <w:vAlign w:val="bottom"/>
            <w:shd w:val="clear" w:color="auto" w:fill="E8F0F8"/>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line="153" w:lineRule="exact"/>
              <w:rPr>
                <w:sz w:val="20"/>
                <w:szCs w:val="20"/>
                <w:color w:val="auto"/>
              </w:rPr>
            </w:pPr>
            <w:r>
              <w:rPr>
                <w:rFonts w:ascii="Arial" w:cs="Arial" w:eastAsia="Arial" w:hAnsi="Arial"/>
                <w:sz w:val="14"/>
                <w:szCs w:val="14"/>
                <w:color w:val="auto"/>
              </w:rPr>
              <w:t>890,310</w:t>
            </w:r>
          </w:p>
        </w:tc>
        <w:tc>
          <w:tcPr>
            <w:tcW w:w="900" w:type="dxa"/>
            <w:vAlign w:val="bottom"/>
            <w:shd w:val="clear" w:color="auto" w:fill="E8F0F8"/>
          </w:tcPr>
          <w:p>
            <w:pPr>
              <w:jc w:val="right"/>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line="153" w:lineRule="exact"/>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line="153" w:lineRule="exact"/>
              <w:rPr>
                <w:sz w:val="20"/>
                <w:szCs w:val="20"/>
                <w:color w:val="auto"/>
              </w:rPr>
            </w:pPr>
            <w:r>
              <w:rPr>
                <w:rFonts w:ascii="Arial" w:cs="Arial" w:eastAsia="Arial" w:hAnsi="Arial"/>
                <w:sz w:val="14"/>
                <w:szCs w:val="14"/>
                <w:color w:val="auto"/>
              </w:rPr>
              <w:t>4,331,654</w:t>
            </w:r>
          </w:p>
        </w:tc>
        <w:tc>
          <w:tcPr>
            <w:tcW w:w="1160" w:type="dxa"/>
            <w:vAlign w:val="bottom"/>
            <w:gridSpan w:val="2"/>
            <w:shd w:val="clear" w:color="auto" w:fill="E8F0F8"/>
          </w:tcPr>
          <w:p>
            <w:pPr>
              <w:jc w:val="right"/>
              <w:spacing w:after="0" w:line="153" w:lineRule="exact"/>
              <w:rPr>
                <w:sz w:val="20"/>
                <w:szCs w:val="20"/>
                <w:color w:val="auto"/>
              </w:rPr>
            </w:pPr>
            <w:r>
              <w:rPr>
                <w:rFonts w:ascii="Arial" w:cs="Arial" w:eastAsia="Arial" w:hAnsi="Arial"/>
                <w:sz w:val="14"/>
                <w:szCs w:val="14"/>
                <w:color w:val="auto"/>
              </w:rPr>
              <w:t>$ 719,541</w:t>
            </w:r>
          </w:p>
        </w:tc>
        <w:tc>
          <w:tcPr>
            <w:tcW w:w="1080" w:type="dxa"/>
            <w:vAlign w:val="bottom"/>
            <w:gridSpan w:val="2"/>
            <w:shd w:val="clear" w:color="auto" w:fill="E8F0F8"/>
          </w:tcPr>
          <w:p>
            <w:pPr>
              <w:jc w:val="right"/>
              <w:ind w:right="8"/>
              <w:spacing w:after="0" w:line="153" w:lineRule="exact"/>
              <w:rPr>
                <w:sz w:val="20"/>
                <w:szCs w:val="20"/>
                <w:color w:val="auto"/>
              </w:rPr>
            </w:pPr>
            <w:r>
              <w:rPr>
                <w:rFonts w:ascii="Arial" w:cs="Arial" w:eastAsia="Arial" w:hAnsi="Arial"/>
                <w:sz w:val="14"/>
                <w:szCs w:val="14"/>
                <w:color w:val="auto"/>
              </w:rPr>
              <w:t>$138,444</w:t>
            </w:r>
          </w:p>
        </w:tc>
        <w:tc>
          <w:tcPr>
            <w:tcW w:w="1120" w:type="dxa"/>
            <w:vAlign w:val="bottom"/>
            <w:gridSpan w:val="2"/>
            <w:shd w:val="clear" w:color="auto" w:fill="E8F0F8"/>
          </w:tcPr>
          <w:p>
            <w:pPr>
              <w:jc w:val="right"/>
              <w:spacing w:after="0" w:line="153" w:lineRule="exact"/>
              <w:rPr>
                <w:sz w:val="20"/>
                <w:szCs w:val="20"/>
                <w:color w:val="auto"/>
              </w:rPr>
            </w:pPr>
            <w:r>
              <w:rPr>
                <w:rFonts w:ascii="Arial" w:cs="Arial" w:eastAsia="Arial" w:hAnsi="Arial"/>
                <w:sz w:val="14"/>
                <w:szCs w:val="14"/>
                <w:color w:val="auto"/>
              </w:rPr>
              <w:t>$147,020</w:t>
            </w:r>
          </w:p>
        </w:tc>
        <w:tc>
          <w:tcPr>
            <w:tcW w:w="140" w:type="dxa"/>
            <w:vAlign w:val="bottom"/>
            <w:shd w:val="clear" w:color="auto" w:fill="E8F0F8"/>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line="153" w:lineRule="exact"/>
              <w:rPr>
                <w:sz w:val="20"/>
                <w:szCs w:val="20"/>
                <w:color w:val="auto"/>
              </w:rPr>
            </w:pPr>
            <w:r>
              <w:rPr>
                <w:rFonts w:ascii="Arial" w:cs="Arial" w:eastAsia="Arial" w:hAnsi="Arial"/>
                <w:sz w:val="14"/>
                <w:szCs w:val="14"/>
                <w:color w:val="auto"/>
              </w:rPr>
              <w:t>6,226,969</w:t>
            </w:r>
          </w:p>
        </w:tc>
      </w:tr>
      <w:tr>
        <w:trPr>
          <w:trHeight w:val="162"/>
        </w:trPr>
        <w:tc>
          <w:tcPr>
            <w:tcW w:w="3500" w:type="dxa"/>
            <w:vAlign w:val="bottom"/>
            <w:shd w:val="clear" w:color="auto" w:fill="E8F0F8"/>
          </w:tcPr>
          <w:p>
            <w:pPr>
              <w:ind w:left="40"/>
              <w:spacing w:after="0"/>
              <w:rPr>
                <w:sz w:val="20"/>
                <w:szCs w:val="20"/>
                <w:color w:val="auto"/>
              </w:rPr>
            </w:pPr>
            <w:r>
              <w:rPr>
                <w:rFonts w:ascii="Arial" w:cs="Arial" w:eastAsia="Arial" w:hAnsi="Arial"/>
                <w:sz w:val="14"/>
                <w:szCs w:val="14"/>
                <w:color w:val="auto"/>
              </w:rPr>
              <w:t>President, Research &amp;</w:t>
            </w:r>
          </w:p>
        </w:tc>
        <w:tc>
          <w:tcPr>
            <w:tcW w:w="5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ind w:right="8"/>
              <w:spacing w:after="0"/>
              <w:rPr>
                <w:sz w:val="20"/>
                <w:szCs w:val="20"/>
                <w:color w:val="auto"/>
              </w:rPr>
            </w:pPr>
            <w:r>
              <w:rPr>
                <w:rFonts w:ascii="Arial" w:cs="Arial" w:eastAsia="Arial" w:hAnsi="Arial"/>
                <w:sz w:val="14"/>
                <w:szCs w:val="14"/>
                <w:color w:val="auto"/>
              </w:rPr>
              <w:t>798,723</w:t>
            </w:r>
          </w:p>
        </w:tc>
        <w:tc>
          <w:tcPr>
            <w:tcW w:w="90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3,360,682</w:t>
            </w:r>
          </w:p>
        </w:tc>
        <w:tc>
          <w:tcPr>
            <w:tcW w:w="116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$ 893,038</w:t>
            </w:r>
          </w:p>
        </w:tc>
        <w:tc>
          <w:tcPr>
            <w:tcW w:w="52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8F0F8"/>
          </w:tcPr>
          <w:p>
            <w:pPr>
              <w:jc w:val="right"/>
              <w:ind w:right="8"/>
              <w:spacing w:after="0"/>
              <w:rPr>
                <w:sz w:val="20"/>
                <w:szCs w:val="20"/>
                <w:color w:val="auto"/>
              </w:rPr>
            </w:pPr>
            <w:r>
              <w:rPr>
                <w:rFonts w:ascii="Arial" w:cs="Arial" w:eastAsia="Arial" w:hAnsi="Arial"/>
                <w:sz w:val="14"/>
                <w:szCs w:val="14"/>
                <w:color w:val="auto"/>
              </w:rPr>
              <w:t>78,506</w:t>
            </w:r>
          </w:p>
        </w:tc>
        <w:tc>
          <w:tcPr>
            <w:tcW w:w="1120" w:type="dxa"/>
            <w:vAlign w:val="bottom"/>
            <w:gridSpan w:val="2"/>
            <w:shd w:val="clear" w:color="auto" w:fill="E8F0F8"/>
          </w:tcPr>
          <w:p>
            <w:pPr>
              <w:jc w:val="right"/>
              <w:spacing w:after="0"/>
              <w:rPr>
                <w:sz w:val="20"/>
                <w:szCs w:val="20"/>
                <w:color w:val="auto"/>
              </w:rPr>
            </w:pPr>
            <w:r>
              <w:rPr>
                <w:rFonts w:ascii="Arial" w:cs="Arial" w:eastAsia="Arial" w:hAnsi="Arial"/>
                <w:sz w:val="14"/>
                <w:szCs w:val="14"/>
                <w:color w:val="auto"/>
              </w:rPr>
              <w:t>$181,616</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8"/>
              <w:spacing w:after="0"/>
              <w:rPr>
                <w:sz w:val="20"/>
                <w:szCs w:val="20"/>
                <w:color w:val="auto"/>
              </w:rPr>
            </w:pPr>
            <w:r>
              <w:rPr>
                <w:rFonts w:ascii="Arial" w:cs="Arial" w:eastAsia="Arial" w:hAnsi="Arial"/>
                <w:sz w:val="14"/>
                <w:szCs w:val="14"/>
                <w:color w:val="auto"/>
              </w:rPr>
              <w:t>5,312,565</w:t>
            </w:r>
          </w:p>
        </w:tc>
      </w:tr>
      <w:tr>
        <w:trPr>
          <w:trHeight w:val="185"/>
        </w:trPr>
        <w:tc>
          <w:tcPr>
            <w:tcW w:w="3500" w:type="dxa"/>
            <w:vAlign w:val="bottom"/>
            <w:tcBorders>
              <w:bottom w:val="single" w:sz="8" w:color="auto"/>
            </w:tcBorders>
            <w:shd w:val="clear" w:color="auto" w:fill="E8F0F8"/>
          </w:tcPr>
          <w:p>
            <w:pPr>
              <w:ind w:left="40"/>
              <w:spacing w:after="0"/>
              <w:rPr>
                <w:sz w:val="20"/>
                <w:szCs w:val="20"/>
                <w:color w:val="auto"/>
              </w:rPr>
            </w:pPr>
            <w:r>
              <w:rPr>
                <w:rFonts w:ascii="Arial" w:cs="Arial" w:eastAsia="Arial" w:hAnsi="Arial"/>
                <w:sz w:val="14"/>
                <w:szCs w:val="14"/>
                <w:color w:val="auto"/>
              </w:rPr>
              <w:t>Development</w:t>
            </w:r>
          </w:p>
        </w:tc>
        <w:tc>
          <w:tcPr>
            <w:tcW w:w="500" w:type="dxa"/>
            <w:vAlign w:val="bottom"/>
            <w:tcBorders>
              <w:bottom w:val="single" w:sz="8" w:color="auto"/>
            </w:tcBorders>
            <w:shd w:val="clear" w:color="auto" w:fill="E8F0F8"/>
          </w:tcPr>
          <w:p>
            <w:pPr>
              <w:spacing w:after="0"/>
              <w:rPr>
                <w:sz w:val="16"/>
                <w:szCs w:val="16"/>
                <w:color w:val="auto"/>
              </w:rPr>
            </w:pPr>
          </w:p>
        </w:tc>
        <w:tc>
          <w:tcPr>
            <w:tcW w:w="140" w:type="dxa"/>
            <w:vAlign w:val="bottom"/>
            <w:tcBorders>
              <w:bottom w:val="single" w:sz="8" w:color="auto"/>
            </w:tcBorders>
            <w:shd w:val="clear" w:color="auto" w:fill="E8F0F8"/>
          </w:tcPr>
          <w:p>
            <w:pPr>
              <w:spacing w:after="0"/>
              <w:rPr>
                <w:sz w:val="16"/>
                <w:szCs w:val="16"/>
                <w:color w:val="auto"/>
              </w:rPr>
            </w:pPr>
          </w:p>
        </w:tc>
        <w:tc>
          <w:tcPr>
            <w:tcW w:w="720" w:type="dxa"/>
            <w:vAlign w:val="bottom"/>
            <w:tcBorders>
              <w:bottom w:val="single" w:sz="8" w:color="auto"/>
            </w:tcBorders>
            <w:shd w:val="clear" w:color="auto" w:fill="E8F0F8"/>
          </w:tcPr>
          <w:p>
            <w:pPr>
              <w:spacing w:after="0"/>
              <w:rPr>
                <w:sz w:val="16"/>
                <w:szCs w:val="16"/>
                <w:color w:val="auto"/>
              </w:rPr>
            </w:pPr>
          </w:p>
        </w:tc>
        <w:tc>
          <w:tcPr>
            <w:tcW w:w="900" w:type="dxa"/>
            <w:vAlign w:val="bottom"/>
            <w:tcBorders>
              <w:bottom w:val="single" w:sz="8" w:color="auto"/>
            </w:tcBorders>
            <w:shd w:val="clear" w:color="auto" w:fill="E8F0F8"/>
          </w:tcPr>
          <w:p>
            <w:pPr>
              <w:spacing w:after="0"/>
              <w:rPr>
                <w:sz w:val="16"/>
                <w:szCs w:val="16"/>
                <w:color w:val="auto"/>
              </w:rPr>
            </w:pPr>
          </w:p>
        </w:tc>
        <w:tc>
          <w:tcPr>
            <w:tcW w:w="160" w:type="dxa"/>
            <w:vAlign w:val="bottom"/>
            <w:tcBorders>
              <w:bottom w:val="single" w:sz="8" w:color="auto"/>
            </w:tcBorders>
            <w:shd w:val="clear" w:color="auto" w:fill="E8F0F8"/>
          </w:tcPr>
          <w:p>
            <w:pPr>
              <w:spacing w:after="0"/>
              <w:rPr>
                <w:sz w:val="16"/>
                <w:szCs w:val="16"/>
                <w:color w:val="auto"/>
              </w:rPr>
            </w:pPr>
          </w:p>
        </w:tc>
        <w:tc>
          <w:tcPr>
            <w:tcW w:w="780" w:type="dxa"/>
            <w:vAlign w:val="bottom"/>
            <w:tcBorders>
              <w:bottom w:val="single" w:sz="8" w:color="auto"/>
            </w:tcBorders>
            <w:shd w:val="clear" w:color="auto" w:fill="E8F0F8"/>
          </w:tcPr>
          <w:p>
            <w:pPr>
              <w:spacing w:after="0"/>
              <w:rPr>
                <w:sz w:val="16"/>
                <w:szCs w:val="16"/>
                <w:color w:val="auto"/>
              </w:rPr>
            </w:pPr>
          </w:p>
        </w:tc>
        <w:tc>
          <w:tcPr>
            <w:tcW w:w="500" w:type="dxa"/>
            <w:vAlign w:val="bottom"/>
            <w:tcBorders>
              <w:bottom w:val="single" w:sz="8" w:color="auto"/>
            </w:tcBorders>
            <w:shd w:val="clear" w:color="auto" w:fill="E8F0F8"/>
          </w:tcPr>
          <w:p>
            <w:pPr>
              <w:spacing w:after="0"/>
              <w:rPr>
                <w:sz w:val="16"/>
                <w:szCs w:val="16"/>
                <w:color w:val="auto"/>
              </w:rPr>
            </w:pPr>
          </w:p>
        </w:tc>
        <w:tc>
          <w:tcPr>
            <w:tcW w:w="660" w:type="dxa"/>
            <w:vAlign w:val="bottom"/>
            <w:tcBorders>
              <w:bottom w:val="single" w:sz="8" w:color="auto"/>
            </w:tcBorders>
            <w:shd w:val="clear" w:color="auto" w:fill="E8F0F8"/>
          </w:tcPr>
          <w:p>
            <w:pPr>
              <w:spacing w:after="0"/>
              <w:rPr>
                <w:sz w:val="16"/>
                <w:szCs w:val="16"/>
                <w:color w:val="auto"/>
              </w:rPr>
            </w:pPr>
          </w:p>
        </w:tc>
        <w:tc>
          <w:tcPr>
            <w:tcW w:w="520" w:type="dxa"/>
            <w:vAlign w:val="bottom"/>
            <w:tcBorders>
              <w:bottom w:val="single" w:sz="8" w:color="auto"/>
            </w:tcBorders>
            <w:shd w:val="clear" w:color="auto" w:fill="E8F0F8"/>
          </w:tcPr>
          <w:p>
            <w:pPr>
              <w:spacing w:after="0"/>
              <w:rPr>
                <w:sz w:val="16"/>
                <w:szCs w:val="16"/>
                <w:color w:val="auto"/>
              </w:rPr>
            </w:pPr>
          </w:p>
        </w:tc>
        <w:tc>
          <w:tcPr>
            <w:tcW w:w="560" w:type="dxa"/>
            <w:vAlign w:val="bottom"/>
            <w:tcBorders>
              <w:bottom w:val="single" w:sz="8" w:color="auto"/>
            </w:tcBorders>
            <w:shd w:val="clear" w:color="auto" w:fill="E8F0F8"/>
          </w:tcPr>
          <w:p>
            <w:pPr>
              <w:spacing w:after="0"/>
              <w:rPr>
                <w:sz w:val="16"/>
                <w:szCs w:val="16"/>
                <w:color w:val="auto"/>
              </w:rPr>
            </w:pPr>
          </w:p>
        </w:tc>
        <w:tc>
          <w:tcPr>
            <w:tcW w:w="600" w:type="dxa"/>
            <w:vAlign w:val="bottom"/>
            <w:tcBorders>
              <w:bottom w:val="single" w:sz="8" w:color="auto"/>
            </w:tcBorders>
            <w:shd w:val="clear" w:color="auto" w:fill="E8F0F8"/>
          </w:tcPr>
          <w:p>
            <w:pPr>
              <w:spacing w:after="0"/>
              <w:rPr>
                <w:sz w:val="16"/>
                <w:szCs w:val="16"/>
                <w:color w:val="auto"/>
              </w:rPr>
            </w:pPr>
          </w:p>
        </w:tc>
        <w:tc>
          <w:tcPr>
            <w:tcW w:w="520" w:type="dxa"/>
            <w:vAlign w:val="bottom"/>
            <w:tcBorders>
              <w:bottom w:val="single" w:sz="8" w:color="auto"/>
            </w:tcBorders>
            <w:shd w:val="clear" w:color="auto" w:fill="E8F0F8"/>
          </w:tcPr>
          <w:p>
            <w:pPr>
              <w:spacing w:after="0"/>
              <w:rPr>
                <w:sz w:val="16"/>
                <w:szCs w:val="16"/>
                <w:color w:val="auto"/>
              </w:rPr>
            </w:pPr>
          </w:p>
        </w:tc>
        <w:tc>
          <w:tcPr>
            <w:tcW w:w="140" w:type="dxa"/>
            <w:vAlign w:val="bottom"/>
            <w:tcBorders>
              <w:bottom w:val="single" w:sz="8" w:color="auto"/>
            </w:tcBorders>
            <w:shd w:val="clear" w:color="auto" w:fill="E8F0F8"/>
          </w:tcPr>
          <w:p>
            <w:pPr>
              <w:spacing w:after="0"/>
              <w:rPr>
                <w:sz w:val="16"/>
                <w:szCs w:val="16"/>
                <w:color w:val="auto"/>
              </w:rPr>
            </w:pPr>
          </w:p>
        </w:tc>
        <w:tc>
          <w:tcPr>
            <w:tcW w:w="820" w:type="dxa"/>
            <w:vAlign w:val="bottom"/>
            <w:tcBorders>
              <w:bottom w:val="single" w:sz="8" w:color="auto"/>
            </w:tcBorders>
            <w:shd w:val="clear" w:color="auto" w:fill="E8F0F8"/>
          </w:tcPr>
          <w:p>
            <w:pPr>
              <w:spacing w:after="0"/>
              <w:rPr>
                <w:sz w:val="16"/>
                <w:szCs w:val="16"/>
                <w:color w:val="auto"/>
              </w:rPr>
            </w:pPr>
          </w:p>
        </w:tc>
      </w:tr>
    </w:tbl>
    <w:p>
      <w:pPr>
        <w:ind w:left="120"/>
        <w:spacing w:after="0"/>
        <w:rPr>
          <w:sz w:val="20"/>
          <w:szCs w:val="20"/>
          <w:color w:val="auto"/>
        </w:rPr>
      </w:pPr>
      <w:r>
        <w:rPr>
          <w:rFonts w:ascii="Arial" w:cs="Arial" w:eastAsia="Arial" w:hAnsi="Arial"/>
          <w:sz w:val="14"/>
          <w:szCs w:val="14"/>
          <w:i w:val="1"/>
          <w:iCs w:val="1"/>
          <w:color w:val="auto"/>
        </w:rPr>
        <w:t>Notes to the Summary Compensation Table</w:t>
      </w:r>
    </w:p>
    <w:p>
      <w:pPr>
        <w:spacing w:after="0" w:line="113" w:lineRule="exact"/>
        <w:rPr>
          <w:sz w:val="20"/>
          <w:szCs w:val="20"/>
          <w:color w:val="auto"/>
        </w:rPr>
      </w:pPr>
    </w:p>
    <w:p>
      <w:pPr>
        <w:ind w:left="540" w:right="280" w:hanging="424"/>
        <w:spacing w:after="0" w:line="251"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amount in column (d) reflects a sign-on bonus paid to Mr. McDonnell in connection with his hire. All other cash bonuses, which were based on achievement of performance goals under our annual bonus plan, are disclosed in column (f).</w:t>
      </w:r>
    </w:p>
    <w:p>
      <w:pPr>
        <w:spacing w:after="0" w:line="1"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amounts in column (e) reflect the grant date fair value, computed in accordance with ASC 718, of RSUs, MSUs and PSUs granted during 2021, 2020 and 2019, as applicable, excluding the effect of estimated forfeitures. The cash settled portion of PSUs is included in the year when the applicable performance goals are set and the fair value of the PSUs is determinable. The 2021 amounts include one-third of the 2021 Cash-Settled PSUs, one-third of the 2020 Cash-Settled PSUs and one-third of the 2019 Cash-Settled PSUs, which are the tranches of the awards for which performance goals were set in 2021 relating to the 2021 performance period. The 2020 amounts include one-third of the 2020 Cash-Settled PSUs, one-third of the 2019 Cash-Settled PSUs and one-third of the 2018 Cash-Settled PSUs, which are the tranches of the awards for which performance goals were set in 2020 relating to the 2020 performance period. The 2020 amounts also include a one-time hire award of RSUs granted to Mr. McDonnell. The 2019 amounts include one-third of the 2019 Cash-Settled PSUs and one-third of the 2018 Cash-Settled PSUs, which are the tranches of the awards for which performance goals were set in 2019 relating to the 2019 performance period. The grant date fair value of MSU awards is estimated as of the date of grant using a lattice model with a Monte Carlo simulation, based on the probable outcome of applicable performance conditions. The grant date fair value for PSU and RSU awards was determined by multiplying the number of shares subject to the award (assuming target performance for PSUs) by the closing price of the Company’s common stock on the grant date. The assumptions used to calculate the grant date fair value of stock awards are included in footnote 15 of our 2021 Annual Report on Form 10-K. The table below shows the target and maximum payouts possible for the 2021, 2020 and 2019 MSU and PSU awards based on the grant date fair value assuming target and maximum performance is achieved.</w:t>
      </w:r>
    </w:p>
    <w:p>
      <w:pPr>
        <w:spacing w:after="0" w:line="225"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280" w:type="dxa"/>
            <w:vAlign w:val="bottom"/>
            <w:tcBorders>
              <w:left w:val="single" w:sz="8" w:color="1A6DBB"/>
              <w:right w:val="single" w:sz="8" w:color="1A6DBB"/>
            </w:tcBorders>
            <w:shd w:val="clear" w:color="auto" w:fill="1A6DBB"/>
          </w:tcPr>
          <w:p>
            <w:pPr>
              <w:spacing w:after="0"/>
              <w:rPr>
                <w:sz w:val="15"/>
                <w:szCs w:val="15"/>
                <w:color w:val="auto"/>
              </w:rPr>
            </w:pPr>
          </w:p>
        </w:tc>
        <w:tc>
          <w:tcPr>
            <w:tcW w:w="4120" w:type="dxa"/>
            <w:vAlign w:val="bottom"/>
            <w:shd w:val="clear" w:color="auto" w:fill="1A6DBB"/>
          </w:tcPr>
          <w:p>
            <w:pPr>
              <w:spacing w:after="0"/>
              <w:rPr>
                <w:sz w:val="15"/>
                <w:szCs w:val="15"/>
                <w:color w:val="auto"/>
              </w:rPr>
            </w:pPr>
          </w:p>
        </w:tc>
        <w:tc>
          <w:tcPr>
            <w:tcW w:w="340" w:type="dxa"/>
            <w:vAlign w:val="bottom"/>
            <w:shd w:val="clear" w:color="auto" w:fill="1A6DBB"/>
          </w:tcPr>
          <w:p>
            <w:pPr>
              <w:spacing w:after="0"/>
              <w:rPr>
                <w:sz w:val="15"/>
                <w:szCs w:val="15"/>
                <w:color w:val="auto"/>
              </w:rPr>
            </w:pPr>
          </w:p>
        </w:tc>
        <w:tc>
          <w:tcPr>
            <w:tcW w:w="98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2021</w:t>
            </w:r>
          </w:p>
        </w:tc>
        <w:tc>
          <w:tcPr>
            <w:tcW w:w="120" w:type="dxa"/>
            <w:vAlign w:val="bottom"/>
            <w:shd w:val="clear" w:color="auto" w:fill="1A6DBB"/>
          </w:tcPr>
          <w:p>
            <w:pPr>
              <w:spacing w:after="0"/>
              <w:rPr>
                <w:sz w:val="15"/>
                <w:szCs w:val="15"/>
                <w:color w:val="auto"/>
              </w:rPr>
            </w:pPr>
          </w:p>
        </w:tc>
        <w:tc>
          <w:tcPr>
            <w:tcW w:w="860" w:type="dxa"/>
            <w:vAlign w:val="bottom"/>
            <w:shd w:val="clear" w:color="auto" w:fill="1A6DBB"/>
          </w:tcPr>
          <w:p>
            <w:pPr>
              <w:spacing w:after="0"/>
              <w:rPr>
                <w:sz w:val="15"/>
                <w:szCs w:val="15"/>
                <w:color w:val="auto"/>
              </w:rPr>
            </w:pPr>
          </w:p>
        </w:tc>
        <w:tc>
          <w:tcPr>
            <w:tcW w:w="220" w:type="dxa"/>
            <w:vAlign w:val="bottom"/>
            <w:shd w:val="clear" w:color="auto" w:fill="1A6DBB"/>
          </w:tcPr>
          <w:p>
            <w:pPr>
              <w:spacing w:after="0"/>
              <w:rPr>
                <w:sz w:val="15"/>
                <w:szCs w:val="15"/>
                <w:color w:val="auto"/>
              </w:rPr>
            </w:pPr>
          </w:p>
        </w:tc>
        <w:tc>
          <w:tcPr>
            <w:tcW w:w="98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2020</w:t>
            </w:r>
          </w:p>
        </w:tc>
        <w:tc>
          <w:tcPr>
            <w:tcW w:w="120" w:type="dxa"/>
            <w:vAlign w:val="bottom"/>
            <w:shd w:val="clear" w:color="auto" w:fill="1A6DBB"/>
          </w:tcPr>
          <w:p>
            <w:pPr>
              <w:spacing w:after="0"/>
              <w:rPr>
                <w:sz w:val="15"/>
                <w:szCs w:val="15"/>
                <w:color w:val="auto"/>
              </w:rPr>
            </w:pPr>
          </w:p>
        </w:tc>
        <w:tc>
          <w:tcPr>
            <w:tcW w:w="860" w:type="dxa"/>
            <w:vAlign w:val="bottom"/>
            <w:shd w:val="clear" w:color="auto" w:fill="1A6DBB"/>
          </w:tcPr>
          <w:p>
            <w:pPr>
              <w:spacing w:after="0"/>
              <w:rPr>
                <w:sz w:val="15"/>
                <w:szCs w:val="15"/>
                <w:color w:val="auto"/>
              </w:rPr>
            </w:pPr>
          </w:p>
        </w:tc>
        <w:tc>
          <w:tcPr>
            <w:tcW w:w="240" w:type="dxa"/>
            <w:vAlign w:val="bottom"/>
            <w:shd w:val="clear" w:color="auto" w:fill="1A6DBB"/>
          </w:tcPr>
          <w:p>
            <w:pPr>
              <w:spacing w:after="0"/>
              <w:rPr>
                <w:sz w:val="15"/>
                <w:szCs w:val="15"/>
                <w:color w:val="auto"/>
              </w:rPr>
            </w:pPr>
          </w:p>
        </w:tc>
        <w:tc>
          <w:tcPr>
            <w:tcW w:w="100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2019</w:t>
            </w:r>
          </w:p>
        </w:tc>
        <w:tc>
          <w:tcPr>
            <w:tcW w:w="120" w:type="dxa"/>
            <w:vAlign w:val="bottom"/>
            <w:shd w:val="clear" w:color="auto" w:fill="1A6DBB"/>
          </w:tcPr>
          <w:p>
            <w:pPr>
              <w:spacing w:after="0"/>
              <w:rPr>
                <w:sz w:val="15"/>
                <w:szCs w:val="15"/>
                <w:color w:val="auto"/>
              </w:rPr>
            </w:pPr>
          </w:p>
        </w:tc>
        <w:tc>
          <w:tcPr>
            <w:tcW w:w="780" w:type="dxa"/>
            <w:vAlign w:val="bottom"/>
            <w:shd w:val="clear" w:color="auto" w:fill="1A6DBB"/>
          </w:tcPr>
          <w:p>
            <w:pPr>
              <w:spacing w:after="0"/>
              <w:rPr>
                <w:sz w:val="15"/>
                <w:szCs w:val="15"/>
                <w:color w:val="auto"/>
              </w:rPr>
            </w:pPr>
          </w:p>
        </w:tc>
      </w:tr>
      <w:tr>
        <w:trPr>
          <w:trHeight w:val="162"/>
        </w:trPr>
        <w:tc>
          <w:tcPr>
            <w:tcW w:w="280" w:type="dxa"/>
            <w:vAlign w:val="bottom"/>
            <w:tcBorders>
              <w:left w:val="single" w:sz="8" w:color="1A6DBB"/>
              <w:right w:val="single" w:sz="8" w:color="1A6DBB"/>
            </w:tcBorders>
            <w:shd w:val="clear" w:color="auto" w:fill="1A6DBB"/>
          </w:tcPr>
          <w:p>
            <w:pPr>
              <w:spacing w:after="0"/>
              <w:rPr>
                <w:sz w:val="14"/>
                <w:szCs w:val="14"/>
                <w:color w:val="auto"/>
              </w:rPr>
            </w:pPr>
          </w:p>
        </w:tc>
        <w:tc>
          <w:tcPr>
            <w:tcW w:w="4120" w:type="dxa"/>
            <w:vAlign w:val="bottom"/>
            <w:shd w:val="clear" w:color="auto" w:fill="1A6DBB"/>
          </w:tcPr>
          <w:p>
            <w:pPr>
              <w:spacing w:after="0"/>
              <w:rPr>
                <w:sz w:val="14"/>
                <w:szCs w:val="14"/>
                <w:color w:val="auto"/>
              </w:rPr>
            </w:pPr>
          </w:p>
        </w:tc>
        <w:tc>
          <w:tcPr>
            <w:tcW w:w="340" w:type="dxa"/>
            <w:vAlign w:val="bottom"/>
            <w:shd w:val="clear" w:color="auto" w:fill="1A6DBB"/>
          </w:tcPr>
          <w:p>
            <w:pPr>
              <w:spacing w:after="0"/>
              <w:rPr>
                <w:sz w:val="14"/>
                <w:szCs w:val="14"/>
                <w:color w:val="auto"/>
              </w:rPr>
            </w:pPr>
          </w:p>
        </w:tc>
        <w:tc>
          <w:tcPr>
            <w:tcW w:w="980" w:type="dxa"/>
            <w:vAlign w:val="bottom"/>
            <w:shd w:val="clear" w:color="auto" w:fill="1A6DBB"/>
          </w:tcPr>
          <w:p>
            <w:pPr>
              <w:jc w:val="right"/>
              <w:ind w:right="468"/>
              <w:spacing w:after="0"/>
              <w:rPr>
                <w:sz w:val="20"/>
                <w:szCs w:val="20"/>
                <w:color w:val="auto"/>
              </w:rPr>
            </w:pPr>
            <w:r>
              <w:rPr>
                <w:rFonts w:ascii="Arial" w:cs="Arial" w:eastAsia="Arial" w:hAnsi="Arial"/>
                <w:sz w:val="14"/>
                <w:szCs w:val="14"/>
                <w:color w:val="FFFFFF"/>
              </w:rPr>
              <w:t>Target</w:t>
            </w:r>
          </w:p>
        </w:tc>
        <w:tc>
          <w:tcPr>
            <w:tcW w:w="980" w:type="dxa"/>
            <w:vAlign w:val="bottom"/>
            <w:gridSpan w:val="2"/>
            <w:shd w:val="clear" w:color="auto" w:fill="1A6DBB"/>
          </w:tcPr>
          <w:p>
            <w:pPr>
              <w:ind w:left="40"/>
              <w:spacing w:after="0"/>
              <w:rPr>
                <w:sz w:val="20"/>
                <w:szCs w:val="20"/>
                <w:color w:val="auto"/>
              </w:rPr>
            </w:pPr>
            <w:r>
              <w:rPr>
                <w:rFonts w:ascii="Arial" w:cs="Arial" w:eastAsia="Arial" w:hAnsi="Arial"/>
                <w:sz w:val="14"/>
                <w:szCs w:val="14"/>
                <w:color w:val="FFFFFF"/>
              </w:rPr>
              <w:t>Maximum</w:t>
            </w:r>
          </w:p>
        </w:tc>
        <w:tc>
          <w:tcPr>
            <w:tcW w:w="220" w:type="dxa"/>
            <w:vAlign w:val="bottom"/>
            <w:shd w:val="clear" w:color="auto" w:fill="1A6DBB"/>
          </w:tcPr>
          <w:p>
            <w:pPr>
              <w:spacing w:after="0"/>
              <w:rPr>
                <w:sz w:val="14"/>
                <w:szCs w:val="14"/>
                <w:color w:val="auto"/>
              </w:rPr>
            </w:pPr>
          </w:p>
        </w:tc>
        <w:tc>
          <w:tcPr>
            <w:tcW w:w="980" w:type="dxa"/>
            <w:vAlign w:val="bottom"/>
            <w:shd w:val="clear" w:color="auto" w:fill="1A6DBB"/>
          </w:tcPr>
          <w:p>
            <w:pPr>
              <w:jc w:val="right"/>
              <w:ind w:right="468"/>
              <w:spacing w:after="0"/>
              <w:rPr>
                <w:sz w:val="20"/>
                <w:szCs w:val="20"/>
                <w:color w:val="auto"/>
              </w:rPr>
            </w:pPr>
            <w:r>
              <w:rPr>
                <w:rFonts w:ascii="Arial" w:cs="Arial" w:eastAsia="Arial" w:hAnsi="Arial"/>
                <w:sz w:val="14"/>
                <w:szCs w:val="14"/>
                <w:color w:val="FFFFFF"/>
              </w:rPr>
              <w:t>Target</w:t>
            </w:r>
          </w:p>
        </w:tc>
        <w:tc>
          <w:tcPr>
            <w:tcW w:w="980" w:type="dxa"/>
            <w:vAlign w:val="bottom"/>
            <w:gridSpan w:val="2"/>
            <w:shd w:val="clear" w:color="auto" w:fill="1A6DBB"/>
          </w:tcPr>
          <w:p>
            <w:pPr>
              <w:ind w:left="40"/>
              <w:spacing w:after="0"/>
              <w:rPr>
                <w:sz w:val="20"/>
                <w:szCs w:val="20"/>
                <w:color w:val="auto"/>
              </w:rPr>
            </w:pPr>
            <w:r>
              <w:rPr>
                <w:rFonts w:ascii="Arial" w:cs="Arial" w:eastAsia="Arial" w:hAnsi="Arial"/>
                <w:sz w:val="14"/>
                <w:szCs w:val="14"/>
                <w:color w:val="FFFFFF"/>
              </w:rPr>
              <w:t>Maximum</w:t>
            </w:r>
          </w:p>
        </w:tc>
        <w:tc>
          <w:tcPr>
            <w:tcW w:w="240" w:type="dxa"/>
            <w:vAlign w:val="bottom"/>
            <w:shd w:val="clear" w:color="auto" w:fill="1A6DBB"/>
          </w:tcPr>
          <w:p>
            <w:pPr>
              <w:spacing w:after="0"/>
              <w:rPr>
                <w:sz w:val="14"/>
                <w:szCs w:val="14"/>
                <w:color w:val="auto"/>
              </w:rPr>
            </w:pPr>
          </w:p>
        </w:tc>
        <w:tc>
          <w:tcPr>
            <w:tcW w:w="1000" w:type="dxa"/>
            <w:vAlign w:val="bottom"/>
            <w:shd w:val="clear" w:color="auto" w:fill="1A6DBB"/>
          </w:tcPr>
          <w:p>
            <w:pPr>
              <w:jc w:val="right"/>
              <w:ind w:right="488"/>
              <w:spacing w:after="0"/>
              <w:rPr>
                <w:sz w:val="20"/>
                <w:szCs w:val="20"/>
                <w:color w:val="auto"/>
              </w:rPr>
            </w:pPr>
            <w:r>
              <w:rPr>
                <w:rFonts w:ascii="Arial" w:cs="Arial" w:eastAsia="Arial" w:hAnsi="Arial"/>
                <w:sz w:val="14"/>
                <w:szCs w:val="14"/>
                <w:color w:val="FFFFFF"/>
              </w:rPr>
              <w:t>Target</w:t>
            </w:r>
          </w:p>
        </w:tc>
        <w:tc>
          <w:tcPr>
            <w:tcW w:w="900" w:type="dxa"/>
            <w:vAlign w:val="bottom"/>
            <w:gridSpan w:val="2"/>
            <w:shd w:val="clear" w:color="auto" w:fill="1A6DBB"/>
          </w:tcPr>
          <w:p>
            <w:pPr>
              <w:ind w:left="40"/>
              <w:spacing w:after="0"/>
              <w:rPr>
                <w:sz w:val="20"/>
                <w:szCs w:val="20"/>
                <w:color w:val="auto"/>
              </w:rPr>
            </w:pPr>
            <w:r>
              <w:rPr>
                <w:rFonts w:ascii="Arial" w:cs="Arial" w:eastAsia="Arial" w:hAnsi="Arial"/>
                <w:sz w:val="14"/>
                <w:szCs w:val="14"/>
                <w:color w:val="FFFFFF"/>
              </w:rPr>
              <w:t>Maximum</w:t>
            </w:r>
          </w:p>
        </w:tc>
      </w:tr>
      <w:tr>
        <w:trPr>
          <w:trHeight w:val="185"/>
        </w:trPr>
        <w:tc>
          <w:tcPr>
            <w:tcW w:w="4400" w:type="dxa"/>
            <w:vAlign w:val="bottom"/>
            <w:tcBorders>
              <w:left w:val="single" w:sz="8" w:color="1A6DBB"/>
            </w:tcBorders>
            <w:gridSpan w:val="2"/>
            <w:shd w:val="clear" w:color="auto" w:fill="1A6DBB"/>
          </w:tcPr>
          <w:p>
            <w:pPr>
              <w:ind w:left="80"/>
              <w:spacing w:after="0"/>
              <w:rPr>
                <w:sz w:val="20"/>
                <w:szCs w:val="20"/>
                <w:color w:val="auto"/>
              </w:rPr>
            </w:pPr>
            <w:r>
              <w:rPr>
                <w:rFonts w:ascii="Arial" w:cs="Arial" w:eastAsia="Arial" w:hAnsi="Arial"/>
                <w:sz w:val="14"/>
                <w:szCs w:val="14"/>
                <w:color w:val="FFFFFF"/>
              </w:rPr>
              <w:t>Executive Officer</w:t>
            </w:r>
          </w:p>
        </w:tc>
        <w:tc>
          <w:tcPr>
            <w:tcW w:w="340" w:type="dxa"/>
            <w:vAlign w:val="bottom"/>
            <w:shd w:val="clear" w:color="auto" w:fill="1A6DBB"/>
          </w:tcPr>
          <w:p>
            <w:pPr>
              <w:spacing w:after="0"/>
              <w:rPr>
                <w:sz w:val="16"/>
                <w:szCs w:val="16"/>
                <w:color w:val="auto"/>
              </w:rPr>
            </w:pPr>
          </w:p>
        </w:tc>
        <w:tc>
          <w:tcPr>
            <w:tcW w:w="980" w:type="dxa"/>
            <w:vAlign w:val="bottom"/>
            <w:shd w:val="clear" w:color="auto" w:fill="1A6DBB"/>
          </w:tcPr>
          <w:p>
            <w:pPr>
              <w:jc w:val="right"/>
              <w:ind w:right="448"/>
              <w:spacing w:after="0"/>
              <w:rPr>
                <w:sz w:val="20"/>
                <w:szCs w:val="20"/>
                <w:color w:val="auto"/>
              </w:rPr>
            </w:pPr>
            <w:r>
              <w:rPr>
                <w:rFonts w:ascii="Arial" w:cs="Arial" w:eastAsia="Arial" w:hAnsi="Arial"/>
                <w:sz w:val="14"/>
                <w:szCs w:val="14"/>
                <w:color w:val="FFFFFF"/>
              </w:rPr>
              <w:t>Payout</w:t>
            </w:r>
          </w:p>
        </w:tc>
        <w:tc>
          <w:tcPr>
            <w:tcW w:w="120" w:type="dxa"/>
            <w:vAlign w:val="bottom"/>
            <w:shd w:val="clear" w:color="auto" w:fill="1A6DBB"/>
          </w:tcPr>
          <w:p>
            <w:pPr>
              <w:spacing w:after="0"/>
              <w:rPr>
                <w:sz w:val="16"/>
                <w:szCs w:val="16"/>
                <w:color w:val="auto"/>
              </w:rPr>
            </w:pPr>
          </w:p>
        </w:tc>
        <w:tc>
          <w:tcPr>
            <w:tcW w:w="860" w:type="dxa"/>
            <w:vAlign w:val="bottom"/>
            <w:shd w:val="clear" w:color="auto" w:fill="1A6DBB"/>
          </w:tcPr>
          <w:p>
            <w:pPr>
              <w:jc w:val="right"/>
              <w:ind w:right="328"/>
              <w:spacing w:after="0"/>
              <w:rPr>
                <w:sz w:val="20"/>
                <w:szCs w:val="20"/>
                <w:color w:val="auto"/>
              </w:rPr>
            </w:pPr>
            <w:r>
              <w:rPr>
                <w:rFonts w:ascii="Arial" w:cs="Arial" w:eastAsia="Arial" w:hAnsi="Arial"/>
                <w:sz w:val="14"/>
                <w:szCs w:val="14"/>
                <w:color w:val="FFFFFF"/>
              </w:rPr>
              <w:t>Payout</w:t>
            </w:r>
          </w:p>
        </w:tc>
        <w:tc>
          <w:tcPr>
            <w:tcW w:w="220" w:type="dxa"/>
            <w:vAlign w:val="bottom"/>
            <w:shd w:val="clear" w:color="auto" w:fill="1A6DBB"/>
          </w:tcPr>
          <w:p>
            <w:pPr>
              <w:spacing w:after="0"/>
              <w:rPr>
                <w:sz w:val="16"/>
                <w:szCs w:val="16"/>
                <w:color w:val="auto"/>
              </w:rPr>
            </w:pPr>
          </w:p>
        </w:tc>
        <w:tc>
          <w:tcPr>
            <w:tcW w:w="980" w:type="dxa"/>
            <w:vAlign w:val="bottom"/>
            <w:shd w:val="clear" w:color="auto" w:fill="1A6DBB"/>
          </w:tcPr>
          <w:p>
            <w:pPr>
              <w:jc w:val="right"/>
              <w:ind w:right="448"/>
              <w:spacing w:after="0"/>
              <w:rPr>
                <w:sz w:val="20"/>
                <w:szCs w:val="20"/>
                <w:color w:val="auto"/>
              </w:rPr>
            </w:pPr>
            <w:r>
              <w:rPr>
                <w:rFonts w:ascii="Arial" w:cs="Arial" w:eastAsia="Arial" w:hAnsi="Arial"/>
                <w:sz w:val="14"/>
                <w:szCs w:val="14"/>
                <w:color w:val="FFFFFF"/>
              </w:rPr>
              <w:t>Payout</w:t>
            </w:r>
          </w:p>
        </w:tc>
        <w:tc>
          <w:tcPr>
            <w:tcW w:w="120" w:type="dxa"/>
            <w:vAlign w:val="bottom"/>
            <w:shd w:val="clear" w:color="auto" w:fill="1A6DBB"/>
          </w:tcPr>
          <w:p>
            <w:pPr>
              <w:spacing w:after="0"/>
              <w:rPr>
                <w:sz w:val="16"/>
                <w:szCs w:val="16"/>
                <w:color w:val="auto"/>
              </w:rPr>
            </w:pPr>
          </w:p>
        </w:tc>
        <w:tc>
          <w:tcPr>
            <w:tcW w:w="860" w:type="dxa"/>
            <w:vAlign w:val="bottom"/>
            <w:shd w:val="clear" w:color="auto" w:fill="1A6DBB"/>
          </w:tcPr>
          <w:p>
            <w:pPr>
              <w:jc w:val="right"/>
              <w:ind w:right="328"/>
              <w:spacing w:after="0"/>
              <w:rPr>
                <w:sz w:val="20"/>
                <w:szCs w:val="20"/>
                <w:color w:val="auto"/>
              </w:rPr>
            </w:pPr>
            <w:r>
              <w:rPr>
                <w:rFonts w:ascii="Arial" w:cs="Arial" w:eastAsia="Arial" w:hAnsi="Arial"/>
                <w:sz w:val="14"/>
                <w:szCs w:val="14"/>
                <w:color w:val="FFFFFF"/>
              </w:rPr>
              <w:t>Payout</w:t>
            </w:r>
          </w:p>
        </w:tc>
        <w:tc>
          <w:tcPr>
            <w:tcW w:w="240" w:type="dxa"/>
            <w:vAlign w:val="bottom"/>
            <w:shd w:val="clear" w:color="auto" w:fill="1A6DBB"/>
          </w:tcPr>
          <w:p>
            <w:pPr>
              <w:spacing w:after="0"/>
              <w:rPr>
                <w:sz w:val="16"/>
                <w:szCs w:val="16"/>
                <w:color w:val="auto"/>
              </w:rPr>
            </w:pPr>
          </w:p>
        </w:tc>
        <w:tc>
          <w:tcPr>
            <w:tcW w:w="1000" w:type="dxa"/>
            <w:vAlign w:val="bottom"/>
            <w:shd w:val="clear" w:color="auto" w:fill="1A6DBB"/>
          </w:tcPr>
          <w:p>
            <w:pPr>
              <w:jc w:val="right"/>
              <w:ind w:right="468"/>
              <w:spacing w:after="0"/>
              <w:rPr>
                <w:sz w:val="20"/>
                <w:szCs w:val="20"/>
                <w:color w:val="auto"/>
              </w:rPr>
            </w:pPr>
            <w:r>
              <w:rPr>
                <w:rFonts w:ascii="Arial" w:cs="Arial" w:eastAsia="Arial" w:hAnsi="Arial"/>
                <w:sz w:val="14"/>
                <w:szCs w:val="14"/>
                <w:color w:val="FFFFFF"/>
              </w:rPr>
              <w:t>Payout</w:t>
            </w:r>
          </w:p>
        </w:tc>
        <w:tc>
          <w:tcPr>
            <w:tcW w:w="120" w:type="dxa"/>
            <w:vAlign w:val="bottom"/>
            <w:shd w:val="clear" w:color="auto" w:fill="1A6DBB"/>
          </w:tcPr>
          <w:p>
            <w:pPr>
              <w:spacing w:after="0"/>
              <w:rPr>
                <w:sz w:val="16"/>
                <w:szCs w:val="16"/>
                <w:color w:val="auto"/>
              </w:rPr>
            </w:pPr>
          </w:p>
        </w:tc>
        <w:tc>
          <w:tcPr>
            <w:tcW w:w="780" w:type="dxa"/>
            <w:vAlign w:val="bottom"/>
            <w:shd w:val="clear" w:color="auto" w:fill="1A6DBB"/>
          </w:tcPr>
          <w:p>
            <w:pPr>
              <w:jc w:val="right"/>
              <w:ind w:right="248"/>
              <w:spacing w:after="0"/>
              <w:rPr>
                <w:sz w:val="20"/>
                <w:szCs w:val="20"/>
                <w:color w:val="auto"/>
              </w:rPr>
            </w:pPr>
            <w:r>
              <w:rPr>
                <w:rFonts w:ascii="Arial" w:cs="Arial" w:eastAsia="Arial" w:hAnsi="Arial"/>
                <w:sz w:val="14"/>
                <w:szCs w:val="14"/>
                <w:color w:val="FFFFFF"/>
              </w:rPr>
              <w:t>Payout</w:t>
            </w:r>
          </w:p>
        </w:tc>
      </w:tr>
      <w:tr>
        <w:trPr>
          <w:trHeight w:val="250"/>
        </w:trPr>
        <w:tc>
          <w:tcPr>
            <w:tcW w:w="4400" w:type="dxa"/>
            <w:vAlign w:val="bottom"/>
            <w:tcBorders>
              <w:left w:val="single" w:sz="8" w:color="E8F0F8"/>
              <w:bottom w:val="single" w:sz="8" w:color="E8F0F8"/>
            </w:tcBorders>
            <w:gridSpan w:val="2"/>
            <w:shd w:val="clear" w:color="auto" w:fill="E8F0F8"/>
          </w:tcPr>
          <w:p>
            <w:pPr>
              <w:ind w:left="80"/>
              <w:spacing w:after="0"/>
              <w:rPr>
                <w:sz w:val="20"/>
                <w:szCs w:val="20"/>
                <w:color w:val="auto"/>
              </w:rPr>
            </w:pPr>
            <w:r>
              <w:rPr>
                <w:rFonts w:ascii="Arial" w:cs="Arial" w:eastAsia="Arial" w:hAnsi="Arial"/>
                <w:sz w:val="14"/>
                <w:szCs w:val="14"/>
                <w:color w:val="auto"/>
              </w:rPr>
              <w:t>Mr. Vounatsos</w:t>
            </w:r>
          </w:p>
        </w:tc>
        <w:tc>
          <w:tcPr>
            <w:tcW w:w="1320" w:type="dxa"/>
            <w:vAlign w:val="bottom"/>
            <w:tcBorders>
              <w:bottom w:val="single" w:sz="8" w:color="E8F0F8"/>
            </w:tcBorders>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$14,084,314</w:t>
            </w:r>
          </w:p>
        </w:tc>
        <w:tc>
          <w:tcPr>
            <w:tcW w:w="980" w:type="dxa"/>
            <w:vAlign w:val="bottom"/>
            <w:tcBorders>
              <w:bottom w:val="single" w:sz="8" w:color="E8F0F8"/>
            </w:tcBorders>
            <w:gridSpan w:val="2"/>
            <w:shd w:val="clear" w:color="auto" w:fill="E8F0F8"/>
          </w:tcPr>
          <w:p>
            <w:pPr>
              <w:jc w:val="right"/>
              <w:ind w:right="88"/>
              <w:spacing w:after="0"/>
              <w:rPr>
                <w:sz w:val="20"/>
                <w:szCs w:val="20"/>
                <w:color w:val="auto"/>
              </w:rPr>
            </w:pPr>
            <w:r>
              <w:rPr>
                <w:rFonts w:ascii="Arial" w:cs="Arial" w:eastAsia="Arial" w:hAnsi="Arial"/>
                <w:sz w:val="14"/>
                <w:szCs w:val="14"/>
                <w:color w:val="auto"/>
              </w:rPr>
              <w:t>$28,168,628</w:t>
            </w:r>
          </w:p>
        </w:tc>
        <w:tc>
          <w:tcPr>
            <w:tcW w:w="1200" w:type="dxa"/>
            <w:vAlign w:val="bottom"/>
            <w:tcBorders>
              <w:bottom w:val="single" w:sz="8" w:color="E8F0F8"/>
            </w:tcBorders>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$13,887,064</w:t>
            </w:r>
          </w:p>
        </w:tc>
        <w:tc>
          <w:tcPr>
            <w:tcW w:w="980" w:type="dxa"/>
            <w:vAlign w:val="bottom"/>
            <w:tcBorders>
              <w:bottom w:val="single" w:sz="8" w:color="E8F0F8"/>
            </w:tcBorders>
            <w:gridSpan w:val="2"/>
            <w:shd w:val="clear" w:color="auto" w:fill="E8F0F8"/>
          </w:tcPr>
          <w:p>
            <w:pPr>
              <w:jc w:val="right"/>
              <w:ind w:right="68"/>
              <w:spacing w:after="0"/>
              <w:rPr>
                <w:sz w:val="20"/>
                <w:szCs w:val="20"/>
                <w:color w:val="auto"/>
              </w:rPr>
            </w:pPr>
            <w:r>
              <w:rPr>
                <w:rFonts w:ascii="Arial" w:cs="Arial" w:eastAsia="Arial" w:hAnsi="Arial"/>
                <w:sz w:val="14"/>
                <w:szCs w:val="14"/>
                <w:color w:val="auto"/>
              </w:rPr>
              <w:t>$27,774,128</w:t>
            </w:r>
          </w:p>
        </w:tc>
        <w:tc>
          <w:tcPr>
            <w:tcW w:w="1240" w:type="dxa"/>
            <w:vAlign w:val="bottom"/>
            <w:tcBorders>
              <w:bottom w:val="single" w:sz="8" w:color="E8F0F8"/>
            </w:tcBorders>
            <w:gridSpan w:val="2"/>
            <w:shd w:val="clear" w:color="auto" w:fill="E8F0F8"/>
          </w:tcPr>
          <w:p>
            <w:pPr>
              <w:jc w:val="right"/>
              <w:ind w:right="208"/>
              <w:spacing w:after="0"/>
              <w:rPr>
                <w:sz w:val="20"/>
                <w:szCs w:val="20"/>
                <w:color w:val="auto"/>
              </w:rPr>
            </w:pPr>
            <w:r>
              <w:rPr>
                <w:rFonts w:ascii="Arial" w:cs="Arial" w:eastAsia="Arial" w:hAnsi="Arial"/>
                <w:sz w:val="14"/>
                <w:szCs w:val="14"/>
                <w:color w:val="auto"/>
              </w:rPr>
              <w:t>$12,352,030</w:t>
            </w:r>
          </w:p>
        </w:tc>
        <w:tc>
          <w:tcPr>
            <w:tcW w:w="900" w:type="dxa"/>
            <w:vAlign w:val="bottom"/>
            <w:tcBorders>
              <w:bottom w:val="single" w:sz="8" w:color="E8F0F8"/>
            </w:tcBorders>
            <w:gridSpan w:val="2"/>
            <w:shd w:val="clear" w:color="auto" w:fill="E8F0F8"/>
          </w:tcPr>
          <w:p>
            <w:pPr>
              <w:jc w:val="right"/>
              <w:spacing w:after="0"/>
              <w:rPr>
                <w:sz w:val="20"/>
                <w:szCs w:val="20"/>
                <w:color w:val="auto"/>
              </w:rPr>
            </w:pPr>
            <w:r>
              <w:rPr>
                <w:rFonts w:ascii="Arial" w:cs="Arial" w:eastAsia="Arial" w:hAnsi="Arial"/>
                <w:sz w:val="14"/>
                <w:szCs w:val="14"/>
                <w:color w:val="auto"/>
              </w:rPr>
              <w:t>$24,704,060</w:t>
            </w:r>
          </w:p>
        </w:tc>
      </w:tr>
      <w:tr>
        <w:trPr>
          <w:trHeight w:val="250"/>
        </w:trPr>
        <w:tc>
          <w:tcPr>
            <w:tcW w:w="4400" w:type="dxa"/>
            <w:vAlign w:val="bottom"/>
            <w:tcBorders>
              <w:left w:val="single" w:sz="8" w:color="BAD3EA"/>
              <w:bottom w:val="single" w:sz="8" w:color="BAD3EA"/>
            </w:tcBorders>
            <w:gridSpan w:val="2"/>
            <w:shd w:val="clear" w:color="auto" w:fill="BAD3EA"/>
          </w:tcPr>
          <w:p>
            <w:pPr>
              <w:ind w:left="80"/>
              <w:spacing w:after="0"/>
              <w:rPr>
                <w:sz w:val="20"/>
                <w:szCs w:val="20"/>
                <w:color w:val="auto"/>
              </w:rPr>
            </w:pPr>
            <w:r>
              <w:rPr>
                <w:rFonts w:ascii="Arial" w:cs="Arial" w:eastAsia="Arial" w:hAnsi="Arial"/>
                <w:sz w:val="14"/>
                <w:szCs w:val="14"/>
                <w:color w:val="auto"/>
              </w:rPr>
              <w:t>Mr. McDonnell</w:t>
            </w:r>
          </w:p>
        </w:tc>
        <w:tc>
          <w:tcPr>
            <w:tcW w:w="3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AD3EA"/>
            </w:tcBorders>
            <w:shd w:val="clear" w:color="auto" w:fill="BAD3EA"/>
          </w:tcPr>
          <w:p>
            <w:pPr>
              <w:jc w:val="right"/>
              <w:ind w:right="188"/>
              <w:spacing w:after="0"/>
              <w:rPr>
                <w:sz w:val="20"/>
                <w:szCs w:val="20"/>
                <w:color w:val="auto"/>
              </w:rPr>
            </w:pPr>
            <w:r>
              <w:rPr>
                <w:rFonts w:ascii="Arial" w:cs="Arial" w:eastAsia="Arial" w:hAnsi="Arial"/>
                <w:sz w:val="14"/>
                <w:szCs w:val="14"/>
                <w:color w:val="auto"/>
              </w:rPr>
              <w:t>4,062,291</w:t>
            </w:r>
          </w:p>
        </w:tc>
        <w:tc>
          <w:tcPr>
            <w:tcW w:w="120" w:type="dxa"/>
            <w:vAlign w:val="bottom"/>
            <w:tcBorders>
              <w:bottom w:val="single" w:sz="8" w:color="BAD3EA"/>
            </w:tcBorders>
            <w:shd w:val="clear" w:color="auto" w:fill="BAD3EA"/>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AD3EA"/>
            </w:tcBorders>
            <w:shd w:val="clear" w:color="auto" w:fill="BAD3EA"/>
          </w:tcPr>
          <w:p>
            <w:pPr>
              <w:jc w:val="right"/>
              <w:ind w:right="88"/>
              <w:spacing w:after="0"/>
              <w:rPr>
                <w:sz w:val="20"/>
                <w:szCs w:val="20"/>
                <w:color w:val="auto"/>
              </w:rPr>
            </w:pPr>
            <w:r>
              <w:rPr>
                <w:rFonts w:ascii="Arial" w:cs="Arial" w:eastAsia="Arial" w:hAnsi="Arial"/>
                <w:sz w:val="14"/>
                <w:szCs w:val="14"/>
                <w:color w:val="auto"/>
              </w:rPr>
              <w:t>8,124,582</w:t>
            </w:r>
          </w:p>
        </w:tc>
        <w:tc>
          <w:tcPr>
            <w:tcW w:w="2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AD3EA"/>
            </w:tcBorders>
            <w:shd w:val="clear" w:color="auto" w:fill="BAD3EA"/>
          </w:tcPr>
          <w:p>
            <w:pPr>
              <w:jc w:val="right"/>
              <w:ind w:right="188"/>
              <w:spacing w:after="0"/>
              <w:rPr>
                <w:sz w:val="20"/>
                <w:szCs w:val="20"/>
                <w:color w:val="auto"/>
              </w:rPr>
            </w:pPr>
            <w:r>
              <w:rPr>
                <w:rFonts w:ascii="Arial" w:cs="Arial" w:eastAsia="Arial" w:hAnsi="Arial"/>
                <w:sz w:val="14"/>
                <w:szCs w:val="14"/>
                <w:color w:val="auto"/>
              </w:rPr>
              <w:t>2,761,719</w:t>
            </w:r>
          </w:p>
        </w:tc>
        <w:tc>
          <w:tcPr>
            <w:tcW w:w="120" w:type="dxa"/>
            <w:vAlign w:val="bottom"/>
            <w:tcBorders>
              <w:bottom w:val="single" w:sz="8" w:color="BAD3EA"/>
            </w:tcBorders>
            <w:shd w:val="clear" w:color="auto" w:fill="BAD3EA"/>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BAD3EA"/>
            </w:tcBorders>
            <w:shd w:val="clear" w:color="auto" w:fill="BAD3EA"/>
          </w:tcPr>
          <w:p>
            <w:pPr>
              <w:jc w:val="right"/>
              <w:ind w:right="68"/>
              <w:spacing w:after="0"/>
              <w:rPr>
                <w:sz w:val="20"/>
                <w:szCs w:val="20"/>
                <w:color w:val="auto"/>
              </w:rPr>
            </w:pPr>
            <w:r>
              <w:rPr>
                <w:rFonts w:ascii="Arial" w:cs="Arial" w:eastAsia="Arial" w:hAnsi="Arial"/>
                <w:sz w:val="14"/>
                <w:szCs w:val="14"/>
                <w:color w:val="auto"/>
              </w:rPr>
              <w:t>5,523,437</w:t>
            </w:r>
          </w:p>
        </w:tc>
        <w:tc>
          <w:tcPr>
            <w:tcW w:w="240" w:type="dxa"/>
            <w:vAlign w:val="bottom"/>
            <w:tcBorders>
              <w:bottom w:val="single" w:sz="8" w:color="BAD3EA"/>
            </w:tcBorders>
            <w:shd w:val="clear" w:color="auto" w:fill="BAD3EA"/>
          </w:tcPr>
          <w:p>
            <w:pPr>
              <w:spacing w:after="0"/>
              <w:rPr>
                <w:sz w:val="21"/>
                <w:szCs w:val="21"/>
                <w:color w:val="auto"/>
              </w:rPr>
            </w:pPr>
          </w:p>
        </w:tc>
        <w:tc>
          <w:tcPr>
            <w:tcW w:w="1000" w:type="dxa"/>
            <w:vAlign w:val="bottom"/>
            <w:tcBorders>
              <w:bottom w:val="single" w:sz="8" w:color="BAD3EA"/>
            </w:tcBorders>
            <w:shd w:val="clear" w:color="auto" w:fill="BAD3EA"/>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AD3EA"/>
            </w:tcBorders>
            <w:shd w:val="clear" w:color="auto" w:fill="BAD3EA"/>
          </w:tcPr>
          <w:p>
            <w:pPr>
              <w:spacing w:after="0"/>
              <w:rPr>
                <w:sz w:val="21"/>
                <w:szCs w:val="21"/>
                <w:color w:val="auto"/>
              </w:rPr>
            </w:pPr>
          </w:p>
        </w:tc>
        <w:tc>
          <w:tcPr>
            <w:tcW w:w="7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r>
      <w:tr>
        <w:trPr>
          <w:trHeight w:val="250"/>
        </w:trPr>
        <w:tc>
          <w:tcPr>
            <w:tcW w:w="4400" w:type="dxa"/>
            <w:vAlign w:val="bottom"/>
            <w:tcBorders>
              <w:left w:val="single" w:sz="8" w:color="E8F0F8"/>
              <w:bottom w:val="single" w:sz="8" w:color="E8F0F8"/>
            </w:tcBorders>
            <w:gridSpan w:val="2"/>
            <w:shd w:val="clear" w:color="auto" w:fill="E8F0F8"/>
          </w:tcPr>
          <w:p>
            <w:pPr>
              <w:ind w:left="80"/>
              <w:spacing w:after="0"/>
              <w:rPr>
                <w:sz w:val="20"/>
                <w:szCs w:val="20"/>
                <w:color w:val="auto"/>
              </w:rPr>
            </w:pPr>
            <w:r>
              <w:rPr>
                <w:rFonts w:ascii="Arial" w:cs="Arial" w:eastAsia="Arial" w:hAnsi="Arial"/>
                <w:sz w:val="14"/>
                <w:szCs w:val="14"/>
                <w:color w:val="auto"/>
              </w:rPr>
              <w:t>Ms. Alexander</w:t>
            </w:r>
          </w:p>
        </w:tc>
        <w:tc>
          <w:tcPr>
            <w:tcW w:w="3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8F0F8"/>
            </w:tcBorders>
            <w:shd w:val="clear" w:color="auto" w:fill="E8F0F8"/>
          </w:tcPr>
          <w:p>
            <w:pPr>
              <w:jc w:val="right"/>
              <w:ind w:right="188"/>
              <w:spacing w:after="0"/>
              <w:rPr>
                <w:sz w:val="20"/>
                <w:szCs w:val="20"/>
                <w:color w:val="auto"/>
              </w:rPr>
            </w:pPr>
            <w:r>
              <w:rPr>
                <w:rFonts w:ascii="Arial" w:cs="Arial" w:eastAsia="Arial" w:hAnsi="Arial"/>
                <w:sz w:val="14"/>
                <w:szCs w:val="14"/>
                <w:color w:val="auto"/>
              </w:rPr>
              <w:t>3,408,917</w:t>
            </w:r>
          </w:p>
        </w:tc>
        <w:tc>
          <w:tcPr>
            <w:tcW w:w="120" w:type="dxa"/>
            <w:vAlign w:val="bottom"/>
            <w:tcBorders>
              <w:bottom w:val="single" w:sz="8" w:color="E8F0F8"/>
            </w:tcBorders>
            <w:shd w:val="clear" w:color="auto" w:fill="E8F0F8"/>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8F0F8"/>
            </w:tcBorders>
            <w:shd w:val="clear" w:color="auto" w:fill="E8F0F8"/>
          </w:tcPr>
          <w:p>
            <w:pPr>
              <w:jc w:val="right"/>
              <w:ind w:right="88"/>
              <w:spacing w:after="0"/>
              <w:rPr>
                <w:sz w:val="20"/>
                <w:szCs w:val="20"/>
                <w:color w:val="auto"/>
              </w:rPr>
            </w:pPr>
            <w:r>
              <w:rPr>
                <w:rFonts w:ascii="Arial" w:cs="Arial" w:eastAsia="Arial" w:hAnsi="Arial"/>
                <w:sz w:val="14"/>
                <w:szCs w:val="14"/>
                <w:color w:val="auto"/>
              </w:rPr>
              <w:t>6,817,834</w:t>
            </w:r>
          </w:p>
        </w:tc>
        <w:tc>
          <w:tcPr>
            <w:tcW w:w="2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8F0F8"/>
            </w:tcBorders>
            <w:shd w:val="clear" w:color="auto" w:fill="E8F0F8"/>
          </w:tcPr>
          <w:p>
            <w:pPr>
              <w:jc w:val="right"/>
              <w:ind w:right="188"/>
              <w:spacing w:after="0"/>
              <w:rPr>
                <w:sz w:val="20"/>
                <w:szCs w:val="20"/>
                <w:color w:val="auto"/>
              </w:rPr>
            </w:pPr>
            <w:r>
              <w:rPr>
                <w:rFonts w:ascii="Arial" w:cs="Arial" w:eastAsia="Arial" w:hAnsi="Arial"/>
                <w:sz w:val="14"/>
                <w:szCs w:val="14"/>
                <w:color w:val="auto"/>
              </w:rPr>
              <w:t>3,583,281</w:t>
            </w:r>
          </w:p>
        </w:tc>
        <w:tc>
          <w:tcPr>
            <w:tcW w:w="120" w:type="dxa"/>
            <w:vAlign w:val="bottom"/>
            <w:tcBorders>
              <w:bottom w:val="single" w:sz="8" w:color="E8F0F8"/>
            </w:tcBorders>
            <w:shd w:val="clear" w:color="auto" w:fill="E8F0F8"/>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E8F0F8"/>
            </w:tcBorders>
            <w:shd w:val="clear" w:color="auto" w:fill="E8F0F8"/>
          </w:tcPr>
          <w:p>
            <w:pPr>
              <w:jc w:val="right"/>
              <w:ind w:right="68"/>
              <w:spacing w:after="0"/>
              <w:rPr>
                <w:sz w:val="20"/>
                <w:szCs w:val="20"/>
                <w:color w:val="auto"/>
              </w:rPr>
            </w:pPr>
            <w:r>
              <w:rPr>
                <w:rFonts w:ascii="Arial" w:cs="Arial" w:eastAsia="Arial" w:hAnsi="Arial"/>
                <w:sz w:val="14"/>
                <w:szCs w:val="14"/>
                <w:color w:val="auto"/>
              </w:rPr>
              <w:t>7,166,562</w:t>
            </w:r>
          </w:p>
        </w:tc>
        <w:tc>
          <w:tcPr>
            <w:tcW w:w="2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8F0F8"/>
            </w:tcBorders>
            <w:shd w:val="clear" w:color="auto" w:fill="E8F0F8"/>
          </w:tcPr>
          <w:p>
            <w:pPr>
              <w:jc w:val="right"/>
              <w:ind w:right="208"/>
              <w:spacing w:after="0"/>
              <w:rPr>
                <w:sz w:val="20"/>
                <w:szCs w:val="20"/>
                <w:color w:val="auto"/>
              </w:rPr>
            </w:pPr>
            <w:r>
              <w:rPr>
                <w:rFonts w:ascii="Arial" w:cs="Arial" w:eastAsia="Arial" w:hAnsi="Arial"/>
                <w:sz w:val="14"/>
                <w:szCs w:val="14"/>
                <w:color w:val="auto"/>
              </w:rPr>
              <w:t>3,302,619</w:t>
            </w:r>
          </w:p>
        </w:tc>
        <w:tc>
          <w:tcPr>
            <w:tcW w:w="120" w:type="dxa"/>
            <w:vAlign w:val="bottom"/>
            <w:tcBorders>
              <w:bottom w:val="single" w:sz="8" w:color="E8F0F8"/>
            </w:tcBorders>
            <w:shd w:val="clear" w:color="auto" w:fill="E8F0F8"/>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6,605,238</w:t>
            </w:r>
          </w:p>
        </w:tc>
      </w:tr>
      <w:tr>
        <w:trPr>
          <w:trHeight w:val="250"/>
        </w:trPr>
        <w:tc>
          <w:tcPr>
            <w:tcW w:w="4400" w:type="dxa"/>
            <w:vAlign w:val="bottom"/>
            <w:tcBorders>
              <w:left w:val="single" w:sz="8" w:color="BAD3EA"/>
              <w:bottom w:val="single" w:sz="8" w:color="BAD3EA"/>
            </w:tcBorders>
            <w:gridSpan w:val="2"/>
            <w:shd w:val="clear" w:color="auto" w:fill="BAD3EA"/>
          </w:tcPr>
          <w:p>
            <w:pPr>
              <w:ind w:left="80"/>
              <w:spacing w:after="0"/>
              <w:rPr>
                <w:sz w:val="20"/>
                <w:szCs w:val="20"/>
                <w:color w:val="auto"/>
              </w:rPr>
            </w:pPr>
            <w:r>
              <w:rPr>
                <w:rFonts w:ascii="Arial" w:cs="Arial" w:eastAsia="Arial" w:hAnsi="Arial"/>
                <w:sz w:val="14"/>
                <w:szCs w:val="14"/>
                <w:color w:val="auto"/>
              </w:rPr>
              <w:t>Mr. Guindo</w:t>
            </w:r>
          </w:p>
        </w:tc>
        <w:tc>
          <w:tcPr>
            <w:tcW w:w="3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AD3EA"/>
            </w:tcBorders>
            <w:shd w:val="clear" w:color="auto" w:fill="BAD3EA"/>
          </w:tcPr>
          <w:p>
            <w:pPr>
              <w:jc w:val="right"/>
              <w:ind w:right="188"/>
              <w:spacing w:after="0"/>
              <w:rPr>
                <w:sz w:val="20"/>
                <w:szCs w:val="20"/>
                <w:color w:val="auto"/>
              </w:rPr>
            </w:pPr>
            <w:r>
              <w:rPr>
                <w:rFonts w:ascii="Arial" w:cs="Arial" w:eastAsia="Arial" w:hAnsi="Arial"/>
                <w:sz w:val="14"/>
                <w:szCs w:val="14"/>
                <w:color w:val="auto"/>
              </w:rPr>
              <w:t>4,476,969</w:t>
            </w:r>
          </w:p>
        </w:tc>
        <w:tc>
          <w:tcPr>
            <w:tcW w:w="120" w:type="dxa"/>
            <w:vAlign w:val="bottom"/>
            <w:tcBorders>
              <w:bottom w:val="single" w:sz="8" w:color="BAD3EA"/>
            </w:tcBorders>
            <w:shd w:val="clear" w:color="auto" w:fill="BAD3EA"/>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AD3EA"/>
            </w:tcBorders>
            <w:shd w:val="clear" w:color="auto" w:fill="BAD3EA"/>
          </w:tcPr>
          <w:p>
            <w:pPr>
              <w:jc w:val="right"/>
              <w:ind w:right="88"/>
              <w:spacing w:after="0"/>
              <w:rPr>
                <w:sz w:val="20"/>
                <w:szCs w:val="20"/>
                <w:color w:val="auto"/>
              </w:rPr>
            </w:pPr>
            <w:r>
              <w:rPr>
                <w:rFonts w:ascii="Arial" w:cs="Arial" w:eastAsia="Arial" w:hAnsi="Arial"/>
                <w:sz w:val="14"/>
                <w:szCs w:val="14"/>
                <w:color w:val="auto"/>
              </w:rPr>
              <w:t>8,953,938</w:t>
            </w:r>
          </w:p>
        </w:tc>
        <w:tc>
          <w:tcPr>
            <w:tcW w:w="2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AD3EA"/>
            </w:tcBorders>
            <w:shd w:val="clear" w:color="auto" w:fill="BAD3EA"/>
          </w:tcPr>
          <w:p>
            <w:pPr>
              <w:jc w:val="right"/>
              <w:ind w:right="188"/>
              <w:spacing w:after="0"/>
              <w:rPr>
                <w:sz w:val="20"/>
                <w:szCs w:val="20"/>
                <w:color w:val="auto"/>
              </w:rPr>
            </w:pPr>
            <w:r>
              <w:rPr>
                <w:rFonts w:ascii="Arial" w:cs="Arial" w:eastAsia="Arial" w:hAnsi="Arial"/>
                <w:sz w:val="14"/>
                <w:szCs w:val="14"/>
                <w:color w:val="auto"/>
              </w:rPr>
              <w:t>3,961,285</w:t>
            </w:r>
          </w:p>
        </w:tc>
        <w:tc>
          <w:tcPr>
            <w:tcW w:w="120" w:type="dxa"/>
            <w:vAlign w:val="bottom"/>
            <w:tcBorders>
              <w:bottom w:val="single" w:sz="8" w:color="BAD3EA"/>
            </w:tcBorders>
            <w:shd w:val="clear" w:color="auto" w:fill="BAD3EA"/>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BAD3EA"/>
            </w:tcBorders>
            <w:shd w:val="clear" w:color="auto" w:fill="BAD3EA"/>
          </w:tcPr>
          <w:p>
            <w:pPr>
              <w:jc w:val="right"/>
              <w:ind w:right="68"/>
              <w:spacing w:after="0"/>
              <w:rPr>
                <w:sz w:val="20"/>
                <w:szCs w:val="20"/>
                <w:color w:val="auto"/>
              </w:rPr>
            </w:pPr>
            <w:r>
              <w:rPr>
                <w:rFonts w:ascii="Arial" w:cs="Arial" w:eastAsia="Arial" w:hAnsi="Arial"/>
                <w:sz w:val="14"/>
                <w:szCs w:val="14"/>
                <w:color w:val="auto"/>
              </w:rPr>
              <w:t>7,992,570</w:t>
            </w:r>
          </w:p>
        </w:tc>
        <w:tc>
          <w:tcPr>
            <w:tcW w:w="2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BAD3EA"/>
            </w:tcBorders>
            <w:shd w:val="clear" w:color="auto" w:fill="BAD3EA"/>
          </w:tcPr>
          <w:p>
            <w:pPr>
              <w:jc w:val="right"/>
              <w:ind w:right="208"/>
              <w:spacing w:after="0"/>
              <w:rPr>
                <w:sz w:val="20"/>
                <w:szCs w:val="20"/>
                <w:color w:val="auto"/>
              </w:rPr>
            </w:pPr>
            <w:r>
              <w:rPr>
                <w:rFonts w:ascii="Arial" w:cs="Arial" w:eastAsia="Arial" w:hAnsi="Arial"/>
                <w:sz w:val="14"/>
                <w:szCs w:val="14"/>
                <w:color w:val="auto"/>
              </w:rPr>
              <w:t>3,379,426</w:t>
            </w:r>
          </w:p>
        </w:tc>
        <w:tc>
          <w:tcPr>
            <w:tcW w:w="120" w:type="dxa"/>
            <w:vAlign w:val="bottom"/>
            <w:tcBorders>
              <w:bottom w:val="single" w:sz="8" w:color="BAD3EA"/>
            </w:tcBorders>
            <w:shd w:val="clear" w:color="auto" w:fill="BAD3EA"/>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6,758,852</w:t>
            </w:r>
          </w:p>
        </w:tc>
      </w:tr>
      <w:tr>
        <w:trPr>
          <w:trHeight w:val="275"/>
        </w:trPr>
        <w:tc>
          <w:tcPr>
            <w:tcW w:w="4400" w:type="dxa"/>
            <w:vAlign w:val="bottom"/>
            <w:tcBorders>
              <w:left w:val="single" w:sz="8" w:color="E8F0F8"/>
              <w:bottom w:val="single" w:sz="8" w:color="E8F0F8"/>
            </w:tcBorders>
            <w:gridSpan w:val="2"/>
            <w:shd w:val="clear" w:color="auto" w:fill="E8F0F8"/>
          </w:tcPr>
          <w:p>
            <w:pPr>
              <w:ind w:left="80"/>
              <w:spacing w:after="0"/>
              <w:rPr>
                <w:sz w:val="20"/>
                <w:szCs w:val="20"/>
                <w:color w:val="auto"/>
              </w:rPr>
            </w:pPr>
            <w:r>
              <w:rPr>
                <w:rFonts w:ascii="Arial" w:cs="Arial" w:eastAsia="Arial" w:hAnsi="Arial"/>
                <w:sz w:val="14"/>
                <w:szCs w:val="14"/>
                <w:color w:val="auto"/>
              </w:rPr>
              <w:t>Dr. Sandrock</w:t>
            </w:r>
          </w:p>
        </w:tc>
        <w:tc>
          <w:tcPr>
            <w:tcW w:w="3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8F0F8"/>
            </w:tcBorders>
            <w:shd w:val="clear" w:color="auto" w:fill="E8F0F8"/>
          </w:tcPr>
          <w:p>
            <w:pPr>
              <w:jc w:val="right"/>
              <w:ind w:right="188"/>
              <w:spacing w:after="0"/>
              <w:rPr>
                <w:sz w:val="20"/>
                <w:szCs w:val="20"/>
                <w:color w:val="auto"/>
              </w:rPr>
            </w:pPr>
            <w:r>
              <w:rPr>
                <w:rFonts w:ascii="Arial" w:cs="Arial" w:eastAsia="Arial" w:hAnsi="Arial"/>
                <w:sz w:val="14"/>
                <w:szCs w:val="14"/>
                <w:color w:val="auto"/>
              </w:rPr>
              <w:t>4,475,590</w:t>
            </w:r>
          </w:p>
        </w:tc>
        <w:tc>
          <w:tcPr>
            <w:tcW w:w="120" w:type="dxa"/>
            <w:vAlign w:val="bottom"/>
            <w:tcBorders>
              <w:bottom w:val="single" w:sz="8" w:color="E8F0F8"/>
            </w:tcBorders>
            <w:shd w:val="clear" w:color="auto" w:fill="E8F0F8"/>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8F0F8"/>
            </w:tcBorders>
            <w:shd w:val="clear" w:color="auto" w:fill="E8F0F8"/>
          </w:tcPr>
          <w:p>
            <w:pPr>
              <w:jc w:val="right"/>
              <w:ind w:right="88"/>
              <w:spacing w:after="0"/>
              <w:rPr>
                <w:sz w:val="20"/>
                <w:szCs w:val="20"/>
                <w:color w:val="auto"/>
              </w:rPr>
            </w:pPr>
            <w:r>
              <w:rPr>
                <w:rFonts w:ascii="Arial" w:cs="Arial" w:eastAsia="Arial" w:hAnsi="Arial"/>
                <w:sz w:val="14"/>
                <w:szCs w:val="14"/>
                <w:color w:val="auto"/>
              </w:rPr>
              <w:t>8,951,180</w:t>
            </w:r>
          </w:p>
        </w:tc>
        <w:tc>
          <w:tcPr>
            <w:tcW w:w="2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8F0F8"/>
            </w:tcBorders>
            <w:shd w:val="clear" w:color="auto" w:fill="E8F0F8"/>
          </w:tcPr>
          <w:p>
            <w:pPr>
              <w:jc w:val="right"/>
              <w:ind w:right="188"/>
              <w:spacing w:after="0"/>
              <w:rPr>
                <w:sz w:val="20"/>
                <w:szCs w:val="20"/>
                <w:color w:val="auto"/>
              </w:rPr>
            </w:pPr>
            <w:r>
              <w:rPr>
                <w:rFonts w:ascii="Arial" w:cs="Arial" w:eastAsia="Arial" w:hAnsi="Arial"/>
                <w:sz w:val="14"/>
                <w:szCs w:val="14"/>
                <w:color w:val="auto"/>
              </w:rPr>
              <w:t>4,331,654</w:t>
            </w:r>
          </w:p>
        </w:tc>
        <w:tc>
          <w:tcPr>
            <w:tcW w:w="120" w:type="dxa"/>
            <w:vAlign w:val="bottom"/>
            <w:tcBorders>
              <w:bottom w:val="single" w:sz="8" w:color="E8F0F8"/>
            </w:tcBorders>
            <w:shd w:val="clear" w:color="auto" w:fill="E8F0F8"/>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E8F0F8"/>
            </w:tcBorders>
            <w:shd w:val="clear" w:color="auto" w:fill="E8F0F8"/>
          </w:tcPr>
          <w:p>
            <w:pPr>
              <w:jc w:val="right"/>
              <w:ind w:right="68"/>
              <w:spacing w:after="0"/>
              <w:rPr>
                <w:sz w:val="20"/>
                <w:szCs w:val="20"/>
                <w:color w:val="auto"/>
              </w:rPr>
            </w:pPr>
            <w:r>
              <w:rPr>
                <w:rFonts w:ascii="Arial" w:cs="Arial" w:eastAsia="Arial" w:hAnsi="Arial"/>
                <w:sz w:val="14"/>
                <w:szCs w:val="14"/>
                <w:color w:val="auto"/>
              </w:rPr>
              <w:t>8,663,308</w:t>
            </w:r>
          </w:p>
        </w:tc>
        <w:tc>
          <w:tcPr>
            <w:tcW w:w="2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8F0F8"/>
            </w:tcBorders>
            <w:shd w:val="clear" w:color="auto" w:fill="E8F0F8"/>
          </w:tcPr>
          <w:p>
            <w:pPr>
              <w:jc w:val="right"/>
              <w:ind w:right="208"/>
              <w:spacing w:after="0"/>
              <w:rPr>
                <w:sz w:val="20"/>
                <w:szCs w:val="20"/>
                <w:color w:val="auto"/>
              </w:rPr>
            </w:pPr>
            <w:r>
              <w:rPr>
                <w:rFonts w:ascii="Arial" w:cs="Arial" w:eastAsia="Arial" w:hAnsi="Arial"/>
                <w:sz w:val="14"/>
                <w:szCs w:val="14"/>
                <w:color w:val="auto"/>
              </w:rPr>
              <w:t>3,360,682</w:t>
            </w:r>
          </w:p>
        </w:tc>
        <w:tc>
          <w:tcPr>
            <w:tcW w:w="120" w:type="dxa"/>
            <w:vAlign w:val="bottom"/>
            <w:tcBorders>
              <w:bottom w:val="single" w:sz="8" w:color="E8F0F8"/>
            </w:tcBorders>
            <w:shd w:val="clear" w:color="auto" w:fill="E8F0F8"/>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6,721,364</w:t>
            </w:r>
          </w:p>
        </w:tc>
      </w:tr>
      <w:tr>
        <w:trPr>
          <w:trHeight w:val="142"/>
        </w:trPr>
        <w:tc>
          <w:tcPr>
            <w:tcW w:w="280" w:type="dxa"/>
            <w:vAlign w:val="bottom"/>
            <w:tcBorders>
              <w:top w:val="single" w:sz="8" w:color="auto"/>
            </w:tcBorders>
          </w:tcPr>
          <w:p>
            <w:pPr>
              <w:spacing w:after="0"/>
              <w:rPr>
                <w:sz w:val="12"/>
                <w:szCs w:val="12"/>
                <w:color w:val="auto"/>
              </w:rPr>
            </w:pPr>
          </w:p>
        </w:tc>
        <w:tc>
          <w:tcPr>
            <w:tcW w:w="4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64"/>
        </w:trPr>
        <w:tc>
          <w:tcPr>
            <w:tcW w:w="280" w:type="dxa"/>
            <w:vAlign w:val="bottom"/>
            <w:tcBorders>
              <w:left w:val="single" w:sz="8" w:color="1A6DBB"/>
              <w:right w:val="single" w:sz="8" w:color="1A6DBB"/>
            </w:tcBorders>
          </w:tcPr>
          <w:p>
            <w:pPr>
              <w:ind w:left="60"/>
              <w:spacing w:after="0"/>
              <w:rPr>
                <w:sz w:val="20"/>
                <w:szCs w:val="20"/>
                <w:color w:val="auto"/>
              </w:rPr>
            </w:pPr>
            <w:r>
              <w:rPr>
                <w:rFonts w:ascii="Arial" w:cs="Arial" w:eastAsia="Arial" w:hAnsi="Arial"/>
                <w:sz w:val="12"/>
                <w:szCs w:val="12"/>
                <w:color w:val="1A6DBB"/>
              </w:rPr>
              <w:t>61</w:t>
            </w: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5"/>
        </w:trPr>
        <w:tc>
          <w:tcPr>
            <w:tcW w:w="280" w:type="dxa"/>
            <w:vAlign w:val="bottom"/>
            <w:tcBorders>
              <w:left w:val="single" w:sz="8" w:color="1A6DBB"/>
              <w:right w:val="single" w:sz="8" w:color="1A6DBB"/>
            </w:tcBorders>
          </w:tcPr>
          <w:p>
            <w:pPr>
              <w:spacing w:after="0"/>
              <w:rPr>
                <w:sz w:val="2"/>
                <w:szCs w:val="2"/>
                <w:color w:val="auto"/>
              </w:rPr>
            </w:pPr>
          </w:p>
        </w:tc>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61"/>
        </w:trPr>
        <w:tc>
          <w:tcPr>
            <w:tcW w:w="280" w:type="dxa"/>
            <w:vAlign w:val="bottom"/>
            <w:tcBorders>
              <w:left w:val="single" w:sz="8" w:color="1A6DBB"/>
              <w:right w:val="single" w:sz="8" w:color="1A6DBB"/>
            </w:tcBorders>
            <w:shd w:val="clear" w:color="auto" w:fill="1A6DBB"/>
          </w:tcPr>
          <w:p>
            <w:pPr>
              <w:spacing w:after="0"/>
              <w:rPr>
                <w:sz w:val="5"/>
                <w:szCs w:val="5"/>
                <w:color w:val="auto"/>
              </w:rPr>
            </w:pPr>
          </w:p>
        </w:tc>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-1379220</wp:posOffset>
            </wp:positionV>
            <wp:extent cx="413194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-196215</wp:posOffset>
            </wp:positionV>
            <wp:extent cx="419735" cy="1371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19735" cy="13716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128"/>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399" w:lineRule="exact"/>
        <w:rPr>
          <w:rFonts w:ascii="Arial" w:cs="Arial" w:eastAsia="Arial" w:hAnsi="Arial"/>
          <w:sz w:val="90"/>
          <w:szCs w:val="90"/>
          <w:color w:val="1A6DBB"/>
        </w:rPr>
      </w:pPr>
    </w:p>
    <w:p>
      <w:pPr>
        <w:ind w:left="540" w:hanging="424"/>
        <w:spacing w:after="0"/>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amounts in column (f) reflect actual bonuses paid under our annual bonus plan for the applicable year.</w:t>
      </w:r>
    </w:p>
    <w:p>
      <w:pPr>
        <w:spacing w:after="0" w:line="15" w:lineRule="exact"/>
        <w:rPr>
          <w:rFonts w:ascii="Arial" w:cs="Arial" w:eastAsia="Arial" w:hAnsi="Arial"/>
          <w:sz w:val="14"/>
          <w:szCs w:val="14"/>
          <w:color w:val="auto"/>
        </w:rPr>
      </w:pPr>
    </w:p>
    <w:p>
      <w:pPr>
        <w:ind w:left="540" w:right="60" w:hanging="424"/>
        <w:spacing w:after="0" w:line="241"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amounts in column (g) reflect earnings on SSP account balances that are in excess of 120% of the applicable federal long-term rate. The federal long-term rates applied in this calculation are 2.16%, 1.61% and 3.73% for 2021, 2020 and 2019, respectively. The SSP is described under the heading “2021 Non-Qualified Deferred Compensation” below.</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amounts in column (h) for 2021 reflect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-1339215</wp:posOffset>
            </wp:positionV>
            <wp:extent cx="699516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-644525</wp:posOffset>
            </wp:positionV>
            <wp:extent cx="6995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6360" w:type="dxa"/>
            <w:vAlign w:val="bottom"/>
            <w:shd w:val="clear" w:color="auto" w:fill="1A6DBB"/>
          </w:tcPr>
          <w:p>
            <w:pPr>
              <w:spacing w:after="0"/>
              <w:rPr>
                <w:sz w:val="14"/>
                <w:szCs w:val="14"/>
                <w:color w:val="auto"/>
              </w:rPr>
            </w:pPr>
          </w:p>
        </w:tc>
        <w:tc>
          <w:tcPr>
            <w:tcW w:w="9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Company</w:t>
            </w:r>
          </w:p>
        </w:tc>
        <w:tc>
          <w:tcPr>
            <w:tcW w:w="20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280" w:type="dxa"/>
            <w:vAlign w:val="bottom"/>
            <w:shd w:val="clear" w:color="auto" w:fill="1A6DBB"/>
          </w:tcPr>
          <w:p>
            <w:pPr>
              <w:spacing w:after="0"/>
              <w:rPr>
                <w:sz w:val="14"/>
                <w:szCs w:val="14"/>
                <w:color w:val="auto"/>
              </w:rPr>
            </w:pPr>
          </w:p>
        </w:tc>
        <w:tc>
          <w:tcPr>
            <w:tcW w:w="60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600" w:type="dxa"/>
            <w:vAlign w:val="bottom"/>
            <w:shd w:val="clear" w:color="auto" w:fill="1A6DBB"/>
          </w:tcPr>
          <w:p>
            <w:pPr>
              <w:spacing w:after="0"/>
              <w:rPr>
                <w:sz w:val="14"/>
                <w:szCs w:val="14"/>
                <w:color w:val="auto"/>
              </w:rPr>
            </w:pPr>
          </w:p>
        </w:tc>
        <w:tc>
          <w:tcPr>
            <w:tcW w:w="30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r>
      <w:tr>
        <w:trPr>
          <w:trHeight w:val="162"/>
        </w:trPr>
        <w:tc>
          <w:tcPr>
            <w:tcW w:w="6360" w:type="dxa"/>
            <w:vAlign w:val="bottom"/>
            <w:shd w:val="clear" w:color="auto" w:fill="1A6DBB"/>
          </w:tcPr>
          <w:p>
            <w:pPr>
              <w:spacing w:after="0"/>
              <w:rPr>
                <w:sz w:val="14"/>
                <w:szCs w:val="14"/>
                <w:color w:val="auto"/>
              </w:rPr>
            </w:pPr>
          </w:p>
        </w:tc>
        <w:tc>
          <w:tcPr>
            <w:tcW w:w="200" w:type="dxa"/>
            <w:vAlign w:val="bottom"/>
            <w:shd w:val="clear" w:color="auto" w:fill="1A6DBB"/>
          </w:tcPr>
          <w:p>
            <w:pPr>
              <w:spacing w:after="0"/>
              <w:rPr>
                <w:sz w:val="14"/>
                <w:szCs w:val="14"/>
                <w:color w:val="auto"/>
              </w:rPr>
            </w:pPr>
          </w:p>
        </w:tc>
        <w:tc>
          <w:tcPr>
            <w:tcW w:w="760" w:type="dxa"/>
            <w:vAlign w:val="bottom"/>
            <w:shd w:val="clear" w:color="auto" w:fill="1A6DBB"/>
          </w:tcPr>
          <w:p>
            <w:pPr>
              <w:jc w:val="center"/>
              <w:ind w:right="103"/>
              <w:spacing w:after="0"/>
              <w:rPr>
                <w:sz w:val="20"/>
                <w:szCs w:val="20"/>
                <w:color w:val="auto"/>
              </w:rPr>
            </w:pPr>
            <w:r>
              <w:rPr>
                <w:rFonts w:ascii="Arial" w:cs="Arial" w:eastAsia="Arial" w:hAnsi="Arial"/>
                <w:sz w:val="14"/>
                <w:szCs w:val="14"/>
                <w:color w:val="FFFFFF"/>
              </w:rPr>
              <w:t>Matching</w:t>
            </w:r>
          </w:p>
        </w:tc>
        <w:tc>
          <w:tcPr>
            <w:tcW w:w="20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280" w:type="dxa"/>
            <w:vAlign w:val="bottom"/>
            <w:shd w:val="clear" w:color="auto" w:fill="1A6DBB"/>
          </w:tcPr>
          <w:p>
            <w:pPr>
              <w:spacing w:after="0"/>
              <w:rPr>
                <w:sz w:val="14"/>
                <w:szCs w:val="14"/>
                <w:color w:val="auto"/>
              </w:rPr>
            </w:pPr>
          </w:p>
        </w:tc>
        <w:tc>
          <w:tcPr>
            <w:tcW w:w="600" w:type="dxa"/>
            <w:vAlign w:val="bottom"/>
            <w:shd w:val="clear" w:color="auto" w:fill="1A6DBB"/>
          </w:tcPr>
          <w:p>
            <w:pPr>
              <w:spacing w:after="0"/>
              <w:rPr>
                <w:sz w:val="14"/>
                <w:szCs w:val="14"/>
                <w:color w:val="auto"/>
              </w:rPr>
            </w:pPr>
          </w:p>
        </w:tc>
        <w:tc>
          <w:tcPr>
            <w:tcW w:w="860" w:type="dxa"/>
            <w:vAlign w:val="bottom"/>
            <w:gridSpan w:val="2"/>
            <w:shd w:val="clear" w:color="auto" w:fill="1A6DBB"/>
          </w:tcPr>
          <w:p>
            <w:pPr>
              <w:ind w:left="160"/>
              <w:spacing w:after="0"/>
              <w:rPr>
                <w:sz w:val="20"/>
                <w:szCs w:val="20"/>
                <w:color w:val="auto"/>
              </w:rPr>
            </w:pPr>
            <w:r>
              <w:rPr>
                <w:rFonts w:ascii="Arial" w:cs="Arial" w:eastAsia="Arial" w:hAnsi="Arial"/>
                <w:sz w:val="14"/>
                <w:szCs w:val="14"/>
                <w:color w:val="FFFFFF"/>
              </w:rPr>
              <w:t>Value of</w:t>
            </w:r>
          </w:p>
        </w:tc>
        <w:tc>
          <w:tcPr>
            <w:tcW w:w="30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r>
      <w:tr>
        <w:trPr>
          <w:trHeight w:val="162"/>
        </w:trPr>
        <w:tc>
          <w:tcPr>
            <w:tcW w:w="6360" w:type="dxa"/>
            <w:vAlign w:val="bottom"/>
            <w:shd w:val="clear" w:color="auto" w:fill="1A6DBB"/>
          </w:tcPr>
          <w:p>
            <w:pPr>
              <w:spacing w:after="0"/>
              <w:rPr>
                <w:sz w:val="14"/>
                <w:szCs w:val="14"/>
                <w:color w:val="auto"/>
              </w:rPr>
            </w:pPr>
          </w:p>
        </w:tc>
        <w:tc>
          <w:tcPr>
            <w:tcW w:w="960" w:type="dxa"/>
            <w:vAlign w:val="bottom"/>
            <w:gridSpan w:val="2"/>
            <w:shd w:val="clear" w:color="auto" w:fill="1A6DBB"/>
          </w:tcPr>
          <w:p>
            <w:pPr>
              <w:ind w:left="100"/>
              <w:spacing w:after="0"/>
              <w:rPr>
                <w:sz w:val="20"/>
                <w:szCs w:val="20"/>
                <w:color w:val="auto"/>
              </w:rPr>
            </w:pPr>
            <w:r>
              <w:rPr>
                <w:rFonts w:ascii="Arial" w:cs="Arial" w:eastAsia="Arial" w:hAnsi="Arial"/>
                <w:sz w:val="14"/>
                <w:szCs w:val="14"/>
                <w:color w:val="FFFFFF"/>
              </w:rPr>
              <w:t>Contribution</w:t>
            </w:r>
          </w:p>
        </w:tc>
        <w:tc>
          <w:tcPr>
            <w:tcW w:w="94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Company</w:t>
            </w:r>
          </w:p>
        </w:tc>
        <w:tc>
          <w:tcPr>
            <w:tcW w:w="880" w:type="dxa"/>
            <w:vAlign w:val="bottom"/>
            <w:gridSpan w:val="2"/>
            <w:shd w:val="clear" w:color="auto" w:fill="1A6DBB"/>
          </w:tcPr>
          <w:p>
            <w:pPr>
              <w:ind w:left="140"/>
              <w:spacing w:after="0"/>
              <w:rPr>
                <w:sz w:val="20"/>
                <w:szCs w:val="20"/>
                <w:color w:val="auto"/>
              </w:rPr>
            </w:pPr>
            <w:r>
              <w:rPr>
                <w:rFonts w:ascii="Arial" w:cs="Arial" w:eastAsia="Arial" w:hAnsi="Arial"/>
                <w:sz w:val="14"/>
                <w:szCs w:val="14"/>
                <w:color w:val="FFFFFF"/>
              </w:rPr>
              <w:t>Personal</w:t>
            </w:r>
          </w:p>
        </w:tc>
        <w:tc>
          <w:tcPr>
            <w:tcW w:w="860" w:type="dxa"/>
            <w:vAlign w:val="bottom"/>
            <w:gridSpan w:val="2"/>
            <w:shd w:val="clear" w:color="auto" w:fill="1A6DBB"/>
          </w:tcPr>
          <w:p>
            <w:pPr>
              <w:ind w:left="100"/>
              <w:spacing w:after="0"/>
              <w:rPr>
                <w:sz w:val="20"/>
                <w:szCs w:val="20"/>
                <w:color w:val="auto"/>
              </w:rPr>
            </w:pPr>
            <w:r>
              <w:rPr>
                <w:rFonts w:ascii="Arial" w:cs="Arial" w:eastAsia="Arial" w:hAnsi="Arial"/>
                <w:sz w:val="14"/>
                <w:szCs w:val="14"/>
                <w:color w:val="FFFFFF"/>
              </w:rPr>
              <w:t>Company-</w:t>
            </w:r>
          </w:p>
        </w:tc>
        <w:tc>
          <w:tcPr>
            <w:tcW w:w="30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r>
      <w:tr>
        <w:trPr>
          <w:trHeight w:val="162"/>
        </w:trPr>
        <w:tc>
          <w:tcPr>
            <w:tcW w:w="6360" w:type="dxa"/>
            <w:vAlign w:val="bottom"/>
            <w:shd w:val="clear" w:color="auto" w:fill="1A6DBB"/>
          </w:tcPr>
          <w:p>
            <w:pPr>
              <w:spacing w:after="0"/>
              <w:rPr>
                <w:sz w:val="14"/>
                <w:szCs w:val="14"/>
                <w:color w:val="auto"/>
              </w:rPr>
            </w:pPr>
          </w:p>
        </w:tc>
        <w:tc>
          <w:tcPr>
            <w:tcW w:w="200" w:type="dxa"/>
            <w:vAlign w:val="bottom"/>
            <w:shd w:val="clear" w:color="auto" w:fill="1A6DBB"/>
          </w:tcPr>
          <w:p>
            <w:pPr>
              <w:spacing w:after="0"/>
              <w:rPr>
                <w:sz w:val="14"/>
                <w:szCs w:val="14"/>
                <w:color w:val="auto"/>
              </w:rPr>
            </w:pPr>
          </w:p>
        </w:tc>
        <w:tc>
          <w:tcPr>
            <w:tcW w:w="760" w:type="dxa"/>
            <w:vAlign w:val="bottom"/>
            <w:shd w:val="clear" w:color="auto" w:fill="1A6DBB"/>
          </w:tcPr>
          <w:p>
            <w:pPr>
              <w:jc w:val="center"/>
              <w:ind w:right="83"/>
              <w:spacing w:after="0"/>
              <w:rPr>
                <w:sz w:val="20"/>
                <w:szCs w:val="20"/>
                <w:color w:val="auto"/>
              </w:rPr>
            </w:pPr>
            <w:r>
              <w:rPr>
                <w:rFonts w:ascii="Arial" w:cs="Arial" w:eastAsia="Arial" w:hAnsi="Arial"/>
                <w:sz w:val="14"/>
                <w:szCs w:val="14"/>
                <w:color w:val="FFFFFF"/>
              </w:rPr>
              <w:t>to 401(k)</w:t>
            </w:r>
          </w:p>
        </w:tc>
        <w:tc>
          <w:tcPr>
            <w:tcW w:w="940" w:type="dxa"/>
            <w:vAlign w:val="bottom"/>
            <w:gridSpan w:val="2"/>
            <w:shd w:val="clear" w:color="auto" w:fill="1A6DBB"/>
          </w:tcPr>
          <w:p>
            <w:pPr>
              <w:ind w:left="100"/>
              <w:spacing w:after="0"/>
              <w:rPr>
                <w:sz w:val="20"/>
                <w:szCs w:val="20"/>
                <w:color w:val="auto"/>
              </w:rPr>
            </w:pPr>
            <w:r>
              <w:rPr>
                <w:rFonts w:ascii="Arial" w:cs="Arial" w:eastAsia="Arial" w:hAnsi="Arial"/>
                <w:sz w:val="14"/>
                <w:szCs w:val="14"/>
                <w:color w:val="FFFFFF"/>
              </w:rPr>
              <w:t>Contribution</w:t>
            </w:r>
          </w:p>
        </w:tc>
        <w:tc>
          <w:tcPr>
            <w:tcW w:w="880" w:type="dxa"/>
            <w:vAlign w:val="bottom"/>
            <w:gridSpan w:val="2"/>
            <w:shd w:val="clear" w:color="auto" w:fill="1A6DBB"/>
          </w:tcPr>
          <w:p>
            <w:pPr>
              <w:ind w:left="80"/>
              <w:spacing w:after="0"/>
              <w:rPr>
                <w:sz w:val="20"/>
                <w:szCs w:val="20"/>
                <w:color w:val="auto"/>
              </w:rPr>
            </w:pPr>
            <w:r>
              <w:rPr>
                <w:rFonts w:ascii="Arial" w:cs="Arial" w:eastAsia="Arial" w:hAnsi="Arial"/>
                <w:sz w:val="14"/>
                <w:szCs w:val="14"/>
                <w:color w:val="FFFFFF"/>
              </w:rPr>
              <w:t>Health and</w:t>
            </w:r>
          </w:p>
        </w:tc>
        <w:tc>
          <w:tcPr>
            <w:tcW w:w="860" w:type="dxa"/>
            <w:vAlign w:val="bottom"/>
            <w:gridSpan w:val="2"/>
            <w:shd w:val="clear" w:color="auto" w:fill="1A6DBB"/>
          </w:tcPr>
          <w:p>
            <w:pPr>
              <w:ind w:left="140"/>
              <w:spacing w:after="0"/>
              <w:rPr>
                <w:sz w:val="20"/>
                <w:szCs w:val="20"/>
                <w:color w:val="auto"/>
              </w:rPr>
            </w:pPr>
            <w:r>
              <w:rPr>
                <w:rFonts w:ascii="Arial" w:cs="Arial" w:eastAsia="Arial" w:hAnsi="Arial"/>
                <w:sz w:val="14"/>
                <w:szCs w:val="14"/>
                <w:color w:val="FFFFFF"/>
              </w:rPr>
              <w:t>Paid Life</w:t>
            </w:r>
          </w:p>
        </w:tc>
        <w:tc>
          <w:tcPr>
            <w:tcW w:w="30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r>
      <w:tr>
        <w:trPr>
          <w:trHeight w:val="162"/>
        </w:trPr>
        <w:tc>
          <w:tcPr>
            <w:tcW w:w="6360" w:type="dxa"/>
            <w:vAlign w:val="bottom"/>
            <w:shd w:val="clear" w:color="auto" w:fill="1A6DBB"/>
          </w:tcPr>
          <w:p>
            <w:pPr>
              <w:spacing w:after="0"/>
              <w:rPr>
                <w:sz w:val="14"/>
                <w:szCs w:val="14"/>
                <w:color w:val="auto"/>
              </w:rPr>
            </w:pPr>
          </w:p>
        </w:tc>
        <w:tc>
          <w:tcPr>
            <w:tcW w:w="200" w:type="dxa"/>
            <w:vAlign w:val="bottom"/>
            <w:shd w:val="clear" w:color="auto" w:fill="1A6DBB"/>
          </w:tcPr>
          <w:p>
            <w:pPr>
              <w:spacing w:after="0"/>
              <w:rPr>
                <w:sz w:val="14"/>
                <w:szCs w:val="14"/>
                <w:color w:val="auto"/>
              </w:rPr>
            </w:pPr>
          </w:p>
        </w:tc>
        <w:tc>
          <w:tcPr>
            <w:tcW w:w="760" w:type="dxa"/>
            <w:vAlign w:val="bottom"/>
            <w:shd w:val="clear" w:color="auto" w:fill="1A6DBB"/>
          </w:tcPr>
          <w:p>
            <w:pPr>
              <w:jc w:val="center"/>
              <w:ind w:right="83"/>
              <w:spacing w:after="0"/>
              <w:rPr>
                <w:sz w:val="20"/>
                <w:szCs w:val="20"/>
                <w:color w:val="auto"/>
              </w:rPr>
            </w:pPr>
            <w:r>
              <w:rPr>
                <w:rFonts w:ascii="Arial" w:cs="Arial" w:eastAsia="Arial" w:hAnsi="Arial"/>
                <w:sz w:val="14"/>
                <w:szCs w:val="14"/>
                <w:color w:val="FFFFFF"/>
                <w:w w:val="99"/>
              </w:rPr>
              <w:t>Plan</w:t>
            </w:r>
          </w:p>
        </w:tc>
        <w:tc>
          <w:tcPr>
            <w:tcW w:w="200" w:type="dxa"/>
            <w:vAlign w:val="bottom"/>
            <w:shd w:val="clear" w:color="auto" w:fill="1A6DBB"/>
          </w:tcPr>
          <w:p>
            <w:pPr>
              <w:spacing w:after="0"/>
              <w:rPr>
                <w:sz w:val="14"/>
                <w:szCs w:val="14"/>
                <w:color w:val="auto"/>
              </w:rPr>
            </w:pPr>
          </w:p>
        </w:tc>
        <w:tc>
          <w:tcPr>
            <w:tcW w:w="740" w:type="dxa"/>
            <w:vAlign w:val="bottom"/>
            <w:shd w:val="clear" w:color="auto" w:fill="1A6DBB"/>
          </w:tcPr>
          <w:p>
            <w:pPr>
              <w:jc w:val="center"/>
              <w:ind w:right="102"/>
              <w:spacing w:after="0"/>
              <w:rPr>
                <w:sz w:val="20"/>
                <w:szCs w:val="20"/>
                <w:color w:val="auto"/>
              </w:rPr>
            </w:pPr>
            <w:r>
              <w:rPr>
                <w:rFonts w:ascii="Arial" w:cs="Arial" w:eastAsia="Arial" w:hAnsi="Arial"/>
                <w:sz w:val="14"/>
                <w:szCs w:val="14"/>
                <w:color w:val="FFFFFF"/>
              </w:rPr>
              <w:t>to SSP</w:t>
            </w:r>
          </w:p>
        </w:tc>
        <w:tc>
          <w:tcPr>
            <w:tcW w:w="880" w:type="dxa"/>
            <w:vAlign w:val="bottom"/>
            <w:gridSpan w:val="2"/>
            <w:shd w:val="clear" w:color="auto" w:fill="1A6DBB"/>
          </w:tcPr>
          <w:p>
            <w:pPr>
              <w:ind w:left="140"/>
              <w:spacing w:after="0"/>
              <w:rPr>
                <w:sz w:val="20"/>
                <w:szCs w:val="20"/>
                <w:color w:val="auto"/>
              </w:rPr>
            </w:pPr>
            <w:r>
              <w:rPr>
                <w:rFonts w:ascii="Arial" w:cs="Arial" w:eastAsia="Arial" w:hAnsi="Arial"/>
                <w:sz w:val="14"/>
                <w:szCs w:val="14"/>
                <w:color w:val="FFFFFF"/>
              </w:rPr>
              <w:t>Financial</w:t>
            </w:r>
          </w:p>
        </w:tc>
        <w:tc>
          <w:tcPr>
            <w:tcW w:w="860" w:type="dxa"/>
            <w:vAlign w:val="bottom"/>
            <w:gridSpan w:val="2"/>
            <w:shd w:val="clear" w:color="auto" w:fill="1A6DBB"/>
          </w:tcPr>
          <w:p>
            <w:pPr>
              <w:ind w:left="120"/>
              <w:spacing w:after="0"/>
              <w:rPr>
                <w:sz w:val="20"/>
                <w:szCs w:val="20"/>
                <w:color w:val="auto"/>
              </w:rPr>
            </w:pPr>
            <w:r>
              <w:rPr>
                <w:rFonts w:ascii="Arial" w:cs="Arial" w:eastAsia="Arial" w:hAnsi="Arial"/>
                <w:sz w:val="14"/>
                <w:szCs w:val="14"/>
                <w:color w:val="FFFFFF"/>
              </w:rPr>
              <w:t>Insurance</w:t>
            </w:r>
          </w:p>
        </w:tc>
        <w:tc>
          <w:tcPr>
            <w:tcW w:w="30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r>
      <w:tr>
        <w:trPr>
          <w:trHeight w:val="185"/>
        </w:trPr>
        <w:tc>
          <w:tcPr>
            <w:tcW w:w="63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Executive Officer</w:t>
            </w:r>
          </w:p>
        </w:tc>
        <w:tc>
          <w:tcPr>
            <w:tcW w:w="200" w:type="dxa"/>
            <w:vAlign w:val="bottom"/>
            <w:shd w:val="clear" w:color="auto" w:fill="1A6DBB"/>
          </w:tcPr>
          <w:p>
            <w:pPr>
              <w:spacing w:after="0"/>
              <w:rPr>
                <w:sz w:val="16"/>
                <w:szCs w:val="16"/>
                <w:color w:val="auto"/>
              </w:rPr>
            </w:pPr>
          </w:p>
        </w:tc>
        <w:tc>
          <w:tcPr>
            <w:tcW w:w="760" w:type="dxa"/>
            <w:vAlign w:val="bottom"/>
            <w:shd w:val="clear" w:color="auto" w:fill="1A6DBB"/>
          </w:tcPr>
          <w:p>
            <w:pPr>
              <w:jc w:val="center"/>
              <w:ind w:right="83"/>
              <w:spacing w:after="0"/>
              <w:rPr>
                <w:sz w:val="20"/>
                <w:szCs w:val="20"/>
                <w:color w:val="auto"/>
              </w:rPr>
            </w:pPr>
            <w:r>
              <w:rPr>
                <w:rFonts w:ascii="Arial" w:cs="Arial" w:eastAsia="Arial" w:hAnsi="Arial"/>
                <w:sz w:val="14"/>
                <w:szCs w:val="14"/>
                <w:color w:val="FFFFFF"/>
              </w:rPr>
              <w:t>Account</w:t>
            </w:r>
          </w:p>
        </w:tc>
        <w:tc>
          <w:tcPr>
            <w:tcW w:w="200" w:type="dxa"/>
            <w:vAlign w:val="bottom"/>
            <w:shd w:val="clear" w:color="auto" w:fill="1A6DBB"/>
          </w:tcPr>
          <w:p>
            <w:pPr>
              <w:spacing w:after="0"/>
              <w:rPr>
                <w:sz w:val="16"/>
                <w:szCs w:val="16"/>
                <w:color w:val="auto"/>
              </w:rPr>
            </w:pPr>
          </w:p>
        </w:tc>
        <w:tc>
          <w:tcPr>
            <w:tcW w:w="740" w:type="dxa"/>
            <w:vAlign w:val="bottom"/>
            <w:shd w:val="clear" w:color="auto" w:fill="1A6DBB"/>
          </w:tcPr>
          <w:p>
            <w:pPr>
              <w:jc w:val="center"/>
              <w:ind w:right="102"/>
              <w:spacing w:after="0"/>
              <w:rPr>
                <w:sz w:val="20"/>
                <w:szCs w:val="20"/>
                <w:color w:val="auto"/>
              </w:rPr>
            </w:pPr>
            <w:r>
              <w:rPr>
                <w:rFonts w:ascii="Arial" w:cs="Arial" w:eastAsia="Arial" w:hAnsi="Arial"/>
                <w:sz w:val="14"/>
                <w:szCs w:val="14"/>
                <w:color w:val="FFFFFF"/>
              </w:rPr>
              <w:t>Account</w:t>
            </w:r>
          </w:p>
        </w:tc>
        <w:tc>
          <w:tcPr>
            <w:tcW w:w="880" w:type="dxa"/>
            <w:vAlign w:val="bottom"/>
            <w:gridSpan w:val="2"/>
            <w:shd w:val="clear" w:color="auto" w:fill="1A6DBB"/>
          </w:tcPr>
          <w:p>
            <w:pPr>
              <w:ind w:left="100"/>
              <w:spacing w:after="0"/>
              <w:rPr>
                <w:sz w:val="20"/>
                <w:szCs w:val="20"/>
                <w:color w:val="auto"/>
              </w:rPr>
            </w:pPr>
            <w:r>
              <w:rPr>
                <w:rFonts w:ascii="Arial" w:cs="Arial" w:eastAsia="Arial" w:hAnsi="Arial"/>
                <w:sz w:val="14"/>
                <w:szCs w:val="14"/>
                <w:color w:val="FFFFFF"/>
              </w:rPr>
              <w:t>Planning</w:t>
            </w:r>
            <w:r>
              <w:rPr>
                <w:rFonts w:ascii="Arial" w:cs="Arial" w:eastAsia="Arial" w:hAnsi="Arial"/>
                <w:sz w:val="14"/>
                <w:szCs w:val="14"/>
                <w:color w:val="FFFFFF"/>
                <w:vertAlign w:val="superscript"/>
              </w:rPr>
              <w:t>(8)</w:t>
            </w:r>
          </w:p>
        </w:tc>
        <w:tc>
          <w:tcPr>
            <w:tcW w:w="860" w:type="dxa"/>
            <w:vAlign w:val="bottom"/>
            <w:gridSpan w:val="2"/>
            <w:shd w:val="clear" w:color="auto" w:fill="1A6DBB"/>
          </w:tcPr>
          <w:p>
            <w:pPr>
              <w:ind w:left="100"/>
              <w:spacing w:after="0"/>
              <w:rPr>
                <w:sz w:val="20"/>
                <w:szCs w:val="20"/>
                <w:color w:val="auto"/>
              </w:rPr>
            </w:pPr>
            <w:r>
              <w:rPr>
                <w:rFonts w:ascii="Arial" w:cs="Arial" w:eastAsia="Arial" w:hAnsi="Arial"/>
                <w:sz w:val="14"/>
                <w:szCs w:val="14"/>
                <w:color w:val="FFFFFF"/>
              </w:rPr>
              <w:t>Premiums</w:t>
            </w:r>
          </w:p>
        </w:tc>
        <w:tc>
          <w:tcPr>
            <w:tcW w:w="1020" w:type="dxa"/>
            <w:vAlign w:val="bottom"/>
            <w:gridSpan w:val="2"/>
            <w:shd w:val="clear" w:color="auto" w:fill="1A6DBB"/>
          </w:tcPr>
          <w:p>
            <w:pPr>
              <w:ind w:left="100"/>
              <w:spacing w:after="0"/>
              <w:rPr>
                <w:sz w:val="20"/>
                <w:szCs w:val="20"/>
                <w:color w:val="auto"/>
              </w:rPr>
            </w:pPr>
            <w:r>
              <w:rPr>
                <w:rFonts w:ascii="Arial" w:cs="Arial" w:eastAsia="Arial" w:hAnsi="Arial"/>
                <w:sz w:val="14"/>
                <w:szCs w:val="14"/>
                <w:color w:val="FFFFFF"/>
              </w:rPr>
              <w:t>Relocation</w:t>
            </w:r>
            <w:r>
              <w:rPr>
                <w:rFonts w:ascii="Arial" w:cs="Arial" w:eastAsia="Arial" w:hAnsi="Arial"/>
                <w:sz w:val="14"/>
                <w:szCs w:val="14"/>
                <w:color w:val="FFFFFF"/>
                <w:vertAlign w:val="superscript"/>
              </w:rPr>
              <w:t>(9)</w:t>
            </w:r>
          </w:p>
        </w:tc>
      </w:tr>
      <w:tr>
        <w:trPr>
          <w:trHeight w:val="250"/>
        </w:trPr>
        <w:tc>
          <w:tcPr>
            <w:tcW w:w="636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Mr. Vounatsos</w:t>
            </w:r>
          </w:p>
        </w:tc>
        <w:tc>
          <w:tcPr>
            <w:tcW w:w="20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8F0F8"/>
            </w:tcBorders>
            <w:shd w:val="clear" w:color="auto" w:fill="E8F0F8"/>
          </w:tcPr>
          <w:p>
            <w:pPr>
              <w:jc w:val="right"/>
              <w:ind w:right="3"/>
              <w:spacing w:after="0"/>
              <w:rPr>
                <w:sz w:val="20"/>
                <w:szCs w:val="20"/>
                <w:color w:val="auto"/>
              </w:rPr>
            </w:pPr>
            <w:r>
              <w:rPr>
                <w:rFonts w:ascii="Arial" w:cs="Arial" w:eastAsia="Arial" w:hAnsi="Arial"/>
                <w:sz w:val="16"/>
                <w:szCs w:val="16"/>
                <w:color w:val="auto"/>
              </w:rPr>
              <w:t>17,400</w:t>
            </w:r>
          </w:p>
        </w:tc>
        <w:tc>
          <w:tcPr>
            <w:tcW w:w="2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402,654</w:t>
            </w:r>
          </w:p>
        </w:tc>
        <w:tc>
          <w:tcPr>
            <w:tcW w:w="28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8F0F8"/>
            </w:tcBorders>
            <w:shd w:val="clear" w:color="auto" w:fill="E8F0F8"/>
          </w:tcPr>
          <w:p>
            <w:pPr>
              <w:jc w:val="right"/>
              <w:ind w:right="19"/>
              <w:spacing w:after="0"/>
              <w:rPr>
                <w:sz w:val="20"/>
                <w:szCs w:val="20"/>
                <w:color w:val="auto"/>
              </w:rPr>
            </w:pPr>
            <w:r>
              <w:rPr>
                <w:rFonts w:ascii="Arial" w:cs="Arial" w:eastAsia="Arial" w:hAnsi="Arial"/>
                <w:sz w:val="16"/>
                <w:szCs w:val="16"/>
                <w:color w:val="auto"/>
              </w:rPr>
              <w:t>3,654</w:t>
            </w:r>
          </w:p>
        </w:tc>
        <w:tc>
          <w:tcPr>
            <w:tcW w:w="26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8F0F8"/>
            </w:tcBorders>
            <w:shd w:val="clear" w:color="auto" w:fill="E8F0F8"/>
          </w:tcPr>
          <w:p>
            <w:pPr>
              <w:jc w:val="right"/>
              <w:ind w:right="19"/>
              <w:spacing w:after="0"/>
              <w:rPr>
                <w:sz w:val="20"/>
                <w:szCs w:val="20"/>
                <w:color w:val="auto"/>
              </w:rPr>
            </w:pPr>
            <w:r>
              <w:rPr>
                <w:rFonts w:ascii="Arial" w:cs="Arial" w:eastAsia="Arial" w:hAnsi="Arial"/>
                <w:sz w:val="16"/>
                <w:szCs w:val="16"/>
                <w:color w:val="auto"/>
              </w:rPr>
              <w:t>1,055</w:t>
            </w:r>
          </w:p>
        </w:tc>
        <w:tc>
          <w:tcPr>
            <w:tcW w:w="300" w:type="dxa"/>
            <w:vAlign w:val="bottom"/>
            <w:tcBorders>
              <w:bottom w:val="single" w:sz="8" w:color="E8F0F8"/>
            </w:tcBorders>
            <w:shd w:val="clear" w:color="auto" w:fill="E8F0F8"/>
          </w:tcPr>
          <w:p>
            <w:pPr>
              <w:spacing w:after="0"/>
              <w:rPr>
                <w:sz w:val="21"/>
                <w:szCs w:val="21"/>
                <w:color w:val="auto"/>
              </w:rPr>
            </w:pPr>
          </w:p>
        </w:tc>
        <w:tc>
          <w:tcPr>
            <w:tcW w:w="720" w:type="dxa"/>
            <w:vAlign w:val="bottom"/>
            <w:tcBorders>
              <w:bottom w:val="single" w:sz="8" w:color="E8F0F8"/>
            </w:tcBorders>
            <w:shd w:val="clear" w:color="auto" w:fill="E8F0F8"/>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36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Mr. McDonnell</w:t>
            </w:r>
          </w:p>
        </w:tc>
        <w:tc>
          <w:tcPr>
            <w:tcW w:w="20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BAD3EA"/>
            </w:tcBorders>
            <w:shd w:val="clear" w:color="auto" w:fill="BAD3EA"/>
          </w:tcPr>
          <w:p>
            <w:pPr>
              <w:jc w:val="right"/>
              <w:ind w:right="3"/>
              <w:spacing w:after="0"/>
              <w:rPr>
                <w:sz w:val="20"/>
                <w:szCs w:val="20"/>
                <w:color w:val="auto"/>
              </w:rPr>
            </w:pPr>
            <w:r>
              <w:rPr>
                <w:rFonts w:ascii="Arial" w:cs="Arial" w:eastAsia="Arial" w:hAnsi="Arial"/>
                <w:sz w:val="16"/>
                <w:szCs w:val="16"/>
                <w:color w:val="auto"/>
              </w:rPr>
              <w:t>17,400</w:t>
            </w:r>
          </w:p>
        </w:tc>
        <w:tc>
          <w:tcPr>
            <w:tcW w:w="20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37,007</w:t>
            </w:r>
          </w:p>
        </w:tc>
        <w:tc>
          <w:tcPr>
            <w:tcW w:w="28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AD3EA"/>
            </w:tcBorders>
            <w:shd w:val="clear" w:color="auto" w:fill="BAD3EA"/>
          </w:tcPr>
          <w:p>
            <w:pPr>
              <w:jc w:val="right"/>
              <w:ind w:right="19"/>
              <w:spacing w:after="0"/>
              <w:rPr>
                <w:sz w:val="20"/>
                <w:szCs w:val="20"/>
                <w:color w:val="auto"/>
              </w:rPr>
            </w:pPr>
            <w:r>
              <w:rPr>
                <w:rFonts w:ascii="Arial" w:cs="Arial" w:eastAsia="Arial" w:hAnsi="Arial"/>
                <w:sz w:val="16"/>
                <w:szCs w:val="16"/>
                <w:color w:val="auto"/>
              </w:rPr>
              <w:t>7,330</w:t>
            </w:r>
          </w:p>
        </w:tc>
        <w:tc>
          <w:tcPr>
            <w:tcW w:w="26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AD3EA"/>
            </w:tcBorders>
            <w:shd w:val="clear" w:color="auto" w:fill="BAD3EA"/>
          </w:tcPr>
          <w:p>
            <w:pPr>
              <w:jc w:val="right"/>
              <w:ind w:right="19"/>
              <w:spacing w:after="0"/>
              <w:rPr>
                <w:sz w:val="20"/>
                <w:szCs w:val="20"/>
                <w:color w:val="auto"/>
              </w:rPr>
            </w:pPr>
            <w:r>
              <w:rPr>
                <w:rFonts w:ascii="Arial" w:cs="Arial" w:eastAsia="Arial" w:hAnsi="Arial"/>
                <w:sz w:val="16"/>
                <w:szCs w:val="16"/>
                <w:color w:val="auto"/>
              </w:rPr>
              <w:t>1,582</w:t>
            </w:r>
          </w:p>
        </w:tc>
        <w:tc>
          <w:tcPr>
            <w:tcW w:w="30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AD3EA"/>
            </w:tcBorders>
            <w:shd w:val="clear" w:color="auto" w:fill="BAD3EA"/>
          </w:tcPr>
          <w:p>
            <w:pPr>
              <w:jc w:val="right"/>
              <w:ind w:right="19"/>
              <w:spacing w:after="0"/>
              <w:rPr>
                <w:sz w:val="20"/>
                <w:szCs w:val="20"/>
                <w:color w:val="auto"/>
              </w:rPr>
            </w:pPr>
            <w:r>
              <w:rPr>
                <w:rFonts w:ascii="Arial" w:cs="Arial" w:eastAsia="Arial" w:hAnsi="Arial"/>
                <w:sz w:val="16"/>
                <w:szCs w:val="16"/>
                <w:color w:val="auto"/>
              </w:rPr>
              <w:t>87,050</w:t>
            </w:r>
          </w:p>
        </w:tc>
      </w:tr>
      <w:tr>
        <w:trPr>
          <w:trHeight w:val="250"/>
        </w:trPr>
        <w:tc>
          <w:tcPr>
            <w:tcW w:w="636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Ms. Alexander</w:t>
            </w:r>
          </w:p>
        </w:tc>
        <w:tc>
          <w:tcPr>
            <w:tcW w:w="20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E8F0F8"/>
            </w:tcBorders>
            <w:shd w:val="clear" w:color="auto" w:fill="E8F0F8"/>
          </w:tcPr>
          <w:p>
            <w:pPr>
              <w:jc w:val="right"/>
              <w:ind w:right="3"/>
              <w:spacing w:after="0"/>
              <w:rPr>
                <w:sz w:val="20"/>
                <w:szCs w:val="20"/>
                <w:color w:val="auto"/>
              </w:rPr>
            </w:pPr>
            <w:r>
              <w:rPr>
                <w:rFonts w:ascii="Arial" w:cs="Arial" w:eastAsia="Arial" w:hAnsi="Arial"/>
                <w:sz w:val="16"/>
                <w:szCs w:val="16"/>
                <w:color w:val="auto"/>
              </w:rPr>
              <w:t>17,400</w:t>
            </w:r>
          </w:p>
        </w:tc>
        <w:tc>
          <w:tcPr>
            <w:tcW w:w="2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117,165</w:t>
            </w:r>
          </w:p>
        </w:tc>
        <w:tc>
          <w:tcPr>
            <w:tcW w:w="28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8F0F8"/>
            </w:tcBorders>
            <w:shd w:val="clear" w:color="auto" w:fill="E8F0F8"/>
          </w:tcPr>
          <w:p>
            <w:pPr>
              <w:jc w:val="right"/>
              <w:ind w:right="19"/>
              <w:spacing w:after="0"/>
              <w:rPr>
                <w:sz w:val="20"/>
                <w:szCs w:val="20"/>
                <w:color w:val="auto"/>
              </w:rPr>
            </w:pPr>
            <w:r>
              <w:rPr>
                <w:rFonts w:ascii="Arial" w:cs="Arial" w:eastAsia="Arial" w:hAnsi="Arial"/>
                <w:sz w:val="16"/>
                <w:szCs w:val="16"/>
                <w:color w:val="auto"/>
              </w:rPr>
              <w:t>6,275</w:t>
            </w:r>
          </w:p>
        </w:tc>
        <w:tc>
          <w:tcPr>
            <w:tcW w:w="26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8F0F8"/>
            </w:tcBorders>
            <w:shd w:val="clear" w:color="auto" w:fill="E8F0F8"/>
          </w:tcPr>
          <w:p>
            <w:pPr>
              <w:jc w:val="right"/>
              <w:ind w:right="19"/>
              <w:spacing w:after="0"/>
              <w:rPr>
                <w:sz w:val="20"/>
                <w:szCs w:val="20"/>
                <w:color w:val="auto"/>
              </w:rPr>
            </w:pPr>
            <w:r>
              <w:rPr>
                <w:rFonts w:ascii="Arial" w:cs="Arial" w:eastAsia="Arial" w:hAnsi="Arial"/>
                <w:sz w:val="16"/>
                <w:szCs w:val="16"/>
                <w:color w:val="auto"/>
              </w:rPr>
              <w:t>1,718</w:t>
            </w:r>
          </w:p>
        </w:tc>
        <w:tc>
          <w:tcPr>
            <w:tcW w:w="300" w:type="dxa"/>
            <w:vAlign w:val="bottom"/>
            <w:tcBorders>
              <w:bottom w:val="single" w:sz="8" w:color="E8F0F8"/>
            </w:tcBorders>
            <w:shd w:val="clear" w:color="auto" w:fill="E8F0F8"/>
          </w:tcPr>
          <w:p>
            <w:pPr>
              <w:spacing w:after="0"/>
              <w:rPr>
                <w:sz w:val="21"/>
                <w:szCs w:val="21"/>
                <w:color w:val="auto"/>
              </w:rPr>
            </w:pPr>
          </w:p>
        </w:tc>
        <w:tc>
          <w:tcPr>
            <w:tcW w:w="720" w:type="dxa"/>
            <w:vAlign w:val="bottom"/>
            <w:tcBorders>
              <w:bottom w:val="single" w:sz="8" w:color="E8F0F8"/>
            </w:tcBorders>
            <w:shd w:val="clear" w:color="auto" w:fill="E8F0F8"/>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36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Mr. Guindo</w:t>
            </w:r>
          </w:p>
        </w:tc>
        <w:tc>
          <w:tcPr>
            <w:tcW w:w="20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BAD3EA"/>
            </w:tcBorders>
            <w:shd w:val="clear" w:color="auto" w:fill="BAD3EA"/>
          </w:tcPr>
          <w:p>
            <w:pPr>
              <w:jc w:val="right"/>
              <w:ind w:right="3"/>
              <w:spacing w:after="0"/>
              <w:rPr>
                <w:sz w:val="20"/>
                <w:szCs w:val="20"/>
                <w:color w:val="auto"/>
              </w:rPr>
            </w:pPr>
            <w:r>
              <w:rPr>
                <w:rFonts w:ascii="Arial" w:cs="Arial" w:eastAsia="Arial" w:hAnsi="Arial"/>
                <w:sz w:val="16"/>
                <w:szCs w:val="16"/>
                <w:color w:val="auto"/>
              </w:rPr>
              <w:t>17,400</w:t>
            </w:r>
          </w:p>
        </w:tc>
        <w:tc>
          <w:tcPr>
            <w:tcW w:w="20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50,450</w:t>
            </w:r>
          </w:p>
        </w:tc>
        <w:tc>
          <w:tcPr>
            <w:tcW w:w="280" w:type="dxa"/>
            <w:vAlign w:val="bottom"/>
            <w:tcBorders>
              <w:bottom w:val="single" w:sz="8" w:color="BAD3EA"/>
            </w:tcBorders>
            <w:shd w:val="clear" w:color="auto" w:fill="BAD3EA"/>
          </w:tcPr>
          <w:p>
            <w:pPr>
              <w:spacing w:after="0"/>
              <w:rPr>
                <w:sz w:val="21"/>
                <w:szCs w:val="21"/>
                <w:color w:val="auto"/>
              </w:rPr>
            </w:pPr>
          </w:p>
        </w:tc>
        <w:tc>
          <w:tcPr>
            <w:tcW w:w="600" w:type="dxa"/>
            <w:vAlign w:val="bottom"/>
            <w:tcBorders>
              <w:bottom w:val="single" w:sz="8" w:color="BAD3EA"/>
            </w:tcBorders>
            <w:shd w:val="clear" w:color="auto" w:fill="BAD3EA"/>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AD3EA"/>
            </w:tcBorders>
            <w:shd w:val="clear" w:color="auto" w:fill="BAD3EA"/>
          </w:tcPr>
          <w:p>
            <w:pPr>
              <w:jc w:val="right"/>
              <w:ind w:right="19"/>
              <w:spacing w:after="0"/>
              <w:rPr>
                <w:sz w:val="20"/>
                <w:szCs w:val="20"/>
                <w:color w:val="auto"/>
              </w:rPr>
            </w:pPr>
            <w:r>
              <w:rPr>
                <w:rFonts w:ascii="Arial" w:cs="Arial" w:eastAsia="Arial" w:hAnsi="Arial"/>
                <w:sz w:val="16"/>
                <w:szCs w:val="16"/>
                <w:color w:val="auto"/>
              </w:rPr>
              <w:t>1,197</w:t>
            </w:r>
          </w:p>
        </w:tc>
        <w:tc>
          <w:tcPr>
            <w:tcW w:w="300" w:type="dxa"/>
            <w:vAlign w:val="bottom"/>
            <w:tcBorders>
              <w:bottom w:val="single" w:sz="8" w:color="BAD3EA"/>
            </w:tcBorders>
            <w:shd w:val="clear" w:color="auto" w:fill="BAD3EA"/>
          </w:tcPr>
          <w:p>
            <w:pPr>
              <w:spacing w:after="0"/>
              <w:rPr>
                <w:sz w:val="21"/>
                <w:szCs w:val="21"/>
                <w:color w:val="auto"/>
              </w:rPr>
            </w:pPr>
          </w:p>
        </w:tc>
        <w:tc>
          <w:tcPr>
            <w:tcW w:w="720" w:type="dxa"/>
            <w:vAlign w:val="bottom"/>
            <w:tcBorders>
              <w:bottom w:val="single" w:sz="8" w:color="BAD3EA"/>
            </w:tcBorders>
            <w:shd w:val="clear" w:color="auto" w:fill="BAD3EA"/>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636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Dr. Sandrock</w:t>
            </w:r>
          </w:p>
        </w:tc>
        <w:tc>
          <w:tcPr>
            <w:tcW w:w="20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E8F0F8"/>
          </w:tcPr>
          <w:p>
            <w:pPr>
              <w:jc w:val="right"/>
              <w:ind w:right="3"/>
              <w:spacing w:after="0"/>
              <w:rPr>
                <w:sz w:val="20"/>
                <w:szCs w:val="20"/>
                <w:color w:val="auto"/>
              </w:rPr>
            </w:pPr>
            <w:r>
              <w:rPr>
                <w:rFonts w:ascii="Arial" w:cs="Arial" w:eastAsia="Arial" w:hAnsi="Arial"/>
                <w:sz w:val="16"/>
                <w:szCs w:val="16"/>
                <w:color w:val="auto"/>
              </w:rPr>
              <w:t>17,400</w:t>
            </w:r>
          </w:p>
        </w:tc>
        <w:tc>
          <w:tcPr>
            <w:tcW w:w="20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120,619</w:t>
            </w:r>
          </w:p>
        </w:tc>
        <w:tc>
          <w:tcPr>
            <w:tcW w:w="28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E8F0F8"/>
          </w:tcPr>
          <w:p>
            <w:pPr>
              <w:jc w:val="right"/>
              <w:ind w:right="19"/>
              <w:spacing w:after="0"/>
              <w:rPr>
                <w:sz w:val="20"/>
                <w:szCs w:val="20"/>
                <w:color w:val="auto"/>
              </w:rPr>
            </w:pPr>
            <w:r>
              <w:rPr>
                <w:rFonts w:ascii="Arial" w:cs="Arial" w:eastAsia="Arial" w:hAnsi="Arial"/>
                <w:sz w:val="16"/>
                <w:szCs w:val="16"/>
                <w:color w:val="auto"/>
              </w:rPr>
              <w:t>7,500</w:t>
            </w:r>
          </w:p>
        </w:tc>
        <w:tc>
          <w:tcPr>
            <w:tcW w:w="26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E8F0F8"/>
          </w:tcPr>
          <w:p>
            <w:pPr>
              <w:jc w:val="right"/>
              <w:ind w:right="19"/>
              <w:spacing w:after="0"/>
              <w:rPr>
                <w:sz w:val="20"/>
                <w:szCs w:val="20"/>
                <w:color w:val="auto"/>
              </w:rPr>
            </w:pPr>
            <w:r>
              <w:rPr>
                <w:rFonts w:ascii="Arial" w:cs="Arial" w:eastAsia="Arial" w:hAnsi="Arial"/>
                <w:sz w:val="16"/>
                <w:szCs w:val="16"/>
                <w:color w:val="auto"/>
              </w:rPr>
              <w:t>1,903</w:t>
            </w:r>
          </w:p>
        </w:tc>
        <w:tc>
          <w:tcPr>
            <w:tcW w:w="300" w:type="dxa"/>
            <w:vAlign w:val="bottom"/>
            <w:tcBorders>
              <w:bottom w:val="single" w:sz="8" w:color="auto"/>
            </w:tcBorders>
            <w:shd w:val="clear" w:color="auto" w:fill="E8F0F8"/>
          </w:tcPr>
          <w:p>
            <w:pPr>
              <w:spacing w:after="0"/>
              <w:rPr>
                <w:sz w:val="16"/>
                <w:szCs w:val="16"/>
                <w:color w:val="auto"/>
              </w:rPr>
            </w:pPr>
          </w:p>
        </w:tc>
        <w:tc>
          <w:tcPr>
            <w:tcW w:w="720" w:type="dxa"/>
            <w:vAlign w:val="bottom"/>
            <w:tcBorders>
              <w:bottom w:val="single" w:sz="8" w:color="auto"/>
            </w:tcBorders>
            <w:shd w:val="clear" w:color="auto" w:fill="E8F0F8"/>
          </w:tcPr>
          <w:p>
            <w:pPr>
              <w:jc w:val="right"/>
              <w:ind w:right="19"/>
              <w:spacing w:after="0"/>
              <w:rPr>
                <w:sz w:val="20"/>
                <w:szCs w:val="20"/>
                <w:color w:val="auto"/>
              </w:rPr>
            </w:pPr>
            <w:r>
              <w:rPr>
                <w:rFonts w:ascii="Arial" w:cs="Arial" w:eastAsia="Arial" w:hAnsi="Arial"/>
                <w:sz w:val="16"/>
                <w:szCs w:val="16"/>
                <w:color w:val="auto"/>
              </w:rPr>
              <w:t>—</w:t>
            </w:r>
          </w:p>
        </w:tc>
      </w:tr>
    </w:tbl>
    <w:p>
      <w:pPr>
        <w:spacing w:after="0" w:line="31" w:lineRule="exact"/>
        <w:rPr>
          <w:sz w:val="20"/>
          <w:szCs w:val="20"/>
          <w:color w:val="auto"/>
        </w:rPr>
      </w:pPr>
    </w:p>
    <w:p>
      <w:pPr>
        <w:ind w:left="540" w:right="80" w:hanging="424"/>
        <w:spacing w:after="0" w:line="251" w:lineRule="auto"/>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Mr. McDonnell was appointed as our Executive Vice President and Chief Financial Officer effective August 15, 2020. His base salary and annual bonus for 2020 were prorated for the period of the year during which he was employed by the Company.</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 and, as a result was ineligible for a payout under our 2021 annual bonus plan.</w:t>
      </w:r>
    </w:p>
    <w:p>
      <w:pPr>
        <w:spacing w:after="0" w:line="1" w:lineRule="exact"/>
        <w:rPr>
          <w:rFonts w:ascii="Arial" w:cs="Arial" w:eastAsia="Arial" w:hAnsi="Arial"/>
          <w:sz w:val="14"/>
          <w:szCs w:val="14"/>
          <w:color w:val="auto"/>
        </w:rPr>
      </w:pPr>
    </w:p>
    <w:p>
      <w:pPr>
        <w:ind w:left="540" w:right="140" w:hanging="424"/>
        <w:spacing w:after="0" w:line="241" w:lineRule="auto"/>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Represents reimbursements of expenses relating to tax, financial and estate planning and executive physicals as described under the heading “Executive Physicals, Tax Preparation, Financial and Estate Planning” above.</w:t>
      </w:r>
    </w:p>
    <w:p>
      <w:pPr>
        <w:ind w:left="540" w:hanging="424"/>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amount for Mr. McDonnell reflects relocation benefits under the Company’s Executive Relocation Policy and includes tax gross-ups of $38,607.</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Grants of Plan-Based Awards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additional information regarding all grants of plan-based awards made to our NEOs for the year ended December 31, 2021.</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296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All</w:t>
            </w:r>
          </w:p>
        </w:tc>
        <w:tc>
          <w:tcPr>
            <w:tcW w:w="140" w:type="dxa"/>
            <w:vAlign w:val="bottom"/>
            <w:shd w:val="clear" w:color="auto" w:fill="1A6DBB"/>
          </w:tcPr>
          <w:p>
            <w:pPr>
              <w:spacing w:after="0"/>
              <w:rPr>
                <w:sz w:val="14"/>
                <w:szCs w:val="14"/>
                <w:color w:val="auto"/>
              </w:rPr>
            </w:pPr>
          </w:p>
        </w:tc>
        <w:tc>
          <w:tcPr>
            <w:tcW w:w="86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Other</w:t>
            </w:r>
          </w:p>
        </w:tc>
        <w:tc>
          <w:tcPr>
            <w:tcW w:w="140" w:type="dxa"/>
            <w:vAlign w:val="bottom"/>
            <w:shd w:val="clear" w:color="auto" w:fill="1A6DBB"/>
          </w:tcPr>
          <w:p>
            <w:pPr>
              <w:spacing w:after="0"/>
              <w:rPr>
                <w:sz w:val="14"/>
                <w:szCs w:val="14"/>
                <w:color w:val="auto"/>
              </w:rPr>
            </w:pPr>
          </w:p>
        </w:tc>
        <w:tc>
          <w:tcPr>
            <w:tcW w:w="86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Stock</w:t>
            </w:r>
          </w:p>
        </w:tc>
        <w:tc>
          <w:tcPr>
            <w:tcW w:w="140" w:type="dxa"/>
            <w:vAlign w:val="bottom"/>
            <w:shd w:val="clear" w:color="auto" w:fill="1A6DBB"/>
          </w:tcPr>
          <w:p>
            <w:pPr>
              <w:spacing w:after="0"/>
              <w:rPr>
                <w:sz w:val="14"/>
                <w:szCs w:val="14"/>
                <w:color w:val="auto"/>
              </w:rPr>
            </w:pPr>
          </w:p>
        </w:tc>
        <w:tc>
          <w:tcPr>
            <w:tcW w:w="86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5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2640" w:type="dxa"/>
            <w:vAlign w:val="bottom"/>
            <w:gridSpan w:val="5"/>
            <w:vMerge w:val="restart"/>
            <w:shd w:val="clear" w:color="auto" w:fill="1A6DBB"/>
          </w:tcPr>
          <w:p>
            <w:pPr>
              <w:jc w:val="center"/>
              <w:ind w:right="188"/>
              <w:spacing w:after="0"/>
              <w:rPr>
                <w:sz w:val="20"/>
                <w:szCs w:val="20"/>
                <w:color w:val="auto"/>
              </w:rPr>
            </w:pPr>
            <w:r>
              <w:rPr>
                <w:rFonts w:ascii="Arial" w:cs="Arial" w:eastAsia="Arial" w:hAnsi="Arial"/>
                <w:sz w:val="14"/>
                <w:szCs w:val="14"/>
                <w:color w:val="FFFFFF"/>
              </w:rPr>
              <w:t>Estimated Future Payouts Under</w:t>
            </w:r>
          </w:p>
        </w:tc>
        <w:tc>
          <w:tcPr>
            <w:tcW w:w="2140" w:type="dxa"/>
            <w:vAlign w:val="bottom"/>
            <w:gridSpan w:val="3"/>
            <w:vMerge w:val="restart"/>
            <w:shd w:val="clear" w:color="auto" w:fill="1A6DBB"/>
          </w:tcPr>
          <w:p>
            <w:pPr>
              <w:jc w:val="center"/>
              <w:ind w:left="128"/>
              <w:spacing w:after="0"/>
              <w:rPr>
                <w:sz w:val="20"/>
                <w:szCs w:val="20"/>
                <w:color w:val="auto"/>
              </w:rPr>
            </w:pPr>
            <w:r>
              <w:rPr>
                <w:rFonts w:ascii="Arial" w:cs="Arial" w:eastAsia="Arial" w:hAnsi="Arial"/>
                <w:sz w:val="14"/>
                <w:szCs w:val="14"/>
                <w:color w:val="FFFFFF"/>
              </w:rPr>
              <w:t>Estimated Future Payouts</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8"/>
              </w:rPr>
              <w:t>Awards:</w:t>
            </w:r>
          </w:p>
        </w:tc>
        <w:tc>
          <w:tcPr>
            <w:tcW w:w="140" w:type="dxa"/>
            <w:vAlign w:val="bottom"/>
            <w:shd w:val="clear" w:color="auto" w:fill="1A6DBB"/>
          </w:tcPr>
          <w:p>
            <w:pPr>
              <w:spacing w:after="0"/>
              <w:rPr>
                <w:sz w:val="14"/>
                <w:szCs w:val="14"/>
                <w:color w:val="auto"/>
              </w:rPr>
            </w:pPr>
          </w:p>
        </w:tc>
        <w:tc>
          <w:tcPr>
            <w:tcW w:w="86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960" w:type="dxa"/>
            <w:vAlign w:val="bottom"/>
            <w:shd w:val="clear" w:color="auto" w:fill="1A6DBB"/>
          </w:tcPr>
          <w:p>
            <w:pPr>
              <w:spacing w:after="0"/>
              <w:rPr>
                <w:sz w:val="8"/>
                <w:szCs w:val="8"/>
                <w:color w:val="auto"/>
              </w:rPr>
            </w:pPr>
          </w:p>
        </w:tc>
        <w:tc>
          <w:tcPr>
            <w:tcW w:w="900" w:type="dxa"/>
            <w:vAlign w:val="bottom"/>
            <w:shd w:val="clear" w:color="auto" w:fill="1A6DBB"/>
          </w:tcPr>
          <w:p>
            <w:pPr>
              <w:spacing w:after="0"/>
              <w:rPr>
                <w:sz w:val="8"/>
                <w:szCs w:val="8"/>
                <w:color w:val="auto"/>
              </w:rPr>
            </w:pPr>
          </w:p>
        </w:tc>
        <w:tc>
          <w:tcPr>
            <w:tcW w:w="560" w:type="dxa"/>
            <w:vAlign w:val="bottom"/>
            <w:shd w:val="clear" w:color="auto" w:fill="1A6DBB"/>
          </w:tcPr>
          <w:p>
            <w:pPr>
              <w:spacing w:after="0"/>
              <w:rPr>
                <w:sz w:val="8"/>
                <w:szCs w:val="8"/>
                <w:color w:val="auto"/>
              </w:rPr>
            </w:pPr>
          </w:p>
        </w:tc>
        <w:tc>
          <w:tcPr>
            <w:tcW w:w="140" w:type="dxa"/>
            <w:vAlign w:val="bottom"/>
            <w:shd w:val="clear" w:color="auto" w:fill="1A6DBB"/>
          </w:tcPr>
          <w:p>
            <w:pPr>
              <w:spacing w:after="0"/>
              <w:rPr>
                <w:sz w:val="8"/>
                <w:szCs w:val="8"/>
                <w:color w:val="auto"/>
              </w:rPr>
            </w:pPr>
          </w:p>
        </w:tc>
        <w:tc>
          <w:tcPr>
            <w:tcW w:w="2640" w:type="dxa"/>
            <w:vAlign w:val="bottom"/>
            <w:gridSpan w:val="5"/>
            <w:vMerge w:val="continue"/>
            <w:shd w:val="clear" w:color="auto" w:fill="1A6DBB"/>
          </w:tcPr>
          <w:p>
            <w:pPr>
              <w:spacing w:after="0"/>
              <w:rPr>
                <w:sz w:val="8"/>
                <w:szCs w:val="8"/>
                <w:color w:val="auto"/>
              </w:rPr>
            </w:pPr>
          </w:p>
        </w:tc>
        <w:tc>
          <w:tcPr>
            <w:tcW w:w="2140" w:type="dxa"/>
            <w:vAlign w:val="bottom"/>
            <w:gridSpan w:val="3"/>
            <w:vMerge w:val="continue"/>
            <w:shd w:val="clear" w:color="auto" w:fill="1A6DBB"/>
          </w:tcPr>
          <w:p>
            <w:pPr>
              <w:spacing w:after="0"/>
              <w:rPr>
                <w:sz w:val="8"/>
                <w:szCs w:val="8"/>
                <w:color w:val="auto"/>
              </w:rPr>
            </w:pPr>
          </w:p>
        </w:tc>
        <w:tc>
          <w:tcPr>
            <w:tcW w:w="68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Number</w:t>
            </w:r>
          </w:p>
        </w:tc>
        <w:tc>
          <w:tcPr>
            <w:tcW w:w="140" w:type="dxa"/>
            <w:vAlign w:val="bottom"/>
            <w:shd w:val="clear" w:color="auto" w:fill="1A6DBB"/>
          </w:tcPr>
          <w:p>
            <w:pPr>
              <w:spacing w:after="0"/>
              <w:rPr>
                <w:sz w:val="8"/>
                <w:szCs w:val="8"/>
                <w:color w:val="auto"/>
              </w:rPr>
            </w:pPr>
          </w:p>
        </w:tc>
        <w:tc>
          <w:tcPr>
            <w:tcW w:w="860" w:type="dxa"/>
            <w:vAlign w:val="bottom"/>
            <w:vMerge w:val="restart"/>
            <w:shd w:val="clear" w:color="auto" w:fill="1A6DBB"/>
          </w:tcPr>
          <w:p>
            <w:pPr>
              <w:jc w:val="center"/>
              <w:ind w:right="49"/>
              <w:spacing w:after="0"/>
              <w:rPr>
                <w:sz w:val="20"/>
                <w:szCs w:val="20"/>
                <w:color w:val="auto"/>
              </w:rPr>
            </w:pPr>
            <w:r>
              <w:rPr>
                <w:rFonts w:ascii="Arial" w:cs="Arial" w:eastAsia="Arial" w:hAnsi="Arial"/>
                <w:sz w:val="14"/>
                <w:szCs w:val="14"/>
                <w:color w:val="FFFFFF"/>
              </w:rPr>
              <w:t>Grant Date</w:t>
            </w:r>
          </w:p>
        </w:tc>
        <w:tc>
          <w:tcPr>
            <w:tcW w:w="0" w:type="dxa"/>
            <w:vAlign w:val="bottom"/>
          </w:tcPr>
          <w:p>
            <w:pPr>
              <w:spacing w:after="0"/>
              <w:rPr>
                <w:sz w:val="1"/>
                <w:szCs w:val="1"/>
                <w:color w:val="auto"/>
              </w:rPr>
            </w:pPr>
          </w:p>
        </w:tc>
      </w:tr>
      <w:tr>
        <w:trPr>
          <w:trHeight w:val="68"/>
        </w:trPr>
        <w:tc>
          <w:tcPr>
            <w:tcW w:w="2960" w:type="dxa"/>
            <w:vAlign w:val="bottom"/>
            <w:shd w:val="clear" w:color="auto" w:fill="1A6DBB"/>
          </w:tcPr>
          <w:p>
            <w:pPr>
              <w:spacing w:after="0"/>
              <w:rPr>
                <w:sz w:val="5"/>
                <w:szCs w:val="5"/>
                <w:color w:val="auto"/>
              </w:rPr>
            </w:pPr>
          </w:p>
        </w:tc>
        <w:tc>
          <w:tcPr>
            <w:tcW w:w="900" w:type="dxa"/>
            <w:vAlign w:val="bottom"/>
            <w:shd w:val="clear" w:color="auto" w:fill="1A6DBB"/>
          </w:tcPr>
          <w:p>
            <w:pPr>
              <w:spacing w:after="0"/>
              <w:rPr>
                <w:sz w:val="5"/>
                <w:szCs w:val="5"/>
                <w:color w:val="auto"/>
              </w:rPr>
            </w:pPr>
          </w:p>
        </w:tc>
        <w:tc>
          <w:tcPr>
            <w:tcW w:w="560" w:type="dxa"/>
            <w:vAlign w:val="bottom"/>
            <w:shd w:val="clear" w:color="auto" w:fill="1A6DBB"/>
          </w:tcPr>
          <w:p>
            <w:pPr>
              <w:spacing w:after="0"/>
              <w:rPr>
                <w:sz w:val="5"/>
                <w:szCs w:val="5"/>
                <w:color w:val="auto"/>
              </w:rPr>
            </w:pPr>
          </w:p>
        </w:tc>
        <w:tc>
          <w:tcPr>
            <w:tcW w:w="140" w:type="dxa"/>
            <w:vAlign w:val="bottom"/>
            <w:shd w:val="clear" w:color="auto" w:fill="1A6DBB"/>
          </w:tcPr>
          <w:p>
            <w:pPr>
              <w:spacing w:after="0"/>
              <w:rPr>
                <w:sz w:val="5"/>
                <w:szCs w:val="5"/>
                <w:color w:val="auto"/>
              </w:rPr>
            </w:pPr>
          </w:p>
        </w:tc>
        <w:tc>
          <w:tcPr>
            <w:tcW w:w="2640" w:type="dxa"/>
            <w:vAlign w:val="bottom"/>
            <w:gridSpan w:val="5"/>
            <w:vMerge w:val="restart"/>
            <w:shd w:val="clear" w:color="auto" w:fill="1A6DBB"/>
          </w:tcPr>
          <w:p>
            <w:pPr>
              <w:jc w:val="center"/>
              <w:ind w:right="188"/>
              <w:spacing w:after="0" w:line="157" w:lineRule="exact"/>
              <w:rPr>
                <w:sz w:val="20"/>
                <w:szCs w:val="20"/>
                <w:color w:val="auto"/>
              </w:rPr>
            </w:pPr>
            <w:r>
              <w:rPr>
                <w:rFonts w:ascii="Arial" w:cs="Arial" w:eastAsia="Arial" w:hAnsi="Arial"/>
                <w:sz w:val="14"/>
                <w:szCs w:val="14"/>
                <w:color w:val="FFFFFF"/>
              </w:rPr>
              <w:t>Non-Equity Incentive Plan</w:t>
            </w:r>
          </w:p>
        </w:tc>
        <w:tc>
          <w:tcPr>
            <w:tcW w:w="2140" w:type="dxa"/>
            <w:vAlign w:val="bottom"/>
            <w:gridSpan w:val="3"/>
            <w:vMerge w:val="restart"/>
            <w:shd w:val="clear" w:color="auto" w:fill="1A6DBB"/>
          </w:tcPr>
          <w:p>
            <w:pPr>
              <w:jc w:val="center"/>
              <w:ind w:left="128"/>
              <w:spacing w:after="0" w:line="157" w:lineRule="exact"/>
              <w:rPr>
                <w:sz w:val="20"/>
                <w:szCs w:val="20"/>
                <w:color w:val="auto"/>
              </w:rPr>
            </w:pPr>
            <w:r>
              <w:rPr>
                <w:rFonts w:ascii="Arial" w:cs="Arial" w:eastAsia="Arial" w:hAnsi="Arial"/>
                <w:sz w:val="14"/>
                <w:szCs w:val="14"/>
                <w:color w:val="FFFFFF"/>
              </w:rPr>
              <w:t>Under Equity Incentive Plan</w:t>
            </w:r>
          </w:p>
        </w:tc>
        <w:tc>
          <w:tcPr>
            <w:tcW w:w="680" w:type="dxa"/>
            <w:vAlign w:val="bottom"/>
            <w:vMerge w:val="continue"/>
            <w:shd w:val="clear" w:color="auto" w:fill="1A6DBB"/>
          </w:tcPr>
          <w:p>
            <w:pPr>
              <w:spacing w:after="0"/>
              <w:rPr>
                <w:sz w:val="5"/>
                <w:szCs w:val="5"/>
                <w:color w:val="auto"/>
              </w:rPr>
            </w:pPr>
          </w:p>
        </w:tc>
        <w:tc>
          <w:tcPr>
            <w:tcW w:w="140" w:type="dxa"/>
            <w:vAlign w:val="bottom"/>
            <w:shd w:val="clear" w:color="auto" w:fill="1A6DBB"/>
          </w:tcPr>
          <w:p>
            <w:pPr>
              <w:spacing w:after="0"/>
              <w:rPr>
                <w:sz w:val="5"/>
                <w:szCs w:val="5"/>
                <w:color w:val="auto"/>
              </w:rPr>
            </w:pPr>
          </w:p>
        </w:tc>
        <w:tc>
          <w:tcPr>
            <w:tcW w:w="860" w:type="dxa"/>
            <w:vAlign w:val="bottom"/>
            <w:vMerge w:val="continue"/>
            <w:shd w:val="clear" w:color="auto" w:fill="1A6DBB"/>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960" w:type="dxa"/>
            <w:vAlign w:val="bottom"/>
            <w:shd w:val="clear" w:color="auto" w:fill="1A6DBB"/>
          </w:tcPr>
          <w:p>
            <w:pPr>
              <w:spacing w:after="0"/>
              <w:rPr>
                <w:sz w:val="7"/>
                <w:szCs w:val="7"/>
                <w:color w:val="auto"/>
              </w:rPr>
            </w:pPr>
          </w:p>
        </w:tc>
        <w:tc>
          <w:tcPr>
            <w:tcW w:w="900" w:type="dxa"/>
            <w:vAlign w:val="bottom"/>
            <w:shd w:val="clear" w:color="auto" w:fill="1A6DBB"/>
          </w:tcPr>
          <w:p>
            <w:pPr>
              <w:spacing w:after="0"/>
              <w:rPr>
                <w:sz w:val="7"/>
                <w:szCs w:val="7"/>
                <w:color w:val="auto"/>
              </w:rPr>
            </w:pPr>
          </w:p>
        </w:tc>
        <w:tc>
          <w:tcPr>
            <w:tcW w:w="560" w:type="dxa"/>
            <w:vAlign w:val="bottom"/>
            <w:shd w:val="clear" w:color="auto" w:fill="1A6DBB"/>
          </w:tcPr>
          <w:p>
            <w:pPr>
              <w:spacing w:after="0"/>
              <w:rPr>
                <w:sz w:val="7"/>
                <w:szCs w:val="7"/>
                <w:color w:val="auto"/>
              </w:rPr>
            </w:pPr>
          </w:p>
        </w:tc>
        <w:tc>
          <w:tcPr>
            <w:tcW w:w="140" w:type="dxa"/>
            <w:vAlign w:val="bottom"/>
            <w:shd w:val="clear" w:color="auto" w:fill="1A6DBB"/>
          </w:tcPr>
          <w:p>
            <w:pPr>
              <w:spacing w:after="0"/>
              <w:rPr>
                <w:sz w:val="7"/>
                <w:szCs w:val="7"/>
                <w:color w:val="auto"/>
              </w:rPr>
            </w:pPr>
          </w:p>
        </w:tc>
        <w:tc>
          <w:tcPr>
            <w:tcW w:w="2640" w:type="dxa"/>
            <w:vAlign w:val="bottom"/>
            <w:gridSpan w:val="5"/>
            <w:vMerge w:val="continue"/>
            <w:shd w:val="clear" w:color="auto" w:fill="1A6DBB"/>
          </w:tcPr>
          <w:p>
            <w:pPr>
              <w:spacing w:after="0"/>
              <w:rPr>
                <w:sz w:val="7"/>
                <w:szCs w:val="7"/>
                <w:color w:val="auto"/>
              </w:rPr>
            </w:pPr>
          </w:p>
        </w:tc>
        <w:tc>
          <w:tcPr>
            <w:tcW w:w="2140" w:type="dxa"/>
            <w:vAlign w:val="bottom"/>
            <w:gridSpan w:val="3"/>
            <w:vMerge w:val="continue"/>
            <w:shd w:val="clear" w:color="auto" w:fill="1A6DBB"/>
          </w:tcPr>
          <w:p>
            <w:pPr>
              <w:spacing w:after="0"/>
              <w:rPr>
                <w:sz w:val="7"/>
                <w:szCs w:val="7"/>
                <w:color w:val="auto"/>
              </w:rPr>
            </w:pPr>
          </w:p>
        </w:tc>
        <w:tc>
          <w:tcPr>
            <w:tcW w:w="68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of</w:t>
            </w:r>
          </w:p>
        </w:tc>
        <w:tc>
          <w:tcPr>
            <w:tcW w:w="140" w:type="dxa"/>
            <w:vAlign w:val="bottom"/>
            <w:shd w:val="clear" w:color="auto" w:fill="1A6DBB"/>
          </w:tcPr>
          <w:p>
            <w:pPr>
              <w:spacing w:after="0"/>
              <w:rPr>
                <w:sz w:val="7"/>
                <w:szCs w:val="7"/>
                <w:color w:val="auto"/>
              </w:rPr>
            </w:pPr>
          </w:p>
        </w:tc>
        <w:tc>
          <w:tcPr>
            <w:tcW w:w="860" w:type="dxa"/>
            <w:vAlign w:val="bottom"/>
            <w:vMerge w:val="restart"/>
            <w:shd w:val="clear" w:color="auto" w:fill="1A6DBB"/>
          </w:tcPr>
          <w:p>
            <w:pPr>
              <w:jc w:val="center"/>
              <w:ind w:right="69"/>
              <w:spacing w:after="0"/>
              <w:rPr>
                <w:sz w:val="20"/>
                <w:szCs w:val="20"/>
                <w:color w:val="auto"/>
              </w:rPr>
            </w:pPr>
            <w:r>
              <w:rPr>
                <w:rFonts w:ascii="Arial" w:cs="Arial" w:eastAsia="Arial" w:hAnsi="Arial"/>
                <w:sz w:val="14"/>
                <w:szCs w:val="14"/>
                <w:color w:val="FFFFFF"/>
              </w:rPr>
              <w:t>Fair Value</w:t>
            </w:r>
          </w:p>
        </w:tc>
        <w:tc>
          <w:tcPr>
            <w:tcW w:w="0" w:type="dxa"/>
            <w:vAlign w:val="bottom"/>
          </w:tcPr>
          <w:p>
            <w:pPr>
              <w:spacing w:after="0"/>
              <w:rPr>
                <w:sz w:val="1"/>
                <w:szCs w:val="1"/>
                <w:color w:val="auto"/>
              </w:rPr>
            </w:pPr>
          </w:p>
        </w:tc>
      </w:tr>
      <w:tr>
        <w:trPr>
          <w:trHeight w:val="73"/>
        </w:trPr>
        <w:tc>
          <w:tcPr>
            <w:tcW w:w="2960" w:type="dxa"/>
            <w:vAlign w:val="bottom"/>
            <w:shd w:val="clear" w:color="auto" w:fill="1A6DBB"/>
          </w:tcPr>
          <w:p>
            <w:pPr>
              <w:spacing w:after="0"/>
              <w:rPr>
                <w:sz w:val="6"/>
                <w:szCs w:val="6"/>
                <w:color w:val="auto"/>
              </w:rPr>
            </w:pPr>
          </w:p>
        </w:tc>
        <w:tc>
          <w:tcPr>
            <w:tcW w:w="900" w:type="dxa"/>
            <w:vAlign w:val="bottom"/>
            <w:shd w:val="clear" w:color="auto" w:fill="1A6DBB"/>
          </w:tcPr>
          <w:p>
            <w:pPr>
              <w:spacing w:after="0"/>
              <w:rPr>
                <w:sz w:val="6"/>
                <w:szCs w:val="6"/>
                <w:color w:val="auto"/>
              </w:rPr>
            </w:pPr>
          </w:p>
        </w:tc>
        <w:tc>
          <w:tcPr>
            <w:tcW w:w="560" w:type="dxa"/>
            <w:vAlign w:val="bottom"/>
            <w:shd w:val="clear" w:color="auto" w:fill="1A6DBB"/>
          </w:tcPr>
          <w:p>
            <w:pPr>
              <w:spacing w:after="0"/>
              <w:rPr>
                <w:sz w:val="6"/>
                <w:szCs w:val="6"/>
                <w:color w:val="auto"/>
              </w:rPr>
            </w:pPr>
          </w:p>
        </w:tc>
        <w:tc>
          <w:tcPr>
            <w:tcW w:w="140" w:type="dxa"/>
            <w:vAlign w:val="bottom"/>
            <w:shd w:val="clear" w:color="auto" w:fill="1A6DBB"/>
          </w:tcPr>
          <w:p>
            <w:pPr>
              <w:spacing w:after="0"/>
              <w:rPr>
                <w:sz w:val="6"/>
                <w:szCs w:val="6"/>
                <w:color w:val="auto"/>
              </w:rPr>
            </w:pPr>
          </w:p>
        </w:tc>
        <w:tc>
          <w:tcPr>
            <w:tcW w:w="680" w:type="dxa"/>
            <w:vAlign w:val="bottom"/>
            <w:shd w:val="clear" w:color="auto" w:fill="1A6DBB"/>
          </w:tcPr>
          <w:p>
            <w:pPr>
              <w:spacing w:after="0"/>
              <w:rPr>
                <w:sz w:val="6"/>
                <w:szCs w:val="6"/>
                <w:color w:val="auto"/>
              </w:rPr>
            </w:pPr>
          </w:p>
        </w:tc>
        <w:tc>
          <w:tcPr>
            <w:tcW w:w="140" w:type="dxa"/>
            <w:vAlign w:val="bottom"/>
            <w:shd w:val="clear" w:color="auto" w:fill="1A6DBB"/>
          </w:tcPr>
          <w:p>
            <w:pPr>
              <w:spacing w:after="0"/>
              <w:rPr>
                <w:sz w:val="6"/>
                <w:szCs w:val="6"/>
                <w:color w:val="auto"/>
              </w:rPr>
            </w:pPr>
          </w:p>
        </w:tc>
        <w:tc>
          <w:tcPr>
            <w:tcW w:w="760" w:type="dxa"/>
            <w:vAlign w:val="bottom"/>
            <w:vMerge w:val="restart"/>
            <w:shd w:val="clear" w:color="auto" w:fill="1A6DBB"/>
          </w:tcPr>
          <w:p>
            <w:pPr>
              <w:jc w:val="center"/>
              <w:spacing w:after="0" w:line="190" w:lineRule="exact"/>
              <w:rPr>
                <w:sz w:val="20"/>
                <w:szCs w:val="20"/>
                <w:color w:val="auto"/>
              </w:rPr>
            </w:pPr>
            <w:r>
              <w:rPr>
                <w:rFonts w:ascii="Arial" w:cs="Arial" w:eastAsia="Arial" w:hAnsi="Arial"/>
                <w:sz w:val="13"/>
                <w:szCs w:val="13"/>
                <w:color w:val="FFFFFF"/>
              </w:rPr>
              <w:t>Awards</w:t>
            </w:r>
            <w:r>
              <w:rPr>
                <w:rFonts w:ascii="Arial" w:cs="Arial" w:eastAsia="Arial" w:hAnsi="Arial"/>
                <w:sz w:val="22"/>
                <w:szCs w:val="22"/>
                <w:color w:val="FFFFFF"/>
                <w:vertAlign w:val="superscript"/>
              </w:rPr>
              <w:t>(1)</w:t>
            </w:r>
          </w:p>
        </w:tc>
        <w:tc>
          <w:tcPr>
            <w:tcW w:w="140" w:type="dxa"/>
            <w:vAlign w:val="bottom"/>
            <w:shd w:val="clear" w:color="auto" w:fill="1A6DBB"/>
          </w:tcPr>
          <w:p>
            <w:pPr>
              <w:spacing w:after="0"/>
              <w:rPr>
                <w:sz w:val="6"/>
                <w:szCs w:val="6"/>
                <w:color w:val="auto"/>
              </w:rPr>
            </w:pPr>
          </w:p>
        </w:tc>
        <w:tc>
          <w:tcPr>
            <w:tcW w:w="920" w:type="dxa"/>
            <w:vAlign w:val="bottom"/>
            <w:shd w:val="clear" w:color="auto" w:fill="1A6DBB"/>
          </w:tcPr>
          <w:p>
            <w:pPr>
              <w:spacing w:after="0"/>
              <w:rPr>
                <w:sz w:val="6"/>
                <w:szCs w:val="6"/>
                <w:color w:val="auto"/>
              </w:rPr>
            </w:pPr>
          </w:p>
        </w:tc>
        <w:tc>
          <w:tcPr>
            <w:tcW w:w="2140" w:type="dxa"/>
            <w:vAlign w:val="bottom"/>
            <w:gridSpan w:val="3"/>
            <w:vMerge w:val="restart"/>
            <w:shd w:val="clear" w:color="auto" w:fill="1A6DBB"/>
          </w:tcPr>
          <w:p>
            <w:pPr>
              <w:jc w:val="center"/>
              <w:ind w:left="108"/>
              <w:spacing w:after="0" w:line="190" w:lineRule="exact"/>
              <w:rPr>
                <w:sz w:val="20"/>
                <w:szCs w:val="20"/>
                <w:color w:val="auto"/>
              </w:rPr>
            </w:pPr>
            <w:r>
              <w:rPr>
                <w:rFonts w:ascii="Arial" w:cs="Arial" w:eastAsia="Arial" w:hAnsi="Arial"/>
                <w:sz w:val="13"/>
                <w:szCs w:val="13"/>
                <w:color w:val="FFFFFF"/>
              </w:rPr>
              <w:t>Awards(#)</w:t>
            </w:r>
            <w:r>
              <w:rPr>
                <w:rFonts w:ascii="Arial" w:cs="Arial" w:eastAsia="Arial" w:hAnsi="Arial"/>
                <w:sz w:val="22"/>
                <w:szCs w:val="22"/>
                <w:color w:val="FFFFFF"/>
                <w:vertAlign w:val="superscript"/>
              </w:rPr>
              <w:t>(1)</w:t>
            </w:r>
          </w:p>
        </w:tc>
        <w:tc>
          <w:tcPr>
            <w:tcW w:w="680" w:type="dxa"/>
            <w:vAlign w:val="bottom"/>
            <w:vMerge w:val="continue"/>
            <w:shd w:val="clear" w:color="auto" w:fill="1A6DBB"/>
          </w:tcPr>
          <w:p>
            <w:pPr>
              <w:spacing w:after="0"/>
              <w:rPr>
                <w:sz w:val="6"/>
                <w:szCs w:val="6"/>
                <w:color w:val="auto"/>
              </w:rPr>
            </w:pPr>
          </w:p>
        </w:tc>
        <w:tc>
          <w:tcPr>
            <w:tcW w:w="140" w:type="dxa"/>
            <w:vAlign w:val="bottom"/>
            <w:shd w:val="clear" w:color="auto" w:fill="1A6DBB"/>
          </w:tcPr>
          <w:p>
            <w:pPr>
              <w:spacing w:after="0"/>
              <w:rPr>
                <w:sz w:val="6"/>
                <w:szCs w:val="6"/>
                <w:color w:val="auto"/>
              </w:rPr>
            </w:pPr>
          </w:p>
        </w:tc>
        <w:tc>
          <w:tcPr>
            <w:tcW w:w="860" w:type="dxa"/>
            <w:vAlign w:val="bottom"/>
            <w:vMerge w:val="continue"/>
            <w:shd w:val="clear" w:color="auto" w:fill="1A6DBB"/>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1A6DBB"/>
          </w:tcPr>
          <w:p>
            <w:pPr>
              <w:spacing w:after="0"/>
              <w:rPr>
                <w:sz w:val="10"/>
                <w:szCs w:val="10"/>
                <w:color w:val="auto"/>
              </w:rPr>
            </w:pPr>
          </w:p>
        </w:tc>
        <w:tc>
          <w:tcPr>
            <w:tcW w:w="900" w:type="dxa"/>
            <w:vAlign w:val="bottom"/>
            <w:shd w:val="clear" w:color="auto" w:fill="1A6DBB"/>
          </w:tcPr>
          <w:p>
            <w:pPr>
              <w:spacing w:after="0"/>
              <w:rPr>
                <w:sz w:val="10"/>
                <w:szCs w:val="10"/>
                <w:color w:val="auto"/>
              </w:rPr>
            </w:pPr>
          </w:p>
        </w:tc>
        <w:tc>
          <w:tcPr>
            <w:tcW w:w="560" w:type="dxa"/>
            <w:vAlign w:val="bottom"/>
            <w:shd w:val="clear" w:color="auto" w:fill="1A6DBB"/>
          </w:tcPr>
          <w:p>
            <w:pPr>
              <w:spacing w:after="0"/>
              <w:rPr>
                <w:sz w:val="10"/>
                <w:szCs w:val="10"/>
                <w:color w:val="auto"/>
              </w:rPr>
            </w:pPr>
          </w:p>
        </w:tc>
        <w:tc>
          <w:tcPr>
            <w:tcW w:w="140" w:type="dxa"/>
            <w:vAlign w:val="bottom"/>
            <w:shd w:val="clear" w:color="auto" w:fill="1A6DBB"/>
          </w:tcPr>
          <w:p>
            <w:pPr>
              <w:spacing w:after="0"/>
              <w:rPr>
                <w:sz w:val="10"/>
                <w:szCs w:val="10"/>
                <w:color w:val="auto"/>
              </w:rPr>
            </w:pPr>
          </w:p>
        </w:tc>
        <w:tc>
          <w:tcPr>
            <w:tcW w:w="680" w:type="dxa"/>
            <w:vAlign w:val="bottom"/>
            <w:shd w:val="clear" w:color="auto" w:fill="1A6DBB"/>
          </w:tcPr>
          <w:p>
            <w:pPr>
              <w:spacing w:after="0"/>
              <w:rPr>
                <w:sz w:val="10"/>
                <w:szCs w:val="10"/>
                <w:color w:val="auto"/>
              </w:rPr>
            </w:pPr>
          </w:p>
        </w:tc>
        <w:tc>
          <w:tcPr>
            <w:tcW w:w="140" w:type="dxa"/>
            <w:vAlign w:val="bottom"/>
            <w:shd w:val="clear" w:color="auto" w:fill="1A6DBB"/>
          </w:tcPr>
          <w:p>
            <w:pPr>
              <w:spacing w:after="0"/>
              <w:rPr>
                <w:sz w:val="10"/>
                <w:szCs w:val="10"/>
                <w:color w:val="auto"/>
              </w:rPr>
            </w:pPr>
          </w:p>
        </w:tc>
        <w:tc>
          <w:tcPr>
            <w:tcW w:w="760" w:type="dxa"/>
            <w:vAlign w:val="bottom"/>
            <w:vMerge w:val="continue"/>
            <w:shd w:val="clear" w:color="auto" w:fill="1A6DBB"/>
          </w:tcPr>
          <w:p>
            <w:pPr>
              <w:spacing w:after="0"/>
              <w:rPr>
                <w:sz w:val="10"/>
                <w:szCs w:val="10"/>
                <w:color w:val="auto"/>
              </w:rPr>
            </w:pPr>
          </w:p>
        </w:tc>
        <w:tc>
          <w:tcPr>
            <w:tcW w:w="140" w:type="dxa"/>
            <w:vAlign w:val="bottom"/>
            <w:shd w:val="clear" w:color="auto" w:fill="1A6DBB"/>
          </w:tcPr>
          <w:p>
            <w:pPr>
              <w:spacing w:after="0"/>
              <w:rPr>
                <w:sz w:val="10"/>
                <w:szCs w:val="10"/>
                <w:color w:val="auto"/>
              </w:rPr>
            </w:pPr>
          </w:p>
        </w:tc>
        <w:tc>
          <w:tcPr>
            <w:tcW w:w="920" w:type="dxa"/>
            <w:vAlign w:val="bottom"/>
            <w:shd w:val="clear" w:color="auto" w:fill="1A6DBB"/>
          </w:tcPr>
          <w:p>
            <w:pPr>
              <w:spacing w:after="0"/>
              <w:rPr>
                <w:sz w:val="10"/>
                <w:szCs w:val="10"/>
                <w:color w:val="auto"/>
              </w:rPr>
            </w:pPr>
          </w:p>
        </w:tc>
        <w:tc>
          <w:tcPr>
            <w:tcW w:w="2140" w:type="dxa"/>
            <w:vAlign w:val="bottom"/>
            <w:gridSpan w:val="3"/>
            <w:vMerge w:val="continue"/>
            <w:shd w:val="clear" w:color="auto" w:fill="1A6DBB"/>
          </w:tcPr>
          <w:p>
            <w:pPr>
              <w:spacing w:after="0"/>
              <w:rPr>
                <w:sz w:val="10"/>
                <w:szCs w:val="10"/>
                <w:color w:val="auto"/>
              </w:rPr>
            </w:pPr>
          </w:p>
        </w:tc>
        <w:tc>
          <w:tcPr>
            <w:tcW w:w="680" w:type="dxa"/>
            <w:vAlign w:val="bottom"/>
            <w:vMerge w:val="restart"/>
            <w:shd w:val="clear" w:color="auto" w:fill="1A6DBB"/>
          </w:tcPr>
          <w:p>
            <w:pPr>
              <w:jc w:val="center"/>
              <w:spacing w:after="0" w:line="157" w:lineRule="exact"/>
              <w:rPr>
                <w:sz w:val="20"/>
                <w:szCs w:val="20"/>
                <w:color w:val="auto"/>
              </w:rPr>
            </w:pPr>
            <w:r>
              <w:rPr>
                <w:rFonts w:ascii="Arial" w:cs="Arial" w:eastAsia="Arial" w:hAnsi="Arial"/>
                <w:sz w:val="14"/>
                <w:szCs w:val="14"/>
                <w:color w:val="FFFFFF"/>
              </w:rPr>
              <w:t>Shares</w:t>
            </w:r>
          </w:p>
        </w:tc>
        <w:tc>
          <w:tcPr>
            <w:tcW w:w="140" w:type="dxa"/>
            <w:vAlign w:val="bottom"/>
            <w:shd w:val="clear" w:color="auto" w:fill="1A6DBB"/>
          </w:tcPr>
          <w:p>
            <w:pPr>
              <w:spacing w:after="0"/>
              <w:rPr>
                <w:sz w:val="10"/>
                <w:szCs w:val="10"/>
                <w:color w:val="auto"/>
              </w:rPr>
            </w:pPr>
          </w:p>
        </w:tc>
        <w:tc>
          <w:tcPr>
            <w:tcW w:w="860" w:type="dxa"/>
            <w:vAlign w:val="bottom"/>
            <w:vMerge w:val="restart"/>
            <w:shd w:val="clear" w:color="auto" w:fill="1A6DBB"/>
          </w:tcPr>
          <w:p>
            <w:pPr>
              <w:jc w:val="center"/>
              <w:ind w:right="69"/>
              <w:spacing w:after="0" w:line="157" w:lineRule="exact"/>
              <w:rPr>
                <w:sz w:val="20"/>
                <w:szCs w:val="20"/>
                <w:color w:val="auto"/>
              </w:rPr>
            </w:pPr>
            <w:r>
              <w:rPr>
                <w:rFonts w:ascii="Arial" w:cs="Arial" w:eastAsia="Arial" w:hAnsi="Arial"/>
                <w:sz w:val="14"/>
                <w:szCs w:val="14"/>
                <w:color w:val="FFFFFF"/>
              </w:rPr>
              <w:t>of Stock</w:t>
            </w:r>
          </w:p>
        </w:tc>
        <w:tc>
          <w:tcPr>
            <w:tcW w:w="0" w:type="dxa"/>
            <w:vAlign w:val="bottom"/>
          </w:tcPr>
          <w:p>
            <w:pPr>
              <w:spacing w:after="0"/>
              <w:rPr>
                <w:sz w:val="1"/>
                <w:szCs w:val="1"/>
                <w:color w:val="auto"/>
              </w:rPr>
            </w:pPr>
          </w:p>
        </w:tc>
      </w:tr>
      <w:tr>
        <w:trPr>
          <w:trHeight w:val="39"/>
        </w:trPr>
        <w:tc>
          <w:tcPr>
            <w:tcW w:w="2960" w:type="dxa"/>
            <w:vAlign w:val="bottom"/>
            <w:shd w:val="clear" w:color="auto" w:fill="1A6DBB"/>
          </w:tcPr>
          <w:p>
            <w:pPr>
              <w:spacing w:after="0"/>
              <w:rPr>
                <w:sz w:val="3"/>
                <w:szCs w:val="3"/>
                <w:color w:val="auto"/>
              </w:rPr>
            </w:pPr>
          </w:p>
        </w:tc>
        <w:tc>
          <w:tcPr>
            <w:tcW w:w="900" w:type="dxa"/>
            <w:vAlign w:val="bottom"/>
            <w:shd w:val="clear" w:color="auto" w:fill="1A6DBB"/>
          </w:tcPr>
          <w:p>
            <w:pPr>
              <w:spacing w:after="0"/>
              <w:rPr>
                <w:sz w:val="3"/>
                <w:szCs w:val="3"/>
                <w:color w:val="auto"/>
              </w:rPr>
            </w:pPr>
          </w:p>
        </w:tc>
        <w:tc>
          <w:tcPr>
            <w:tcW w:w="560" w:type="dxa"/>
            <w:vAlign w:val="bottom"/>
            <w:shd w:val="clear" w:color="auto" w:fill="1A6DBB"/>
          </w:tcPr>
          <w:p>
            <w:pPr>
              <w:spacing w:after="0"/>
              <w:rPr>
                <w:sz w:val="3"/>
                <w:szCs w:val="3"/>
                <w:color w:val="auto"/>
              </w:rPr>
            </w:pPr>
          </w:p>
        </w:tc>
        <w:tc>
          <w:tcPr>
            <w:tcW w:w="140" w:type="dxa"/>
            <w:vAlign w:val="bottom"/>
            <w:shd w:val="clear" w:color="auto" w:fill="1A6DBB"/>
          </w:tcPr>
          <w:p>
            <w:pPr>
              <w:spacing w:after="0"/>
              <w:rPr>
                <w:sz w:val="3"/>
                <w:szCs w:val="3"/>
                <w:color w:val="auto"/>
              </w:rPr>
            </w:pPr>
          </w:p>
        </w:tc>
        <w:tc>
          <w:tcPr>
            <w:tcW w:w="680" w:type="dxa"/>
            <w:vAlign w:val="bottom"/>
            <w:shd w:val="clear" w:color="auto" w:fill="1A6DBB"/>
          </w:tcPr>
          <w:p>
            <w:pPr>
              <w:spacing w:after="0"/>
              <w:rPr>
                <w:sz w:val="3"/>
                <w:szCs w:val="3"/>
                <w:color w:val="auto"/>
              </w:rPr>
            </w:pPr>
          </w:p>
        </w:tc>
        <w:tc>
          <w:tcPr>
            <w:tcW w:w="140" w:type="dxa"/>
            <w:vAlign w:val="bottom"/>
            <w:shd w:val="clear" w:color="auto" w:fill="1A6DBB"/>
          </w:tcPr>
          <w:p>
            <w:pPr>
              <w:spacing w:after="0"/>
              <w:rPr>
                <w:sz w:val="3"/>
                <w:szCs w:val="3"/>
                <w:color w:val="auto"/>
              </w:rPr>
            </w:pPr>
          </w:p>
        </w:tc>
        <w:tc>
          <w:tcPr>
            <w:tcW w:w="760" w:type="dxa"/>
            <w:vAlign w:val="bottom"/>
            <w:shd w:val="clear" w:color="auto" w:fill="1A6DBB"/>
          </w:tcPr>
          <w:p>
            <w:pPr>
              <w:spacing w:after="0"/>
              <w:rPr>
                <w:sz w:val="3"/>
                <w:szCs w:val="3"/>
                <w:color w:val="auto"/>
              </w:rPr>
            </w:pPr>
          </w:p>
        </w:tc>
        <w:tc>
          <w:tcPr>
            <w:tcW w:w="140" w:type="dxa"/>
            <w:vAlign w:val="bottom"/>
            <w:shd w:val="clear" w:color="auto" w:fill="1A6DBB"/>
          </w:tcPr>
          <w:p>
            <w:pPr>
              <w:spacing w:after="0"/>
              <w:rPr>
                <w:sz w:val="3"/>
                <w:szCs w:val="3"/>
                <w:color w:val="auto"/>
              </w:rPr>
            </w:pPr>
          </w:p>
        </w:tc>
        <w:tc>
          <w:tcPr>
            <w:tcW w:w="920" w:type="dxa"/>
            <w:vAlign w:val="bottom"/>
            <w:shd w:val="clear" w:color="auto" w:fill="1A6DBB"/>
          </w:tcPr>
          <w:p>
            <w:pPr>
              <w:spacing w:after="0"/>
              <w:rPr>
                <w:sz w:val="3"/>
                <w:szCs w:val="3"/>
                <w:color w:val="auto"/>
              </w:rPr>
            </w:pPr>
          </w:p>
        </w:tc>
        <w:tc>
          <w:tcPr>
            <w:tcW w:w="900" w:type="dxa"/>
            <w:vAlign w:val="bottom"/>
            <w:shd w:val="clear" w:color="auto" w:fill="1A6DBB"/>
          </w:tcPr>
          <w:p>
            <w:pPr>
              <w:spacing w:after="0"/>
              <w:rPr>
                <w:sz w:val="3"/>
                <w:szCs w:val="3"/>
                <w:color w:val="auto"/>
              </w:rPr>
            </w:pPr>
          </w:p>
        </w:tc>
        <w:tc>
          <w:tcPr>
            <w:tcW w:w="560" w:type="dxa"/>
            <w:vAlign w:val="bottom"/>
            <w:shd w:val="clear" w:color="auto" w:fill="1A6DBB"/>
          </w:tcPr>
          <w:p>
            <w:pPr>
              <w:spacing w:after="0"/>
              <w:rPr>
                <w:sz w:val="3"/>
                <w:szCs w:val="3"/>
                <w:color w:val="auto"/>
              </w:rPr>
            </w:pPr>
          </w:p>
        </w:tc>
        <w:tc>
          <w:tcPr>
            <w:tcW w:w="680" w:type="dxa"/>
            <w:vAlign w:val="bottom"/>
            <w:shd w:val="clear" w:color="auto" w:fill="1A6DBB"/>
          </w:tcPr>
          <w:p>
            <w:pPr>
              <w:spacing w:after="0"/>
              <w:rPr>
                <w:sz w:val="3"/>
                <w:szCs w:val="3"/>
                <w:color w:val="auto"/>
              </w:rPr>
            </w:pPr>
          </w:p>
        </w:tc>
        <w:tc>
          <w:tcPr>
            <w:tcW w:w="680" w:type="dxa"/>
            <w:vAlign w:val="bottom"/>
            <w:vMerge w:val="continue"/>
            <w:shd w:val="clear" w:color="auto" w:fill="1A6DBB"/>
          </w:tcPr>
          <w:p>
            <w:pPr>
              <w:spacing w:after="0"/>
              <w:rPr>
                <w:sz w:val="3"/>
                <w:szCs w:val="3"/>
                <w:color w:val="auto"/>
              </w:rPr>
            </w:pPr>
          </w:p>
        </w:tc>
        <w:tc>
          <w:tcPr>
            <w:tcW w:w="140" w:type="dxa"/>
            <w:vAlign w:val="bottom"/>
            <w:shd w:val="clear" w:color="auto" w:fill="1A6DBB"/>
          </w:tcPr>
          <w:p>
            <w:pPr>
              <w:spacing w:after="0"/>
              <w:rPr>
                <w:sz w:val="3"/>
                <w:szCs w:val="3"/>
                <w:color w:val="auto"/>
              </w:rPr>
            </w:pPr>
          </w:p>
        </w:tc>
        <w:tc>
          <w:tcPr>
            <w:tcW w:w="860" w:type="dxa"/>
            <w:vAlign w:val="bottom"/>
            <w:vMerge w:val="continue"/>
            <w:shd w:val="clear" w:color="auto" w:fill="1A6DB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960" w:type="dxa"/>
            <w:vAlign w:val="bottom"/>
            <w:shd w:val="clear" w:color="auto" w:fill="1A6DBB"/>
          </w:tcPr>
          <w:p>
            <w:pPr>
              <w:ind w:left="1280"/>
              <w:spacing w:after="0"/>
              <w:rPr>
                <w:sz w:val="20"/>
                <w:szCs w:val="20"/>
                <w:color w:val="auto"/>
              </w:rPr>
            </w:pPr>
            <w:r>
              <w:rPr>
                <w:rFonts w:ascii="Arial" w:cs="Arial" w:eastAsia="Arial" w:hAnsi="Arial"/>
                <w:sz w:val="14"/>
                <w:szCs w:val="14"/>
                <w:color w:val="FFFFFF"/>
              </w:rPr>
              <w:t>Name</w:t>
            </w:r>
          </w:p>
        </w:tc>
        <w:tc>
          <w:tcPr>
            <w:tcW w:w="900" w:type="dxa"/>
            <w:vAlign w:val="bottom"/>
            <w:shd w:val="clear" w:color="auto" w:fill="1A6DBB"/>
          </w:tcPr>
          <w:p>
            <w:pPr>
              <w:ind w:left="120"/>
              <w:spacing w:after="0"/>
              <w:rPr>
                <w:sz w:val="20"/>
                <w:szCs w:val="20"/>
                <w:color w:val="auto"/>
              </w:rPr>
            </w:pPr>
            <w:r>
              <w:rPr>
                <w:rFonts w:ascii="Arial" w:cs="Arial" w:eastAsia="Arial" w:hAnsi="Arial"/>
                <w:sz w:val="14"/>
                <w:szCs w:val="14"/>
                <w:color w:val="FFFFFF"/>
              </w:rPr>
              <w:t>Grant Date</w:t>
            </w:r>
          </w:p>
        </w:tc>
        <w:tc>
          <w:tcPr>
            <w:tcW w:w="560" w:type="dxa"/>
            <w:vAlign w:val="bottom"/>
            <w:shd w:val="clear" w:color="auto" w:fill="1A6DBB"/>
          </w:tcPr>
          <w:p>
            <w:pPr>
              <w:spacing w:after="0"/>
              <w:rPr>
                <w:sz w:val="14"/>
                <w:szCs w:val="14"/>
                <w:color w:val="auto"/>
              </w:rPr>
            </w:pPr>
          </w:p>
        </w:tc>
        <w:tc>
          <w:tcPr>
            <w:tcW w:w="820" w:type="dxa"/>
            <w:vAlign w:val="bottom"/>
            <w:gridSpan w:val="2"/>
            <w:shd w:val="clear" w:color="auto" w:fill="1A6DBB"/>
          </w:tcPr>
          <w:p>
            <w:pPr>
              <w:jc w:val="right"/>
              <w:ind w:right="28"/>
              <w:spacing w:after="0"/>
              <w:rPr>
                <w:sz w:val="20"/>
                <w:szCs w:val="20"/>
                <w:color w:val="auto"/>
              </w:rPr>
            </w:pPr>
            <w:r>
              <w:rPr>
                <w:rFonts w:ascii="Arial" w:cs="Arial" w:eastAsia="Arial" w:hAnsi="Arial"/>
                <w:sz w:val="14"/>
                <w:szCs w:val="14"/>
                <w:color w:val="FFFFFF"/>
              </w:rPr>
              <w:t>Threshold</w:t>
            </w:r>
          </w:p>
        </w:tc>
        <w:tc>
          <w:tcPr>
            <w:tcW w:w="140" w:type="dxa"/>
            <w:vAlign w:val="bottom"/>
            <w:shd w:val="clear" w:color="auto" w:fill="1A6DBB"/>
          </w:tcPr>
          <w:p>
            <w:pPr>
              <w:spacing w:after="0"/>
              <w:rPr>
                <w:sz w:val="14"/>
                <w:szCs w:val="14"/>
                <w:color w:val="auto"/>
              </w:rPr>
            </w:pPr>
          </w:p>
        </w:tc>
        <w:tc>
          <w:tcPr>
            <w:tcW w:w="760" w:type="dxa"/>
            <w:vAlign w:val="bottom"/>
            <w:shd w:val="clear" w:color="auto" w:fill="1A6DBB"/>
          </w:tcPr>
          <w:p>
            <w:pPr>
              <w:jc w:val="right"/>
              <w:ind w:right="188"/>
              <w:spacing w:after="0"/>
              <w:rPr>
                <w:sz w:val="20"/>
                <w:szCs w:val="20"/>
                <w:color w:val="auto"/>
              </w:rPr>
            </w:pPr>
            <w:r>
              <w:rPr>
                <w:rFonts w:ascii="Arial" w:cs="Arial" w:eastAsia="Arial" w:hAnsi="Arial"/>
                <w:sz w:val="14"/>
                <w:szCs w:val="14"/>
                <w:color w:val="FFFFFF"/>
              </w:rPr>
              <w:t>Target</w:t>
            </w:r>
          </w:p>
        </w:tc>
        <w:tc>
          <w:tcPr>
            <w:tcW w:w="140" w:type="dxa"/>
            <w:vAlign w:val="bottom"/>
            <w:shd w:val="clear" w:color="auto" w:fill="1A6DBB"/>
          </w:tcPr>
          <w:p>
            <w:pPr>
              <w:spacing w:after="0"/>
              <w:rPr>
                <w:sz w:val="14"/>
                <w:szCs w:val="14"/>
                <w:color w:val="auto"/>
              </w:rPr>
            </w:pPr>
          </w:p>
        </w:tc>
        <w:tc>
          <w:tcPr>
            <w:tcW w:w="920" w:type="dxa"/>
            <w:vAlign w:val="bottom"/>
            <w:shd w:val="clear" w:color="auto" w:fill="1A6DBB"/>
          </w:tcPr>
          <w:p>
            <w:pPr>
              <w:jc w:val="right"/>
              <w:ind w:right="208"/>
              <w:spacing w:after="0"/>
              <w:rPr>
                <w:sz w:val="20"/>
                <w:szCs w:val="20"/>
                <w:color w:val="auto"/>
              </w:rPr>
            </w:pPr>
            <w:r>
              <w:rPr>
                <w:rFonts w:ascii="Arial" w:cs="Arial" w:eastAsia="Arial" w:hAnsi="Arial"/>
                <w:sz w:val="14"/>
                <w:szCs w:val="14"/>
                <w:color w:val="FFFFFF"/>
              </w:rPr>
              <w:t>Maximum</w:t>
            </w:r>
          </w:p>
        </w:tc>
        <w:tc>
          <w:tcPr>
            <w:tcW w:w="90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Threshold</w:t>
            </w:r>
          </w:p>
        </w:tc>
        <w:tc>
          <w:tcPr>
            <w:tcW w:w="5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8"/>
              </w:rPr>
              <w:t>Target</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Maximum</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or Units</w:t>
            </w:r>
          </w:p>
        </w:tc>
        <w:tc>
          <w:tcPr>
            <w:tcW w:w="140" w:type="dxa"/>
            <w:vAlign w:val="bottom"/>
            <w:shd w:val="clear" w:color="auto" w:fill="1A6DBB"/>
          </w:tcPr>
          <w:p>
            <w:pPr>
              <w:spacing w:after="0"/>
              <w:rPr>
                <w:sz w:val="14"/>
                <w:szCs w:val="14"/>
                <w:color w:val="auto"/>
              </w:rPr>
            </w:pPr>
          </w:p>
        </w:tc>
        <w:tc>
          <w:tcPr>
            <w:tcW w:w="860" w:type="dxa"/>
            <w:vAlign w:val="bottom"/>
            <w:shd w:val="clear" w:color="auto" w:fill="1A6DBB"/>
          </w:tcPr>
          <w:p>
            <w:pPr>
              <w:jc w:val="center"/>
              <w:ind w:right="49"/>
              <w:spacing w:after="0" w:line="167" w:lineRule="exact"/>
              <w:rPr>
                <w:sz w:val="20"/>
                <w:szCs w:val="20"/>
                <w:color w:val="auto"/>
              </w:rPr>
            </w:pPr>
            <w:r>
              <w:rPr>
                <w:rFonts w:ascii="Arial" w:cs="Arial" w:eastAsia="Arial" w:hAnsi="Arial"/>
                <w:sz w:val="12"/>
                <w:szCs w:val="12"/>
                <w:color w:val="FFFFFF"/>
              </w:rPr>
              <w:t>Awards</w:t>
            </w:r>
            <w:r>
              <w:rPr>
                <w:rFonts w:ascii="Arial" w:cs="Arial" w:eastAsia="Arial" w:hAnsi="Arial"/>
                <w:sz w:val="19"/>
                <w:szCs w:val="19"/>
                <w:color w:val="FFFFFF"/>
                <w:vertAlign w:val="superscript"/>
              </w:rPr>
              <w:t>(2)</w:t>
            </w:r>
          </w:p>
        </w:tc>
        <w:tc>
          <w:tcPr>
            <w:tcW w:w="0" w:type="dxa"/>
            <w:vAlign w:val="bottom"/>
          </w:tcPr>
          <w:p>
            <w:pPr>
              <w:spacing w:after="0"/>
              <w:rPr>
                <w:sz w:val="1"/>
                <w:szCs w:val="1"/>
                <w:color w:val="auto"/>
              </w:rPr>
            </w:pPr>
          </w:p>
        </w:tc>
      </w:tr>
      <w:tr>
        <w:trPr>
          <w:trHeight w:val="185"/>
        </w:trPr>
        <w:tc>
          <w:tcPr>
            <w:tcW w:w="2960" w:type="dxa"/>
            <w:vAlign w:val="bottom"/>
            <w:shd w:val="clear" w:color="auto" w:fill="1A6DBB"/>
          </w:tcPr>
          <w:p>
            <w:pPr>
              <w:ind w:left="1380"/>
              <w:spacing w:after="0"/>
              <w:rPr>
                <w:sz w:val="20"/>
                <w:szCs w:val="20"/>
                <w:color w:val="auto"/>
              </w:rPr>
            </w:pPr>
            <w:r>
              <w:rPr>
                <w:rFonts w:ascii="Arial" w:cs="Arial" w:eastAsia="Arial" w:hAnsi="Arial"/>
                <w:sz w:val="14"/>
                <w:szCs w:val="14"/>
                <w:color w:val="FFFFFF"/>
              </w:rPr>
              <w:t>(a)</w:t>
            </w:r>
          </w:p>
        </w:tc>
        <w:tc>
          <w:tcPr>
            <w:tcW w:w="900" w:type="dxa"/>
            <w:vAlign w:val="bottom"/>
            <w:shd w:val="clear" w:color="auto" w:fill="1A6DBB"/>
          </w:tcPr>
          <w:p>
            <w:pPr>
              <w:ind w:left="380"/>
              <w:spacing w:after="0"/>
              <w:rPr>
                <w:sz w:val="20"/>
                <w:szCs w:val="20"/>
                <w:color w:val="auto"/>
              </w:rPr>
            </w:pPr>
            <w:r>
              <w:rPr>
                <w:rFonts w:ascii="Arial" w:cs="Arial" w:eastAsia="Arial" w:hAnsi="Arial"/>
                <w:sz w:val="14"/>
                <w:szCs w:val="14"/>
                <w:color w:val="FFFFFF"/>
              </w:rPr>
              <w:t>(b)</w:t>
            </w:r>
          </w:p>
        </w:tc>
        <w:tc>
          <w:tcPr>
            <w:tcW w:w="5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Notes</w:t>
            </w:r>
          </w:p>
        </w:tc>
        <w:tc>
          <w:tcPr>
            <w:tcW w:w="140" w:type="dxa"/>
            <w:vAlign w:val="bottom"/>
            <w:shd w:val="clear" w:color="auto" w:fill="1A6DBB"/>
          </w:tcPr>
          <w:p>
            <w:pPr>
              <w:spacing w:after="0"/>
              <w:rPr>
                <w:sz w:val="16"/>
                <w:szCs w:val="16"/>
                <w:color w:val="auto"/>
              </w:rPr>
            </w:pPr>
          </w:p>
        </w:tc>
        <w:tc>
          <w:tcPr>
            <w:tcW w:w="680" w:type="dxa"/>
            <w:vAlign w:val="bottom"/>
            <w:shd w:val="clear" w:color="auto" w:fill="1A6DBB"/>
          </w:tcPr>
          <w:p>
            <w:pPr>
              <w:jc w:val="right"/>
              <w:ind w:right="268"/>
              <w:spacing w:after="0"/>
              <w:rPr>
                <w:sz w:val="20"/>
                <w:szCs w:val="20"/>
                <w:color w:val="auto"/>
              </w:rPr>
            </w:pPr>
            <w:r>
              <w:rPr>
                <w:rFonts w:ascii="Arial" w:cs="Arial" w:eastAsia="Arial" w:hAnsi="Arial"/>
                <w:sz w:val="14"/>
                <w:szCs w:val="14"/>
                <w:color w:val="FFFFFF"/>
              </w:rPr>
              <w:t>(c)</w:t>
            </w:r>
          </w:p>
        </w:tc>
        <w:tc>
          <w:tcPr>
            <w:tcW w:w="140" w:type="dxa"/>
            <w:vAlign w:val="bottom"/>
            <w:shd w:val="clear" w:color="auto" w:fill="1A6DBB"/>
          </w:tcPr>
          <w:p>
            <w:pPr>
              <w:spacing w:after="0"/>
              <w:rPr>
                <w:sz w:val="16"/>
                <w:szCs w:val="16"/>
                <w:color w:val="auto"/>
              </w:rPr>
            </w:pPr>
          </w:p>
        </w:tc>
        <w:tc>
          <w:tcPr>
            <w:tcW w:w="760" w:type="dxa"/>
            <w:vAlign w:val="bottom"/>
            <w:shd w:val="clear" w:color="auto" w:fill="1A6DBB"/>
          </w:tcPr>
          <w:p>
            <w:pPr>
              <w:jc w:val="right"/>
              <w:ind w:right="288"/>
              <w:spacing w:after="0"/>
              <w:rPr>
                <w:sz w:val="20"/>
                <w:szCs w:val="20"/>
                <w:color w:val="auto"/>
              </w:rPr>
            </w:pPr>
            <w:r>
              <w:rPr>
                <w:rFonts w:ascii="Arial" w:cs="Arial" w:eastAsia="Arial" w:hAnsi="Arial"/>
                <w:sz w:val="14"/>
                <w:szCs w:val="14"/>
                <w:color w:val="FFFFFF"/>
              </w:rPr>
              <w:t>(d)</w:t>
            </w:r>
          </w:p>
        </w:tc>
        <w:tc>
          <w:tcPr>
            <w:tcW w:w="140" w:type="dxa"/>
            <w:vAlign w:val="bottom"/>
            <w:shd w:val="clear" w:color="auto" w:fill="1A6DBB"/>
          </w:tcPr>
          <w:p>
            <w:pPr>
              <w:spacing w:after="0"/>
              <w:rPr>
                <w:sz w:val="16"/>
                <w:szCs w:val="16"/>
                <w:color w:val="auto"/>
              </w:rPr>
            </w:pPr>
          </w:p>
        </w:tc>
        <w:tc>
          <w:tcPr>
            <w:tcW w:w="920" w:type="dxa"/>
            <w:vAlign w:val="bottom"/>
            <w:shd w:val="clear" w:color="auto" w:fill="1A6DBB"/>
          </w:tcPr>
          <w:p>
            <w:pPr>
              <w:jc w:val="right"/>
              <w:ind w:right="428"/>
              <w:spacing w:after="0"/>
              <w:rPr>
                <w:sz w:val="20"/>
                <w:szCs w:val="20"/>
                <w:color w:val="auto"/>
              </w:rPr>
            </w:pPr>
            <w:r>
              <w:rPr>
                <w:rFonts w:ascii="Arial" w:cs="Arial" w:eastAsia="Arial" w:hAnsi="Arial"/>
                <w:sz w:val="14"/>
                <w:szCs w:val="14"/>
                <w:color w:val="FFFFFF"/>
              </w:rPr>
              <w:t>(e)</w:t>
            </w:r>
          </w:p>
        </w:tc>
        <w:tc>
          <w:tcPr>
            <w:tcW w:w="900" w:type="dxa"/>
            <w:vAlign w:val="bottom"/>
            <w:shd w:val="clear" w:color="auto" w:fill="1A6DBB"/>
          </w:tcPr>
          <w:p>
            <w:pPr>
              <w:jc w:val="right"/>
              <w:ind w:right="248"/>
              <w:spacing w:after="0"/>
              <w:rPr>
                <w:sz w:val="20"/>
                <w:szCs w:val="20"/>
                <w:color w:val="auto"/>
              </w:rPr>
            </w:pPr>
            <w:r>
              <w:rPr>
                <w:rFonts w:ascii="Arial" w:cs="Arial" w:eastAsia="Arial" w:hAnsi="Arial"/>
                <w:sz w:val="14"/>
                <w:szCs w:val="14"/>
                <w:color w:val="FFFFFF"/>
              </w:rPr>
              <w:t>(f)</w:t>
            </w:r>
          </w:p>
        </w:tc>
        <w:tc>
          <w:tcPr>
            <w:tcW w:w="5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(g)</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3"/>
              </w:rPr>
              <w:t>(h)</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 (i)</w:t>
            </w:r>
          </w:p>
        </w:tc>
        <w:tc>
          <w:tcPr>
            <w:tcW w:w="140" w:type="dxa"/>
            <w:vAlign w:val="bottom"/>
            <w:shd w:val="clear" w:color="auto" w:fill="1A6DBB"/>
          </w:tcPr>
          <w:p>
            <w:pPr>
              <w:spacing w:after="0"/>
              <w:rPr>
                <w:sz w:val="16"/>
                <w:szCs w:val="16"/>
                <w:color w:val="auto"/>
              </w:rPr>
            </w:pPr>
          </w:p>
        </w:tc>
        <w:tc>
          <w:tcPr>
            <w:tcW w:w="860" w:type="dxa"/>
            <w:vAlign w:val="bottom"/>
            <w:shd w:val="clear" w:color="auto" w:fill="1A6DBB"/>
          </w:tcPr>
          <w:p>
            <w:pPr>
              <w:jc w:val="center"/>
              <w:ind w:right="69"/>
              <w:spacing w:after="0"/>
              <w:rPr>
                <w:sz w:val="20"/>
                <w:szCs w:val="20"/>
                <w:color w:val="auto"/>
              </w:rPr>
            </w:pPr>
            <w:r>
              <w:rPr>
                <w:rFonts w:ascii="Arial" w:cs="Arial" w:eastAsia="Arial" w:hAnsi="Arial"/>
                <w:sz w:val="14"/>
                <w:szCs w:val="14"/>
                <w:color w:val="FFFFFF"/>
                <w:w w:val="96"/>
              </w:rPr>
              <w:t>(j)</w:t>
            </w:r>
          </w:p>
        </w:tc>
        <w:tc>
          <w:tcPr>
            <w:tcW w:w="0" w:type="dxa"/>
            <w:vAlign w:val="bottom"/>
          </w:tcPr>
          <w:p>
            <w:pPr>
              <w:spacing w:after="0"/>
              <w:rPr>
                <w:sz w:val="1"/>
                <w:szCs w:val="1"/>
                <w:color w:val="auto"/>
              </w:rPr>
            </w:pPr>
          </w:p>
        </w:tc>
      </w:tr>
      <w:tr>
        <w:trPr>
          <w:trHeight w:val="208"/>
        </w:trPr>
        <w:tc>
          <w:tcPr>
            <w:tcW w:w="2960" w:type="dxa"/>
            <w:vAlign w:val="bottom"/>
            <w:shd w:val="clear" w:color="auto" w:fill="E8F0F8"/>
          </w:tcPr>
          <w:p>
            <w:pPr>
              <w:ind w:left="60"/>
              <w:spacing w:after="0"/>
              <w:rPr>
                <w:sz w:val="20"/>
                <w:szCs w:val="20"/>
                <w:color w:val="auto"/>
              </w:rPr>
            </w:pPr>
            <w:r>
              <w:rPr>
                <w:rFonts w:ascii="Arial" w:cs="Arial" w:eastAsia="Arial" w:hAnsi="Arial"/>
                <w:sz w:val="14"/>
                <w:szCs w:val="14"/>
                <w:color w:val="auto"/>
              </w:rPr>
              <w:t>Michel Vounatsos</w:t>
            </w:r>
          </w:p>
        </w:tc>
        <w:tc>
          <w:tcPr>
            <w:tcW w:w="9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140" w:type="dxa"/>
            <w:vAlign w:val="bottom"/>
            <w:shd w:val="clear" w:color="auto" w:fill="E8F0F8"/>
          </w:tcPr>
          <w:p>
            <w:pPr>
              <w:spacing w:after="0"/>
              <w:rPr>
                <w:sz w:val="18"/>
                <w:szCs w:val="18"/>
                <w:color w:val="auto"/>
              </w:rPr>
            </w:pP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8"/>
                <w:szCs w:val="18"/>
                <w:color w:val="auto"/>
              </w:rPr>
            </w:pPr>
          </w:p>
        </w:tc>
        <w:tc>
          <w:tcPr>
            <w:tcW w:w="76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8"/>
                <w:szCs w:val="18"/>
                <w:color w:val="auto"/>
              </w:rPr>
            </w:pPr>
          </w:p>
        </w:tc>
        <w:tc>
          <w:tcPr>
            <w:tcW w:w="920" w:type="dxa"/>
            <w:vAlign w:val="bottom"/>
            <w:shd w:val="clear" w:color="auto" w:fill="E8F0F8"/>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11,328</w:t>
            </w:r>
          </w:p>
        </w:tc>
        <w:tc>
          <w:tcPr>
            <w:tcW w:w="5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22,655</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45,310</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8F0F8"/>
          </w:tcPr>
          <w:p>
            <w:pPr>
              <w:jc w:val="right"/>
              <w:ind w:right="49"/>
              <w:spacing w:after="0"/>
              <w:rPr>
                <w:sz w:val="20"/>
                <w:szCs w:val="20"/>
                <w:color w:val="auto"/>
              </w:rPr>
            </w:pPr>
            <w:r>
              <w:rPr>
                <w:rFonts w:ascii="Arial" w:cs="Arial" w:eastAsia="Arial" w:hAnsi="Arial"/>
                <w:sz w:val="14"/>
                <w:szCs w:val="14"/>
                <w:color w:val="auto"/>
              </w:rPr>
              <w:t>8,110,803</w:t>
            </w:r>
          </w:p>
        </w:tc>
        <w:tc>
          <w:tcPr>
            <w:tcW w:w="0" w:type="dxa"/>
            <w:vAlign w:val="bottom"/>
          </w:tcPr>
          <w:p>
            <w:pPr>
              <w:spacing w:after="0"/>
              <w:rPr>
                <w:sz w:val="1"/>
                <w:szCs w:val="1"/>
                <w:color w:val="auto"/>
              </w:rPr>
            </w:pPr>
          </w:p>
        </w:tc>
      </w:tr>
      <w:tr>
        <w:trPr>
          <w:trHeight w:val="230"/>
        </w:trPr>
        <w:tc>
          <w:tcPr>
            <w:tcW w:w="2960" w:type="dxa"/>
            <w:vAlign w:val="bottom"/>
            <w:shd w:val="clear" w:color="auto" w:fill="E8F0F8"/>
          </w:tcPr>
          <w:p>
            <w:pPr>
              <w:spacing w:after="0"/>
              <w:rPr>
                <w:sz w:val="19"/>
                <w:szCs w:val="19"/>
                <w:color w:val="auto"/>
              </w:rPr>
            </w:pPr>
          </w:p>
        </w:tc>
        <w:tc>
          <w:tcPr>
            <w:tcW w:w="9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E8F0F8"/>
          </w:tcPr>
          <w:p>
            <w:pPr>
              <w:spacing w:after="0"/>
              <w:rPr>
                <w:sz w:val="19"/>
                <w:szCs w:val="19"/>
                <w:color w:val="auto"/>
              </w:rPr>
            </w:pP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76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920" w:type="dxa"/>
            <w:vAlign w:val="bottom"/>
            <w:shd w:val="clear" w:color="auto" w:fill="E8F0F8"/>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10,826</w:t>
            </w:r>
          </w:p>
        </w:tc>
        <w:tc>
          <w:tcPr>
            <w:tcW w:w="5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21,651</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43,302</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8F0F8"/>
          </w:tcPr>
          <w:p>
            <w:pPr>
              <w:jc w:val="right"/>
              <w:ind w:right="49"/>
              <w:spacing w:after="0"/>
              <w:rPr>
                <w:sz w:val="20"/>
                <w:szCs w:val="20"/>
                <w:color w:val="auto"/>
              </w:rPr>
            </w:pPr>
            <w:r>
              <w:rPr>
                <w:rFonts w:ascii="Arial" w:cs="Arial" w:eastAsia="Arial" w:hAnsi="Arial"/>
                <w:sz w:val="14"/>
                <w:szCs w:val="14"/>
                <w:color w:val="auto"/>
              </w:rPr>
              <w:t>5,973,511</w:t>
            </w:r>
          </w:p>
        </w:tc>
        <w:tc>
          <w:tcPr>
            <w:tcW w:w="0" w:type="dxa"/>
            <w:vAlign w:val="bottom"/>
          </w:tcPr>
          <w:p>
            <w:pPr>
              <w:spacing w:after="0"/>
              <w:rPr>
                <w:sz w:val="1"/>
                <w:szCs w:val="1"/>
                <w:color w:val="auto"/>
              </w:rPr>
            </w:pPr>
          </w:p>
        </w:tc>
      </w:tr>
      <w:tr>
        <w:trPr>
          <w:trHeight w:val="256"/>
        </w:trPr>
        <w:tc>
          <w:tcPr>
            <w:tcW w:w="2960" w:type="dxa"/>
            <w:vAlign w:val="bottom"/>
            <w:tcBorders>
              <w:bottom w:val="single" w:sz="8" w:color="E8F0F8"/>
            </w:tcBorders>
            <w:shd w:val="clear" w:color="auto" w:fill="E8F0F8"/>
          </w:tcPr>
          <w:p>
            <w:pPr>
              <w:spacing w:after="0"/>
              <w:rPr>
                <w:sz w:val="21"/>
                <w:szCs w:val="21"/>
                <w:color w:val="auto"/>
              </w:rPr>
            </w:pPr>
          </w:p>
        </w:tc>
        <w:tc>
          <w:tcPr>
            <w:tcW w:w="900" w:type="dxa"/>
            <w:vAlign w:val="bottom"/>
            <w:tcBorders>
              <w:bottom w:val="single" w:sz="8" w:color="E8F0F8"/>
            </w:tcBorders>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8F0F8"/>
            </w:tcBorders>
            <w:shd w:val="clear" w:color="auto" w:fill="E8F0F8"/>
          </w:tcPr>
          <w:p>
            <w:pPr>
              <w:jc w:val="right"/>
              <w:ind w:right="8"/>
              <w:spacing w:after="0"/>
              <w:rPr>
                <w:sz w:val="20"/>
                <w:szCs w:val="20"/>
                <w:color w:val="auto"/>
              </w:rPr>
            </w:pPr>
            <w:r>
              <w:rPr>
                <w:rFonts w:ascii="Arial" w:cs="Arial" w:eastAsia="Arial" w:hAnsi="Arial"/>
                <w:sz w:val="14"/>
                <w:szCs w:val="14"/>
                <w:color w:val="auto"/>
              </w:rPr>
              <w:t>576,563</w:t>
            </w:r>
          </w:p>
        </w:tc>
        <w:tc>
          <w:tcPr>
            <w:tcW w:w="900" w:type="dxa"/>
            <w:vAlign w:val="bottom"/>
            <w:tcBorders>
              <w:bottom w:val="single" w:sz="8" w:color="E8F0F8"/>
            </w:tcBorders>
            <w:gridSpan w:val="2"/>
            <w:shd w:val="clear" w:color="auto" w:fill="E8F0F8"/>
          </w:tcPr>
          <w:p>
            <w:pPr>
              <w:jc w:val="right"/>
              <w:spacing w:after="0"/>
              <w:rPr>
                <w:sz w:val="20"/>
                <w:szCs w:val="20"/>
                <w:color w:val="auto"/>
              </w:rPr>
            </w:pPr>
            <w:r>
              <w:rPr>
                <w:rFonts w:ascii="Arial" w:cs="Arial" w:eastAsia="Arial" w:hAnsi="Arial"/>
                <w:sz w:val="14"/>
                <w:szCs w:val="14"/>
                <w:color w:val="auto"/>
              </w:rPr>
              <w:t>$ 2,306,250</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8F0F8"/>
            </w:tcBorders>
            <w:shd w:val="clear" w:color="auto" w:fill="E8F0F8"/>
          </w:tcPr>
          <w:p>
            <w:pPr>
              <w:jc w:val="right"/>
              <w:ind w:right="108"/>
              <w:spacing w:after="0"/>
              <w:rPr>
                <w:sz w:val="20"/>
                <w:szCs w:val="20"/>
                <w:color w:val="auto"/>
              </w:rPr>
            </w:pPr>
            <w:r>
              <w:rPr>
                <w:rFonts w:ascii="Arial" w:cs="Arial" w:eastAsia="Arial" w:hAnsi="Arial"/>
                <w:sz w:val="14"/>
                <w:szCs w:val="14"/>
                <w:color w:val="auto"/>
              </w:rPr>
              <w:t>5,189,063</w:t>
            </w:r>
          </w:p>
        </w:tc>
        <w:tc>
          <w:tcPr>
            <w:tcW w:w="900" w:type="dxa"/>
            <w:vAlign w:val="bottom"/>
            <w:tcBorders>
              <w:bottom w:val="single" w:sz="8" w:color="E8F0F8"/>
            </w:tcBorders>
            <w:shd w:val="clear" w:color="auto" w:fill="E8F0F8"/>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8F0F8"/>
            </w:tcBorders>
            <w:shd w:val="clear" w:color="auto" w:fill="E8F0F8"/>
          </w:tcPr>
          <w:p>
            <w:pPr>
              <w:spacing w:after="0"/>
              <w:rPr>
                <w:sz w:val="21"/>
                <w:szCs w:val="21"/>
                <w:color w:val="auto"/>
              </w:rPr>
            </w:pPr>
          </w:p>
        </w:tc>
        <w:tc>
          <w:tcPr>
            <w:tcW w:w="860" w:type="dxa"/>
            <w:vAlign w:val="bottom"/>
            <w:tcBorders>
              <w:bottom w:val="single" w:sz="8" w:color="E8F0F8"/>
            </w:tcBorders>
            <w:shd w:val="clear" w:color="auto" w:fill="E8F0F8"/>
          </w:tcPr>
          <w:p>
            <w:pPr>
              <w:jc w:val="right"/>
              <w:ind w:right="3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960" w:type="dxa"/>
            <w:vAlign w:val="bottom"/>
            <w:tcBorders>
              <w:top w:val="single" w:sz="8" w:color="auto"/>
            </w:tcBorders>
            <w:shd w:val="clear" w:color="auto" w:fill="BAD3EA"/>
          </w:tcPr>
          <w:p>
            <w:pPr>
              <w:ind w:left="60"/>
              <w:spacing w:after="0"/>
              <w:rPr>
                <w:sz w:val="20"/>
                <w:szCs w:val="20"/>
                <w:color w:val="auto"/>
              </w:rPr>
            </w:pPr>
            <w:r>
              <w:rPr>
                <w:rFonts w:ascii="Arial" w:cs="Arial" w:eastAsia="Arial" w:hAnsi="Arial"/>
                <w:sz w:val="14"/>
                <w:szCs w:val="14"/>
                <w:color w:val="auto"/>
              </w:rPr>
              <w:t>Michael R. McDonnell</w:t>
            </w:r>
          </w:p>
        </w:tc>
        <w:tc>
          <w:tcPr>
            <w:tcW w:w="900" w:type="dxa"/>
            <w:vAlign w:val="bottom"/>
            <w:tcBorders>
              <w:top w:val="single" w:sz="8" w:color="auto"/>
            </w:tcBorders>
            <w:shd w:val="clear" w:color="auto" w:fill="BAD3EA"/>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(3)</w:t>
            </w:r>
          </w:p>
        </w:tc>
        <w:tc>
          <w:tcPr>
            <w:tcW w:w="140" w:type="dxa"/>
            <w:vAlign w:val="bottom"/>
            <w:tcBorders>
              <w:top w:val="single" w:sz="8" w:color="auto"/>
            </w:tcBorders>
            <w:shd w:val="clear" w:color="auto" w:fill="BAD3EA"/>
          </w:tcPr>
          <w:p>
            <w:pPr>
              <w:spacing w:after="0"/>
              <w:rPr>
                <w:sz w:val="17"/>
                <w:szCs w:val="17"/>
                <w:color w:val="auto"/>
              </w:rPr>
            </w:pPr>
          </w:p>
        </w:tc>
        <w:tc>
          <w:tcPr>
            <w:tcW w:w="6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spacing w:after="0"/>
              <w:rPr>
                <w:sz w:val="17"/>
                <w:szCs w:val="17"/>
                <w:color w:val="auto"/>
              </w:rPr>
            </w:pPr>
          </w:p>
        </w:tc>
        <w:tc>
          <w:tcPr>
            <w:tcW w:w="76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spacing w:after="0"/>
              <w:rPr>
                <w:sz w:val="17"/>
                <w:szCs w:val="17"/>
                <w:color w:val="auto"/>
              </w:rPr>
            </w:pPr>
          </w:p>
        </w:tc>
        <w:tc>
          <w:tcPr>
            <w:tcW w:w="920" w:type="dxa"/>
            <w:vAlign w:val="bottom"/>
            <w:tcBorders>
              <w:top w:val="single" w:sz="8" w:color="auto"/>
            </w:tcBorders>
            <w:shd w:val="clear" w:color="auto" w:fill="BAD3EA"/>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BAD3EA"/>
          </w:tcPr>
          <w:p>
            <w:pPr>
              <w:jc w:val="right"/>
              <w:ind w:right="88"/>
              <w:spacing w:after="0"/>
              <w:rPr>
                <w:sz w:val="20"/>
                <w:szCs w:val="20"/>
                <w:color w:val="auto"/>
              </w:rPr>
            </w:pPr>
            <w:r>
              <w:rPr>
                <w:rFonts w:ascii="Arial" w:cs="Arial" w:eastAsia="Arial" w:hAnsi="Arial"/>
                <w:sz w:val="14"/>
                <w:szCs w:val="14"/>
                <w:color w:val="auto"/>
              </w:rPr>
              <w:t>3,625</w:t>
            </w:r>
          </w:p>
        </w:tc>
        <w:tc>
          <w:tcPr>
            <w:tcW w:w="560" w:type="dxa"/>
            <w:vAlign w:val="bottom"/>
            <w:tcBorders>
              <w:top w:val="single" w:sz="8" w:color="auto"/>
            </w:tcBorders>
            <w:shd w:val="clear" w:color="auto" w:fill="BAD3EA"/>
          </w:tcPr>
          <w:p>
            <w:pPr>
              <w:jc w:val="right"/>
              <w:spacing w:after="0"/>
              <w:rPr>
                <w:sz w:val="20"/>
                <w:szCs w:val="20"/>
                <w:color w:val="auto"/>
              </w:rPr>
            </w:pPr>
            <w:r>
              <w:rPr>
                <w:rFonts w:ascii="Arial" w:cs="Arial" w:eastAsia="Arial" w:hAnsi="Arial"/>
                <w:sz w:val="14"/>
                <w:szCs w:val="14"/>
                <w:color w:val="auto"/>
              </w:rPr>
              <w:t>7,250</w:t>
            </w:r>
          </w:p>
        </w:tc>
        <w:tc>
          <w:tcPr>
            <w:tcW w:w="6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14,500</w:t>
            </w:r>
          </w:p>
        </w:tc>
        <w:tc>
          <w:tcPr>
            <w:tcW w:w="6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BAD3EA"/>
          </w:tcPr>
          <w:p>
            <w:pPr>
              <w:jc w:val="right"/>
              <w:ind w:right="49"/>
              <w:spacing w:after="0"/>
              <w:rPr>
                <w:sz w:val="20"/>
                <w:szCs w:val="20"/>
                <w:color w:val="auto"/>
              </w:rPr>
            </w:pPr>
            <w:r>
              <w:rPr>
                <w:rFonts w:ascii="Arial" w:cs="Arial" w:eastAsia="Arial" w:hAnsi="Arial"/>
                <w:sz w:val="14"/>
                <w:szCs w:val="14"/>
                <w:color w:val="auto"/>
              </w:rPr>
              <w:t>2,595,607</w:t>
            </w:r>
          </w:p>
        </w:tc>
        <w:tc>
          <w:tcPr>
            <w:tcW w:w="0" w:type="dxa"/>
            <w:vAlign w:val="bottom"/>
          </w:tcPr>
          <w:p>
            <w:pPr>
              <w:spacing w:after="0"/>
              <w:rPr>
                <w:sz w:val="1"/>
                <w:szCs w:val="1"/>
                <w:color w:val="auto"/>
              </w:rPr>
            </w:pPr>
          </w:p>
        </w:tc>
      </w:tr>
      <w:tr>
        <w:trPr>
          <w:trHeight w:val="229"/>
        </w:trPr>
        <w:tc>
          <w:tcPr>
            <w:tcW w:w="2960" w:type="dxa"/>
            <w:vAlign w:val="bottom"/>
            <w:shd w:val="clear" w:color="auto" w:fill="BAD3EA"/>
          </w:tcPr>
          <w:p>
            <w:pPr>
              <w:spacing w:after="0"/>
              <w:rPr>
                <w:sz w:val="19"/>
                <w:szCs w:val="19"/>
                <w:color w:val="auto"/>
              </w:rPr>
            </w:pPr>
          </w:p>
        </w:tc>
        <w:tc>
          <w:tcPr>
            <w:tcW w:w="900" w:type="dxa"/>
            <w:vAlign w:val="bottom"/>
            <w:shd w:val="clear" w:color="auto" w:fill="BAD3EA"/>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BAD3EA"/>
          </w:tcPr>
          <w:p>
            <w:pPr>
              <w:spacing w:after="0"/>
              <w:rPr>
                <w:sz w:val="19"/>
                <w:szCs w:val="19"/>
                <w:color w:val="auto"/>
              </w:rPr>
            </w:pPr>
          </w:p>
        </w:tc>
        <w:tc>
          <w:tcPr>
            <w:tcW w:w="68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76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920" w:type="dxa"/>
            <w:vAlign w:val="bottom"/>
            <w:shd w:val="clear" w:color="auto" w:fill="BAD3EA"/>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BAD3EA"/>
          </w:tcPr>
          <w:p>
            <w:pPr>
              <w:jc w:val="right"/>
              <w:ind w:right="88"/>
              <w:spacing w:after="0"/>
              <w:rPr>
                <w:sz w:val="20"/>
                <w:szCs w:val="20"/>
                <w:color w:val="auto"/>
              </w:rPr>
            </w:pPr>
            <w:r>
              <w:rPr>
                <w:rFonts w:ascii="Arial" w:cs="Arial" w:eastAsia="Arial" w:hAnsi="Arial"/>
                <w:sz w:val="14"/>
                <w:szCs w:val="14"/>
                <w:color w:val="auto"/>
              </w:rPr>
              <w:t>2,658</w:t>
            </w:r>
          </w:p>
        </w:tc>
        <w:tc>
          <w:tcPr>
            <w:tcW w:w="5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5,316</w:t>
            </w:r>
          </w:p>
        </w:tc>
        <w:tc>
          <w:tcPr>
            <w:tcW w:w="6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10,632</w:t>
            </w:r>
          </w:p>
        </w:tc>
        <w:tc>
          <w:tcPr>
            <w:tcW w:w="68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69"/>
              <w:spacing w:after="0"/>
              <w:rPr>
                <w:sz w:val="20"/>
                <w:szCs w:val="20"/>
                <w:color w:val="auto"/>
              </w:rPr>
            </w:pPr>
            <w:r>
              <w:rPr>
                <w:rFonts w:ascii="Arial" w:cs="Arial" w:eastAsia="Arial" w:hAnsi="Arial"/>
                <w:sz w:val="14"/>
                <w:szCs w:val="14"/>
                <w:color w:val="auto"/>
                <w:w w:val="99"/>
              </w:rPr>
              <w:t>$1,466,684</w:t>
            </w:r>
          </w:p>
        </w:tc>
        <w:tc>
          <w:tcPr>
            <w:tcW w:w="0" w:type="dxa"/>
            <w:vAlign w:val="bottom"/>
          </w:tcPr>
          <w:p>
            <w:pPr>
              <w:spacing w:after="0"/>
              <w:rPr>
                <w:sz w:val="1"/>
                <w:szCs w:val="1"/>
                <w:color w:val="auto"/>
              </w:rPr>
            </w:pPr>
          </w:p>
        </w:tc>
      </w:tr>
      <w:tr>
        <w:trPr>
          <w:trHeight w:val="256"/>
        </w:trPr>
        <w:tc>
          <w:tcPr>
            <w:tcW w:w="2960" w:type="dxa"/>
            <w:vAlign w:val="bottom"/>
            <w:tcBorders>
              <w:bottom w:val="single" w:sz="8" w:color="BAD3EA"/>
            </w:tcBorders>
            <w:shd w:val="clear" w:color="auto" w:fill="BAD3EA"/>
          </w:tcPr>
          <w:p>
            <w:pPr>
              <w:spacing w:after="0"/>
              <w:rPr>
                <w:sz w:val="21"/>
                <w:szCs w:val="21"/>
                <w:color w:val="auto"/>
              </w:rPr>
            </w:pPr>
          </w:p>
        </w:tc>
        <w:tc>
          <w:tcPr>
            <w:tcW w:w="900" w:type="dxa"/>
            <w:vAlign w:val="bottom"/>
            <w:tcBorders>
              <w:bottom w:val="single" w:sz="8" w:color="BAD3EA"/>
            </w:tcBorders>
            <w:shd w:val="clear" w:color="auto" w:fill="BAD3EA"/>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BAD3EA"/>
            </w:tcBorders>
            <w:shd w:val="clear" w:color="auto" w:fill="BAD3EA"/>
          </w:tcPr>
          <w:p>
            <w:pPr>
              <w:spacing w:after="0"/>
              <w:rPr>
                <w:sz w:val="21"/>
                <w:szCs w:val="21"/>
                <w:color w:val="auto"/>
              </w:rPr>
            </w:pPr>
          </w:p>
        </w:tc>
        <w:tc>
          <w:tcPr>
            <w:tcW w:w="680" w:type="dxa"/>
            <w:vAlign w:val="bottom"/>
            <w:tcBorders>
              <w:bottom w:val="single" w:sz="8" w:color="BAD3EA"/>
            </w:tcBorders>
            <w:shd w:val="clear" w:color="auto" w:fill="BAD3EA"/>
          </w:tcPr>
          <w:p>
            <w:pPr>
              <w:jc w:val="center"/>
              <w:ind w:right="8"/>
              <w:spacing w:after="0"/>
              <w:rPr>
                <w:sz w:val="20"/>
                <w:szCs w:val="20"/>
                <w:color w:val="auto"/>
              </w:rPr>
            </w:pPr>
            <w:r>
              <w:rPr>
                <w:rFonts w:ascii="Arial" w:cs="Arial" w:eastAsia="Arial" w:hAnsi="Arial"/>
                <w:sz w:val="14"/>
                <w:szCs w:val="14"/>
                <w:color w:val="auto"/>
              </w:rPr>
              <w:t>$174,250</w:t>
            </w:r>
          </w:p>
        </w:tc>
        <w:tc>
          <w:tcPr>
            <w:tcW w:w="140" w:type="dxa"/>
            <w:vAlign w:val="bottom"/>
            <w:tcBorders>
              <w:bottom w:val="single" w:sz="8" w:color="BAD3EA"/>
            </w:tcBorders>
            <w:shd w:val="clear" w:color="auto" w:fill="BAD3EA"/>
          </w:tcPr>
          <w:p>
            <w:pPr>
              <w:spacing w:after="0"/>
              <w:rPr>
                <w:sz w:val="21"/>
                <w:szCs w:val="21"/>
                <w:color w:val="auto"/>
              </w:rPr>
            </w:pPr>
          </w:p>
        </w:tc>
        <w:tc>
          <w:tcPr>
            <w:tcW w:w="760" w:type="dxa"/>
            <w:vAlign w:val="bottom"/>
            <w:tcBorders>
              <w:bottom w:val="single" w:sz="8" w:color="BAD3EA"/>
            </w:tcBorders>
            <w:shd w:val="clear" w:color="auto" w:fill="BAD3EA"/>
          </w:tcPr>
          <w:p>
            <w:pPr>
              <w:jc w:val="center"/>
              <w:ind w:right="8"/>
              <w:spacing w:after="0"/>
              <w:rPr>
                <w:sz w:val="20"/>
                <w:szCs w:val="20"/>
                <w:color w:val="auto"/>
              </w:rPr>
            </w:pPr>
            <w:r>
              <w:rPr>
                <w:rFonts w:ascii="Arial" w:cs="Arial" w:eastAsia="Arial" w:hAnsi="Arial"/>
                <w:sz w:val="14"/>
                <w:szCs w:val="14"/>
                <w:color w:val="auto"/>
              </w:rPr>
              <w:t>$ 697,000</w:t>
            </w:r>
          </w:p>
        </w:tc>
        <w:tc>
          <w:tcPr>
            <w:tcW w:w="140" w:type="dxa"/>
            <w:vAlign w:val="bottom"/>
            <w:tcBorders>
              <w:bottom w:val="single" w:sz="8" w:color="BAD3EA"/>
            </w:tcBorders>
            <w:shd w:val="clear" w:color="auto" w:fill="BAD3EA"/>
          </w:tcPr>
          <w:p>
            <w:pPr>
              <w:spacing w:after="0"/>
              <w:rPr>
                <w:sz w:val="21"/>
                <w:szCs w:val="21"/>
                <w:color w:val="auto"/>
              </w:rPr>
            </w:pPr>
          </w:p>
        </w:tc>
        <w:tc>
          <w:tcPr>
            <w:tcW w:w="920" w:type="dxa"/>
            <w:vAlign w:val="bottom"/>
            <w:tcBorders>
              <w:bottom w:val="single" w:sz="8" w:color="BAD3EA"/>
            </w:tcBorders>
            <w:shd w:val="clear" w:color="auto" w:fill="BAD3EA"/>
          </w:tcPr>
          <w:p>
            <w:pPr>
              <w:jc w:val="center"/>
              <w:ind w:right="88"/>
              <w:spacing w:after="0"/>
              <w:rPr>
                <w:sz w:val="20"/>
                <w:szCs w:val="20"/>
                <w:color w:val="auto"/>
              </w:rPr>
            </w:pPr>
            <w:r>
              <w:rPr>
                <w:rFonts w:ascii="Arial" w:cs="Arial" w:eastAsia="Arial" w:hAnsi="Arial"/>
                <w:sz w:val="14"/>
                <w:szCs w:val="14"/>
                <w:color w:val="auto"/>
              </w:rPr>
              <w:t>$1,568,250</w:t>
            </w:r>
          </w:p>
        </w:tc>
        <w:tc>
          <w:tcPr>
            <w:tcW w:w="900" w:type="dxa"/>
            <w:vAlign w:val="bottom"/>
            <w:tcBorders>
              <w:bottom w:val="single" w:sz="8" w:color="BAD3EA"/>
            </w:tcBorders>
            <w:shd w:val="clear" w:color="auto" w:fill="BAD3EA"/>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AD3EA"/>
            </w:tcBorders>
            <w:shd w:val="clear" w:color="auto" w:fill="BAD3EA"/>
          </w:tcPr>
          <w:p>
            <w:pPr>
              <w:spacing w:after="0"/>
              <w:rPr>
                <w:sz w:val="21"/>
                <w:szCs w:val="21"/>
                <w:color w:val="auto"/>
              </w:rPr>
            </w:pPr>
          </w:p>
        </w:tc>
        <w:tc>
          <w:tcPr>
            <w:tcW w:w="860" w:type="dxa"/>
            <w:vAlign w:val="bottom"/>
            <w:tcBorders>
              <w:bottom w:val="single" w:sz="8" w:color="BAD3EA"/>
            </w:tcBorders>
            <w:shd w:val="clear" w:color="auto" w:fill="BAD3EA"/>
          </w:tcPr>
          <w:p>
            <w:pPr>
              <w:jc w:val="right"/>
              <w:ind w:right="3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960" w:type="dxa"/>
            <w:vAlign w:val="bottom"/>
            <w:tcBorders>
              <w:top w:val="single" w:sz="8" w:color="auto"/>
            </w:tcBorders>
            <w:shd w:val="clear" w:color="auto" w:fill="E8F0F8"/>
          </w:tcPr>
          <w:p>
            <w:pPr>
              <w:ind w:left="60"/>
              <w:spacing w:after="0"/>
              <w:rPr>
                <w:sz w:val="20"/>
                <w:szCs w:val="20"/>
                <w:color w:val="auto"/>
              </w:rPr>
            </w:pPr>
            <w:r>
              <w:rPr>
                <w:rFonts w:ascii="Arial" w:cs="Arial" w:eastAsia="Arial" w:hAnsi="Arial"/>
                <w:sz w:val="14"/>
                <w:szCs w:val="14"/>
                <w:color w:val="auto"/>
              </w:rPr>
              <w:t>Susan H. Alexander</w:t>
            </w:r>
          </w:p>
        </w:tc>
        <w:tc>
          <w:tcPr>
            <w:tcW w:w="900" w:type="dxa"/>
            <w:vAlign w:val="bottom"/>
            <w:tcBorders>
              <w:top w:val="single" w:sz="8" w:color="auto"/>
            </w:tcBorders>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140" w:type="dxa"/>
            <w:vAlign w:val="bottom"/>
            <w:tcBorders>
              <w:top w:val="single" w:sz="8" w:color="auto"/>
            </w:tcBorders>
            <w:shd w:val="clear" w:color="auto" w:fill="E8F0F8"/>
          </w:tcPr>
          <w:p>
            <w:pPr>
              <w:spacing w:after="0"/>
              <w:rPr>
                <w:sz w:val="17"/>
                <w:szCs w:val="17"/>
                <w:color w:val="auto"/>
              </w:rPr>
            </w:pPr>
          </w:p>
        </w:tc>
        <w:tc>
          <w:tcPr>
            <w:tcW w:w="6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spacing w:after="0"/>
              <w:rPr>
                <w:sz w:val="17"/>
                <w:szCs w:val="17"/>
                <w:color w:val="auto"/>
              </w:rPr>
            </w:pPr>
          </w:p>
        </w:tc>
        <w:tc>
          <w:tcPr>
            <w:tcW w:w="76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spacing w:after="0"/>
              <w:rPr>
                <w:sz w:val="17"/>
                <w:szCs w:val="17"/>
                <w:color w:val="auto"/>
              </w:rPr>
            </w:pPr>
          </w:p>
        </w:tc>
        <w:tc>
          <w:tcPr>
            <w:tcW w:w="920" w:type="dxa"/>
            <w:vAlign w:val="bottom"/>
            <w:tcBorders>
              <w:top w:val="single" w:sz="8" w:color="auto"/>
            </w:tcBorders>
            <w:shd w:val="clear" w:color="auto" w:fill="E8F0F8"/>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E8F0F8"/>
          </w:tcPr>
          <w:p>
            <w:pPr>
              <w:jc w:val="right"/>
              <w:ind w:right="88"/>
              <w:spacing w:after="0"/>
              <w:rPr>
                <w:sz w:val="20"/>
                <w:szCs w:val="20"/>
                <w:color w:val="auto"/>
              </w:rPr>
            </w:pPr>
            <w:r>
              <w:rPr>
                <w:rFonts w:ascii="Arial" w:cs="Arial" w:eastAsia="Arial" w:hAnsi="Arial"/>
                <w:sz w:val="14"/>
                <w:szCs w:val="14"/>
                <w:color w:val="auto"/>
              </w:rPr>
              <w:t>2,718</w:t>
            </w:r>
          </w:p>
        </w:tc>
        <w:tc>
          <w:tcPr>
            <w:tcW w:w="56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5,435</w:t>
            </w:r>
          </w:p>
        </w:tc>
        <w:tc>
          <w:tcPr>
            <w:tcW w:w="6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10,870</w:t>
            </w:r>
          </w:p>
        </w:tc>
        <w:tc>
          <w:tcPr>
            <w:tcW w:w="6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8F0F8"/>
          </w:tcPr>
          <w:p>
            <w:pPr>
              <w:jc w:val="right"/>
              <w:ind w:right="49"/>
              <w:spacing w:after="0"/>
              <w:rPr>
                <w:sz w:val="20"/>
                <w:szCs w:val="20"/>
                <w:color w:val="auto"/>
              </w:rPr>
            </w:pPr>
            <w:r>
              <w:rPr>
                <w:rFonts w:ascii="Arial" w:cs="Arial" w:eastAsia="Arial" w:hAnsi="Arial"/>
                <w:sz w:val="14"/>
                <w:szCs w:val="14"/>
                <w:color w:val="auto"/>
              </w:rPr>
              <w:t>1,945,819</w:t>
            </w:r>
          </w:p>
        </w:tc>
        <w:tc>
          <w:tcPr>
            <w:tcW w:w="0" w:type="dxa"/>
            <w:vAlign w:val="bottom"/>
          </w:tcPr>
          <w:p>
            <w:pPr>
              <w:spacing w:after="0"/>
              <w:rPr>
                <w:sz w:val="1"/>
                <w:szCs w:val="1"/>
                <w:color w:val="auto"/>
              </w:rPr>
            </w:pPr>
          </w:p>
        </w:tc>
      </w:tr>
      <w:tr>
        <w:trPr>
          <w:trHeight w:val="230"/>
        </w:trPr>
        <w:tc>
          <w:tcPr>
            <w:tcW w:w="2960" w:type="dxa"/>
            <w:vAlign w:val="bottom"/>
            <w:shd w:val="clear" w:color="auto" w:fill="E8F0F8"/>
          </w:tcPr>
          <w:p>
            <w:pPr>
              <w:spacing w:after="0"/>
              <w:rPr>
                <w:sz w:val="19"/>
                <w:szCs w:val="19"/>
                <w:color w:val="auto"/>
              </w:rPr>
            </w:pPr>
          </w:p>
        </w:tc>
        <w:tc>
          <w:tcPr>
            <w:tcW w:w="9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E8F0F8"/>
          </w:tcPr>
          <w:p>
            <w:pPr>
              <w:spacing w:after="0"/>
              <w:rPr>
                <w:sz w:val="19"/>
                <w:szCs w:val="19"/>
                <w:color w:val="auto"/>
              </w:rPr>
            </w:pP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76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920" w:type="dxa"/>
            <w:vAlign w:val="bottom"/>
            <w:shd w:val="clear" w:color="auto" w:fill="E8F0F8"/>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2,652</w:t>
            </w:r>
          </w:p>
        </w:tc>
        <w:tc>
          <w:tcPr>
            <w:tcW w:w="5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5,303</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10,606</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8F0F8"/>
          </w:tcPr>
          <w:p>
            <w:pPr>
              <w:jc w:val="right"/>
              <w:ind w:right="49"/>
              <w:spacing w:after="0"/>
              <w:rPr>
                <w:sz w:val="20"/>
                <w:szCs w:val="20"/>
                <w:color w:val="auto"/>
              </w:rPr>
            </w:pPr>
            <w:r>
              <w:rPr>
                <w:rFonts w:ascii="Arial" w:cs="Arial" w:eastAsia="Arial" w:hAnsi="Arial"/>
                <w:sz w:val="14"/>
                <w:szCs w:val="14"/>
                <w:color w:val="auto"/>
              </w:rPr>
              <w:t>1,463,098</w:t>
            </w:r>
          </w:p>
        </w:tc>
        <w:tc>
          <w:tcPr>
            <w:tcW w:w="0" w:type="dxa"/>
            <w:vAlign w:val="bottom"/>
          </w:tcPr>
          <w:p>
            <w:pPr>
              <w:spacing w:after="0"/>
              <w:rPr>
                <w:sz w:val="1"/>
                <w:szCs w:val="1"/>
                <w:color w:val="auto"/>
              </w:rPr>
            </w:pPr>
          </w:p>
        </w:tc>
      </w:tr>
      <w:tr>
        <w:trPr>
          <w:trHeight w:val="256"/>
        </w:trPr>
        <w:tc>
          <w:tcPr>
            <w:tcW w:w="2960" w:type="dxa"/>
            <w:vAlign w:val="bottom"/>
            <w:tcBorders>
              <w:bottom w:val="single" w:sz="8" w:color="E8F0F8"/>
            </w:tcBorders>
            <w:shd w:val="clear" w:color="auto" w:fill="E8F0F8"/>
          </w:tcPr>
          <w:p>
            <w:pPr>
              <w:spacing w:after="0"/>
              <w:rPr>
                <w:sz w:val="21"/>
                <w:szCs w:val="21"/>
                <w:color w:val="auto"/>
              </w:rPr>
            </w:pPr>
          </w:p>
        </w:tc>
        <w:tc>
          <w:tcPr>
            <w:tcW w:w="900" w:type="dxa"/>
            <w:vAlign w:val="bottom"/>
            <w:tcBorders>
              <w:bottom w:val="single" w:sz="8" w:color="E8F0F8"/>
            </w:tcBorders>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8F0F8"/>
            </w:tcBorders>
            <w:shd w:val="clear" w:color="auto" w:fill="E8F0F8"/>
          </w:tcPr>
          <w:p>
            <w:pPr>
              <w:jc w:val="right"/>
              <w:ind w:right="8"/>
              <w:spacing w:after="0"/>
              <w:rPr>
                <w:sz w:val="20"/>
                <w:szCs w:val="20"/>
                <w:color w:val="auto"/>
              </w:rPr>
            </w:pPr>
            <w:r>
              <w:rPr>
                <w:rFonts w:ascii="Arial" w:cs="Arial" w:eastAsia="Arial" w:hAnsi="Arial"/>
                <w:sz w:val="14"/>
                <w:szCs w:val="14"/>
                <w:color w:val="auto"/>
              </w:rPr>
              <w:t>156,473</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625,892</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8F0F8"/>
            </w:tcBorders>
            <w:shd w:val="clear" w:color="auto" w:fill="E8F0F8"/>
          </w:tcPr>
          <w:p>
            <w:pPr>
              <w:jc w:val="right"/>
              <w:ind w:right="108"/>
              <w:spacing w:after="0"/>
              <w:rPr>
                <w:sz w:val="20"/>
                <w:szCs w:val="20"/>
                <w:color w:val="auto"/>
              </w:rPr>
            </w:pPr>
            <w:r>
              <w:rPr>
                <w:rFonts w:ascii="Arial" w:cs="Arial" w:eastAsia="Arial" w:hAnsi="Arial"/>
                <w:sz w:val="14"/>
                <w:szCs w:val="14"/>
                <w:color w:val="auto"/>
              </w:rPr>
              <w:t>1,408,256</w:t>
            </w:r>
          </w:p>
        </w:tc>
        <w:tc>
          <w:tcPr>
            <w:tcW w:w="900" w:type="dxa"/>
            <w:vAlign w:val="bottom"/>
            <w:tcBorders>
              <w:bottom w:val="single" w:sz="8" w:color="E8F0F8"/>
            </w:tcBorders>
            <w:shd w:val="clear" w:color="auto" w:fill="E8F0F8"/>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8F0F8"/>
            </w:tcBorders>
            <w:shd w:val="clear" w:color="auto" w:fill="E8F0F8"/>
          </w:tcPr>
          <w:p>
            <w:pPr>
              <w:spacing w:after="0"/>
              <w:rPr>
                <w:sz w:val="21"/>
                <w:szCs w:val="21"/>
                <w:color w:val="auto"/>
              </w:rPr>
            </w:pPr>
          </w:p>
        </w:tc>
        <w:tc>
          <w:tcPr>
            <w:tcW w:w="860" w:type="dxa"/>
            <w:vAlign w:val="bottom"/>
            <w:tcBorders>
              <w:bottom w:val="single" w:sz="8" w:color="E8F0F8"/>
            </w:tcBorders>
            <w:shd w:val="clear" w:color="auto" w:fill="E8F0F8"/>
          </w:tcPr>
          <w:p>
            <w:pPr>
              <w:jc w:val="right"/>
              <w:ind w:right="3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960" w:type="dxa"/>
            <w:vAlign w:val="bottom"/>
            <w:tcBorders>
              <w:top w:val="single" w:sz="8" w:color="auto"/>
            </w:tcBorders>
            <w:shd w:val="clear" w:color="auto" w:fill="BAD3EA"/>
          </w:tcPr>
          <w:p>
            <w:pPr>
              <w:ind w:left="60"/>
              <w:spacing w:after="0"/>
              <w:rPr>
                <w:sz w:val="20"/>
                <w:szCs w:val="20"/>
                <w:color w:val="auto"/>
              </w:rPr>
            </w:pPr>
            <w:r>
              <w:rPr>
                <w:rFonts w:ascii="Arial" w:cs="Arial" w:eastAsia="Arial" w:hAnsi="Arial"/>
                <w:sz w:val="14"/>
                <w:szCs w:val="14"/>
                <w:color w:val="auto"/>
              </w:rPr>
              <w:t>Chirfi Guindo</w:t>
            </w:r>
          </w:p>
        </w:tc>
        <w:tc>
          <w:tcPr>
            <w:tcW w:w="900" w:type="dxa"/>
            <w:vAlign w:val="bottom"/>
            <w:tcBorders>
              <w:top w:val="single" w:sz="8" w:color="auto"/>
            </w:tcBorders>
            <w:shd w:val="clear" w:color="auto" w:fill="BAD3EA"/>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(3)</w:t>
            </w:r>
          </w:p>
        </w:tc>
        <w:tc>
          <w:tcPr>
            <w:tcW w:w="140" w:type="dxa"/>
            <w:vAlign w:val="bottom"/>
            <w:tcBorders>
              <w:top w:val="single" w:sz="8" w:color="auto"/>
            </w:tcBorders>
            <w:shd w:val="clear" w:color="auto" w:fill="BAD3EA"/>
          </w:tcPr>
          <w:p>
            <w:pPr>
              <w:spacing w:after="0"/>
              <w:rPr>
                <w:sz w:val="17"/>
                <w:szCs w:val="17"/>
                <w:color w:val="auto"/>
              </w:rPr>
            </w:pPr>
          </w:p>
        </w:tc>
        <w:tc>
          <w:tcPr>
            <w:tcW w:w="6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spacing w:after="0"/>
              <w:rPr>
                <w:sz w:val="17"/>
                <w:szCs w:val="17"/>
                <w:color w:val="auto"/>
              </w:rPr>
            </w:pPr>
          </w:p>
        </w:tc>
        <w:tc>
          <w:tcPr>
            <w:tcW w:w="76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spacing w:after="0"/>
              <w:rPr>
                <w:sz w:val="17"/>
                <w:szCs w:val="17"/>
                <w:color w:val="auto"/>
              </w:rPr>
            </w:pPr>
          </w:p>
        </w:tc>
        <w:tc>
          <w:tcPr>
            <w:tcW w:w="920" w:type="dxa"/>
            <w:vAlign w:val="bottom"/>
            <w:tcBorders>
              <w:top w:val="single" w:sz="8" w:color="auto"/>
            </w:tcBorders>
            <w:shd w:val="clear" w:color="auto" w:fill="BAD3EA"/>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BAD3EA"/>
          </w:tcPr>
          <w:p>
            <w:pPr>
              <w:jc w:val="right"/>
              <w:ind w:right="88"/>
              <w:spacing w:after="0"/>
              <w:rPr>
                <w:sz w:val="20"/>
                <w:szCs w:val="20"/>
                <w:color w:val="auto"/>
              </w:rPr>
            </w:pPr>
            <w:r>
              <w:rPr>
                <w:rFonts w:ascii="Arial" w:cs="Arial" w:eastAsia="Arial" w:hAnsi="Arial"/>
                <w:sz w:val="14"/>
                <w:szCs w:val="14"/>
                <w:color w:val="auto"/>
              </w:rPr>
              <w:t>3,625</w:t>
            </w:r>
          </w:p>
        </w:tc>
        <w:tc>
          <w:tcPr>
            <w:tcW w:w="560" w:type="dxa"/>
            <w:vAlign w:val="bottom"/>
            <w:tcBorders>
              <w:top w:val="single" w:sz="8" w:color="auto"/>
            </w:tcBorders>
            <w:shd w:val="clear" w:color="auto" w:fill="BAD3EA"/>
          </w:tcPr>
          <w:p>
            <w:pPr>
              <w:jc w:val="right"/>
              <w:spacing w:after="0"/>
              <w:rPr>
                <w:sz w:val="20"/>
                <w:szCs w:val="20"/>
                <w:color w:val="auto"/>
              </w:rPr>
            </w:pPr>
            <w:r>
              <w:rPr>
                <w:rFonts w:ascii="Arial" w:cs="Arial" w:eastAsia="Arial" w:hAnsi="Arial"/>
                <w:sz w:val="14"/>
                <w:szCs w:val="14"/>
                <w:color w:val="auto"/>
              </w:rPr>
              <w:t>7,250</w:t>
            </w:r>
          </w:p>
        </w:tc>
        <w:tc>
          <w:tcPr>
            <w:tcW w:w="6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14,500</w:t>
            </w:r>
          </w:p>
        </w:tc>
        <w:tc>
          <w:tcPr>
            <w:tcW w:w="6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BAD3EA"/>
          </w:tcPr>
          <w:p>
            <w:pPr>
              <w:jc w:val="right"/>
              <w:ind w:right="49"/>
              <w:spacing w:after="0"/>
              <w:rPr>
                <w:sz w:val="20"/>
                <w:szCs w:val="20"/>
                <w:color w:val="auto"/>
              </w:rPr>
            </w:pPr>
            <w:r>
              <w:rPr>
                <w:rFonts w:ascii="Arial" w:cs="Arial" w:eastAsia="Arial" w:hAnsi="Arial"/>
                <w:sz w:val="14"/>
                <w:szCs w:val="14"/>
                <w:color w:val="auto"/>
              </w:rPr>
              <w:t>2,595,607</w:t>
            </w:r>
          </w:p>
        </w:tc>
        <w:tc>
          <w:tcPr>
            <w:tcW w:w="0" w:type="dxa"/>
            <w:vAlign w:val="bottom"/>
          </w:tcPr>
          <w:p>
            <w:pPr>
              <w:spacing w:after="0"/>
              <w:rPr>
                <w:sz w:val="1"/>
                <w:szCs w:val="1"/>
                <w:color w:val="auto"/>
              </w:rPr>
            </w:pPr>
          </w:p>
        </w:tc>
      </w:tr>
      <w:tr>
        <w:trPr>
          <w:trHeight w:val="230"/>
        </w:trPr>
        <w:tc>
          <w:tcPr>
            <w:tcW w:w="2960" w:type="dxa"/>
            <w:vAlign w:val="bottom"/>
            <w:shd w:val="clear" w:color="auto" w:fill="BAD3EA"/>
          </w:tcPr>
          <w:p>
            <w:pPr>
              <w:spacing w:after="0"/>
              <w:rPr>
                <w:sz w:val="19"/>
                <w:szCs w:val="19"/>
                <w:color w:val="auto"/>
              </w:rPr>
            </w:pPr>
          </w:p>
        </w:tc>
        <w:tc>
          <w:tcPr>
            <w:tcW w:w="900" w:type="dxa"/>
            <w:vAlign w:val="bottom"/>
            <w:shd w:val="clear" w:color="auto" w:fill="BAD3EA"/>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BAD3EA"/>
          </w:tcPr>
          <w:p>
            <w:pPr>
              <w:spacing w:after="0"/>
              <w:rPr>
                <w:sz w:val="19"/>
                <w:szCs w:val="19"/>
                <w:color w:val="auto"/>
              </w:rPr>
            </w:pPr>
          </w:p>
        </w:tc>
        <w:tc>
          <w:tcPr>
            <w:tcW w:w="68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76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920" w:type="dxa"/>
            <w:vAlign w:val="bottom"/>
            <w:shd w:val="clear" w:color="auto" w:fill="BAD3EA"/>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BAD3EA"/>
          </w:tcPr>
          <w:p>
            <w:pPr>
              <w:jc w:val="right"/>
              <w:ind w:right="88"/>
              <w:spacing w:after="0"/>
              <w:rPr>
                <w:sz w:val="20"/>
                <w:szCs w:val="20"/>
                <w:color w:val="auto"/>
              </w:rPr>
            </w:pPr>
            <w:r>
              <w:rPr>
                <w:rFonts w:ascii="Arial" w:cs="Arial" w:eastAsia="Arial" w:hAnsi="Arial"/>
                <w:sz w:val="14"/>
                <w:szCs w:val="14"/>
                <w:color w:val="auto"/>
              </w:rPr>
              <w:t>3,410</w:t>
            </w:r>
          </w:p>
        </w:tc>
        <w:tc>
          <w:tcPr>
            <w:tcW w:w="5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6,819</w:t>
            </w:r>
          </w:p>
        </w:tc>
        <w:tc>
          <w:tcPr>
            <w:tcW w:w="6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13,638</w:t>
            </w:r>
          </w:p>
        </w:tc>
        <w:tc>
          <w:tcPr>
            <w:tcW w:w="68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BAD3EA"/>
          </w:tcPr>
          <w:p>
            <w:pPr>
              <w:jc w:val="right"/>
              <w:ind w:right="49"/>
              <w:spacing w:after="0"/>
              <w:rPr>
                <w:sz w:val="20"/>
                <w:szCs w:val="20"/>
                <w:color w:val="auto"/>
              </w:rPr>
            </w:pPr>
            <w:r>
              <w:rPr>
                <w:rFonts w:ascii="Arial" w:cs="Arial" w:eastAsia="Arial" w:hAnsi="Arial"/>
                <w:sz w:val="14"/>
                <w:szCs w:val="14"/>
                <w:color w:val="auto"/>
              </w:rPr>
              <w:t>1,881,362</w:t>
            </w:r>
          </w:p>
        </w:tc>
        <w:tc>
          <w:tcPr>
            <w:tcW w:w="0" w:type="dxa"/>
            <w:vAlign w:val="bottom"/>
          </w:tcPr>
          <w:p>
            <w:pPr>
              <w:spacing w:after="0"/>
              <w:rPr>
                <w:sz w:val="1"/>
                <w:szCs w:val="1"/>
                <w:color w:val="auto"/>
              </w:rPr>
            </w:pPr>
          </w:p>
        </w:tc>
      </w:tr>
      <w:tr>
        <w:trPr>
          <w:trHeight w:val="256"/>
        </w:trPr>
        <w:tc>
          <w:tcPr>
            <w:tcW w:w="2960" w:type="dxa"/>
            <w:vAlign w:val="bottom"/>
            <w:tcBorders>
              <w:bottom w:val="single" w:sz="8" w:color="BAD3EA"/>
            </w:tcBorders>
            <w:shd w:val="clear" w:color="auto" w:fill="BAD3EA"/>
          </w:tcPr>
          <w:p>
            <w:pPr>
              <w:spacing w:after="0"/>
              <w:rPr>
                <w:sz w:val="21"/>
                <w:szCs w:val="21"/>
                <w:color w:val="auto"/>
              </w:rPr>
            </w:pPr>
          </w:p>
        </w:tc>
        <w:tc>
          <w:tcPr>
            <w:tcW w:w="900" w:type="dxa"/>
            <w:vAlign w:val="bottom"/>
            <w:tcBorders>
              <w:bottom w:val="single" w:sz="8" w:color="BAD3EA"/>
            </w:tcBorders>
            <w:shd w:val="clear" w:color="auto" w:fill="BAD3EA"/>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AD3EA"/>
            </w:tcBorders>
            <w:shd w:val="clear" w:color="auto" w:fill="BAD3EA"/>
          </w:tcPr>
          <w:p>
            <w:pPr>
              <w:jc w:val="right"/>
              <w:ind w:right="8"/>
              <w:spacing w:after="0"/>
              <w:rPr>
                <w:sz w:val="20"/>
                <w:szCs w:val="20"/>
                <w:color w:val="auto"/>
              </w:rPr>
            </w:pPr>
            <w:r>
              <w:rPr>
                <w:rFonts w:ascii="Arial" w:cs="Arial" w:eastAsia="Arial" w:hAnsi="Arial"/>
                <w:sz w:val="14"/>
                <w:szCs w:val="14"/>
                <w:color w:val="auto"/>
              </w:rPr>
              <w:t>117,228</w:t>
            </w:r>
          </w:p>
        </w:tc>
        <w:tc>
          <w:tcPr>
            <w:tcW w:w="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468,911</w:t>
            </w:r>
          </w:p>
        </w:tc>
        <w:tc>
          <w:tcPr>
            <w:tcW w:w="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AD3EA"/>
            </w:tcBorders>
            <w:shd w:val="clear" w:color="auto" w:fill="BAD3EA"/>
          </w:tcPr>
          <w:p>
            <w:pPr>
              <w:jc w:val="right"/>
              <w:ind w:right="108"/>
              <w:spacing w:after="0"/>
              <w:rPr>
                <w:sz w:val="20"/>
                <w:szCs w:val="20"/>
                <w:color w:val="auto"/>
              </w:rPr>
            </w:pPr>
            <w:r>
              <w:rPr>
                <w:rFonts w:ascii="Arial" w:cs="Arial" w:eastAsia="Arial" w:hAnsi="Arial"/>
                <w:sz w:val="14"/>
                <w:szCs w:val="14"/>
                <w:color w:val="auto"/>
              </w:rPr>
              <w:t>1,055,049</w:t>
            </w:r>
          </w:p>
        </w:tc>
        <w:tc>
          <w:tcPr>
            <w:tcW w:w="900" w:type="dxa"/>
            <w:vAlign w:val="bottom"/>
            <w:tcBorders>
              <w:bottom w:val="single" w:sz="8" w:color="BAD3EA"/>
            </w:tcBorders>
            <w:shd w:val="clear" w:color="auto" w:fill="BAD3EA"/>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AD3EA"/>
            </w:tcBorders>
            <w:shd w:val="clear" w:color="auto" w:fill="BAD3EA"/>
          </w:tcPr>
          <w:p>
            <w:pPr>
              <w:spacing w:after="0"/>
              <w:rPr>
                <w:sz w:val="21"/>
                <w:szCs w:val="21"/>
                <w:color w:val="auto"/>
              </w:rPr>
            </w:pPr>
          </w:p>
        </w:tc>
        <w:tc>
          <w:tcPr>
            <w:tcW w:w="860" w:type="dxa"/>
            <w:vAlign w:val="bottom"/>
            <w:tcBorders>
              <w:bottom w:val="single" w:sz="8" w:color="BAD3EA"/>
            </w:tcBorders>
            <w:shd w:val="clear" w:color="auto" w:fill="BAD3EA"/>
          </w:tcPr>
          <w:p>
            <w:pPr>
              <w:jc w:val="right"/>
              <w:ind w:right="3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E8F0F8"/>
          </w:tcPr>
          <w:p>
            <w:pPr>
              <w:ind w:left="60"/>
              <w:spacing w:after="0" w:line="222" w:lineRule="exact"/>
              <w:rPr>
                <w:sz w:val="20"/>
                <w:szCs w:val="20"/>
                <w:color w:val="auto"/>
              </w:rPr>
            </w:pPr>
            <w:r>
              <w:rPr>
                <w:rFonts w:ascii="Arial" w:cs="Arial" w:eastAsia="Arial" w:hAnsi="Arial"/>
                <w:sz w:val="14"/>
                <w:szCs w:val="14"/>
                <w:color w:val="auto"/>
              </w:rPr>
              <w:t>Alfred W. Sandrock, Jr.</w:t>
            </w:r>
            <w:r>
              <w:rPr>
                <w:rFonts w:ascii="Arial" w:cs="Arial" w:eastAsia="Arial" w:hAnsi="Arial"/>
                <w:sz w:val="24"/>
                <w:szCs w:val="24"/>
                <w:color w:val="auto"/>
                <w:vertAlign w:val="superscript"/>
              </w:rPr>
              <w:t>(6)</w:t>
            </w:r>
          </w:p>
        </w:tc>
        <w:tc>
          <w:tcPr>
            <w:tcW w:w="900" w:type="dxa"/>
            <w:vAlign w:val="bottom"/>
            <w:tcBorders>
              <w:top w:val="single" w:sz="8" w:color="auto"/>
            </w:tcBorders>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140" w:type="dxa"/>
            <w:vAlign w:val="bottom"/>
            <w:tcBorders>
              <w:top w:val="single" w:sz="8" w:color="auto"/>
            </w:tcBorders>
            <w:shd w:val="clear" w:color="auto" w:fill="E8F0F8"/>
          </w:tcPr>
          <w:p>
            <w:pPr>
              <w:spacing w:after="0"/>
              <w:rPr>
                <w:sz w:val="19"/>
                <w:szCs w:val="19"/>
                <w:color w:val="auto"/>
              </w:rPr>
            </w:pPr>
          </w:p>
        </w:tc>
        <w:tc>
          <w:tcPr>
            <w:tcW w:w="6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spacing w:after="0"/>
              <w:rPr>
                <w:sz w:val="19"/>
                <w:szCs w:val="19"/>
                <w:color w:val="auto"/>
              </w:rPr>
            </w:pPr>
          </w:p>
        </w:tc>
        <w:tc>
          <w:tcPr>
            <w:tcW w:w="76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spacing w:after="0"/>
              <w:rPr>
                <w:sz w:val="19"/>
                <w:szCs w:val="19"/>
                <w:color w:val="auto"/>
              </w:rPr>
            </w:pPr>
          </w:p>
        </w:tc>
        <w:tc>
          <w:tcPr>
            <w:tcW w:w="920" w:type="dxa"/>
            <w:vAlign w:val="bottom"/>
            <w:tcBorders>
              <w:top w:val="single" w:sz="8" w:color="auto"/>
            </w:tcBorders>
            <w:shd w:val="clear" w:color="auto" w:fill="E8F0F8"/>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E8F0F8"/>
          </w:tcPr>
          <w:p>
            <w:pPr>
              <w:jc w:val="right"/>
              <w:ind w:right="88"/>
              <w:spacing w:after="0"/>
              <w:rPr>
                <w:sz w:val="20"/>
                <w:szCs w:val="20"/>
                <w:color w:val="auto"/>
              </w:rPr>
            </w:pPr>
            <w:r>
              <w:rPr>
                <w:rFonts w:ascii="Arial" w:cs="Arial" w:eastAsia="Arial" w:hAnsi="Arial"/>
                <w:sz w:val="14"/>
                <w:szCs w:val="14"/>
                <w:color w:val="auto"/>
              </w:rPr>
              <w:t>3,625</w:t>
            </w:r>
          </w:p>
        </w:tc>
        <w:tc>
          <w:tcPr>
            <w:tcW w:w="56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7,250</w:t>
            </w:r>
          </w:p>
        </w:tc>
        <w:tc>
          <w:tcPr>
            <w:tcW w:w="6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14,500</w:t>
            </w:r>
          </w:p>
        </w:tc>
        <w:tc>
          <w:tcPr>
            <w:tcW w:w="6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8F0F8"/>
          </w:tcPr>
          <w:p>
            <w:pPr>
              <w:jc w:val="right"/>
              <w:ind w:right="49"/>
              <w:spacing w:after="0"/>
              <w:rPr>
                <w:sz w:val="20"/>
                <w:szCs w:val="20"/>
                <w:color w:val="auto"/>
              </w:rPr>
            </w:pPr>
            <w:r>
              <w:rPr>
                <w:rFonts w:ascii="Arial" w:cs="Arial" w:eastAsia="Arial" w:hAnsi="Arial"/>
                <w:sz w:val="14"/>
                <w:szCs w:val="14"/>
                <w:color w:val="auto"/>
              </w:rPr>
              <w:t>2,595,607</w:t>
            </w:r>
          </w:p>
        </w:tc>
        <w:tc>
          <w:tcPr>
            <w:tcW w:w="0" w:type="dxa"/>
            <w:vAlign w:val="bottom"/>
          </w:tcPr>
          <w:p>
            <w:pPr>
              <w:spacing w:after="0"/>
              <w:rPr>
                <w:sz w:val="1"/>
                <w:szCs w:val="1"/>
                <w:color w:val="auto"/>
              </w:rPr>
            </w:pPr>
          </w:p>
        </w:tc>
      </w:tr>
      <w:tr>
        <w:trPr>
          <w:trHeight w:val="208"/>
        </w:trPr>
        <w:tc>
          <w:tcPr>
            <w:tcW w:w="2960" w:type="dxa"/>
            <w:vAlign w:val="bottom"/>
            <w:shd w:val="clear" w:color="auto" w:fill="E8F0F8"/>
          </w:tcPr>
          <w:p>
            <w:pPr>
              <w:spacing w:after="0"/>
              <w:rPr>
                <w:sz w:val="18"/>
                <w:szCs w:val="18"/>
                <w:color w:val="auto"/>
              </w:rPr>
            </w:pPr>
          </w:p>
        </w:tc>
        <w:tc>
          <w:tcPr>
            <w:tcW w:w="900" w:type="dxa"/>
            <w:vAlign w:val="bottom"/>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w:t>
            </w:r>
          </w:p>
        </w:tc>
        <w:tc>
          <w:tcPr>
            <w:tcW w:w="140" w:type="dxa"/>
            <w:vAlign w:val="bottom"/>
            <w:shd w:val="clear" w:color="auto" w:fill="E8F0F8"/>
          </w:tcPr>
          <w:p>
            <w:pPr>
              <w:spacing w:after="0"/>
              <w:rPr>
                <w:sz w:val="18"/>
                <w:szCs w:val="18"/>
                <w:color w:val="auto"/>
              </w:rPr>
            </w:pP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8"/>
                <w:szCs w:val="18"/>
                <w:color w:val="auto"/>
              </w:rPr>
            </w:pPr>
          </w:p>
        </w:tc>
        <w:tc>
          <w:tcPr>
            <w:tcW w:w="76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8"/>
                <w:szCs w:val="18"/>
                <w:color w:val="auto"/>
              </w:rPr>
            </w:pPr>
          </w:p>
        </w:tc>
        <w:tc>
          <w:tcPr>
            <w:tcW w:w="920" w:type="dxa"/>
            <w:vAlign w:val="bottom"/>
            <w:shd w:val="clear" w:color="auto" w:fill="E8F0F8"/>
          </w:tcPr>
          <w:p>
            <w:pPr>
              <w:jc w:val="center"/>
              <w:ind w:righ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3,407</w:t>
            </w:r>
          </w:p>
        </w:tc>
        <w:tc>
          <w:tcPr>
            <w:tcW w:w="5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6,814</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13,628</w:t>
            </w:r>
          </w:p>
        </w:tc>
        <w:tc>
          <w:tcPr>
            <w:tcW w:w="68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8F0F8"/>
          </w:tcPr>
          <w:p>
            <w:pPr>
              <w:jc w:val="right"/>
              <w:ind w:right="49"/>
              <w:spacing w:after="0"/>
              <w:rPr>
                <w:sz w:val="20"/>
                <w:szCs w:val="20"/>
                <w:color w:val="auto"/>
              </w:rPr>
            </w:pPr>
            <w:r>
              <w:rPr>
                <w:rFonts w:ascii="Arial" w:cs="Arial" w:eastAsia="Arial" w:hAnsi="Arial"/>
                <w:sz w:val="14"/>
                <w:szCs w:val="14"/>
                <w:color w:val="auto"/>
              </w:rPr>
              <w:t>1,879,983</w:t>
            </w:r>
          </w:p>
        </w:tc>
        <w:tc>
          <w:tcPr>
            <w:tcW w:w="0" w:type="dxa"/>
            <w:vAlign w:val="bottom"/>
          </w:tcPr>
          <w:p>
            <w:pPr>
              <w:spacing w:after="0"/>
              <w:rPr>
                <w:sz w:val="1"/>
                <w:szCs w:val="1"/>
                <w:color w:val="auto"/>
              </w:rPr>
            </w:pPr>
          </w:p>
        </w:tc>
      </w:tr>
      <w:tr>
        <w:trPr>
          <w:trHeight w:val="231"/>
        </w:trPr>
        <w:tc>
          <w:tcPr>
            <w:tcW w:w="2960" w:type="dxa"/>
            <w:vAlign w:val="bottom"/>
            <w:tcBorders>
              <w:bottom w:val="single" w:sz="8" w:color="E8F0F8"/>
            </w:tcBorders>
            <w:shd w:val="clear" w:color="auto" w:fill="E8F0F8"/>
          </w:tcPr>
          <w:p>
            <w:pPr>
              <w:spacing w:after="0"/>
              <w:rPr>
                <w:sz w:val="20"/>
                <w:szCs w:val="20"/>
                <w:color w:val="auto"/>
              </w:rPr>
            </w:pPr>
          </w:p>
        </w:tc>
        <w:tc>
          <w:tcPr>
            <w:tcW w:w="900" w:type="dxa"/>
            <w:vAlign w:val="bottom"/>
            <w:tcBorders>
              <w:bottom w:val="single" w:sz="8" w:color="E8F0F8"/>
            </w:tcBorders>
            <w:shd w:val="clear" w:color="auto" w:fill="E8F0F8"/>
          </w:tcPr>
          <w:p>
            <w:pPr>
              <w:ind w:left="140"/>
              <w:spacing w:after="0"/>
              <w:rPr>
                <w:sz w:val="20"/>
                <w:szCs w:val="20"/>
                <w:color w:val="auto"/>
              </w:rPr>
            </w:pPr>
            <w:r>
              <w:rPr>
                <w:rFonts w:ascii="Arial" w:cs="Arial" w:eastAsia="Arial" w:hAnsi="Arial"/>
                <w:sz w:val="14"/>
                <w:szCs w:val="14"/>
                <w:color w:val="auto"/>
              </w:rPr>
              <w:t>02/18/2021</w:t>
            </w:r>
          </w:p>
        </w:tc>
        <w:tc>
          <w:tcPr>
            <w:tcW w:w="5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8F0F8"/>
            </w:tcBorders>
            <w:shd w:val="clear" w:color="auto" w:fill="E8F0F8"/>
          </w:tcPr>
          <w:p>
            <w:pPr>
              <w:jc w:val="right"/>
              <w:ind w:right="8"/>
              <w:spacing w:after="0"/>
              <w:rPr>
                <w:sz w:val="20"/>
                <w:szCs w:val="20"/>
                <w:color w:val="auto"/>
              </w:rPr>
            </w:pPr>
            <w:r>
              <w:rPr>
                <w:rFonts w:ascii="Arial" w:cs="Arial" w:eastAsia="Arial" w:hAnsi="Arial"/>
                <w:sz w:val="14"/>
                <w:szCs w:val="14"/>
                <w:color w:val="auto"/>
              </w:rPr>
              <w:t>184,844</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739,378</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8F0F8"/>
            </w:tcBorders>
            <w:shd w:val="clear" w:color="auto" w:fill="E8F0F8"/>
          </w:tcPr>
          <w:p>
            <w:pPr>
              <w:jc w:val="right"/>
              <w:ind w:right="108"/>
              <w:spacing w:after="0"/>
              <w:rPr>
                <w:sz w:val="20"/>
                <w:szCs w:val="20"/>
                <w:color w:val="auto"/>
              </w:rPr>
            </w:pPr>
            <w:r>
              <w:rPr>
                <w:rFonts w:ascii="Arial" w:cs="Arial" w:eastAsia="Arial" w:hAnsi="Arial"/>
                <w:sz w:val="14"/>
                <w:szCs w:val="14"/>
                <w:color w:val="auto"/>
              </w:rPr>
              <w:t>1,663,600</w:t>
            </w:r>
          </w:p>
        </w:tc>
        <w:tc>
          <w:tcPr>
            <w:tcW w:w="900" w:type="dxa"/>
            <w:vAlign w:val="bottom"/>
            <w:tcBorders>
              <w:bottom w:val="single" w:sz="8" w:color="E8F0F8"/>
            </w:tcBorders>
            <w:shd w:val="clear" w:color="auto" w:fill="E8F0F8"/>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8F0F8"/>
            </w:tcBorders>
            <w:shd w:val="clear" w:color="auto" w:fill="E8F0F8"/>
          </w:tcPr>
          <w:p>
            <w:pPr>
              <w:spacing w:after="0"/>
              <w:rPr>
                <w:sz w:val="20"/>
                <w:szCs w:val="20"/>
                <w:color w:val="auto"/>
              </w:rPr>
            </w:pPr>
          </w:p>
        </w:tc>
        <w:tc>
          <w:tcPr>
            <w:tcW w:w="860" w:type="dxa"/>
            <w:vAlign w:val="bottom"/>
            <w:tcBorders>
              <w:bottom w:val="single" w:sz="8" w:color="E8F0F8"/>
            </w:tcBorders>
            <w:shd w:val="clear" w:color="auto" w:fill="E8F0F8"/>
          </w:tcPr>
          <w:p>
            <w:pPr>
              <w:jc w:val="right"/>
              <w:ind w:right="3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-2476500</wp:posOffset>
            </wp:positionV>
            <wp:extent cx="31457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i w:val="1"/>
          <w:iCs w:val="1"/>
          <w:color w:val="auto"/>
        </w:rPr>
        <w:t>Notes to the 2021 Grants of Plan-Based Awards Table</w:t>
      </w:r>
    </w:p>
    <w:p>
      <w:pPr>
        <w:spacing w:after="0" w:line="113" w:lineRule="exact"/>
        <w:rPr>
          <w:sz w:val="20"/>
          <w:szCs w:val="20"/>
          <w:color w:val="auto"/>
        </w:rPr>
      </w:pPr>
    </w:p>
    <w:p>
      <w:pPr>
        <w:ind w:left="440" w:right="280" w:hanging="324"/>
        <w:spacing w:after="0" w:line="251" w:lineRule="auto"/>
        <w:tabs>
          <w:tab w:leader="none" w:pos="4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Reflects the potential future payouts of awards granted in 2021 under our 2021 annual bonus plan and our LTI program (as further described in footnotes (3) and (4) below) for each NEO as of the respective grant dates.</w:t>
      </w:r>
    </w:p>
    <w:p>
      <w:pPr>
        <w:spacing w:after="0" w:line="1" w:lineRule="exact"/>
        <w:rPr>
          <w:rFonts w:ascii="Arial" w:cs="Arial" w:eastAsia="Arial" w:hAnsi="Arial"/>
          <w:sz w:val="14"/>
          <w:szCs w:val="14"/>
          <w:color w:val="auto"/>
        </w:rPr>
      </w:pPr>
    </w:p>
    <w:p>
      <w:pPr>
        <w:ind w:left="440" w:right="140" w:hanging="324"/>
        <w:spacing w:after="0" w:line="264" w:lineRule="auto"/>
        <w:tabs>
          <w:tab w:leader="none" w:pos="4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the grant date fair value of PSUs and MSUs, as applicable, computed in accordance with ASC 718, excluding the effect of estimated forfeitures. The grant date fair value for MSU awards is estimated as of the date of grant using a lattice model with a Monte</w:t>
      </w:r>
    </w:p>
    <w:p>
      <w:pPr>
        <w:sectPr>
          <w:pgSz w:w="11900" w:h="16838" w:orient="portrait"/>
          <w:cols w:equalWidth="0" w:num="1">
            <w:col w:w="11140"/>
          </w:cols>
          <w:pgMar w:left="320" w:top="455" w:right="439" w:bottom="1440" w:gutter="0" w:footer="0" w:header="0"/>
        </w:sectPr>
      </w:pPr>
    </w:p>
    <w:p>
      <w:pPr>
        <w:spacing w:after="0" w:line="94"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62 </w:t>
      </w:r>
      <w:r>
        <w:rPr>
          <w:sz w:val="1"/>
          <w:szCs w:val="1"/>
          <w:color w:val="auto"/>
        </w:rPr>
        <w:drawing>
          <wp:inline distT="0" distB="0" distL="0" distR="0">
            <wp:extent cx="38735" cy="19685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31"/>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40" w:right="60"/>
        <w:spacing w:after="0" w:line="244" w:lineRule="auto"/>
        <w:rPr>
          <w:sz w:val="20"/>
          <w:szCs w:val="20"/>
          <w:color w:val="auto"/>
        </w:rPr>
      </w:pPr>
      <w:r>
        <w:rPr>
          <w:rFonts w:ascii="Arial" w:cs="Arial" w:eastAsia="Arial" w:hAnsi="Arial"/>
          <w:sz w:val="14"/>
          <w:szCs w:val="14"/>
          <w:color w:val="auto"/>
        </w:rPr>
        <w:t>Carlo simulation based on the probable outcome of applicable performance conditions. In addition to the grant date fair value of the 2021 Stock-Settled PSUs, the grant date fair value for PSU awards is determined by multiplying the number of shares subject to the award (assuming target performance) by the closing price of our common stock on the grant date. The grant date value of one-third of the 2021 Cash-Settled PSUs, one third of the 2020 Cash-Settled PSUs and one-third of the 2019 Cash-Settled PSUs are included in 2021, which are the tranches of the awards for which performance goals were set relating to the 2021 performance period and the fair value was determinable in 2021. The grant date fair value of the remaining tranches of the 2020 and 2021 Cash-Settled PSUs will be included, as applicable, in the compensation tables for 2022 and 2023, the years when performance goals will be set with respect to such performance periods and fair value will be determinable. The assumptions used to calculate the grant date fair value of stock awards are included in footnote 15 of our 2021 Annual Report on Form 10-K. The maximum payouts for these awards are included in the footnotes under the Summary Compensation Table above.</w:t>
      </w:r>
    </w:p>
    <w:p>
      <w:pPr>
        <w:spacing w:after="0" w:line="1" w:lineRule="exact"/>
        <w:rPr>
          <w:sz w:val="20"/>
          <w:szCs w:val="20"/>
          <w:color w:val="auto"/>
        </w:rPr>
      </w:pPr>
    </w:p>
    <w:p>
      <w:pPr>
        <w:ind w:left="440" w:right="100" w:hanging="324"/>
        <w:spacing w:after="0" w:line="241" w:lineRule="auto"/>
        <w:tabs>
          <w:tab w:leader="none" w:pos="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These amounts relate to the annual grant of MSUs. These are performance-based RSUs tied to the growth in our stock price between the grant date and each of three annual vesting dates. The number of MSUs earned is determined on each vesting date. Columns (f), (g) and (h) represent the number of MSUs that can be earned based on performance at the threshold level of 50%, target level of 100% and the maximum level of 200%, respectively. To the extent earned, the award becomes eligible to vest ratably over three years, generally subject to continued service, as described in further detail under the heading “Long-Term Incentives” above.</w:t>
      </w:r>
    </w:p>
    <w:p>
      <w:pPr>
        <w:spacing w:after="0" w:line="1" w:lineRule="exact"/>
        <w:rPr>
          <w:rFonts w:ascii="Arial" w:cs="Arial" w:eastAsia="Arial" w:hAnsi="Arial"/>
          <w:sz w:val="14"/>
          <w:szCs w:val="14"/>
          <w:color w:val="auto"/>
        </w:rPr>
      </w:pPr>
    </w:p>
    <w:p>
      <w:pPr>
        <w:ind w:left="440" w:right="40" w:hanging="324"/>
        <w:spacing w:after="0" w:line="241" w:lineRule="auto"/>
        <w:tabs>
          <w:tab w:leader="none" w:pos="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These amounts relate to the annual grant of PSUs. The PSUs have three-year cliff vesting. The amounts shown include the 2021 Stock-Settled PSUs, one-third of the 2019 Cash-Settled PSUs, one-third of the 2020 Cash-Settled PSUs and one-third of the 2021 Cash-Settled PSUs, which are the tranches of the awards for which performance goals were set in 2021 relating to the 2021 performance period and the fair value was determinable in 2021. The remaining tranches of the 2020 and 2021 Cash-Settled PSUs will be included, as applicable, in the compensation tables for 2022 and 2023, the years when performance goals will be set with respect to such performance periods and fair value will be determinable. Columns (f), (g) and (h) represent the number of 2021 Stock-Settled PSUs and the 2021 tranche of the 2019, 2020 and 2021 Cash-Settled PSUs that can be earned if the Company Multiplier were 50%, 100% and 200%, respectively. For additional information on our PSU awards, please see “Long-Term Incentives” above.</w:t>
      </w:r>
    </w:p>
    <w:p>
      <w:pPr>
        <w:spacing w:after="0" w:line="2" w:lineRule="exact"/>
        <w:rPr>
          <w:rFonts w:ascii="Arial" w:cs="Arial" w:eastAsia="Arial" w:hAnsi="Arial"/>
          <w:sz w:val="14"/>
          <w:szCs w:val="14"/>
          <w:color w:val="auto"/>
        </w:rPr>
      </w:pPr>
    </w:p>
    <w:p>
      <w:pPr>
        <w:ind w:left="440" w:right="400" w:hanging="324"/>
        <w:spacing w:after="0" w:line="241" w:lineRule="auto"/>
        <w:tabs>
          <w:tab w:leader="none" w:pos="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These amounts relate to our 2021 annual bonus plan. The amounts shown in column (d) represent the 2021 target payout amount based on the target percentage applied to each NEO’s base salary as of December 31, 2021. For 2021 the bonus targets were 150% of base salary for Mr. Vounatsos, 80% of base salary for</w:t>
      </w:r>
    </w:p>
    <w:p>
      <w:pPr>
        <w:jc w:val="both"/>
        <w:ind w:left="440"/>
        <w:spacing w:after="0" w:line="241" w:lineRule="auto"/>
        <w:rPr>
          <w:rFonts w:ascii="Arial" w:cs="Arial" w:eastAsia="Arial" w:hAnsi="Arial"/>
          <w:sz w:val="14"/>
          <w:szCs w:val="14"/>
          <w:color w:val="auto"/>
        </w:rPr>
      </w:pPr>
      <w:r>
        <w:rPr>
          <w:rFonts w:ascii="Arial" w:cs="Arial" w:eastAsia="Arial" w:hAnsi="Arial"/>
          <w:sz w:val="14"/>
          <w:szCs w:val="14"/>
          <w:color w:val="auto"/>
        </w:rPr>
        <w:t>Mr. McDonnell and Dr. Sandrock and 75% of base salary for Mr. Guindo and Ms. Alexander. The amounts in column (c), (d) and (e) represent a payment if the Company Multiplier and the Individual Multiplier were each 50%, 100% and 150%, respectively. Actual amounts paid to each NEO under our 2021 annual bonus plan are included in the “Non-Equity Incentive Plan Compensation” column of the Summary Compensation Table above.</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 and, as a result was not eligible to receive a bonus under our 2021 annual bonus plan.</w:t>
      </w:r>
    </w:p>
    <w:p>
      <w:pPr>
        <w:spacing w:after="0" w:line="1" w:lineRule="exact"/>
        <w:rPr>
          <w:rFonts w:ascii="Arial" w:cs="Arial" w:eastAsia="Arial" w:hAnsi="Arial"/>
          <w:sz w:val="14"/>
          <w:szCs w:val="14"/>
          <w:color w:val="auto"/>
        </w:rPr>
      </w:pPr>
    </w:p>
    <w:p>
      <w:pPr>
        <w:ind w:left="440" w:right="140"/>
        <w:spacing w:after="0" w:line="264" w:lineRule="auto"/>
        <w:rPr>
          <w:rFonts w:ascii="Arial" w:cs="Arial" w:eastAsia="Arial" w:hAnsi="Arial"/>
          <w:sz w:val="14"/>
          <w:szCs w:val="14"/>
          <w:color w:val="auto"/>
        </w:rPr>
      </w:pPr>
      <w:r>
        <w:rPr>
          <w:rFonts w:ascii="Arial" w:cs="Arial" w:eastAsia="Arial" w:hAnsi="Arial"/>
          <w:sz w:val="14"/>
          <w:szCs w:val="14"/>
          <w:color w:val="auto"/>
        </w:rPr>
        <w:t>Dr. Sandrock’s outstanding LTI awards were eligible for retirement vesting and remain outstanding and eligible to vest based on actual performance, as set forth in the original awards.</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63 </w:t>
      </w:r>
      <w:r>
        <w:rPr>
          <w:sz w:val="1"/>
          <w:szCs w:val="1"/>
          <w:color w:val="auto"/>
        </w:rPr>
        <w:drawing>
          <wp:inline distT="0" distB="0" distL="0" distR="0">
            <wp:extent cx="38735" cy="196850"/>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33"/>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Outstanding Equity Awards at 2021 Fiscal Year-End</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equity awards that were outstanding as of December 31, 2021, for each of our NEOs.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820" w:type="dxa"/>
            <w:vAlign w:val="bottom"/>
            <w:shd w:val="clear" w:color="auto" w:fill="1A6DBB"/>
          </w:tcPr>
          <w:p>
            <w:pPr>
              <w:spacing w:after="0"/>
              <w:rPr>
                <w:sz w:val="13"/>
                <w:szCs w:val="13"/>
                <w:color w:val="auto"/>
              </w:rPr>
            </w:pPr>
          </w:p>
        </w:tc>
        <w:tc>
          <w:tcPr>
            <w:tcW w:w="860" w:type="dxa"/>
            <w:vAlign w:val="bottom"/>
            <w:shd w:val="clear" w:color="auto" w:fill="1A6DBB"/>
          </w:tcPr>
          <w:p>
            <w:pPr>
              <w:spacing w:after="0"/>
              <w:rPr>
                <w:sz w:val="13"/>
                <w:szCs w:val="13"/>
                <w:color w:val="auto"/>
              </w:rPr>
            </w:pPr>
          </w:p>
        </w:tc>
        <w:tc>
          <w:tcPr>
            <w:tcW w:w="680" w:type="dxa"/>
            <w:vAlign w:val="bottom"/>
            <w:shd w:val="clear" w:color="auto" w:fill="1A6DBB"/>
          </w:tcPr>
          <w:p>
            <w:pPr>
              <w:spacing w:after="0"/>
              <w:rPr>
                <w:sz w:val="13"/>
                <w:szCs w:val="13"/>
                <w:color w:val="auto"/>
              </w:rPr>
            </w:pPr>
          </w:p>
        </w:tc>
        <w:tc>
          <w:tcPr>
            <w:tcW w:w="740" w:type="dxa"/>
            <w:vAlign w:val="bottom"/>
            <w:shd w:val="clear" w:color="auto" w:fill="1A6DBB"/>
          </w:tcPr>
          <w:p>
            <w:pPr>
              <w:spacing w:after="0"/>
              <w:rPr>
                <w:sz w:val="13"/>
                <w:szCs w:val="13"/>
                <w:color w:val="auto"/>
              </w:rPr>
            </w:pPr>
          </w:p>
        </w:tc>
        <w:tc>
          <w:tcPr>
            <w:tcW w:w="240" w:type="dxa"/>
            <w:vAlign w:val="bottom"/>
            <w:shd w:val="clear" w:color="auto" w:fill="1A6DBB"/>
          </w:tcPr>
          <w:p>
            <w:pPr>
              <w:spacing w:after="0"/>
              <w:rPr>
                <w:sz w:val="13"/>
                <w:szCs w:val="13"/>
                <w:color w:val="auto"/>
              </w:rPr>
            </w:pPr>
          </w:p>
        </w:tc>
        <w:tc>
          <w:tcPr>
            <w:tcW w:w="1540" w:type="dxa"/>
            <w:vAlign w:val="bottom"/>
            <w:gridSpan w:val="2"/>
            <w:shd w:val="clear" w:color="auto" w:fill="1A6DBB"/>
          </w:tcPr>
          <w:p>
            <w:pPr>
              <w:jc w:val="right"/>
              <w:ind w:right="257"/>
              <w:spacing w:after="0"/>
              <w:rPr>
                <w:sz w:val="20"/>
                <w:szCs w:val="20"/>
                <w:color w:val="auto"/>
              </w:rPr>
            </w:pPr>
            <w:r>
              <w:rPr>
                <w:rFonts w:ascii="Arial" w:cs="Arial" w:eastAsia="Arial" w:hAnsi="Arial"/>
                <w:sz w:val="13"/>
                <w:szCs w:val="13"/>
                <w:color w:val="FFFFFF"/>
              </w:rPr>
              <w:t>Stock Awards</w:t>
            </w:r>
          </w:p>
        </w:tc>
        <w:tc>
          <w:tcPr>
            <w:tcW w:w="400" w:type="dxa"/>
            <w:vAlign w:val="bottom"/>
            <w:shd w:val="clear" w:color="auto" w:fill="1A6DBB"/>
          </w:tcPr>
          <w:p>
            <w:pPr>
              <w:spacing w:after="0"/>
              <w:rPr>
                <w:sz w:val="13"/>
                <w:szCs w:val="13"/>
                <w:color w:val="auto"/>
              </w:rPr>
            </w:pPr>
          </w:p>
        </w:tc>
        <w:tc>
          <w:tcPr>
            <w:tcW w:w="740" w:type="dxa"/>
            <w:vAlign w:val="bottom"/>
            <w:shd w:val="clear" w:color="auto" w:fill="1A6DBB"/>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1A6DBB"/>
          </w:tcPr>
          <w:p>
            <w:pPr>
              <w:spacing w:after="0"/>
              <w:rPr>
                <w:sz w:val="17"/>
                <w:szCs w:val="17"/>
                <w:color w:val="auto"/>
              </w:rPr>
            </w:pPr>
          </w:p>
        </w:tc>
        <w:tc>
          <w:tcPr>
            <w:tcW w:w="860" w:type="dxa"/>
            <w:vAlign w:val="bottom"/>
            <w:shd w:val="clear" w:color="auto" w:fill="1A6DBB"/>
          </w:tcPr>
          <w:p>
            <w:pPr>
              <w:spacing w:after="0"/>
              <w:rPr>
                <w:sz w:val="17"/>
                <w:szCs w:val="17"/>
                <w:color w:val="auto"/>
              </w:rPr>
            </w:pPr>
          </w:p>
        </w:tc>
        <w:tc>
          <w:tcPr>
            <w:tcW w:w="680" w:type="dxa"/>
            <w:vAlign w:val="bottom"/>
            <w:shd w:val="clear" w:color="auto" w:fill="1A6DBB"/>
          </w:tcPr>
          <w:p>
            <w:pPr>
              <w:spacing w:after="0"/>
              <w:rPr>
                <w:sz w:val="17"/>
                <w:szCs w:val="17"/>
                <w:color w:val="auto"/>
              </w:rPr>
            </w:pPr>
          </w:p>
        </w:tc>
        <w:tc>
          <w:tcPr>
            <w:tcW w:w="740" w:type="dxa"/>
            <w:vAlign w:val="bottom"/>
            <w:shd w:val="clear" w:color="auto" w:fill="1A6DBB"/>
          </w:tcPr>
          <w:p>
            <w:pPr>
              <w:spacing w:after="0"/>
              <w:rPr>
                <w:sz w:val="17"/>
                <w:szCs w:val="17"/>
                <w:color w:val="auto"/>
              </w:rPr>
            </w:pPr>
          </w:p>
        </w:tc>
        <w:tc>
          <w:tcPr>
            <w:tcW w:w="240" w:type="dxa"/>
            <w:vAlign w:val="bottom"/>
            <w:shd w:val="clear" w:color="auto" w:fill="1A6DBB"/>
          </w:tcPr>
          <w:p>
            <w:pPr>
              <w:spacing w:after="0"/>
              <w:rPr>
                <w:sz w:val="17"/>
                <w:szCs w:val="17"/>
                <w:color w:val="auto"/>
              </w:rPr>
            </w:pPr>
          </w:p>
        </w:tc>
        <w:tc>
          <w:tcPr>
            <w:tcW w:w="800" w:type="dxa"/>
            <w:vAlign w:val="bottom"/>
            <w:shd w:val="clear" w:color="auto" w:fill="1A6DBB"/>
          </w:tcPr>
          <w:p>
            <w:pPr>
              <w:spacing w:after="0"/>
              <w:rPr>
                <w:sz w:val="17"/>
                <w:szCs w:val="17"/>
                <w:color w:val="auto"/>
              </w:rPr>
            </w:pPr>
          </w:p>
        </w:tc>
        <w:tc>
          <w:tcPr>
            <w:tcW w:w="1880" w:type="dxa"/>
            <w:vAlign w:val="bottom"/>
            <w:gridSpan w:val="3"/>
            <w:shd w:val="clear" w:color="auto" w:fill="1A6DBB"/>
          </w:tcPr>
          <w:p>
            <w:pPr>
              <w:jc w:val="right"/>
              <w:ind w:right="277"/>
              <w:spacing w:after="0"/>
              <w:rPr>
                <w:sz w:val="20"/>
                <w:szCs w:val="20"/>
                <w:color w:val="auto"/>
              </w:rPr>
            </w:pPr>
            <w:r>
              <w:rPr>
                <w:rFonts w:ascii="Arial" w:cs="Arial" w:eastAsia="Arial" w:hAnsi="Arial"/>
                <w:sz w:val="13"/>
                <w:szCs w:val="13"/>
                <w:color w:val="FFFFFF"/>
              </w:rPr>
              <w:t>Equity Incentive Plan</w:t>
            </w:r>
          </w:p>
        </w:tc>
        <w:tc>
          <w:tcPr>
            <w:tcW w:w="0" w:type="dxa"/>
            <w:vAlign w:val="bottom"/>
          </w:tcPr>
          <w:p>
            <w:pPr>
              <w:spacing w:after="0"/>
              <w:rPr>
                <w:sz w:val="1"/>
                <w:szCs w:val="1"/>
                <w:color w:val="auto"/>
              </w:rPr>
            </w:pPr>
          </w:p>
        </w:tc>
      </w:tr>
      <w:tr>
        <w:trPr>
          <w:trHeight w:val="166"/>
        </w:trPr>
        <w:tc>
          <w:tcPr>
            <w:tcW w:w="5820" w:type="dxa"/>
            <w:vAlign w:val="bottom"/>
            <w:shd w:val="clear" w:color="auto" w:fill="1A6DBB"/>
          </w:tcPr>
          <w:p>
            <w:pPr>
              <w:spacing w:after="0"/>
              <w:rPr>
                <w:sz w:val="14"/>
                <w:szCs w:val="14"/>
                <w:color w:val="auto"/>
              </w:rPr>
            </w:pPr>
          </w:p>
        </w:tc>
        <w:tc>
          <w:tcPr>
            <w:tcW w:w="860" w:type="dxa"/>
            <w:vAlign w:val="bottom"/>
            <w:shd w:val="clear" w:color="auto" w:fill="1A6DBB"/>
          </w:tcPr>
          <w:p>
            <w:pPr>
              <w:spacing w:after="0"/>
              <w:rPr>
                <w:sz w:val="14"/>
                <w:szCs w:val="14"/>
                <w:color w:val="auto"/>
              </w:rPr>
            </w:pPr>
          </w:p>
        </w:tc>
        <w:tc>
          <w:tcPr>
            <w:tcW w:w="680" w:type="dxa"/>
            <w:vAlign w:val="bottom"/>
            <w:shd w:val="clear" w:color="auto" w:fill="1A6DBB"/>
          </w:tcPr>
          <w:p>
            <w:pPr>
              <w:spacing w:after="0"/>
              <w:rPr>
                <w:sz w:val="14"/>
                <w:szCs w:val="14"/>
                <w:color w:val="auto"/>
              </w:rPr>
            </w:pPr>
          </w:p>
        </w:tc>
        <w:tc>
          <w:tcPr>
            <w:tcW w:w="740" w:type="dxa"/>
            <w:vAlign w:val="bottom"/>
            <w:vMerge w:val="restart"/>
            <w:shd w:val="clear" w:color="auto" w:fill="1A6DBB"/>
          </w:tcPr>
          <w:p>
            <w:pPr>
              <w:jc w:val="center"/>
              <w:spacing w:after="0"/>
              <w:rPr>
                <w:sz w:val="20"/>
                <w:szCs w:val="20"/>
                <w:color w:val="auto"/>
              </w:rPr>
            </w:pPr>
            <w:r>
              <w:rPr>
                <w:rFonts w:ascii="Arial" w:cs="Arial" w:eastAsia="Arial" w:hAnsi="Arial"/>
                <w:sz w:val="13"/>
                <w:szCs w:val="13"/>
                <w:color w:val="FFFFFF"/>
                <w:w w:val="95"/>
              </w:rPr>
              <w:t>Number</w:t>
            </w:r>
          </w:p>
        </w:tc>
        <w:tc>
          <w:tcPr>
            <w:tcW w:w="240" w:type="dxa"/>
            <w:vAlign w:val="bottom"/>
            <w:shd w:val="clear" w:color="auto" w:fill="1A6DBB"/>
          </w:tcPr>
          <w:p>
            <w:pPr>
              <w:spacing w:after="0"/>
              <w:rPr>
                <w:sz w:val="14"/>
                <w:szCs w:val="14"/>
                <w:color w:val="auto"/>
              </w:rPr>
            </w:pPr>
          </w:p>
        </w:tc>
        <w:tc>
          <w:tcPr>
            <w:tcW w:w="80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1140" w:type="dxa"/>
            <w:vAlign w:val="bottom"/>
            <w:gridSpan w:val="2"/>
            <w:shd w:val="clear" w:color="auto" w:fill="1A6DBB"/>
          </w:tcPr>
          <w:p>
            <w:pPr>
              <w:jc w:val="right"/>
              <w:ind w:right="657"/>
              <w:spacing w:after="0"/>
              <w:rPr>
                <w:sz w:val="20"/>
                <w:szCs w:val="20"/>
                <w:color w:val="auto"/>
              </w:rPr>
            </w:pPr>
            <w:r>
              <w:rPr>
                <w:rFonts w:ascii="Arial" w:cs="Arial" w:eastAsia="Arial" w:hAnsi="Arial"/>
                <w:sz w:val="13"/>
                <w:szCs w:val="13"/>
                <w:color w:val="FFFFFF"/>
                <w:w w:val="92"/>
              </w:rPr>
              <w:t>Awards</w:t>
            </w:r>
          </w:p>
        </w:tc>
        <w:tc>
          <w:tcPr>
            <w:tcW w:w="0" w:type="dxa"/>
            <w:vAlign w:val="bottom"/>
          </w:tcPr>
          <w:p>
            <w:pPr>
              <w:spacing w:after="0"/>
              <w:rPr>
                <w:sz w:val="1"/>
                <w:szCs w:val="1"/>
                <w:color w:val="auto"/>
              </w:rPr>
            </w:pPr>
          </w:p>
        </w:tc>
      </w:tr>
      <w:tr>
        <w:trPr>
          <w:trHeight w:val="131"/>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vMerge w:val="continue"/>
            <w:shd w:val="clear" w:color="auto" w:fill="1A6DBB"/>
          </w:tcPr>
          <w:p>
            <w:pPr>
              <w:spacing w:after="0"/>
              <w:rPr>
                <w:sz w:val="11"/>
                <w:szCs w:val="11"/>
                <w:color w:val="auto"/>
              </w:rPr>
            </w:pP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spacing w:after="0"/>
              <w:rPr>
                <w:sz w:val="11"/>
                <w:szCs w:val="11"/>
                <w:color w:val="auto"/>
              </w:rPr>
            </w:pPr>
          </w:p>
        </w:tc>
        <w:tc>
          <w:tcPr>
            <w:tcW w:w="740" w:type="dxa"/>
            <w:vAlign w:val="bottom"/>
            <w:shd w:val="clear" w:color="auto" w:fill="1A6DBB"/>
          </w:tcPr>
          <w:p>
            <w:pPr>
              <w:spacing w:after="0"/>
              <w:rPr>
                <w:sz w:val="11"/>
                <w:szCs w:val="11"/>
                <w:color w:val="auto"/>
              </w:rPr>
            </w:pP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1"/>
              </w:rPr>
              <w:t>of</w:t>
            </w: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5"/>
              </w:rPr>
              <w:t>Number</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7"/>
              </w:rPr>
              <w:t>Shares</w:t>
            </w: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jc w:val="center"/>
              <w:ind w:right="197"/>
              <w:spacing w:after="0" w:line="135" w:lineRule="exact"/>
              <w:rPr>
                <w:sz w:val="20"/>
                <w:szCs w:val="20"/>
                <w:color w:val="auto"/>
              </w:rPr>
            </w:pPr>
            <w:r>
              <w:rPr>
                <w:rFonts w:ascii="Arial" w:cs="Arial" w:eastAsia="Arial" w:hAnsi="Arial"/>
                <w:sz w:val="13"/>
                <w:szCs w:val="13"/>
                <w:color w:val="FFFFFF"/>
                <w:w w:val="95"/>
              </w:rPr>
              <w:t>Market</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rPr>
              <w:t>of</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right="137"/>
              <w:spacing w:after="0" w:line="135" w:lineRule="exact"/>
              <w:rPr>
                <w:sz w:val="20"/>
                <w:szCs w:val="20"/>
                <w:color w:val="auto"/>
              </w:rPr>
            </w:pPr>
            <w:r>
              <w:rPr>
                <w:rFonts w:ascii="Arial" w:cs="Arial" w:eastAsia="Arial" w:hAnsi="Arial"/>
                <w:sz w:val="13"/>
                <w:szCs w:val="13"/>
                <w:color w:val="FFFFFF"/>
                <w:w w:val="95"/>
              </w:rPr>
              <w:t>Market</w:t>
            </w: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8"/>
              </w:rPr>
              <w:t>or Units</w:t>
            </w: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jc w:val="center"/>
              <w:ind w:right="197"/>
              <w:spacing w:after="0" w:line="135" w:lineRule="exact"/>
              <w:rPr>
                <w:sz w:val="20"/>
                <w:szCs w:val="20"/>
                <w:color w:val="auto"/>
              </w:rPr>
            </w:pPr>
            <w:r>
              <w:rPr>
                <w:rFonts w:ascii="Arial" w:cs="Arial" w:eastAsia="Arial" w:hAnsi="Arial"/>
                <w:sz w:val="13"/>
                <w:szCs w:val="13"/>
                <w:color w:val="FFFFFF"/>
                <w:w w:val="96"/>
              </w:rPr>
              <w:t>Value of</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8"/>
              </w:rPr>
              <w:t>Unearned</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right="137"/>
              <w:spacing w:after="0" w:line="135" w:lineRule="exact"/>
              <w:rPr>
                <w:sz w:val="20"/>
                <w:szCs w:val="20"/>
                <w:color w:val="auto"/>
              </w:rPr>
            </w:pPr>
            <w:r>
              <w:rPr>
                <w:rFonts w:ascii="Arial" w:cs="Arial" w:eastAsia="Arial" w:hAnsi="Arial"/>
                <w:sz w:val="13"/>
                <w:szCs w:val="13"/>
                <w:color w:val="FFFFFF"/>
                <w:w w:val="96"/>
              </w:rPr>
              <w:t>Value of</w:t>
            </w: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7"/>
              </w:rPr>
              <w:t>of Stock</w:t>
            </w: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jc w:val="center"/>
              <w:ind w:right="197"/>
              <w:spacing w:after="0" w:line="135" w:lineRule="exact"/>
              <w:rPr>
                <w:sz w:val="20"/>
                <w:szCs w:val="20"/>
                <w:color w:val="auto"/>
              </w:rPr>
            </w:pPr>
            <w:r>
              <w:rPr>
                <w:rFonts w:ascii="Arial" w:cs="Arial" w:eastAsia="Arial" w:hAnsi="Arial"/>
                <w:sz w:val="13"/>
                <w:szCs w:val="13"/>
                <w:color w:val="FFFFFF"/>
                <w:w w:val="95"/>
              </w:rPr>
              <w:t>Shares or</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9"/>
              </w:rPr>
              <w:t>Shares or</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right="137"/>
              <w:spacing w:after="0" w:line="135" w:lineRule="exact"/>
              <w:rPr>
                <w:sz w:val="20"/>
                <w:szCs w:val="20"/>
                <w:color w:val="auto"/>
              </w:rPr>
            </w:pPr>
            <w:r>
              <w:rPr>
                <w:rFonts w:ascii="Arial" w:cs="Arial" w:eastAsia="Arial" w:hAnsi="Arial"/>
                <w:sz w:val="13"/>
                <w:szCs w:val="13"/>
                <w:color w:val="FFFFFF"/>
                <w:w w:val="94"/>
              </w:rPr>
              <w:t>Unearned</w:t>
            </w: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9"/>
              </w:rPr>
              <w:t>That</w:t>
            </w: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jc w:val="center"/>
              <w:ind w:right="197"/>
              <w:spacing w:after="0" w:line="135" w:lineRule="exact"/>
              <w:rPr>
                <w:sz w:val="20"/>
                <w:szCs w:val="20"/>
                <w:color w:val="auto"/>
              </w:rPr>
            </w:pPr>
            <w:r>
              <w:rPr>
                <w:rFonts w:ascii="Arial" w:cs="Arial" w:eastAsia="Arial" w:hAnsi="Arial"/>
                <w:sz w:val="13"/>
                <w:szCs w:val="13"/>
                <w:color w:val="FFFFFF"/>
                <w:w w:val="95"/>
              </w:rPr>
              <w:t>Units of</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4"/>
              </w:rPr>
              <w:t>Units</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right="137"/>
              <w:spacing w:after="0" w:line="135" w:lineRule="exact"/>
              <w:rPr>
                <w:sz w:val="20"/>
                <w:szCs w:val="20"/>
                <w:color w:val="auto"/>
              </w:rPr>
            </w:pPr>
            <w:r>
              <w:rPr>
                <w:rFonts w:ascii="Arial" w:cs="Arial" w:eastAsia="Arial" w:hAnsi="Arial"/>
                <w:sz w:val="13"/>
                <w:szCs w:val="13"/>
                <w:color w:val="FFFFFF"/>
                <w:w w:val="95"/>
              </w:rPr>
              <w:t>Shares or</w:t>
            </w: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spacing w:after="0"/>
              <w:rPr>
                <w:sz w:val="11"/>
                <w:szCs w:val="11"/>
                <w:color w:val="auto"/>
              </w:rPr>
            </w:pP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8"/>
              </w:rPr>
              <w:t>Have</w:t>
            </w:r>
          </w:p>
        </w:tc>
        <w:tc>
          <w:tcPr>
            <w:tcW w:w="240" w:type="dxa"/>
            <w:vAlign w:val="bottom"/>
            <w:shd w:val="clear" w:color="auto" w:fill="1A6DBB"/>
          </w:tcPr>
          <w:p>
            <w:pPr>
              <w:spacing w:after="0"/>
              <w:rPr>
                <w:sz w:val="11"/>
                <w:szCs w:val="11"/>
                <w:color w:val="auto"/>
              </w:rPr>
            </w:pPr>
          </w:p>
        </w:tc>
        <w:tc>
          <w:tcPr>
            <w:tcW w:w="800" w:type="dxa"/>
            <w:vAlign w:val="bottom"/>
            <w:shd w:val="clear" w:color="auto" w:fill="1A6DBB"/>
          </w:tcPr>
          <w:p>
            <w:pPr>
              <w:jc w:val="center"/>
              <w:ind w:right="177"/>
              <w:spacing w:after="0" w:line="135" w:lineRule="exact"/>
              <w:rPr>
                <w:sz w:val="20"/>
                <w:szCs w:val="20"/>
                <w:color w:val="auto"/>
              </w:rPr>
            </w:pPr>
            <w:r>
              <w:rPr>
                <w:rFonts w:ascii="Arial" w:cs="Arial" w:eastAsia="Arial" w:hAnsi="Arial"/>
                <w:sz w:val="13"/>
                <w:szCs w:val="13"/>
                <w:color w:val="FFFFFF"/>
                <w:w w:val="98"/>
              </w:rPr>
              <w:t>Stock</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2"/>
              </w:rPr>
              <w:t>That</w:t>
            </w:r>
          </w:p>
        </w:tc>
        <w:tc>
          <w:tcPr>
            <w:tcW w:w="1140" w:type="dxa"/>
            <w:vAlign w:val="bottom"/>
            <w:gridSpan w:val="2"/>
            <w:shd w:val="clear" w:color="auto" w:fill="1A6DBB"/>
          </w:tcPr>
          <w:p>
            <w:pPr>
              <w:jc w:val="center"/>
              <w:ind w:left="137"/>
              <w:spacing w:after="0" w:line="135" w:lineRule="exact"/>
              <w:rPr>
                <w:sz w:val="20"/>
                <w:szCs w:val="20"/>
                <w:color w:val="auto"/>
              </w:rPr>
            </w:pPr>
            <w:r>
              <w:rPr>
                <w:rFonts w:ascii="Arial" w:cs="Arial" w:eastAsia="Arial" w:hAnsi="Arial"/>
                <w:sz w:val="13"/>
                <w:szCs w:val="13"/>
                <w:color w:val="FFFFFF"/>
                <w:w w:val="97"/>
              </w:rPr>
              <w:t>Units That</w:t>
            </w: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8"/>
              </w:rPr>
              <w:t>Grant</w:t>
            </w: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8"/>
              </w:rPr>
              <w:t>Not</w:t>
            </w:r>
          </w:p>
        </w:tc>
        <w:tc>
          <w:tcPr>
            <w:tcW w:w="1040" w:type="dxa"/>
            <w:vAlign w:val="bottom"/>
            <w:gridSpan w:val="2"/>
            <w:shd w:val="clear" w:color="auto" w:fill="1A6DBB"/>
          </w:tcPr>
          <w:p>
            <w:pPr>
              <w:jc w:val="center"/>
              <w:spacing w:after="0" w:line="135" w:lineRule="exact"/>
              <w:rPr>
                <w:sz w:val="20"/>
                <w:szCs w:val="20"/>
                <w:color w:val="auto"/>
              </w:rPr>
            </w:pPr>
            <w:r>
              <w:rPr>
                <w:rFonts w:ascii="Arial" w:cs="Arial" w:eastAsia="Arial" w:hAnsi="Arial"/>
                <w:sz w:val="13"/>
                <w:szCs w:val="13"/>
                <w:color w:val="FFFFFF"/>
                <w:w w:val="96"/>
              </w:rPr>
              <w:t>That Have</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5"/>
              </w:rPr>
              <w:t>Have Not</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5"/>
              </w:rPr>
              <w:t>Have Not</w:t>
            </w:r>
          </w:p>
        </w:tc>
        <w:tc>
          <w:tcPr>
            <w:tcW w:w="0" w:type="dxa"/>
            <w:vAlign w:val="bottom"/>
          </w:tcPr>
          <w:p>
            <w:pPr>
              <w:spacing w:after="0"/>
              <w:rPr>
                <w:sz w:val="1"/>
                <w:szCs w:val="1"/>
                <w:color w:val="auto"/>
              </w:rPr>
            </w:pPr>
          </w:p>
        </w:tc>
      </w:tr>
      <w:tr>
        <w:trPr>
          <w:trHeight w:val="135"/>
        </w:trPr>
        <w:tc>
          <w:tcPr>
            <w:tcW w:w="5820" w:type="dxa"/>
            <w:vAlign w:val="bottom"/>
            <w:shd w:val="clear" w:color="auto" w:fill="1A6DBB"/>
          </w:tcPr>
          <w:p>
            <w:pPr>
              <w:spacing w:after="0"/>
              <w:rPr>
                <w:sz w:val="11"/>
                <w:szCs w:val="11"/>
                <w:color w:val="auto"/>
              </w:rPr>
            </w:pPr>
          </w:p>
        </w:tc>
        <w:tc>
          <w:tcPr>
            <w:tcW w:w="86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4"/>
              </w:rPr>
              <w:t>Date</w:t>
            </w:r>
          </w:p>
        </w:tc>
        <w:tc>
          <w:tcPr>
            <w:tcW w:w="680" w:type="dxa"/>
            <w:vAlign w:val="bottom"/>
            <w:shd w:val="clear" w:color="auto" w:fill="1A6DBB"/>
          </w:tcPr>
          <w:p>
            <w:pPr>
              <w:spacing w:after="0"/>
              <w:rPr>
                <w:sz w:val="11"/>
                <w:szCs w:val="11"/>
                <w:color w:val="auto"/>
              </w:rPr>
            </w:pP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3"/>
              </w:rPr>
              <w:t>Vested</w:t>
            </w:r>
          </w:p>
        </w:tc>
        <w:tc>
          <w:tcPr>
            <w:tcW w:w="1040" w:type="dxa"/>
            <w:vAlign w:val="bottom"/>
            <w:gridSpan w:val="2"/>
            <w:shd w:val="clear" w:color="auto" w:fill="1A6DBB"/>
          </w:tcPr>
          <w:p>
            <w:pPr>
              <w:jc w:val="center"/>
              <w:spacing w:after="0" w:line="135" w:lineRule="exact"/>
              <w:rPr>
                <w:sz w:val="20"/>
                <w:szCs w:val="20"/>
                <w:color w:val="auto"/>
              </w:rPr>
            </w:pPr>
            <w:r>
              <w:rPr>
                <w:rFonts w:ascii="Arial" w:cs="Arial" w:eastAsia="Arial" w:hAnsi="Arial"/>
                <w:sz w:val="13"/>
                <w:szCs w:val="13"/>
                <w:color w:val="FFFFFF"/>
                <w:w w:val="96"/>
              </w:rPr>
              <w:t>Not Vested</w:t>
            </w:r>
          </w:p>
        </w:tc>
        <w:tc>
          <w:tcPr>
            <w:tcW w:w="740" w:type="dxa"/>
            <w:vAlign w:val="bottom"/>
            <w:shd w:val="clear" w:color="auto" w:fill="1A6DBB"/>
          </w:tcPr>
          <w:p>
            <w:pPr>
              <w:jc w:val="center"/>
              <w:ind w:left="77"/>
              <w:spacing w:after="0" w:line="135" w:lineRule="exact"/>
              <w:rPr>
                <w:sz w:val="20"/>
                <w:szCs w:val="20"/>
                <w:color w:val="auto"/>
              </w:rPr>
            </w:pPr>
            <w:r>
              <w:rPr>
                <w:rFonts w:ascii="Arial" w:cs="Arial" w:eastAsia="Arial" w:hAnsi="Arial"/>
                <w:sz w:val="13"/>
                <w:szCs w:val="13"/>
                <w:color w:val="FFFFFF"/>
                <w:w w:val="98"/>
              </w:rPr>
              <w:t>Vested</w:t>
            </w:r>
          </w:p>
        </w:tc>
        <w:tc>
          <w:tcPr>
            <w:tcW w:w="400" w:type="dxa"/>
            <w:vAlign w:val="bottom"/>
            <w:shd w:val="clear" w:color="auto" w:fill="1A6DBB"/>
          </w:tcPr>
          <w:p>
            <w:pPr>
              <w:spacing w:after="0"/>
              <w:rPr>
                <w:sz w:val="11"/>
                <w:szCs w:val="11"/>
                <w:color w:val="auto"/>
              </w:rPr>
            </w:pPr>
          </w:p>
        </w:tc>
        <w:tc>
          <w:tcPr>
            <w:tcW w:w="74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8"/>
              </w:rPr>
              <w:t>Vested</w:t>
            </w:r>
            <w:r>
              <w:rPr>
                <w:rFonts w:ascii="Arial" w:cs="Arial" w:eastAsia="Arial" w:hAnsi="Arial"/>
                <w:sz w:val="10"/>
                <w:szCs w:val="10"/>
                <w:color w:val="FFFFFF"/>
                <w:w w:val="98"/>
              </w:rPr>
              <w:t>(1)</w:t>
            </w:r>
          </w:p>
        </w:tc>
        <w:tc>
          <w:tcPr>
            <w:tcW w:w="0" w:type="dxa"/>
            <w:vAlign w:val="bottom"/>
          </w:tcPr>
          <w:p>
            <w:pPr>
              <w:spacing w:after="0"/>
              <w:rPr>
                <w:sz w:val="1"/>
                <w:szCs w:val="1"/>
                <w:color w:val="auto"/>
              </w:rPr>
            </w:pPr>
          </w:p>
        </w:tc>
      </w:tr>
      <w:tr>
        <w:trPr>
          <w:trHeight w:val="166"/>
        </w:trPr>
        <w:tc>
          <w:tcPr>
            <w:tcW w:w="5820" w:type="dxa"/>
            <w:vAlign w:val="bottom"/>
            <w:shd w:val="clear" w:color="auto" w:fill="1A6DBB"/>
          </w:tcPr>
          <w:p>
            <w:pPr>
              <w:ind w:left="2840"/>
              <w:spacing w:after="0"/>
              <w:rPr>
                <w:sz w:val="20"/>
                <w:szCs w:val="20"/>
                <w:color w:val="auto"/>
              </w:rPr>
            </w:pPr>
            <w:r>
              <w:rPr>
                <w:rFonts w:ascii="Arial" w:cs="Arial" w:eastAsia="Arial" w:hAnsi="Arial"/>
                <w:sz w:val="13"/>
                <w:szCs w:val="13"/>
                <w:color w:val="FFFFFF"/>
              </w:rPr>
              <w:t>(a)</w:t>
            </w:r>
          </w:p>
        </w:tc>
        <w:tc>
          <w:tcPr>
            <w:tcW w:w="860" w:type="dxa"/>
            <w:vAlign w:val="bottom"/>
            <w:shd w:val="clear" w:color="auto" w:fill="1A6DBB"/>
          </w:tcPr>
          <w:p>
            <w:pPr>
              <w:jc w:val="center"/>
              <w:spacing w:after="0"/>
              <w:rPr>
                <w:sz w:val="20"/>
                <w:szCs w:val="20"/>
                <w:color w:val="auto"/>
              </w:rPr>
            </w:pPr>
            <w:r>
              <w:rPr>
                <w:rFonts w:ascii="Arial" w:cs="Arial" w:eastAsia="Arial" w:hAnsi="Arial"/>
                <w:sz w:val="13"/>
                <w:szCs w:val="13"/>
                <w:color w:val="FFFFFF"/>
              </w:rPr>
              <w:t>(b)</w:t>
            </w:r>
          </w:p>
        </w:tc>
        <w:tc>
          <w:tcPr>
            <w:tcW w:w="680" w:type="dxa"/>
            <w:vAlign w:val="bottom"/>
            <w:shd w:val="clear" w:color="auto" w:fill="1A6DBB"/>
          </w:tcPr>
          <w:p>
            <w:pPr>
              <w:jc w:val="center"/>
              <w:ind w:left="37"/>
              <w:spacing w:after="0"/>
              <w:rPr>
                <w:sz w:val="20"/>
                <w:szCs w:val="20"/>
                <w:color w:val="auto"/>
              </w:rPr>
            </w:pPr>
            <w:r>
              <w:rPr>
                <w:rFonts w:ascii="Arial" w:cs="Arial" w:eastAsia="Arial" w:hAnsi="Arial"/>
                <w:sz w:val="13"/>
                <w:szCs w:val="13"/>
                <w:color w:val="FFFFFF"/>
                <w:w w:val="99"/>
              </w:rPr>
              <w:t>Notes</w:t>
            </w:r>
          </w:p>
        </w:tc>
        <w:tc>
          <w:tcPr>
            <w:tcW w:w="740" w:type="dxa"/>
            <w:vAlign w:val="bottom"/>
            <w:shd w:val="clear" w:color="auto" w:fill="1A6DBB"/>
          </w:tcPr>
          <w:p>
            <w:pPr>
              <w:jc w:val="center"/>
              <w:spacing w:after="0"/>
              <w:rPr>
                <w:sz w:val="20"/>
                <w:szCs w:val="20"/>
                <w:color w:val="auto"/>
              </w:rPr>
            </w:pPr>
            <w:r>
              <w:rPr>
                <w:rFonts w:ascii="Arial" w:cs="Arial" w:eastAsia="Arial" w:hAnsi="Arial"/>
                <w:sz w:val="13"/>
                <w:szCs w:val="13"/>
                <w:color w:val="FFFFFF"/>
                <w:w w:val="92"/>
              </w:rPr>
              <w:t>(c)</w:t>
            </w:r>
          </w:p>
        </w:tc>
        <w:tc>
          <w:tcPr>
            <w:tcW w:w="240" w:type="dxa"/>
            <w:vAlign w:val="bottom"/>
            <w:shd w:val="clear" w:color="auto" w:fill="1A6DBB"/>
          </w:tcPr>
          <w:p>
            <w:pPr>
              <w:spacing w:after="0"/>
              <w:rPr>
                <w:sz w:val="14"/>
                <w:szCs w:val="14"/>
                <w:color w:val="auto"/>
              </w:rPr>
            </w:pPr>
          </w:p>
        </w:tc>
        <w:tc>
          <w:tcPr>
            <w:tcW w:w="800" w:type="dxa"/>
            <w:vAlign w:val="bottom"/>
            <w:shd w:val="clear" w:color="auto" w:fill="1A6DBB"/>
          </w:tcPr>
          <w:p>
            <w:pPr>
              <w:jc w:val="center"/>
              <w:ind w:right="177"/>
              <w:spacing w:after="0"/>
              <w:rPr>
                <w:sz w:val="20"/>
                <w:szCs w:val="20"/>
                <w:color w:val="auto"/>
              </w:rPr>
            </w:pPr>
            <w:r>
              <w:rPr>
                <w:rFonts w:ascii="Arial" w:cs="Arial" w:eastAsia="Arial" w:hAnsi="Arial"/>
                <w:sz w:val="13"/>
                <w:szCs w:val="13"/>
                <w:color w:val="FFFFFF"/>
              </w:rPr>
              <w:t>(d)</w:t>
            </w:r>
          </w:p>
        </w:tc>
        <w:tc>
          <w:tcPr>
            <w:tcW w:w="740" w:type="dxa"/>
            <w:vAlign w:val="bottom"/>
            <w:shd w:val="clear" w:color="auto" w:fill="1A6DBB"/>
          </w:tcPr>
          <w:p>
            <w:pPr>
              <w:jc w:val="center"/>
              <w:ind w:left="77"/>
              <w:spacing w:after="0"/>
              <w:rPr>
                <w:sz w:val="20"/>
                <w:szCs w:val="20"/>
                <w:color w:val="auto"/>
              </w:rPr>
            </w:pPr>
            <w:r>
              <w:rPr>
                <w:rFonts w:ascii="Arial" w:cs="Arial" w:eastAsia="Arial" w:hAnsi="Arial"/>
                <w:sz w:val="13"/>
                <w:szCs w:val="13"/>
                <w:color w:val="FFFFFF"/>
              </w:rPr>
              <w:t>(e)</w:t>
            </w:r>
          </w:p>
        </w:tc>
        <w:tc>
          <w:tcPr>
            <w:tcW w:w="400" w:type="dxa"/>
            <w:vAlign w:val="bottom"/>
            <w:shd w:val="clear" w:color="auto" w:fill="1A6DBB"/>
          </w:tcPr>
          <w:p>
            <w:pPr>
              <w:spacing w:after="0"/>
              <w:rPr>
                <w:sz w:val="14"/>
                <w:szCs w:val="14"/>
                <w:color w:val="auto"/>
              </w:rPr>
            </w:pPr>
          </w:p>
        </w:tc>
        <w:tc>
          <w:tcPr>
            <w:tcW w:w="740" w:type="dxa"/>
            <w:vAlign w:val="bottom"/>
            <w:shd w:val="clear" w:color="auto" w:fill="1A6DBB"/>
          </w:tcPr>
          <w:p>
            <w:pPr>
              <w:jc w:val="center"/>
              <w:ind w:right="117"/>
              <w:spacing w:after="0"/>
              <w:rPr>
                <w:sz w:val="20"/>
                <w:szCs w:val="20"/>
                <w:color w:val="auto"/>
              </w:rPr>
            </w:pPr>
            <w:r>
              <w:rPr>
                <w:rFonts w:ascii="Arial" w:cs="Arial" w:eastAsia="Arial" w:hAnsi="Arial"/>
                <w:sz w:val="13"/>
                <w:szCs w:val="13"/>
                <w:color w:val="FFFFFF"/>
                <w:w w:val="97"/>
              </w:rPr>
              <w:t>(f)</w:t>
            </w:r>
          </w:p>
        </w:tc>
        <w:tc>
          <w:tcPr>
            <w:tcW w:w="0" w:type="dxa"/>
            <w:vAlign w:val="bottom"/>
          </w:tcPr>
          <w:p>
            <w:pPr>
              <w:spacing w:after="0"/>
              <w:rPr>
                <w:sz w:val="1"/>
                <w:szCs w:val="1"/>
                <w:color w:val="auto"/>
              </w:rPr>
            </w:pPr>
          </w:p>
        </w:tc>
      </w:tr>
      <w:tr>
        <w:trPr>
          <w:trHeight w:val="195"/>
        </w:trPr>
        <w:tc>
          <w:tcPr>
            <w:tcW w:w="5820" w:type="dxa"/>
            <w:vAlign w:val="bottom"/>
            <w:shd w:val="clear" w:color="auto" w:fill="E8F0F8"/>
          </w:tcPr>
          <w:p>
            <w:pPr>
              <w:ind w:left="60"/>
              <w:spacing w:after="0"/>
              <w:rPr>
                <w:sz w:val="20"/>
                <w:szCs w:val="20"/>
                <w:color w:val="auto"/>
              </w:rPr>
            </w:pPr>
            <w:r>
              <w:rPr>
                <w:rFonts w:ascii="Arial" w:cs="Arial" w:eastAsia="Arial" w:hAnsi="Arial"/>
                <w:sz w:val="13"/>
                <w:szCs w:val="13"/>
                <w:b w:val="1"/>
                <w:bCs w:val="1"/>
                <w:color w:val="auto"/>
              </w:rPr>
              <w:t>Michel Vounatsos</w:t>
            </w: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6"/>
                <w:szCs w:val="16"/>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6,263</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1,502,619</w:t>
            </w:r>
          </w:p>
        </w:tc>
        <w:tc>
          <w:tcPr>
            <w:tcW w:w="0" w:type="dxa"/>
            <w:vAlign w:val="bottom"/>
          </w:tcPr>
          <w:p>
            <w:pPr>
              <w:spacing w:after="0"/>
              <w:rPr>
                <w:sz w:val="1"/>
                <w:szCs w:val="1"/>
                <w:color w:val="auto"/>
              </w:rPr>
            </w:pPr>
          </w:p>
        </w:tc>
      </w:tr>
      <w:tr>
        <w:trPr>
          <w:trHeight w:val="223"/>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20,779</w:t>
            </w:r>
          </w:p>
        </w:tc>
        <w:tc>
          <w:tcPr>
            <w:tcW w:w="2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4,985,298</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8F0F8"/>
          </w:tcPr>
          <w:p>
            <w:pPr>
              <w:spacing w:after="0"/>
              <w:rPr>
                <w:sz w:val="19"/>
                <w:szCs w:val="19"/>
                <w:color w:val="auto"/>
              </w:rPr>
            </w:pP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9"/>
                <w:szCs w:val="19"/>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12,561</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3,013,635</w:t>
            </w:r>
          </w:p>
        </w:tc>
        <w:tc>
          <w:tcPr>
            <w:tcW w:w="0" w:type="dxa"/>
            <w:vAlign w:val="bottom"/>
          </w:tcPr>
          <w:p>
            <w:pPr>
              <w:spacing w:after="0"/>
              <w:rPr>
                <w:sz w:val="1"/>
                <w:szCs w:val="1"/>
                <w:color w:val="auto"/>
              </w:rPr>
            </w:pPr>
          </w:p>
        </w:tc>
      </w:tr>
      <w:tr>
        <w:trPr>
          <w:trHeight w:val="230"/>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6,088</w:t>
            </w:r>
          </w:p>
        </w:tc>
        <w:tc>
          <w:tcPr>
            <w:tcW w:w="2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1,460,633</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13,870</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3,327,690</w:t>
            </w:r>
          </w:p>
        </w:tc>
        <w:tc>
          <w:tcPr>
            <w:tcW w:w="0" w:type="dxa"/>
            <w:vAlign w:val="bottom"/>
          </w:tcPr>
          <w:p>
            <w:pPr>
              <w:spacing w:after="0"/>
              <w:rPr>
                <w:sz w:val="1"/>
                <w:szCs w:val="1"/>
                <w:color w:val="auto"/>
              </w:rPr>
            </w:pPr>
          </w:p>
        </w:tc>
      </w:tr>
      <w:tr>
        <w:trPr>
          <w:trHeight w:val="229"/>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9"/>
                <w:szCs w:val="19"/>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22,655</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5,435,388</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E8F0F8"/>
            </w:tcBorders>
            <w:shd w:val="clear" w:color="auto" w:fill="E8F0F8"/>
          </w:tcPr>
          <w:p>
            <w:pPr>
              <w:spacing w:after="0"/>
              <w:rPr>
                <w:sz w:val="23"/>
                <w:szCs w:val="23"/>
                <w:color w:val="auto"/>
              </w:rPr>
            </w:pPr>
          </w:p>
        </w:tc>
        <w:tc>
          <w:tcPr>
            <w:tcW w:w="86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tcBorders>
              <w:bottom w:val="single" w:sz="8" w:color="E8F0F8"/>
            </w:tcBorders>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tcBorders>
              <w:bottom w:val="single" w:sz="8" w:color="E8F0F8"/>
            </w:tcBorders>
            <w:shd w:val="clear" w:color="auto" w:fill="E8F0F8"/>
          </w:tcPr>
          <w:p>
            <w:pPr>
              <w:jc w:val="right"/>
              <w:ind w:right="97"/>
              <w:spacing w:after="0"/>
              <w:rPr>
                <w:sz w:val="20"/>
                <w:szCs w:val="20"/>
                <w:color w:val="auto"/>
              </w:rPr>
            </w:pPr>
            <w:r>
              <w:rPr>
                <w:rFonts w:ascii="Arial" w:cs="Arial" w:eastAsia="Arial" w:hAnsi="Arial"/>
                <w:sz w:val="13"/>
                <w:szCs w:val="13"/>
                <w:color w:val="auto"/>
              </w:rPr>
              <w:t>4,679</w:t>
            </w:r>
          </w:p>
        </w:tc>
        <w:tc>
          <w:tcPr>
            <w:tcW w:w="2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8F0F8"/>
            </w:tcBorders>
            <w:shd w:val="clear" w:color="auto" w:fill="E8F0F8"/>
          </w:tcPr>
          <w:p>
            <w:pPr>
              <w:jc w:val="right"/>
              <w:ind w:right="117"/>
              <w:spacing w:after="0"/>
              <w:rPr>
                <w:sz w:val="20"/>
                <w:szCs w:val="20"/>
                <w:color w:val="auto"/>
              </w:rPr>
            </w:pPr>
            <w:r>
              <w:rPr>
                <w:rFonts w:ascii="Arial" w:cs="Arial" w:eastAsia="Arial" w:hAnsi="Arial"/>
                <w:sz w:val="13"/>
                <w:szCs w:val="13"/>
                <w:color w:val="auto"/>
              </w:rPr>
              <w:t>1,122,586</w:t>
            </w:r>
          </w:p>
        </w:tc>
        <w:tc>
          <w:tcPr>
            <w:tcW w:w="7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19,631</w:t>
            </w:r>
          </w:p>
        </w:tc>
        <w:tc>
          <w:tcPr>
            <w:tcW w:w="4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4,709,870</w:t>
            </w:r>
          </w:p>
        </w:tc>
        <w:tc>
          <w:tcPr>
            <w:tcW w:w="0" w:type="dxa"/>
            <w:vAlign w:val="bottom"/>
          </w:tcPr>
          <w:p>
            <w:pPr>
              <w:spacing w:after="0"/>
              <w:rPr>
                <w:sz w:val="1"/>
                <w:szCs w:val="1"/>
                <w:color w:val="auto"/>
              </w:rPr>
            </w:pPr>
          </w:p>
        </w:tc>
      </w:tr>
      <w:tr>
        <w:trPr>
          <w:trHeight w:val="188"/>
        </w:trPr>
        <w:tc>
          <w:tcPr>
            <w:tcW w:w="5820" w:type="dxa"/>
            <w:vAlign w:val="bottom"/>
            <w:tcBorders>
              <w:top w:val="single" w:sz="8" w:color="1A6DBB"/>
            </w:tcBorders>
            <w:shd w:val="clear" w:color="auto" w:fill="BAD3EA"/>
          </w:tcPr>
          <w:p>
            <w:pPr>
              <w:ind w:left="60"/>
              <w:spacing w:after="0"/>
              <w:rPr>
                <w:sz w:val="20"/>
                <w:szCs w:val="20"/>
                <w:color w:val="auto"/>
              </w:rPr>
            </w:pPr>
            <w:r>
              <w:rPr>
                <w:rFonts w:ascii="Arial" w:cs="Arial" w:eastAsia="Arial" w:hAnsi="Arial"/>
                <w:sz w:val="13"/>
                <w:szCs w:val="13"/>
                <w:b w:val="1"/>
                <w:bCs w:val="1"/>
                <w:color w:val="auto"/>
              </w:rPr>
              <w:t>Michael R. McDonnell</w:t>
            </w:r>
          </w:p>
        </w:tc>
        <w:tc>
          <w:tcPr>
            <w:tcW w:w="860" w:type="dxa"/>
            <w:vAlign w:val="bottom"/>
            <w:tcBorders>
              <w:top w:val="single" w:sz="8" w:color="1A6DBB"/>
            </w:tcBorders>
            <w:shd w:val="clear" w:color="auto" w:fill="BAD3EA"/>
          </w:tcPr>
          <w:p>
            <w:pPr>
              <w:jc w:val="right"/>
              <w:ind w:right="37"/>
              <w:spacing w:after="0"/>
              <w:rPr>
                <w:sz w:val="20"/>
                <w:szCs w:val="20"/>
                <w:color w:val="auto"/>
              </w:rPr>
            </w:pPr>
            <w:r>
              <w:rPr>
                <w:rFonts w:ascii="Arial" w:cs="Arial" w:eastAsia="Arial" w:hAnsi="Arial"/>
                <w:sz w:val="13"/>
                <w:szCs w:val="13"/>
                <w:color w:val="auto"/>
              </w:rPr>
              <w:t>9/1/2020</w:t>
            </w:r>
          </w:p>
        </w:tc>
        <w:tc>
          <w:tcPr>
            <w:tcW w:w="680" w:type="dxa"/>
            <w:vAlign w:val="bottom"/>
            <w:tcBorders>
              <w:top w:val="single" w:sz="8" w:color="1A6DBB"/>
            </w:tcBorders>
            <w:shd w:val="clear" w:color="auto" w:fill="BAD3EA"/>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tcBorders>
              <w:top w:val="single" w:sz="8" w:color="1A6DBB"/>
            </w:tcBorders>
            <w:shd w:val="clear" w:color="auto" w:fill="BAD3EA"/>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1A6DBB"/>
            </w:tcBorders>
            <w:shd w:val="clear" w:color="auto" w:fill="BAD3EA"/>
          </w:tcPr>
          <w:p>
            <w:pPr>
              <w:spacing w:after="0"/>
              <w:rPr>
                <w:sz w:val="16"/>
                <w:szCs w:val="16"/>
                <w:color w:val="auto"/>
              </w:rPr>
            </w:pPr>
          </w:p>
        </w:tc>
        <w:tc>
          <w:tcPr>
            <w:tcW w:w="800" w:type="dxa"/>
            <w:vAlign w:val="bottom"/>
            <w:tcBorders>
              <w:top w:val="single" w:sz="8" w:color="1A6DBB"/>
            </w:tcBorders>
            <w:shd w:val="clear" w:color="auto" w:fill="BAD3EA"/>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5,364</w:t>
            </w:r>
          </w:p>
        </w:tc>
        <w:tc>
          <w:tcPr>
            <w:tcW w:w="40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1,286,931</w:t>
            </w:r>
          </w:p>
        </w:tc>
        <w:tc>
          <w:tcPr>
            <w:tcW w:w="0" w:type="dxa"/>
            <w:vAlign w:val="bottom"/>
          </w:tcPr>
          <w:p>
            <w:pPr>
              <w:spacing w:after="0"/>
              <w:rPr>
                <w:sz w:val="1"/>
                <w:szCs w:val="1"/>
                <w:color w:val="auto"/>
              </w:rPr>
            </w:pPr>
          </w:p>
        </w:tc>
      </w:tr>
      <w:tr>
        <w:trPr>
          <w:trHeight w:val="224"/>
        </w:trPr>
        <w:tc>
          <w:tcPr>
            <w:tcW w:w="582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9/1/2020</w:t>
            </w:r>
          </w:p>
        </w:tc>
        <w:tc>
          <w:tcPr>
            <w:tcW w:w="680" w:type="dxa"/>
            <w:vAlign w:val="bottom"/>
            <w:shd w:val="clear" w:color="auto" w:fill="BAD3EA"/>
          </w:tcPr>
          <w:p>
            <w:pPr>
              <w:jc w:val="center"/>
              <w:ind w:left="37"/>
              <w:spacing w:after="0"/>
              <w:rPr>
                <w:sz w:val="20"/>
                <w:szCs w:val="20"/>
                <w:color w:val="auto"/>
              </w:rPr>
            </w:pPr>
            <w:r>
              <w:rPr>
                <w:rFonts w:ascii="Arial" w:cs="Arial" w:eastAsia="Arial" w:hAnsi="Arial"/>
                <w:sz w:val="13"/>
                <w:szCs w:val="13"/>
                <w:color w:val="auto"/>
                <w:w w:val="87"/>
              </w:rPr>
              <w:t>(4)</w:t>
            </w:r>
          </w:p>
        </w:tc>
        <w:tc>
          <w:tcPr>
            <w:tcW w:w="740" w:type="dxa"/>
            <w:vAlign w:val="bottom"/>
            <w:shd w:val="clear" w:color="auto" w:fill="BAD3EA"/>
          </w:tcPr>
          <w:p>
            <w:pPr>
              <w:jc w:val="right"/>
              <w:ind w:right="97"/>
              <w:spacing w:after="0"/>
              <w:rPr>
                <w:sz w:val="20"/>
                <w:szCs w:val="20"/>
                <w:color w:val="auto"/>
              </w:rPr>
            </w:pPr>
            <w:r>
              <w:rPr>
                <w:rFonts w:ascii="Arial" w:cs="Arial" w:eastAsia="Arial" w:hAnsi="Arial"/>
                <w:sz w:val="13"/>
                <w:szCs w:val="13"/>
                <w:color w:val="auto"/>
              </w:rPr>
              <w:t>5,364</w:t>
            </w:r>
          </w:p>
        </w:tc>
        <w:tc>
          <w:tcPr>
            <w:tcW w:w="2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BAD3EA"/>
          </w:tcPr>
          <w:p>
            <w:pPr>
              <w:jc w:val="right"/>
              <w:ind w:right="117"/>
              <w:spacing w:after="0"/>
              <w:rPr>
                <w:sz w:val="20"/>
                <w:szCs w:val="20"/>
                <w:color w:val="auto"/>
              </w:rPr>
            </w:pPr>
            <w:r>
              <w:rPr>
                <w:rFonts w:ascii="Arial" w:cs="Arial" w:eastAsia="Arial" w:hAnsi="Arial"/>
                <w:sz w:val="13"/>
                <w:szCs w:val="13"/>
                <w:color w:val="auto"/>
              </w:rPr>
              <w:t>1,286,931</w:t>
            </w:r>
          </w:p>
        </w:tc>
        <w:tc>
          <w:tcPr>
            <w:tcW w:w="7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BAD3EA"/>
          </w:tcPr>
          <w:p>
            <w:pPr>
              <w:spacing w:after="0"/>
              <w:rPr>
                <w:sz w:val="19"/>
                <w:szCs w:val="19"/>
                <w:color w:val="auto"/>
              </w:rPr>
            </w:pPr>
          </w:p>
        </w:tc>
        <w:tc>
          <w:tcPr>
            <w:tcW w:w="74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shd w:val="clear" w:color="auto" w:fill="BAD3EA"/>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BAD3EA"/>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BAD3EA"/>
          </w:tcPr>
          <w:p>
            <w:pPr>
              <w:spacing w:after="0"/>
              <w:rPr>
                <w:sz w:val="19"/>
                <w:szCs w:val="19"/>
                <w:color w:val="auto"/>
              </w:rPr>
            </w:pPr>
          </w:p>
        </w:tc>
        <w:tc>
          <w:tcPr>
            <w:tcW w:w="800" w:type="dxa"/>
            <w:vAlign w:val="bottom"/>
            <w:shd w:val="clear" w:color="auto" w:fill="BAD3EA"/>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7,250</w:t>
            </w:r>
          </w:p>
        </w:tc>
        <w:tc>
          <w:tcPr>
            <w:tcW w:w="40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1,739,420</w:t>
            </w:r>
          </w:p>
        </w:tc>
        <w:tc>
          <w:tcPr>
            <w:tcW w:w="0" w:type="dxa"/>
            <w:vAlign w:val="bottom"/>
          </w:tcPr>
          <w:p>
            <w:pPr>
              <w:spacing w:after="0"/>
              <w:rPr>
                <w:sz w:val="1"/>
                <w:szCs w:val="1"/>
                <w:color w:val="auto"/>
              </w:rPr>
            </w:pPr>
          </w:p>
        </w:tc>
      </w:tr>
      <w:tr>
        <w:trPr>
          <w:trHeight w:val="275"/>
        </w:trPr>
        <w:tc>
          <w:tcPr>
            <w:tcW w:w="5820" w:type="dxa"/>
            <w:vAlign w:val="bottom"/>
            <w:tcBorders>
              <w:bottom w:val="single" w:sz="8" w:color="BAD3EA"/>
            </w:tcBorders>
            <w:shd w:val="clear" w:color="auto" w:fill="BAD3EA"/>
          </w:tcPr>
          <w:p>
            <w:pPr>
              <w:spacing w:after="0"/>
              <w:rPr>
                <w:sz w:val="23"/>
                <w:szCs w:val="23"/>
                <w:color w:val="auto"/>
              </w:rPr>
            </w:pPr>
          </w:p>
        </w:tc>
        <w:tc>
          <w:tcPr>
            <w:tcW w:w="860" w:type="dxa"/>
            <w:vAlign w:val="bottom"/>
            <w:tcBorders>
              <w:bottom w:val="single" w:sz="8" w:color="BAD3EA"/>
            </w:tcBorders>
            <w:shd w:val="clear" w:color="auto" w:fill="BAD3EA"/>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tcBorders>
              <w:bottom w:val="single" w:sz="8" w:color="BAD3EA"/>
            </w:tcBorders>
            <w:shd w:val="clear" w:color="auto" w:fill="BAD3EA"/>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tcBorders>
              <w:bottom w:val="single" w:sz="8" w:color="BAD3EA"/>
            </w:tcBorders>
            <w:shd w:val="clear" w:color="auto" w:fill="BAD3EA"/>
          </w:tcPr>
          <w:p>
            <w:pPr>
              <w:jc w:val="right"/>
              <w:ind w:right="97"/>
              <w:spacing w:after="0"/>
              <w:rPr>
                <w:sz w:val="20"/>
                <w:szCs w:val="20"/>
                <w:color w:val="auto"/>
              </w:rPr>
            </w:pPr>
            <w:r>
              <w:rPr>
                <w:rFonts w:ascii="Arial" w:cs="Arial" w:eastAsia="Arial" w:hAnsi="Arial"/>
                <w:sz w:val="13"/>
                <w:szCs w:val="13"/>
                <w:color w:val="auto"/>
              </w:rPr>
              <w:t>1,497</w:t>
            </w:r>
          </w:p>
        </w:tc>
        <w:tc>
          <w:tcPr>
            <w:tcW w:w="2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BAD3EA"/>
            </w:tcBorders>
            <w:shd w:val="clear" w:color="auto" w:fill="BAD3EA"/>
          </w:tcPr>
          <w:p>
            <w:pPr>
              <w:jc w:val="right"/>
              <w:ind w:right="117"/>
              <w:spacing w:after="0"/>
              <w:rPr>
                <w:sz w:val="20"/>
                <w:szCs w:val="20"/>
                <w:color w:val="auto"/>
              </w:rPr>
            </w:pPr>
            <w:r>
              <w:rPr>
                <w:rFonts w:ascii="Arial" w:cs="Arial" w:eastAsia="Arial" w:hAnsi="Arial"/>
                <w:sz w:val="13"/>
                <w:szCs w:val="13"/>
                <w:color w:val="auto"/>
              </w:rPr>
              <w:t>359,160</w:t>
            </w:r>
          </w:p>
        </w:tc>
        <w:tc>
          <w:tcPr>
            <w:tcW w:w="7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6,284</w:t>
            </w:r>
          </w:p>
        </w:tc>
        <w:tc>
          <w:tcPr>
            <w:tcW w:w="400" w:type="dxa"/>
            <w:vAlign w:val="bottom"/>
            <w:tcBorders>
              <w:bottom w:val="single" w:sz="8" w:color="BAD3EA"/>
            </w:tcBorders>
            <w:shd w:val="clear" w:color="auto" w:fill="BAD3EA"/>
          </w:tcPr>
          <w:p>
            <w:pPr>
              <w:spacing w:after="0"/>
              <w:rPr>
                <w:sz w:val="23"/>
                <w:szCs w:val="23"/>
                <w:color w:val="auto"/>
              </w:rPr>
            </w:pPr>
          </w:p>
        </w:tc>
        <w:tc>
          <w:tcPr>
            <w:tcW w:w="74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1,507,657</w:t>
            </w:r>
          </w:p>
        </w:tc>
        <w:tc>
          <w:tcPr>
            <w:tcW w:w="0" w:type="dxa"/>
            <w:vAlign w:val="bottom"/>
          </w:tcPr>
          <w:p>
            <w:pPr>
              <w:spacing w:after="0"/>
              <w:rPr>
                <w:sz w:val="1"/>
                <w:szCs w:val="1"/>
                <w:color w:val="auto"/>
              </w:rPr>
            </w:pPr>
          </w:p>
        </w:tc>
      </w:tr>
      <w:tr>
        <w:trPr>
          <w:trHeight w:val="188"/>
        </w:trPr>
        <w:tc>
          <w:tcPr>
            <w:tcW w:w="5820" w:type="dxa"/>
            <w:vAlign w:val="bottom"/>
            <w:tcBorders>
              <w:top w:val="single" w:sz="8" w:color="1A6DBB"/>
            </w:tcBorders>
            <w:shd w:val="clear" w:color="auto" w:fill="E8F0F8"/>
          </w:tcPr>
          <w:p>
            <w:pPr>
              <w:ind w:left="60"/>
              <w:spacing w:after="0"/>
              <w:rPr>
                <w:sz w:val="20"/>
                <w:szCs w:val="20"/>
                <w:color w:val="auto"/>
              </w:rPr>
            </w:pPr>
            <w:r>
              <w:rPr>
                <w:rFonts w:ascii="Arial" w:cs="Arial" w:eastAsia="Arial" w:hAnsi="Arial"/>
                <w:sz w:val="13"/>
                <w:szCs w:val="13"/>
                <w:b w:val="1"/>
                <w:bCs w:val="1"/>
                <w:color w:val="auto"/>
              </w:rPr>
              <w:t>Susan H. Alexander</w:t>
            </w:r>
          </w:p>
        </w:tc>
        <w:tc>
          <w:tcPr>
            <w:tcW w:w="860" w:type="dxa"/>
            <w:vAlign w:val="bottom"/>
            <w:tcBorders>
              <w:top w:val="single" w:sz="8" w:color="1A6DBB"/>
            </w:tcBorders>
            <w:shd w:val="clear" w:color="auto" w:fill="E8F0F8"/>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tcBorders>
              <w:top w:val="single" w:sz="8" w:color="1A6DBB"/>
            </w:tcBorders>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tcBorders>
              <w:top w:val="single" w:sz="8" w:color="1A6DBB"/>
            </w:tcBorders>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1A6DBB"/>
            </w:tcBorders>
            <w:shd w:val="clear" w:color="auto" w:fill="E8F0F8"/>
          </w:tcPr>
          <w:p>
            <w:pPr>
              <w:spacing w:after="0"/>
              <w:rPr>
                <w:sz w:val="16"/>
                <w:szCs w:val="16"/>
                <w:color w:val="auto"/>
              </w:rPr>
            </w:pPr>
          </w:p>
        </w:tc>
        <w:tc>
          <w:tcPr>
            <w:tcW w:w="800" w:type="dxa"/>
            <w:vAlign w:val="bottom"/>
            <w:tcBorders>
              <w:top w:val="single" w:sz="8" w:color="1A6DBB"/>
            </w:tcBorders>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1,672</w:t>
            </w:r>
          </w:p>
        </w:tc>
        <w:tc>
          <w:tcPr>
            <w:tcW w:w="40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401,146</w:t>
            </w:r>
          </w:p>
        </w:tc>
        <w:tc>
          <w:tcPr>
            <w:tcW w:w="0" w:type="dxa"/>
            <w:vAlign w:val="bottom"/>
          </w:tcPr>
          <w:p>
            <w:pPr>
              <w:spacing w:after="0"/>
              <w:rPr>
                <w:sz w:val="1"/>
                <w:szCs w:val="1"/>
                <w:color w:val="auto"/>
              </w:rPr>
            </w:pPr>
          </w:p>
        </w:tc>
      </w:tr>
      <w:tr>
        <w:trPr>
          <w:trHeight w:val="224"/>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5,542</w:t>
            </w:r>
          </w:p>
        </w:tc>
        <w:tc>
          <w:tcPr>
            <w:tcW w:w="2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1,329,637</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8F0F8"/>
          </w:tcPr>
          <w:p>
            <w:pPr>
              <w:spacing w:after="0"/>
              <w:rPr>
                <w:sz w:val="19"/>
                <w:szCs w:val="19"/>
                <w:color w:val="auto"/>
              </w:rPr>
            </w:pP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9"/>
                <w:szCs w:val="19"/>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3,217</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771,823</w:t>
            </w:r>
          </w:p>
        </w:tc>
        <w:tc>
          <w:tcPr>
            <w:tcW w:w="0" w:type="dxa"/>
            <w:vAlign w:val="bottom"/>
          </w:tcPr>
          <w:p>
            <w:pPr>
              <w:spacing w:after="0"/>
              <w:rPr>
                <w:sz w:val="1"/>
                <w:szCs w:val="1"/>
                <w:color w:val="auto"/>
              </w:rPr>
            </w:pPr>
          </w:p>
        </w:tc>
      </w:tr>
      <w:tr>
        <w:trPr>
          <w:trHeight w:val="230"/>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1,558</w:t>
            </w:r>
          </w:p>
        </w:tc>
        <w:tc>
          <w:tcPr>
            <w:tcW w:w="2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373,795</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3,553</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852,436</w:t>
            </w:r>
          </w:p>
        </w:tc>
        <w:tc>
          <w:tcPr>
            <w:tcW w:w="0" w:type="dxa"/>
            <w:vAlign w:val="bottom"/>
          </w:tcPr>
          <w:p>
            <w:pPr>
              <w:spacing w:after="0"/>
              <w:rPr>
                <w:sz w:val="1"/>
                <w:szCs w:val="1"/>
                <w:color w:val="auto"/>
              </w:rPr>
            </w:pPr>
          </w:p>
        </w:tc>
      </w:tr>
      <w:tr>
        <w:trPr>
          <w:trHeight w:val="229"/>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9"/>
                <w:szCs w:val="19"/>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5,435</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1,303,965</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E8F0F8"/>
            </w:tcBorders>
            <w:shd w:val="clear" w:color="auto" w:fill="E8F0F8"/>
          </w:tcPr>
          <w:p>
            <w:pPr>
              <w:spacing w:after="0"/>
              <w:rPr>
                <w:sz w:val="23"/>
                <w:szCs w:val="23"/>
                <w:color w:val="auto"/>
              </w:rPr>
            </w:pPr>
          </w:p>
        </w:tc>
        <w:tc>
          <w:tcPr>
            <w:tcW w:w="86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tcBorders>
              <w:bottom w:val="single" w:sz="8" w:color="E8F0F8"/>
            </w:tcBorders>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tcBorders>
              <w:bottom w:val="single" w:sz="8" w:color="E8F0F8"/>
            </w:tcBorders>
            <w:shd w:val="clear" w:color="auto" w:fill="E8F0F8"/>
          </w:tcPr>
          <w:p>
            <w:pPr>
              <w:jc w:val="right"/>
              <w:ind w:right="97"/>
              <w:spacing w:after="0"/>
              <w:rPr>
                <w:sz w:val="20"/>
                <w:szCs w:val="20"/>
                <w:color w:val="auto"/>
              </w:rPr>
            </w:pPr>
            <w:r>
              <w:rPr>
                <w:rFonts w:ascii="Arial" w:cs="Arial" w:eastAsia="Arial" w:hAnsi="Arial"/>
                <w:sz w:val="13"/>
                <w:szCs w:val="13"/>
                <w:color w:val="auto"/>
              </w:rPr>
              <w:t>1,122</w:t>
            </w:r>
          </w:p>
        </w:tc>
        <w:tc>
          <w:tcPr>
            <w:tcW w:w="2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8F0F8"/>
            </w:tcBorders>
            <w:shd w:val="clear" w:color="auto" w:fill="E8F0F8"/>
          </w:tcPr>
          <w:p>
            <w:pPr>
              <w:jc w:val="right"/>
              <w:ind w:right="117"/>
              <w:spacing w:after="0"/>
              <w:rPr>
                <w:sz w:val="20"/>
                <w:szCs w:val="20"/>
                <w:color w:val="auto"/>
              </w:rPr>
            </w:pPr>
            <w:r>
              <w:rPr>
                <w:rFonts w:ascii="Arial" w:cs="Arial" w:eastAsia="Arial" w:hAnsi="Arial"/>
                <w:sz w:val="13"/>
                <w:szCs w:val="13"/>
                <w:color w:val="auto"/>
              </w:rPr>
              <w:t>269,190</w:t>
            </w:r>
          </w:p>
        </w:tc>
        <w:tc>
          <w:tcPr>
            <w:tcW w:w="7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4,711</w:t>
            </w:r>
          </w:p>
        </w:tc>
        <w:tc>
          <w:tcPr>
            <w:tcW w:w="4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1,130,263</w:t>
            </w:r>
          </w:p>
        </w:tc>
        <w:tc>
          <w:tcPr>
            <w:tcW w:w="0" w:type="dxa"/>
            <w:vAlign w:val="bottom"/>
          </w:tcPr>
          <w:p>
            <w:pPr>
              <w:spacing w:after="0"/>
              <w:rPr>
                <w:sz w:val="1"/>
                <w:szCs w:val="1"/>
                <w:color w:val="auto"/>
              </w:rPr>
            </w:pPr>
          </w:p>
        </w:tc>
      </w:tr>
      <w:tr>
        <w:trPr>
          <w:trHeight w:val="188"/>
        </w:trPr>
        <w:tc>
          <w:tcPr>
            <w:tcW w:w="5820" w:type="dxa"/>
            <w:vAlign w:val="bottom"/>
            <w:tcBorders>
              <w:top w:val="single" w:sz="8" w:color="1A6DBB"/>
            </w:tcBorders>
            <w:shd w:val="clear" w:color="auto" w:fill="BAD3EA"/>
          </w:tcPr>
          <w:p>
            <w:pPr>
              <w:ind w:left="60"/>
              <w:spacing w:after="0"/>
              <w:rPr>
                <w:sz w:val="20"/>
                <w:szCs w:val="20"/>
                <w:color w:val="auto"/>
              </w:rPr>
            </w:pPr>
            <w:r>
              <w:rPr>
                <w:rFonts w:ascii="Arial" w:cs="Arial" w:eastAsia="Arial" w:hAnsi="Arial"/>
                <w:sz w:val="13"/>
                <w:szCs w:val="13"/>
                <w:b w:val="1"/>
                <w:bCs w:val="1"/>
                <w:color w:val="auto"/>
              </w:rPr>
              <w:t>Chirfi Guindo</w:t>
            </w:r>
          </w:p>
        </w:tc>
        <w:tc>
          <w:tcPr>
            <w:tcW w:w="860" w:type="dxa"/>
            <w:vAlign w:val="bottom"/>
            <w:tcBorders>
              <w:top w:val="single" w:sz="8" w:color="1A6DBB"/>
            </w:tcBorders>
            <w:shd w:val="clear" w:color="auto" w:fill="BAD3EA"/>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tcBorders>
              <w:top w:val="single" w:sz="8" w:color="1A6DBB"/>
            </w:tcBorders>
            <w:shd w:val="clear" w:color="auto" w:fill="BAD3EA"/>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tcBorders>
              <w:top w:val="single" w:sz="8" w:color="1A6DBB"/>
            </w:tcBorders>
            <w:shd w:val="clear" w:color="auto" w:fill="BAD3EA"/>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1A6DBB"/>
            </w:tcBorders>
            <w:shd w:val="clear" w:color="auto" w:fill="BAD3EA"/>
          </w:tcPr>
          <w:p>
            <w:pPr>
              <w:spacing w:after="0"/>
              <w:rPr>
                <w:sz w:val="16"/>
                <w:szCs w:val="16"/>
                <w:color w:val="auto"/>
              </w:rPr>
            </w:pPr>
          </w:p>
        </w:tc>
        <w:tc>
          <w:tcPr>
            <w:tcW w:w="800" w:type="dxa"/>
            <w:vAlign w:val="bottom"/>
            <w:tcBorders>
              <w:top w:val="single" w:sz="8" w:color="1A6DBB"/>
            </w:tcBorders>
            <w:shd w:val="clear" w:color="auto" w:fill="BAD3EA"/>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1,828</w:t>
            </w:r>
          </w:p>
        </w:tc>
        <w:tc>
          <w:tcPr>
            <w:tcW w:w="40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438,574</w:t>
            </w:r>
          </w:p>
        </w:tc>
        <w:tc>
          <w:tcPr>
            <w:tcW w:w="0" w:type="dxa"/>
            <w:vAlign w:val="bottom"/>
          </w:tcPr>
          <w:p>
            <w:pPr>
              <w:spacing w:after="0"/>
              <w:rPr>
                <w:sz w:val="1"/>
                <w:szCs w:val="1"/>
                <w:color w:val="auto"/>
              </w:rPr>
            </w:pPr>
          </w:p>
        </w:tc>
      </w:tr>
      <w:tr>
        <w:trPr>
          <w:trHeight w:val="224"/>
        </w:trPr>
        <w:tc>
          <w:tcPr>
            <w:tcW w:w="582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shd w:val="clear" w:color="auto" w:fill="BAD3EA"/>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BAD3EA"/>
          </w:tcPr>
          <w:p>
            <w:pPr>
              <w:jc w:val="right"/>
              <w:ind w:right="97"/>
              <w:spacing w:after="0"/>
              <w:rPr>
                <w:sz w:val="20"/>
                <w:szCs w:val="20"/>
                <w:color w:val="auto"/>
              </w:rPr>
            </w:pPr>
            <w:r>
              <w:rPr>
                <w:rFonts w:ascii="Arial" w:cs="Arial" w:eastAsia="Arial" w:hAnsi="Arial"/>
                <w:sz w:val="13"/>
                <w:szCs w:val="13"/>
                <w:color w:val="auto"/>
              </w:rPr>
              <w:t>6,063</w:t>
            </w:r>
          </w:p>
        </w:tc>
        <w:tc>
          <w:tcPr>
            <w:tcW w:w="2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BAD3EA"/>
          </w:tcPr>
          <w:p>
            <w:pPr>
              <w:jc w:val="right"/>
              <w:ind w:right="117"/>
              <w:spacing w:after="0"/>
              <w:rPr>
                <w:sz w:val="20"/>
                <w:szCs w:val="20"/>
                <w:color w:val="auto"/>
              </w:rPr>
            </w:pPr>
            <w:r>
              <w:rPr>
                <w:rFonts w:ascii="Arial" w:cs="Arial" w:eastAsia="Arial" w:hAnsi="Arial"/>
                <w:sz w:val="13"/>
                <w:szCs w:val="13"/>
                <w:color w:val="auto"/>
              </w:rPr>
              <w:t>1,454,635</w:t>
            </w:r>
          </w:p>
        </w:tc>
        <w:tc>
          <w:tcPr>
            <w:tcW w:w="7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BAD3EA"/>
          </w:tcPr>
          <w:p>
            <w:pPr>
              <w:spacing w:after="0"/>
              <w:rPr>
                <w:sz w:val="19"/>
                <w:szCs w:val="19"/>
                <w:color w:val="auto"/>
              </w:rPr>
            </w:pPr>
          </w:p>
        </w:tc>
        <w:tc>
          <w:tcPr>
            <w:tcW w:w="74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BAD3EA"/>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BAD3EA"/>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BAD3EA"/>
          </w:tcPr>
          <w:p>
            <w:pPr>
              <w:spacing w:after="0"/>
              <w:rPr>
                <w:sz w:val="19"/>
                <w:szCs w:val="19"/>
                <w:color w:val="auto"/>
              </w:rPr>
            </w:pPr>
          </w:p>
        </w:tc>
        <w:tc>
          <w:tcPr>
            <w:tcW w:w="800" w:type="dxa"/>
            <w:vAlign w:val="bottom"/>
            <w:shd w:val="clear" w:color="auto" w:fill="BAD3EA"/>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3,817</w:t>
            </w:r>
          </w:p>
        </w:tc>
        <w:tc>
          <w:tcPr>
            <w:tcW w:w="40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915,775</w:t>
            </w:r>
          </w:p>
        </w:tc>
        <w:tc>
          <w:tcPr>
            <w:tcW w:w="0" w:type="dxa"/>
            <w:vAlign w:val="bottom"/>
          </w:tcPr>
          <w:p>
            <w:pPr>
              <w:spacing w:after="0"/>
              <w:rPr>
                <w:sz w:val="1"/>
                <w:szCs w:val="1"/>
                <w:color w:val="auto"/>
              </w:rPr>
            </w:pPr>
          </w:p>
        </w:tc>
      </w:tr>
      <w:tr>
        <w:trPr>
          <w:trHeight w:val="230"/>
        </w:trPr>
        <w:tc>
          <w:tcPr>
            <w:tcW w:w="582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BAD3EA"/>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BAD3EA"/>
          </w:tcPr>
          <w:p>
            <w:pPr>
              <w:jc w:val="right"/>
              <w:ind w:right="97"/>
              <w:spacing w:after="0"/>
              <w:rPr>
                <w:sz w:val="20"/>
                <w:szCs w:val="20"/>
                <w:color w:val="auto"/>
              </w:rPr>
            </w:pPr>
            <w:r>
              <w:rPr>
                <w:rFonts w:ascii="Arial" w:cs="Arial" w:eastAsia="Arial" w:hAnsi="Arial"/>
                <w:sz w:val="13"/>
                <w:szCs w:val="13"/>
                <w:color w:val="auto"/>
              </w:rPr>
              <w:t>1,852</w:t>
            </w:r>
          </w:p>
        </w:tc>
        <w:tc>
          <w:tcPr>
            <w:tcW w:w="2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BAD3EA"/>
          </w:tcPr>
          <w:p>
            <w:pPr>
              <w:jc w:val="right"/>
              <w:ind w:right="117"/>
              <w:spacing w:after="0"/>
              <w:rPr>
                <w:sz w:val="20"/>
                <w:szCs w:val="20"/>
                <w:color w:val="auto"/>
              </w:rPr>
            </w:pPr>
            <w:r>
              <w:rPr>
                <w:rFonts w:ascii="Arial" w:cs="Arial" w:eastAsia="Arial" w:hAnsi="Arial"/>
                <w:sz w:val="13"/>
                <w:szCs w:val="13"/>
                <w:color w:val="auto"/>
              </w:rPr>
              <w:t>444,332</w:t>
            </w:r>
          </w:p>
        </w:tc>
        <w:tc>
          <w:tcPr>
            <w:tcW w:w="7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4,218</w:t>
            </w:r>
          </w:p>
        </w:tc>
        <w:tc>
          <w:tcPr>
            <w:tcW w:w="40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1,011,983</w:t>
            </w:r>
          </w:p>
        </w:tc>
        <w:tc>
          <w:tcPr>
            <w:tcW w:w="0" w:type="dxa"/>
            <w:vAlign w:val="bottom"/>
          </w:tcPr>
          <w:p>
            <w:pPr>
              <w:spacing w:after="0"/>
              <w:rPr>
                <w:sz w:val="1"/>
                <w:szCs w:val="1"/>
                <w:color w:val="auto"/>
              </w:rPr>
            </w:pPr>
          </w:p>
        </w:tc>
      </w:tr>
      <w:tr>
        <w:trPr>
          <w:trHeight w:val="229"/>
        </w:trPr>
        <w:tc>
          <w:tcPr>
            <w:tcW w:w="5820" w:type="dxa"/>
            <w:vAlign w:val="bottom"/>
            <w:shd w:val="clear" w:color="auto" w:fill="BAD3EA"/>
          </w:tcPr>
          <w:p>
            <w:pPr>
              <w:spacing w:after="0"/>
              <w:rPr>
                <w:sz w:val="19"/>
                <w:szCs w:val="19"/>
                <w:color w:val="auto"/>
              </w:rPr>
            </w:pPr>
          </w:p>
        </w:tc>
        <w:tc>
          <w:tcPr>
            <w:tcW w:w="8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shd w:val="clear" w:color="auto" w:fill="BAD3EA"/>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BAD3EA"/>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BAD3EA"/>
          </w:tcPr>
          <w:p>
            <w:pPr>
              <w:spacing w:after="0"/>
              <w:rPr>
                <w:sz w:val="19"/>
                <w:szCs w:val="19"/>
                <w:color w:val="auto"/>
              </w:rPr>
            </w:pPr>
          </w:p>
        </w:tc>
        <w:tc>
          <w:tcPr>
            <w:tcW w:w="800" w:type="dxa"/>
            <w:vAlign w:val="bottom"/>
            <w:shd w:val="clear" w:color="auto" w:fill="BAD3EA"/>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spacing w:after="0"/>
              <w:rPr>
                <w:sz w:val="20"/>
                <w:szCs w:val="20"/>
                <w:color w:val="auto"/>
              </w:rPr>
            </w:pPr>
            <w:r>
              <w:rPr>
                <w:rFonts w:ascii="Arial" w:cs="Arial" w:eastAsia="Arial" w:hAnsi="Arial"/>
                <w:sz w:val="13"/>
                <w:szCs w:val="13"/>
                <w:color w:val="auto"/>
              </w:rPr>
              <w:t>7,250</w:t>
            </w:r>
          </w:p>
        </w:tc>
        <w:tc>
          <w:tcPr>
            <w:tcW w:w="40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1,739,420</w:t>
            </w:r>
          </w:p>
        </w:tc>
        <w:tc>
          <w:tcPr>
            <w:tcW w:w="0" w:type="dxa"/>
            <w:vAlign w:val="bottom"/>
          </w:tcPr>
          <w:p>
            <w:pPr>
              <w:spacing w:after="0"/>
              <w:rPr>
                <w:sz w:val="1"/>
                <w:szCs w:val="1"/>
                <w:color w:val="auto"/>
              </w:rPr>
            </w:pPr>
          </w:p>
        </w:tc>
      </w:tr>
      <w:tr>
        <w:trPr>
          <w:trHeight w:val="276"/>
        </w:trPr>
        <w:tc>
          <w:tcPr>
            <w:tcW w:w="5820" w:type="dxa"/>
            <w:vAlign w:val="bottom"/>
            <w:tcBorders>
              <w:bottom w:val="single" w:sz="8" w:color="BAD3EA"/>
            </w:tcBorders>
            <w:shd w:val="clear" w:color="auto" w:fill="BAD3EA"/>
          </w:tcPr>
          <w:p>
            <w:pPr>
              <w:spacing w:after="0"/>
              <w:rPr>
                <w:sz w:val="23"/>
                <w:szCs w:val="23"/>
                <w:color w:val="auto"/>
              </w:rPr>
            </w:pPr>
          </w:p>
        </w:tc>
        <w:tc>
          <w:tcPr>
            <w:tcW w:w="860" w:type="dxa"/>
            <w:vAlign w:val="bottom"/>
            <w:tcBorders>
              <w:bottom w:val="single" w:sz="8" w:color="BAD3EA"/>
            </w:tcBorders>
            <w:shd w:val="clear" w:color="auto" w:fill="BAD3EA"/>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tcBorders>
              <w:bottom w:val="single" w:sz="8" w:color="BAD3EA"/>
            </w:tcBorders>
            <w:shd w:val="clear" w:color="auto" w:fill="BAD3EA"/>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tcBorders>
              <w:bottom w:val="single" w:sz="8" w:color="BAD3EA"/>
            </w:tcBorders>
            <w:shd w:val="clear" w:color="auto" w:fill="BAD3EA"/>
          </w:tcPr>
          <w:p>
            <w:pPr>
              <w:jc w:val="right"/>
              <w:ind w:right="97"/>
              <w:spacing w:after="0"/>
              <w:rPr>
                <w:sz w:val="20"/>
                <w:szCs w:val="20"/>
                <w:color w:val="auto"/>
              </w:rPr>
            </w:pPr>
            <w:r>
              <w:rPr>
                <w:rFonts w:ascii="Arial" w:cs="Arial" w:eastAsia="Arial" w:hAnsi="Arial"/>
                <w:sz w:val="13"/>
                <w:szCs w:val="13"/>
                <w:color w:val="auto"/>
              </w:rPr>
              <w:t>1,497</w:t>
            </w:r>
          </w:p>
        </w:tc>
        <w:tc>
          <w:tcPr>
            <w:tcW w:w="2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BAD3EA"/>
            </w:tcBorders>
            <w:shd w:val="clear" w:color="auto" w:fill="BAD3EA"/>
          </w:tcPr>
          <w:p>
            <w:pPr>
              <w:jc w:val="right"/>
              <w:ind w:right="117"/>
              <w:spacing w:after="0"/>
              <w:rPr>
                <w:sz w:val="20"/>
                <w:szCs w:val="20"/>
                <w:color w:val="auto"/>
              </w:rPr>
            </w:pPr>
            <w:r>
              <w:rPr>
                <w:rFonts w:ascii="Arial" w:cs="Arial" w:eastAsia="Arial" w:hAnsi="Arial"/>
                <w:sz w:val="13"/>
                <w:szCs w:val="13"/>
                <w:color w:val="auto"/>
              </w:rPr>
              <w:t>359,160</w:t>
            </w:r>
          </w:p>
        </w:tc>
        <w:tc>
          <w:tcPr>
            <w:tcW w:w="7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6,284</w:t>
            </w:r>
          </w:p>
        </w:tc>
        <w:tc>
          <w:tcPr>
            <w:tcW w:w="40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1,507,657</w:t>
            </w:r>
          </w:p>
        </w:tc>
        <w:tc>
          <w:tcPr>
            <w:tcW w:w="0" w:type="dxa"/>
            <w:vAlign w:val="bottom"/>
          </w:tcPr>
          <w:p>
            <w:pPr>
              <w:spacing w:after="0"/>
              <w:rPr>
                <w:sz w:val="1"/>
                <w:szCs w:val="1"/>
                <w:color w:val="auto"/>
              </w:rPr>
            </w:pPr>
          </w:p>
        </w:tc>
      </w:tr>
      <w:tr>
        <w:trPr>
          <w:trHeight w:val="188"/>
        </w:trPr>
        <w:tc>
          <w:tcPr>
            <w:tcW w:w="5820" w:type="dxa"/>
            <w:vAlign w:val="bottom"/>
            <w:tcBorders>
              <w:top w:val="single" w:sz="8" w:color="1A6DBB"/>
            </w:tcBorders>
            <w:shd w:val="clear" w:color="auto" w:fill="E8F0F8"/>
          </w:tcPr>
          <w:p>
            <w:pPr>
              <w:ind w:left="60"/>
              <w:spacing w:after="0"/>
              <w:rPr>
                <w:sz w:val="20"/>
                <w:szCs w:val="20"/>
                <w:color w:val="auto"/>
              </w:rPr>
            </w:pPr>
            <w:r>
              <w:rPr>
                <w:rFonts w:ascii="Arial" w:cs="Arial" w:eastAsia="Arial" w:hAnsi="Arial"/>
                <w:sz w:val="13"/>
                <w:szCs w:val="13"/>
                <w:b w:val="1"/>
                <w:bCs w:val="1"/>
                <w:color w:val="auto"/>
              </w:rPr>
              <w:t>Alfred W. Sandrock, Jr.</w:t>
            </w:r>
          </w:p>
        </w:tc>
        <w:tc>
          <w:tcPr>
            <w:tcW w:w="860" w:type="dxa"/>
            <w:vAlign w:val="bottom"/>
            <w:tcBorders>
              <w:top w:val="single" w:sz="8" w:color="1A6DBB"/>
            </w:tcBorders>
            <w:shd w:val="clear" w:color="auto" w:fill="E8F0F8"/>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tcBorders>
              <w:top w:val="single" w:sz="8" w:color="1A6DBB"/>
            </w:tcBorders>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tcBorders>
              <w:top w:val="single" w:sz="8" w:color="1A6DBB"/>
            </w:tcBorders>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1A6DBB"/>
            </w:tcBorders>
            <w:shd w:val="clear" w:color="auto" w:fill="E8F0F8"/>
          </w:tcPr>
          <w:p>
            <w:pPr>
              <w:spacing w:after="0"/>
              <w:rPr>
                <w:sz w:val="16"/>
                <w:szCs w:val="16"/>
                <w:color w:val="auto"/>
              </w:rPr>
            </w:pPr>
          </w:p>
        </w:tc>
        <w:tc>
          <w:tcPr>
            <w:tcW w:w="800" w:type="dxa"/>
            <w:vAlign w:val="bottom"/>
            <w:tcBorders>
              <w:top w:val="single" w:sz="8" w:color="1A6DBB"/>
            </w:tcBorders>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1,723</w:t>
            </w:r>
          </w:p>
        </w:tc>
        <w:tc>
          <w:tcPr>
            <w:tcW w:w="40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413,382</w:t>
            </w:r>
          </w:p>
        </w:tc>
        <w:tc>
          <w:tcPr>
            <w:tcW w:w="0" w:type="dxa"/>
            <w:vAlign w:val="bottom"/>
          </w:tcPr>
          <w:p>
            <w:pPr>
              <w:spacing w:after="0"/>
              <w:rPr>
                <w:sz w:val="1"/>
                <w:szCs w:val="1"/>
                <w:color w:val="auto"/>
              </w:rPr>
            </w:pPr>
          </w:p>
        </w:tc>
      </w:tr>
      <w:tr>
        <w:trPr>
          <w:trHeight w:val="224"/>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2/12/2019</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5,713</w:t>
            </w:r>
          </w:p>
        </w:tc>
        <w:tc>
          <w:tcPr>
            <w:tcW w:w="2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1,370,663</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8F0F8"/>
          </w:tcPr>
          <w:p>
            <w:pPr>
              <w:spacing w:after="0"/>
              <w:rPr>
                <w:sz w:val="19"/>
                <w:szCs w:val="19"/>
                <w:color w:val="auto"/>
              </w:rPr>
            </w:pP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9"/>
                <w:szCs w:val="19"/>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4,021</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964,718</w:t>
            </w:r>
          </w:p>
        </w:tc>
        <w:tc>
          <w:tcPr>
            <w:tcW w:w="0" w:type="dxa"/>
            <w:vAlign w:val="bottom"/>
          </w:tcPr>
          <w:p>
            <w:pPr>
              <w:spacing w:after="0"/>
              <w:rPr>
                <w:sz w:val="1"/>
                <w:szCs w:val="1"/>
                <w:color w:val="auto"/>
              </w:rPr>
            </w:pPr>
          </w:p>
        </w:tc>
      </w:tr>
      <w:tr>
        <w:trPr>
          <w:trHeight w:val="230"/>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2/12/2020</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1,948</w:t>
            </w:r>
          </w:p>
        </w:tc>
        <w:tc>
          <w:tcPr>
            <w:tcW w:w="2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467,364</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4,435</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1,064,045</w:t>
            </w:r>
          </w:p>
        </w:tc>
        <w:tc>
          <w:tcPr>
            <w:tcW w:w="0" w:type="dxa"/>
            <w:vAlign w:val="bottom"/>
          </w:tcPr>
          <w:p>
            <w:pPr>
              <w:spacing w:after="0"/>
              <w:rPr>
                <w:sz w:val="1"/>
                <w:szCs w:val="1"/>
                <w:color w:val="auto"/>
              </w:rPr>
            </w:pPr>
          </w:p>
        </w:tc>
      </w:tr>
      <w:tr>
        <w:trPr>
          <w:trHeight w:val="229"/>
        </w:trPr>
        <w:tc>
          <w:tcPr>
            <w:tcW w:w="5820" w:type="dxa"/>
            <w:vAlign w:val="bottom"/>
            <w:shd w:val="clear" w:color="auto" w:fill="E8F0F8"/>
          </w:tcPr>
          <w:p>
            <w:pPr>
              <w:spacing w:after="0"/>
              <w:rPr>
                <w:sz w:val="19"/>
                <w:szCs w:val="19"/>
                <w:color w:val="auto"/>
              </w:rPr>
            </w:pPr>
          </w:p>
        </w:tc>
        <w:tc>
          <w:tcPr>
            <w:tcW w:w="8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shd w:val="clear" w:color="auto" w:fill="E8F0F8"/>
          </w:tcPr>
          <w:p>
            <w:pPr>
              <w:jc w:val="center"/>
              <w:ind w:left="37"/>
              <w:spacing w:after="0"/>
              <w:rPr>
                <w:sz w:val="20"/>
                <w:szCs w:val="20"/>
                <w:color w:val="auto"/>
              </w:rPr>
            </w:pPr>
            <w:r>
              <w:rPr>
                <w:rFonts w:ascii="Arial" w:cs="Arial" w:eastAsia="Arial" w:hAnsi="Arial"/>
                <w:sz w:val="13"/>
                <w:szCs w:val="13"/>
                <w:color w:val="auto"/>
                <w:w w:val="87"/>
              </w:rPr>
              <w:t>(2)</w:t>
            </w:r>
          </w:p>
        </w:tc>
        <w:tc>
          <w:tcPr>
            <w:tcW w:w="740" w:type="dxa"/>
            <w:vAlign w:val="bottom"/>
            <w:shd w:val="clear" w:color="auto" w:fill="E8F0F8"/>
          </w:tcPr>
          <w:p>
            <w:pPr>
              <w:jc w:val="right"/>
              <w:ind w:right="97"/>
              <w:spacing w:after="0"/>
              <w:rPr>
                <w:sz w:val="20"/>
                <w:szCs w:val="20"/>
                <w:color w:val="auto"/>
              </w:rPr>
            </w:pPr>
            <w:r>
              <w:rPr>
                <w:rFonts w:ascii="Arial" w:cs="Arial" w:eastAsia="Arial" w:hAnsi="Arial"/>
                <w:sz w:val="13"/>
                <w:szCs w:val="13"/>
                <w:color w:val="auto"/>
              </w:rPr>
              <w:t>—</w:t>
            </w:r>
          </w:p>
        </w:tc>
        <w:tc>
          <w:tcPr>
            <w:tcW w:w="240" w:type="dxa"/>
            <w:vAlign w:val="bottom"/>
            <w:shd w:val="clear" w:color="auto" w:fill="E8F0F8"/>
          </w:tcPr>
          <w:p>
            <w:pPr>
              <w:spacing w:after="0"/>
              <w:rPr>
                <w:sz w:val="19"/>
                <w:szCs w:val="19"/>
                <w:color w:val="auto"/>
              </w:rPr>
            </w:pPr>
          </w:p>
        </w:tc>
        <w:tc>
          <w:tcPr>
            <w:tcW w:w="800" w:type="dxa"/>
            <w:vAlign w:val="bottom"/>
            <w:shd w:val="clear" w:color="auto" w:fill="E8F0F8"/>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spacing w:after="0"/>
              <w:rPr>
                <w:sz w:val="20"/>
                <w:szCs w:val="20"/>
                <w:color w:val="auto"/>
              </w:rPr>
            </w:pPr>
            <w:r>
              <w:rPr>
                <w:rFonts w:ascii="Arial" w:cs="Arial" w:eastAsia="Arial" w:hAnsi="Arial"/>
                <w:sz w:val="13"/>
                <w:szCs w:val="13"/>
                <w:color w:val="auto"/>
              </w:rPr>
              <w:t>7,250</w:t>
            </w:r>
          </w:p>
        </w:tc>
        <w:tc>
          <w:tcPr>
            <w:tcW w:w="40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1,739,420</w:t>
            </w:r>
          </w:p>
        </w:tc>
        <w:tc>
          <w:tcPr>
            <w:tcW w:w="0" w:type="dxa"/>
            <w:vAlign w:val="bottom"/>
          </w:tcPr>
          <w:p>
            <w:pPr>
              <w:spacing w:after="0"/>
              <w:rPr>
                <w:sz w:val="1"/>
                <w:szCs w:val="1"/>
                <w:color w:val="auto"/>
              </w:rPr>
            </w:pPr>
          </w:p>
        </w:tc>
      </w:tr>
      <w:tr>
        <w:trPr>
          <w:trHeight w:val="251"/>
        </w:trPr>
        <w:tc>
          <w:tcPr>
            <w:tcW w:w="5820" w:type="dxa"/>
            <w:vAlign w:val="bottom"/>
            <w:tcBorders>
              <w:bottom w:val="single" w:sz="8" w:color="E8F0F8"/>
            </w:tcBorders>
            <w:shd w:val="clear" w:color="auto" w:fill="E8F0F8"/>
          </w:tcPr>
          <w:p>
            <w:pPr>
              <w:spacing w:after="0"/>
              <w:rPr>
                <w:sz w:val="21"/>
                <w:szCs w:val="21"/>
                <w:color w:val="auto"/>
              </w:rPr>
            </w:pPr>
          </w:p>
        </w:tc>
        <w:tc>
          <w:tcPr>
            <w:tcW w:w="86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rPr>
              <w:t>2/18/2021</w:t>
            </w:r>
          </w:p>
        </w:tc>
        <w:tc>
          <w:tcPr>
            <w:tcW w:w="680" w:type="dxa"/>
            <w:vAlign w:val="bottom"/>
            <w:tcBorders>
              <w:bottom w:val="single" w:sz="8" w:color="E8F0F8"/>
            </w:tcBorders>
            <w:shd w:val="clear" w:color="auto" w:fill="E8F0F8"/>
          </w:tcPr>
          <w:p>
            <w:pPr>
              <w:jc w:val="center"/>
              <w:ind w:left="37"/>
              <w:spacing w:after="0"/>
              <w:rPr>
                <w:sz w:val="20"/>
                <w:szCs w:val="20"/>
                <w:color w:val="auto"/>
              </w:rPr>
            </w:pPr>
            <w:r>
              <w:rPr>
                <w:rFonts w:ascii="Arial" w:cs="Arial" w:eastAsia="Arial" w:hAnsi="Arial"/>
                <w:sz w:val="13"/>
                <w:szCs w:val="13"/>
                <w:color w:val="auto"/>
                <w:w w:val="87"/>
              </w:rPr>
              <w:t>(3)</w:t>
            </w:r>
          </w:p>
        </w:tc>
        <w:tc>
          <w:tcPr>
            <w:tcW w:w="740" w:type="dxa"/>
            <w:vAlign w:val="bottom"/>
            <w:tcBorders>
              <w:bottom w:val="single" w:sz="8" w:color="E8F0F8"/>
            </w:tcBorders>
            <w:shd w:val="clear" w:color="auto" w:fill="E8F0F8"/>
          </w:tcPr>
          <w:p>
            <w:pPr>
              <w:jc w:val="right"/>
              <w:ind w:right="97"/>
              <w:spacing w:after="0"/>
              <w:rPr>
                <w:sz w:val="20"/>
                <w:szCs w:val="20"/>
                <w:color w:val="auto"/>
              </w:rPr>
            </w:pPr>
            <w:r>
              <w:rPr>
                <w:rFonts w:ascii="Arial" w:cs="Arial" w:eastAsia="Arial" w:hAnsi="Arial"/>
                <w:sz w:val="13"/>
                <w:szCs w:val="13"/>
                <w:color w:val="auto"/>
              </w:rPr>
              <w:t>1,497</w:t>
            </w:r>
          </w:p>
        </w:tc>
        <w:tc>
          <w:tcPr>
            <w:tcW w:w="2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8F0F8"/>
            </w:tcBorders>
            <w:shd w:val="clear" w:color="auto" w:fill="E8F0F8"/>
          </w:tcPr>
          <w:p>
            <w:pPr>
              <w:jc w:val="right"/>
              <w:ind w:right="117"/>
              <w:spacing w:after="0"/>
              <w:rPr>
                <w:sz w:val="20"/>
                <w:szCs w:val="20"/>
                <w:color w:val="auto"/>
              </w:rPr>
            </w:pPr>
            <w:r>
              <w:rPr>
                <w:rFonts w:ascii="Arial" w:cs="Arial" w:eastAsia="Arial" w:hAnsi="Arial"/>
                <w:sz w:val="13"/>
                <w:szCs w:val="13"/>
                <w:color w:val="auto"/>
              </w:rPr>
              <w:t>359,160</w:t>
            </w:r>
          </w:p>
        </w:tc>
        <w:tc>
          <w:tcPr>
            <w:tcW w:w="7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6,284</w:t>
            </w:r>
          </w:p>
        </w:tc>
        <w:tc>
          <w:tcPr>
            <w:tcW w:w="4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1,507,657</w:t>
            </w:r>
          </w:p>
        </w:tc>
        <w:tc>
          <w:tcPr>
            <w:tcW w:w="0" w:type="dxa"/>
            <w:vAlign w:val="bottom"/>
          </w:tcPr>
          <w:p>
            <w:pPr>
              <w:spacing w:after="0"/>
              <w:rPr>
                <w:sz w:val="1"/>
                <w:szCs w:val="1"/>
                <w:color w:val="auto"/>
              </w:rPr>
            </w:pPr>
          </w:p>
        </w:tc>
      </w:tr>
      <w:tr>
        <w:trPr>
          <w:trHeight w:val="20"/>
        </w:trPr>
        <w:tc>
          <w:tcPr>
            <w:tcW w:w="5820" w:type="dxa"/>
            <w:vAlign w:val="bottom"/>
            <w:shd w:val="clear" w:color="auto" w:fill="1A6DBB"/>
          </w:tcPr>
          <w:p>
            <w:pPr>
              <w:spacing w:after="0" w:line="20" w:lineRule="exact"/>
              <w:rPr>
                <w:sz w:val="1"/>
                <w:szCs w:val="1"/>
                <w:color w:val="auto"/>
              </w:rPr>
            </w:pPr>
          </w:p>
        </w:tc>
        <w:tc>
          <w:tcPr>
            <w:tcW w:w="860" w:type="dxa"/>
            <w:vAlign w:val="bottom"/>
            <w:shd w:val="clear" w:color="auto" w:fill="1A6DBB"/>
          </w:tcPr>
          <w:p>
            <w:pPr>
              <w:spacing w:after="0" w:line="20" w:lineRule="exact"/>
              <w:rPr>
                <w:sz w:val="1"/>
                <w:szCs w:val="1"/>
                <w:color w:val="auto"/>
              </w:rPr>
            </w:pPr>
          </w:p>
        </w:tc>
        <w:tc>
          <w:tcPr>
            <w:tcW w:w="680" w:type="dxa"/>
            <w:vAlign w:val="bottom"/>
            <w:shd w:val="clear" w:color="auto" w:fill="1A6DBB"/>
          </w:tcPr>
          <w:p>
            <w:pPr>
              <w:spacing w:after="0" w:line="20" w:lineRule="exact"/>
              <w:rPr>
                <w:sz w:val="1"/>
                <w:szCs w:val="1"/>
                <w:color w:val="auto"/>
              </w:rPr>
            </w:pPr>
          </w:p>
        </w:tc>
        <w:tc>
          <w:tcPr>
            <w:tcW w:w="740" w:type="dxa"/>
            <w:vAlign w:val="bottom"/>
            <w:shd w:val="clear" w:color="auto" w:fill="1A6DBB"/>
          </w:tcPr>
          <w:p>
            <w:pPr>
              <w:spacing w:after="0" w:line="20" w:lineRule="exact"/>
              <w:rPr>
                <w:sz w:val="1"/>
                <w:szCs w:val="1"/>
                <w:color w:val="auto"/>
              </w:rPr>
            </w:pPr>
          </w:p>
        </w:tc>
        <w:tc>
          <w:tcPr>
            <w:tcW w:w="240" w:type="dxa"/>
            <w:vAlign w:val="bottom"/>
            <w:shd w:val="clear" w:color="auto" w:fill="1A6DBB"/>
          </w:tcPr>
          <w:p>
            <w:pPr>
              <w:spacing w:after="0" w:line="20" w:lineRule="exact"/>
              <w:rPr>
                <w:sz w:val="1"/>
                <w:szCs w:val="1"/>
                <w:color w:val="auto"/>
              </w:rPr>
            </w:pPr>
          </w:p>
        </w:tc>
        <w:tc>
          <w:tcPr>
            <w:tcW w:w="800" w:type="dxa"/>
            <w:vAlign w:val="bottom"/>
            <w:shd w:val="clear" w:color="auto" w:fill="1A6DBB"/>
          </w:tcPr>
          <w:p>
            <w:pPr>
              <w:spacing w:after="0" w:line="20" w:lineRule="exact"/>
              <w:rPr>
                <w:sz w:val="1"/>
                <w:szCs w:val="1"/>
                <w:color w:val="auto"/>
              </w:rPr>
            </w:pPr>
          </w:p>
        </w:tc>
        <w:tc>
          <w:tcPr>
            <w:tcW w:w="740" w:type="dxa"/>
            <w:vAlign w:val="bottom"/>
            <w:shd w:val="clear" w:color="auto" w:fill="1A6DBB"/>
          </w:tcPr>
          <w:p>
            <w:pPr>
              <w:spacing w:after="0" w:line="20" w:lineRule="exact"/>
              <w:rPr>
                <w:sz w:val="1"/>
                <w:szCs w:val="1"/>
                <w:color w:val="auto"/>
              </w:rPr>
            </w:pPr>
          </w:p>
        </w:tc>
        <w:tc>
          <w:tcPr>
            <w:tcW w:w="400" w:type="dxa"/>
            <w:vAlign w:val="bottom"/>
            <w:shd w:val="clear" w:color="auto" w:fill="1A6DBB"/>
          </w:tcPr>
          <w:p>
            <w:pPr>
              <w:spacing w:after="0" w:line="20" w:lineRule="exact"/>
              <w:rPr>
                <w:sz w:val="1"/>
                <w:szCs w:val="1"/>
                <w:color w:val="auto"/>
              </w:rPr>
            </w:pPr>
          </w:p>
        </w:tc>
        <w:tc>
          <w:tcPr>
            <w:tcW w:w="740" w:type="dxa"/>
            <w:vAlign w:val="bottom"/>
            <w:shd w:val="clear" w:color="auto" w:fill="1A6D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-4996815</wp:posOffset>
            </wp:positionV>
            <wp:extent cx="10972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-5228590</wp:posOffset>
            </wp:positionV>
            <wp:extent cx="225425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i w:val="1"/>
          <w:iCs w:val="1"/>
          <w:color w:val="auto"/>
        </w:rPr>
        <w:t>Notes to the Outstanding Equity Awards at 2021 Fiscal Year End Table</w:t>
      </w:r>
    </w:p>
    <w:p>
      <w:pPr>
        <w:spacing w:after="0" w:line="113" w:lineRule="exact"/>
        <w:rPr>
          <w:sz w:val="20"/>
          <w:szCs w:val="20"/>
          <w:color w:val="auto"/>
        </w:rPr>
      </w:pPr>
    </w:p>
    <w:p>
      <w:pPr>
        <w:ind w:left="440" w:hanging="324"/>
        <w:spacing w:after="0"/>
        <w:tabs>
          <w:tab w:leader="none" w:pos="4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market value of awards is based on the closing price of our stock on December 31, 2021 ($239.92) as reported on Nasdaq.</w:t>
      </w:r>
    </w:p>
    <w:p>
      <w:pPr>
        <w:spacing w:after="0" w:line="15" w:lineRule="exact"/>
        <w:rPr>
          <w:rFonts w:ascii="Arial" w:cs="Arial" w:eastAsia="Arial" w:hAnsi="Arial"/>
          <w:sz w:val="14"/>
          <w:szCs w:val="14"/>
          <w:color w:val="auto"/>
        </w:rPr>
      </w:pPr>
    </w:p>
    <w:p>
      <w:pPr>
        <w:ind w:left="440" w:right="180" w:hanging="324"/>
        <w:spacing w:after="0" w:line="241" w:lineRule="auto"/>
        <w:tabs>
          <w:tab w:leader="none" w:pos="4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MSUs were granted in 2021, 2020 and 2019. These are performance-based RSUs earned based on the growth in our stock price between the dates of grant and vesting. Earned MSUs are eligible to vest in equal annual installments on each of the first three anniversaries of the grant date, generally subject to continued employment through the applicable vesting date. The number and value shown in columns (e) and (f), respectively, reflect target performance results for MSUs based on the estimated performance at year-end in each case.</w:t>
      </w:r>
    </w:p>
    <w:p>
      <w:pPr>
        <w:spacing w:after="0" w:line="1" w:lineRule="exact"/>
        <w:rPr>
          <w:rFonts w:ascii="Arial" w:cs="Arial" w:eastAsia="Arial" w:hAnsi="Arial"/>
          <w:sz w:val="14"/>
          <w:szCs w:val="14"/>
          <w:color w:val="auto"/>
        </w:rPr>
      </w:pPr>
    </w:p>
    <w:p>
      <w:pPr>
        <w:ind w:left="440" w:right="20" w:hanging="324"/>
        <w:spacing w:after="0" w:line="241" w:lineRule="auto"/>
        <w:tabs>
          <w:tab w:leader="none" w:pos="4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PSUs were granted in 2021, 2020 and 2019. The PSUs, to the extent earned, cliff vest on the third anniversary of the date of grant, generally subject to continued employment through the vesting date. 60% of the PSUs (based on the grant date target value) will be settled in shares of our common stock, and performance for the purposes of the PSUs awards is based upon achievement of cumulative three-year pipeline goals for the 2021 and 2020 awards and cumulative three-year financial and pipeline goals for the 2019 award. The remaining 40% of the PSUs will be settled in cash, and performance is based upon the achievement of three annual financial goals determined at the beginning of each relevant year. The number and value shown in columns (c) and (d), respectively, reflect the number of 2021 Cash-Settled PSUs, 2020 Cash-Settled PSUs and 2019 Cash-Settled and Stock-Settled PSUs that were earned based on our achievement of the performance goals, but that will not vest until February 18, 2024, February 12, 2023, and February 12, 2022, respectively. The number and value shown in columns (e) and (f), respectively, reflect the remaining portion of the PSUs granted in 2021 and 2020 (including the 2022 and 2023 tranches of the 2021 Cash-Settled PSUs and the 2022 tranche of the 2020 Cash-Settled PSUs) assuming target performance results. For additional information on our PSU awards, please see “Long-Term Incentive” above.</w:t>
      </w:r>
    </w:p>
    <w:p>
      <w:pPr>
        <w:spacing w:after="0" w:line="3" w:lineRule="exact"/>
        <w:rPr>
          <w:rFonts w:ascii="Arial" w:cs="Arial" w:eastAsia="Arial" w:hAnsi="Arial"/>
          <w:sz w:val="14"/>
          <w:szCs w:val="14"/>
          <w:color w:val="auto"/>
        </w:rPr>
      </w:pPr>
    </w:p>
    <w:p>
      <w:pPr>
        <w:jc w:val="both"/>
        <w:ind w:left="440" w:right="140" w:hanging="324"/>
        <w:spacing w:after="0" w:line="252" w:lineRule="auto"/>
        <w:tabs>
          <w:tab w:leader="none" w:pos="4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RSU awards for Mr. McDonnell reflect RSUs granted on September 1, 2020, in connection with his hiring. They vest in three annual installments beginning on the first anniversary of the grant date. The first tranche vested on September 1, 2021, and the remaining two tranches will vest on September 1, 2022 and September 1, 2023, respectively.</w:t>
      </w:r>
    </w:p>
    <w:p>
      <w:pPr>
        <w:sectPr>
          <w:pgSz w:w="11900" w:h="16838" w:orient="portrait"/>
          <w:cols w:equalWidth="0" w:num="1">
            <w:col w:w="11140"/>
          </w:cols>
          <w:pgMar w:left="320" w:top="455" w:right="4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64 </w:t>
      </w:r>
      <w:r>
        <w:rPr>
          <w:sz w:val="1"/>
          <w:szCs w:val="1"/>
          <w:color w:val="auto"/>
        </w:rPr>
        <w:drawing>
          <wp:inline distT="0" distB="0" distL="0" distR="0">
            <wp:extent cx="38735" cy="19685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35"/>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Option Exercises and Stock Vested</w:t>
      </w:r>
    </w:p>
    <w:p>
      <w:pPr>
        <w:spacing w:after="0" w:line="10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Our executive officers must use pre-established trading plans to sell shares of our common stock. Trading plans may only be entered into during an open trading window and when the executive is not in possession of material non-public information about the Company, and we require a waiting period following the establishment of a trading plan before any trades may be executed. Our policy is designed to provide safeguards while allowing our executives an opportunity to realize the value intended by the Company in granting equity-based LTI awards.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NEOs are also subject to the stock ownership guidelines described above under the heading “Stock Ownership Guidelines.”</w:t>
      </w:r>
    </w:p>
    <w:p>
      <w:pPr>
        <w:spacing w:after="0" w:line="221"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The following table shows information regarding the exercise of stock options and the vesting of stock awards for each NEO during the year ended December 31, 2021.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shd w:val="clear" w:color="auto" w:fill="1A6DBB"/>
          </w:tcPr>
          <w:p>
            <w:pPr>
              <w:spacing w:after="0"/>
              <w:rPr>
                <w:sz w:val="14"/>
                <w:szCs w:val="14"/>
                <w:color w:val="auto"/>
              </w:rPr>
            </w:pPr>
          </w:p>
        </w:tc>
        <w:tc>
          <w:tcPr>
            <w:tcW w:w="2640" w:type="dxa"/>
            <w:vAlign w:val="bottom"/>
            <w:shd w:val="clear" w:color="auto" w:fill="1A6DBB"/>
          </w:tcPr>
          <w:p>
            <w:pPr>
              <w:jc w:val="right"/>
              <w:ind w:right="103"/>
              <w:spacing w:after="0"/>
              <w:rPr>
                <w:sz w:val="20"/>
                <w:szCs w:val="20"/>
                <w:color w:val="auto"/>
              </w:rPr>
            </w:pPr>
            <w:r>
              <w:rPr>
                <w:rFonts w:ascii="Arial" w:cs="Arial" w:eastAsia="Arial" w:hAnsi="Arial"/>
                <w:sz w:val="14"/>
                <w:szCs w:val="14"/>
                <w:color w:val="FFFFFF"/>
              </w:rPr>
              <w:t>Stock Awards</w:t>
            </w:r>
          </w:p>
        </w:tc>
        <w:tc>
          <w:tcPr>
            <w:tcW w:w="260" w:type="dxa"/>
            <w:vAlign w:val="bottom"/>
            <w:shd w:val="clear" w:color="auto" w:fill="1A6DBB"/>
          </w:tcPr>
          <w:p>
            <w:pPr>
              <w:spacing w:after="0"/>
              <w:rPr>
                <w:sz w:val="14"/>
                <w:szCs w:val="14"/>
                <w:color w:val="auto"/>
              </w:rPr>
            </w:pPr>
          </w:p>
        </w:tc>
        <w:tc>
          <w:tcPr>
            <w:tcW w:w="860" w:type="dxa"/>
            <w:vAlign w:val="bottom"/>
            <w:shd w:val="clear" w:color="auto" w:fill="1A6DBB"/>
          </w:tcPr>
          <w:p>
            <w:pPr>
              <w:spacing w:after="0"/>
              <w:rPr>
                <w:sz w:val="14"/>
                <w:szCs w:val="14"/>
                <w:color w:val="auto"/>
              </w:rPr>
            </w:pPr>
          </w:p>
        </w:tc>
      </w:tr>
      <w:tr>
        <w:trPr>
          <w:trHeight w:val="153"/>
        </w:trPr>
        <w:tc>
          <w:tcPr>
            <w:tcW w:w="7260" w:type="dxa"/>
            <w:vAlign w:val="bottom"/>
            <w:shd w:val="clear" w:color="auto" w:fill="1A6DBB"/>
          </w:tcPr>
          <w:p>
            <w:pPr>
              <w:spacing w:after="0"/>
              <w:rPr>
                <w:sz w:val="13"/>
                <w:szCs w:val="13"/>
                <w:color w:val="auto"/>
              </w:rPr>
            </w:pPr>
          </w:p>
        </w:tc>
        <w:tc>
          <w:tcPr>
            <w:tcW w:w="2640" w:type="dxa"/>
            <w:vAlign w:val="bottom"/>
            <w:shd w:val="clear" w:color="auto" w:fill="1A6DBB"/>
          </w:tcPr>
          <w:p>
            <w:pPr>
              <w:jc w:val="center"/>
              <w:ind w:right="283"/>
              <w:spacing w:after="0" w:line="153" w:lineRule="exact"/>
              <w:rPr>
                <w:sz w:val="20"/>
                <w:szCs w:val="20"/>
                <w:color w:val="auto"/>
              </w:rPr>
            </w:pPr>
            <w:r>
              <w:rPr>
                <w:rFonts w:ascii="Arial" w:cs="Arial" w:eastAsia="Arial" w:hAnsi="Arial"/>
                <w:sz w:val="14"/>
                <w:szCs w:val="14"/>
                <w:color w:val="FFFFFF"/>
              </w:rPr>
              <w:t>Number of Shares</w:t>
            </w:r>
          </w:p>
        </w:tc>
        <w:tc>
          <w:tcPr>
            <w:tcW w:w="260" w:type="dxa"/>
            <w:vAlign w:val="bottom"/>
            <w:shd w:val="clear" w:color="auto" w:fill="1A6DBB"/>
          </w:tcPr>
          <w:p>
            <w:pPr>
              <w:spacing w:after="0"/>
              <w:rPr>
                <w:sz w:val="13"/>
                <w:szCs w:val="13"/>
                <w:color w:val="auto"/>
              </w:rPr>
            </w:pPr>
          </w:p>
        </w:tc>
        <w:tc>
          <w:tcPr>
            <w:tcW w:w="860" w:type="dxa"/>
            <w:vAlign w:val="bottom"/>
            <w:shd w:val="clear" w:color="auto" w:fill="1A6DBB"/>
          </w:tcPr>
          <w:p>
            <w:pPr>
              <w:jc w:val="center"/>
              <w:ind w:right="62"/>
              <w:spacing w:after="0" w:line="153" w:lineRule="exact"/>
              <w:rPr>
                <w:sz w:val="20"/>
                <w:szCs w:val="20"/>
                <w:color w:val="auto"/>
              </w:rPr>
            </w:pPr>
            <w:r>
              <w:rPr>
                <w:rFonts w:ascii="Arial" w:cs="Arial" w:eastAsia="Arial" w:hAnsi="Arial"/>
                <w:sz w:val="14"/>
                <w:szCs w:val="14"/>
                <w:color w:val="FFFFFF"/>
              </w:rPr>
              <w:t>Value</w:t>
            </w:r>
          </w:p>
        </w:tc>
      </w:tr>
      <w:tr>
        <w:trPr>
          <w:trHeight w:val="162"/>
        </w:trPr>
        <w:tc>
          <w:tcPr>
            <w:tcW w:w="7260" w:type="dxa"/>
            <w:vAlign w:val="bottom"/>
            <w:shd w:val="clear" w:color="auto" w:fill="1A6DBB"/>
          </w:tcPr>
          <w:p>
            <w:pPr>
              <w:spacing w:after="0"/>
              <w:rPr>
                <w:sz w:val="14"/>
                <w:szCs w:val="14"/>
                <w:color w:val="auto"/>
              </w:rPr>
            </w:pPr>
          </w:p>
        </w:tc>
        <w:tc>
          <w:tcPr>
            <w:tcW w:w="2640" w:type="dxa"/>
            <w:vAlign w:val="bottom"/>
            <w:shd w:val="clear" w:color="auto" w:fill="1A6DBB"/>
          </w:tcPr>
          <w:p>
            <w:pPr>
              <w:jc w:val="center"/>
              <w:ind w:right="283"/>
              <w:spacing w:after="0"/>
              <w:rPr>
                <w:sz w:val="20"/>
                <w:szCs w:val="20"/>
                <w:color w:val="auto"/>
              </w:rPr>
            </w:pPr>
            <w:r>
              <w:rPr>
                <w:rFonts w:ascii="Arial" w:cs="Arial" w:eastAsia="Arial" w:hAnsi="Arial"/>
                <w:sz w:val="14"/>
                <w:szCs w:val="14"/>
                <w:color w:val="FFFFFF"/>
              </w:rPr>
              <w:t>Acquired on</w:t>
            </w:r>
          </w:p>
        </w:tc>
        <w:tc>
          <w:tcPr>
            <w:tcW w:w="1120" w:type="dxa"/>
            <w:vAlign w:val="bottom"/>
            <w:gridSpan w:val="2"/>
            <w:shd w:val="clear" w:color="auto" w:fill="1A6DBB"/>
          </w:tcPr>
          <w:p>
            <w:pPr>
              <w:jc w:val="center"/>
              <w:ind w:left="41"/>
              <w:spacing w:after="0"/>
              <w:rPr>
                <w:sz w:val="20"/>
                <w:szCs w:val="20"/>
                <w:color w:val="auto"/>
              </w:rPr>
            </w:pPr>
            <w:r>
              <w:rPr>
                <w:rFonts w:ascii="Arial" w:cs="Arial" w:eastAsia="Arial" w:hAnsi="Arial"/>
                <w:sz w:val="14"/>
                <w:szCs w:val="14"/>
                <w:color w:val="FFFFFF"/>
              </w:rPr>
              <w:t>Realized on</w:t>
            </w:r>
          </w:p>
        </w:tc>
      </w:tr>
      <w:tr>
        <w:trPr>
          <w:trHeight w:val="171"/>
        </w:trPr>
        <w:tc>
          <w:tcPr>
            <w:tcW w:w="72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2640" w:type="dxa"/>
            <w:vAlign w:val="bottom"/>
            <w:shd w:val="clear" w:color="auto" w:fill="1A6DBB"/>
          </w:tcPr>
          <w:p>
            <w:pPr>
              <w:jc w:val="center"/>
              <w:ind w:right="283"/>
              <w:spacing w:after="0"/>
              <w:rPr>
                <w:sz w:val="20"/>
                <w:szCs w:val="20"/>
                <w:color w:val="auto"/>
              </w:rPr>
            </w:pPr>
            <w:r>
              <w:rPr>
                <w:rFonts w:ascii="Arial" w:cs="Arial" w:eastAsia="Arial" w:hAnsi="Arial"/>
                <w:sz w:val="14"/>
                <w:szCs w:val="14"/>
                <w:color w:val="FFFFFF"/>
                <w:w w:val="96"/>
              </w:rPr>
              <w:t>Vesting</w:t>
            </w:r>
            <w:r>
              <w:rPr>
                <w:rFonts w:ascii="Arial" w:cs="Arial" w:eastAsia="Arial" w:hAnsi="Arial"/>
                <w:sz w:val="14"/>
                <w:szCs w:val="14"/>
                <w:color w:val="FFFFFF"/>
                <w:w w:val="96"/>
                <w:vertAlign w:val="superscript"/>
              </w:rPr>
              <w:t>(1)</w:t>
            </w:r>
          </w:p>
        </w:tc>
        <w:tc>
          <w:tcPr>
            <w:tcW w:w="260" w:type="dxa"/>
            <w:vAlign w:val="bottom"/>
            <w:shd w:val="clear" w:color="auto" w:fill="1A6DBB"/>
          </w:tcPr>
          <w:p>
            <w:pPr>
              <w:spacing w:after="0"/>
              <w:rPr>
                <w:sz w:val="14"/>
                <w:szCs w:val="14"/>
                <w:color w:val="auto"/>
              </w:rPr>
            </w:pPr>
          </w:p>
        </w:tc>
        <w:tc>
          <w:tcPr>
            <w:tcW w:w="86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w w:val="99"/>
              </w:rPr>
              <w:t>Vesting</w:t>
            </w:r>
            <w:r>
              <w:rPr>
                <w:rFonts w:ascii="Arial" w:cs="Arial" w:eastAsia="Arial" w:hAnsi="Arial"/>
                <w:sz w:val="14"/>
                <w:szCs w:val="14"/>
                <w:color w:val="FFFFFF"/>
                <w:w w:val="99"/>
                <w:vertAlign w:val="superscript"/>
              </w:rPr>
              <w:t>(2)</w:t>
            </w:r>
          </w:p>
        </w:tc>
      </w:tr>
      <w:tr>
        <w:trPr>
          <w:trHeight w:val="222"/>
        </w:trPr>
        <w:tc>
          <w:tcPr>
            <w:tcW w:w="72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Michel Vounatsos</w:t>
            </w:r>
          </w:p>
        </w:tc>
        <w:tc>
          <w:tcPr>
            <w:tcW w:w="2640" w:type="dxa"/>
            <w:vAlign w:val="bottom"/>
            <w:shd w:val="clear" w:color="auto" w:fill="E8F0F8"/>
          </w:tcPr>
          <w:p>
            <w:pPr>
              <w:jc w:val="right"/>
              <w:ind w:right="1143"/>
              <w:spacing w:after="0"/>
              <w:rPr>
                <w:sz w:val="20"/>
                <w:szCs w:val="20"/>
                <w:color w:val="auto"/>
              </w:rPr>
            </w:pPr>
            <w:r>
              <w:rPr>
                <w:rFonts w:ascii="Arial" w:cs="Arial" w:eastAsia="Arial" w:hAnsi="Arial"/>
                <w:sz w:val="16"/>
                <w:szCs w:val="16"/>
                <w:color w:val="auto"/>
              </w:rPr>
              <w:t>43,317</w:t>
            </w:r>
          </w:p>
        </w:tc>
        <w:tc>
          <w:tcPr>
            <w:tcW w:w="2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7"/>
              </w:rPr>
              <w:t>11,985,490</w:t>
            </w:r>
          </w:p>
        </w:tc>
      </w:tr>
      <w:tr>
        <w:trPr>
          <w:trHeight w:val="237"/>
        </w:trPr>
        <w:tc>
          <w:tcPr>
            <w:tcW w:w="7260" w:type="dxa"/>
            <w:vAlign w:val="bottom"/>
            <w:shd w:val="clear" w:color="auto" w:fill="BAD3EA"/>
          </w:tcPr>
          <w:p>
            <w:pPr>
              <w:ind w:left="80"/>
              <w:spacing w:after="0"/>
              <w:rPr>
                <w:sz w:val="20"/>
                <w:szCs w:val="20"/>
                <w:color w:val="auto"/>
              </w:rPr>
            </w:pPr>
            <w:r>
              <w:rPr>
                <w:rFonts w:ascii="Arial" w:cs="Arial" w:eastAsia="Arial" w:hAnsi="Arial"/>
                <w:sz w:val="16"/>
                <w:szCs w:val="16"/>
                <w:color w:val="auto"/>
              </w:rPr>
              <w:t>Michael R. McDonnell</w:t>
            </w:r>
          </w:p>
        </w:tc>
        <w:tc>
          <w:tcPr>
            <w:tcW w:w="2640" w:type="dxa"/>
            <w:vAlign w:val="bottom"/>
            <w:shd w:val="clear" w:color="auto" w:fill="BAD3EA"/>
          </w:tcPr>
          <w:p>
            <w:pPr>
              <w:jc w:val="right"/>
              <w:ind w:right="1143"/>
              <w:spacing w:after="0"/>
              <w:rPr>
                <w:sz w:val="20"/>
                <w:szCs w:val="20"/>
                <w:color w:val="auto"/>
              </w:rPr>
            </w:pPr>
            <w:r>
              <w:rPr>
                <w:rFonts w:ascii="Arial" w:cs="Arial" w:eastAsia="Arial" w:hAnsi="Arial"/>
                <w:sz w:val="16"/>
                <w:szCs w:val="16"/>
                <w:color w:val="auto"/>
              </w:rPr>
              <w:t>6,005</w:t>
            </w:r>
          </w:p>
        </w:tc>
        <w:tc>
          <w:tcPr>
            <w:tcW w:w="2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2,031,131</w:t>
            </w:r>
          </w:p>
        </w:tc>
      </w:tr>
      <w:tr>
        <w:trPr>
          <w:trHeight w:val="222"/>
        </w:trPr>
        <w:tc>
          <w:tcPr>
            <w:tcW w:w="7260" w:type="dxa"/>
            <w:vAlign w:val="bottom"/>
            <w:shd w:val="clear" w:color="auto" w:fill="E8F0F8"/>
          </w:tcPr>
          <w:p>
            <w:pPr>
              <w:ind w:left="80"/>
              <w:spacing w:after="0"/>
              <w:rPr>
                <w:sz w:val="20"/>
                <w:szCs w:val="20"/>
                <w:color w:val="auto"/>
              </w:rPr>
            </w:pPr>
            <w:r>
              <w:rPr>
                <w:rFonts w:ascii="Arial" w:cs="Arial" w:eastAsia="Arial" w:hAnsi="Arial"/>
                <w:sz w:val="16"/>
                <w:szCs w:val="16"/>
                <w:color w:val="auto"/>
              </w:rPr>
              <w:t>Susan H. Alexander</w:t>
            </w:r>
          </w:p>
        </w:tc>
        <w:tc>
          <w:tcPr>
            <w:tcW w:w="2640" w:type="dxa"/>
            <w:vAlign w:val="bottom"/>
            <w:shd w:val="clear" w:color="auto" w:fill="E8F0F8"/>
          </w:tcPr>
          <w:p>
            <w:pPr>
              <w:jc w:val="right"/>
              <w:ind w:right="1143"/>
              <w:spacing w:after="0"/>
              <w:rPr>
                <w:sz w:val="20"/>
                <w:szCs w:val="20"/>
                <w:color w:val="auto"/>
              </w:rPr>
            </w:pPr>
            <w:r>
              <w:rPr>
                <w:rFonts w:ascii="Arial" w:cs="Arial" w:eastAsia="Arial" w:hAnsi="Arial"/>
                <w:sz w:val="16"/>
                <w:szCs w:val="16"/>
                <w:color w:val="auto"/>
              </w:rPr>
              <w:t>11,870</w:t>
            </w:r>
          </w:p>
        </w:tc>
        <w:tc>
          <w:tcPr>
            <w:tcW w:w="2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3,284,138</w:t>
            </w:r>
          </w:p>
        </w:tc>
      </w:tr>
      <w:tr>
        <w:trPr>
          <w:trHeight w:val="237"/>
        </w:trPr>
        <w:tc>
          <w:tcPr>
            <w:tcW w:w="7260" w:type="dxa"/>
            <w:vAlign w:val="bottom"/>
            <w:shd w:val="clear" w:color="auto" w:fill="BAD3EA"/>
          </w:tcPr>
          <w:p>
            <w:pPr>
              <w:ind w:left="80"/>
              <w:spacing w:after="0"/>
              <w:rPr>
                <w:sz w:val="20"/>
                <w:szCs w:val="20"/>
                <w:color w:val="auto"/>
              </w:rPr>
            </w:pPr>
            <w:r>
              <w:rPr>
                <w:rFonts w:ascii="Arial" w:cs="Arial" w:eastAsia="Arial" w:hAnsi="Arial"/>
                <w:sz w:val="16"/>
                <w:szCs w:val="16"/>
                <w:color w:val="auto"/>
              </w:rPr>
              <w:t>Chirfi Guindo</w:t>
            </w:r>
          </w:p>
        </w:tc>
        <w:tc>
          <w:tcPr>
            <w:tcW w:w="2640" w:type="dxa"/>
            <w:vAlign w:val="bottom"/>
            <w:shd w:val="clear" w:color="auto" w:fill="BAD3EA"/>
          </w:tcPr>
          <w:p>
            <w:pPr>
              <w:jc w:val="right"/>
              <w:ind w:right="1143"/>
              <w:spacing w:after="0"/>
              <w:rPr>
                <w:sz w:val="20"/>
                <w:szCs w:val="20"/>
                <w:color w:val="auto"/>
              </w:rPr>
            </w:pPr>
            <w:r>
              <w:rPr>
                <w:rFonts w:ascii="Arial" w:cs="Arial" w:eastAsia="Arial" w:hAnsi="Arial"/>
                <w:sz w:val="16"/>
                <w:szCs w:val="16"/>
                <w:color w:val="auto"/>
              </w:rPr>
              <w:t>3,156</w:t>
            </w:r>
          </w:p>
        </w:tc>
        <w:tc>
          <w:tcPr>
            <w:tcW w:w="2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877,463</w:t>
            </w:r>
          </w:p>
        </w:tc>
      </w:tr>
      <w:tr>
        <w:trPr>
          <w:trHeight w:val="223"/>
        </w:trPr>
        <w:tc>
          <w:tcPr>
            <w:tcW w:w="726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Alfred W. Sandrock, Jr.</w:t>
            </w:r>
          </w:p>
        </w:tc>
        <w:tc>
          <w:tcPr>
            <w:tcW w:w="2640" w:type="dxa"/>
            <w:vAlign w:val="bottom"/>
            <w:tcBorders>
              <w:bottom w:val="single" w:sz="8" w:color="auto"/>
            </w:tcBorders>
            <w:shd w:val="clear" w:color="auto" w:fill="E8F0F8"/>
          </w:tcPr>
          <w:p>
            <w:pPr>
              <w:jc w:val="right"/>
              <w:ind w:right="1143"/>
              <w:spacing w:after="0"/>
              <w:rPr>
                <w:sz w:val="20"/>
                <w:szCs w:val="20"/>
                <w:color w:val="auto"/>
              </w:rPr>
            </w:pPr>
            <w:r>
              <w:rPr>
                <w:rFonts w:ascii="Arial" w:cs="Arial" w:eastAsia="Arial" w:hAnsi="Arial"/>
                <w:sz w:val="16"/>
                <w:szCs w:val="16"/>
                <w:color w:val="auto"/>
              </w:rPr>
              <w:t>10,622</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2,940,070</w:t>
            </w:r>
          </w:p>
        </w:tc>
      </w:tr>
    </w:tbl>
    <w:p>
      <w:pPr>
        <w:ind w:left="120"/>
        <w:spacing w:after="0"/>
        <w:rPr>
          <w:sz w:val="20"/>
          <w:szCs w:val="20"/>
          <w:color w:val="auto"/>
        </w:rPr>
      </w:pPr>
      <w:r>
        <w:rPr>
          <w:rFonts w:ascii="Arial" w:cs="Arial" w:eastAsia="Arial" w:hAnsi="Arial"/>
          <w:sz w:val="14"/>
          <w:szCs w:val="14"/>
          <w:i w:val="1"/>
          <w:iCs w:val="1"/>
          <w:color w:val="auto"/>
        </w:rPr>
        <w:t>Notes to the 2021 Option Exercises and Stock Vested Table</w:t>
      </w:r>
    </w:p>
    <w:p>
      <w:pPr>
        <w:spacing w:after="0" w:line="113" w:lineRule="exact"/>
        <w:rPr>
          <w:sz w:val="20"/>
          <w:szCs w:val="20"/>
          <w:color w:val="auto"/>
        </w:rPr>
      </w:pPr>
    </w:p>
    <w:p>
      <w:pPr>
        <w:ind w:left="440" w:right="360" w:hanging="324"/>
        <w:spacing w:after="0" w:line="263" w:lineRule="auto"/>
        <w:tabs>
          <w:tab w:leader="none" w:pos="4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Cash-settled PSUs that were granted in 2018 were settled in cash in 2021 for Mr. Vounatsos, Ms. Alexander and Dr. Sandrock. The number of actual shares of our common stock acquired on vesting of MSUs, stock-settled PSUs and RSUs in 2021, after shares were withheld to pay the minimum withholding of taxes, was as follows:</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66"/>
        </w:trPr>
        <w:tc>
          <w:tcPr>
            <w:tcW w:w="6100" w:type="dxa"/>
            <w:vAlign w:val="bottom"/>
            <w:shd w:val="clear" w:color="auto" w:fill="1A6DBB"/>
          </w:tcPr>
          <w:p>
            <w:pPr>
              <w:spacing w:after="0"/>
              <w:rPr>
                <w:sz w:val="14"/>
                <w:szCs w:val="14"/>
                <w:color w:val="auto"/>
              </w:rPr>
            </w:pPr>
          </w:p>
        </w:tc>
        <w:tc>
          <w:tcPr>
            <w:tcW w:w="1380" w:type="dxa"/>
            <w:vAlign w:val="bottom"/>
            <w:shd w:val="clear" w:color="auto" w:fill="1A6DBB"/>
          </w:tcPr>
          <w:p>
            <w:pPr>
              <w:jc w:val="right"/>
              <w:ind w:right="62"/>
              <w:spacing w:after="0"/>
              <w:rPr>
                <w:sz w:val="20"/>
                <w:szCs w:val="20"/>
                <w:color w:val="auto"/>
              </w:rPr>
            </w:pPr>
            <w:r>
              <w:rPr>
                <w:rFonts w:ascii="Arial" w:cs="Arial" w:eastAsia="Arial" w:hAnsi="Arial"/>
                <w:sz w:val="14"/>
                <w:szCs w:val="14"/>
                <w:color w:val="FFFFFF"/>
              </w:rPr>
              <w:t>Net Shares</w:t>
            </w:r>
          </w:p>
        </w:tc>
      </w:tr>
      <w:tr>
        <w:trPr>
          <w:trHeight w:val="185"/>
        </w:trPr>
        <w:tc>
          <w:tcPr>
            <w:tcW w:w="6100" w:type="dxa"/>
            <w:vAlign w:val="bottom"/>
            <w:shd w:val="clear" w:color="auto" w:fill="1A6DBB"/>
          </w:tcPr>
          <w:p>
            <w:pPr>
              <w:spacing w:after="0"/>
              <w:rPr>
                <w:sz w:val="16"/>
                <w:szCs w:val="16"/>
                <w:color w:val="auto"/>
              </w:rPr>
            </w:pPr>
          </w:p>
        </w:tc>
        <w:tc>
          <w:tcPr>
            <w:tcW w:w="1380" w:type="dxa"/>
            <w:vAlign w:val="bottom"/>
            <w:shd w:val="clear" w:color="auto" w:fill="1A6DBB"/>
          </w:tcPr>
          <w:p>
            <w:pPr>
              <w:jc w:val="right"/>
              <w:ind w:right="82"/>
              <w:spacing w:after="0"/>
              <w:rPr>
                <w:sz w:val="20"/>
                <w:szCs w:val="20"/>
                <w:color w:val="auto"/>
              </w:rPr>
            </w:pPr>
            <w:r>
              <w:rPr>
                <w:rFonts w:ascii="Arial" w:cs="Arial" w:eastAsia="Arial" w:hAnsi="Arial"/>
                <w:sz w:val="14"/>
                <w:szCs w:val="14"/>
                <w:color w:val="FFFFFF"/>
              </w:rPr>
              <w:t>Acquired</w:t>
            </w:r>
            <w:r>
              <w:rPr>
                <w:rFonts w:ascii="Arial" w:cs="Arial" w:eastAsia="Arial" w:hAnsi="Arial"/>
                <w:sz w:val="14"/>
                <w:szCs w:val="14"/>
                <w:color w:val="FFFFFF"/>
                <w:vertAlign w:val="superscript"/>
              </w:rPr>
              <w:t>(3)</w:t>
            </w:r>
          </w:p>
        </w:tc>
      </w:tr>
      <w:tr>
        <w:trPr>
          <w:trHeight w:val="222"/>
        </w:trPr>
        <w:tc>
          <w:tcPr>
            <w:tcW w:w="61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Mr. Vounatsos</w:t>
            </w:r>
          </w:p>
        </w:tc>
        <w:tc>
          <w:tcPr>
            <w:tcW w:w="1380" w:type="dxa"/>
            <w:vAlign w:val="bottom"/>
            <w:shd w:val="clear" w:color="auto" w:fill="E8F0F8"/>
          </w:tcPr>
          <w:p>
            <w:pPr>
              <w:jc w:val="right"/>
              <w:ind w:right="62"/>
              <w:spacing w:after="0"/>
              <w:rPr>
                <w:sz w:val="20"/>
                <w:szCs w:val="20"/>
                <w:color w:val="auto"/>
              </w:rPr>
            </w:pPr>
            <w:r>
              <w:rPr>
                <w:rFonts w:ascii="Arial" w:cs="Arial" w:eastAsia="Arial" w:hAnsi="Arial"/>
                <w:sz w:val="16"/>
                <w:szCs w:val="16"/>
                <w:color w:val="auto"/>
              </w:rPr>
              <w:t>18,159</w:t>
            </w:r>
          </w:p>
        </w:tc>
      </w:tr>
      <w:tr>
        <w:trPr>
          <w:trHeight w:val="237"/>
        </w:trPr>
        <w:tc>
          <w:tcPr>
            <w:tcW w:w="61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Mr. McDonnell</w:t>
            </w:r>
          </w:p>
        </w:tc>
        <w:tc>
          <w:tcPr>
            <w:tcW w:w="1380" w:type="dxa"/>
            <w:vAlign w:val="bottom"/>
            <w:shd w:val="clear" w:color="auto" w:fill="BAD3EA"/>
          </w:tcPr>
          <w:p>
            <w:pPr>
              <w:jc w:val="right"/>
              <w:ind w:right="62"/>
              <w:spacing w:after="0"/>
              <w:rPr>
                <w:sz w:val="20"/>
                <w:szCs w:val="20"/>
                <w:color w:val="auto"/>
              </w:rPr>
            </w:pPr>
            <w:r>
              <w:rPr>
                <w:rFonts w:ascii="Arial" w:cs="Arial" w:eastAsia="Arial" w:hAnsi="Arial"/>
                <w:sz w:val="16"/>
                <w:szCs w:val="16"/>
                <w:color w:val="auto"/>
              </w:rPr>
              <w:t>3,423</w:t>
            </w:r>
          </w:p>
        </w:tc>
      </w:tr>
      <w:tr>
        <w:trPr>
          <w:trHeight w:val="222"/>
        </w:trPr>
        <w:tc>
          <w:tcPr>
            <w:tcW w:w="61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Ms. Alexander</w:t>
            </w:r>
          </w:p>
        </w:tc>
        <w:tc>
          <w:tcPr>
            <w:tcW w:w="1380" w:type="dxa"/>
            <w:vAlign w:val="bottom"/>
            <w:shd w:val="clear" w:color="auto" w:fill="E8F0F8"/>
          </w:tcPr>
          <w:p>
            <w:pPr>
              <w:jc w:val="right"/>
              <w:ind w:right="62"/>
              <w:spacing w:after="0"/>
              <w:rPr>
                <w:sz w:val="20"/>
                <w:szCs w:val="20"/>
                <w:color w:val="auto"/>
              </w:rPr>
            </w:pPr>
            <w:r>
              <w:rPr>
                <w:rFonts w:ascii="Arial" w:cs="Arial" w:eastAsia="Arial" w:hAnsi="Arial"/>
                <w:sz w:val="16"/>
                <w:szCs w:val="16"/>
                <w:color w:val="auto"/>
              </w:rPr>
              <w:t>5,004</w:t>
            </w:r>
          </w:p>
        </w:tc>
      </w:tr>
      <w:tr>
        <w:trPr>
          <w:trHeight w:val="237"/>
        </w:trPr>
        <w:tc>
          <w:tcPr>
            <w:tcW w:w="61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Mr. Guindo</w:t>
            </w:r>
          </w:p>
        </w:tc>
        <w:tc>
          <w:tcPr>
            <w:tcW w:w="1380" w:type="dxa"/>
            <w:vAlign w:val="bottom"/>
            <w:shd w:val="clear" w:color="auto" w:fill="BAD3EA"/>
          </w:tcPr>
          <w:p>
            <w:pPr>
              <w:jc w:val="right"/>
              <w:ind w:right="62"/>
              <w:spacing w:after="0"/>
              <w:rPr>
                <w:sz w:val="20"/>
                <w:szCs w:val="20"/>
                <w:color w:val="auto"/>
              </w:rPr>
            </w:pPr>
            <w:r>
              <w:rPr>
                <w:rFonts w:ascii="Arial" w:cs="Arial" w:eastAsia="Arial" w:hAnsi="Arial"/>
                <w:sz w:val="16"/>
                <w:szCs w:val="16"/>
                <w:color w:val="auto"/>
              </w:rPr>
              <w:t>2,216</w:t>
            </w:r>
          </w:p>
        </w:tc>
      </w:tr>
      <w:tr>
        <w:trPr>
          <w:trHeight w:val="223"/>
        </w:trPr>
        <w:tc>
          <w:tcPr>
            <w:tcW w:w="610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rPr>
              <w:t>Dr. Sandrock</w:t>
            </w:r>
          </w:p>
        </w:tc>
        <w:tc>
          <w:tcPr>
            <w:tcW w:w="1380" w:type="dxa"/>
            <w:vAlign w:val="bottom"/>
            <w:tcBorders>
              <w:bottom w:val="single" w:sz="8" w:color="auto"/>
            </w:tcBorders>
            <w:shd w:val="clear" w:color="auto" w:fill="E8F0F8"/>
          </w:tcPr>
          <w:p>
            <w:pPr>
              <w:jc w:val="right"/>
              <w:ind w:right="62"/>
              <w:spacing w:after="0"/>
              <w:rPr>
                <w:sz w:val="20"/>
                <w:szCs w:val="20"/>
                <w:color w:val="auto"/>
              </w:rPr>
            </w:pPr>
            <w:r>
              <w:rPr>
                <w:rFonts w:ascii="Arial" w:cs="Arial" w:eastAsia="Arial" w:hAnsi="Arial"/>
                <w:sz w:val="16"/>
                <w:szCs w:val="16"/>
                <w:color w:val="auto"/>
              </w:rPr>
              <w:t>4,672</w:t>
            </w:r>
          </w:p>
        </w:tc>
      </w:tr>
    </w:tbl>
    <w:p>
      <w:pPr>
        <w:spacing w:after="0" w:line="112" w:lineRule="exact"/>
        <w:rPr>
          <w:sz w:val="20"/>
          <w:szCs w:val="20"/>
          <w:color w:val="auto"/>
        </w:rPr>
      </w:pPr>
    </w:p>
    <w:p>
      <w:pPr>
        <w:ind w:left="440" w:right="120" w:hanging="324"/>
        <w:spacing w:after="0" w:line="248" w:lineRule="auto"/>
        <w:tabs>
          <w:tab w:leader="none" w:pos="4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value realized for MSUs, stock-settled PSUs and RSUs was calculated by multiplying the closing price of a share of our common stock on the vesting date by the total number of shares that vested on such date. The value realized for cash-settled PSUs is calculated using the 30-day average closing price of the common stock of the Company through the vesting date.</w:t>
      </w:r>
    </w:p>
    <w:p>
      <w:pPr>
        <w:ind w:left="440" w:hanging="324"/>
        <w:spacing w:after="0"/>
        <w:tabs>
          <w:tab w:leader="none" w:pos="4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MSUs, stock-settled PSUs and RSUs were settled in shares of our common stock. Cash-settled PSUs were settled in cash.</w:t>
      </w:r>
    </w:p>
    <w:p>
      <w:pPr>
        <w:sectPr>
          <w:pgSz w:w="11900" w:h="16838" w:orient="portrait"/>
          <w:cols w:equalWidth="0" w:num="1">
            <w:col w:w="11140"/>
          </w:cols>
          <w:pgMar w:left="320" w:top="455" w:right="439" w:bottom="1440" w:gutter="0" w:footer="0" w:header="0"/>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2021 Non-Qualified Deferred Compensation</w:t>
      </w:r>
    </w:p>
    <w:p>
      <w:pPr>
        <w:spacing w:after="0" w:line="10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The SSP covers our executive officers and other eligible employees in the U.S. Employees whose base salary and annual cash incentives for the year exceed a specified Internal Revenue Service’s limit ($290,000 in 2021) and who receive a Company-paid restoration match on the portion of their base salary, annual bonus and cash payments in respect of CSPUs and cash-settled PSUs, as applicable, that exceeds this limit; the restoration match equals 6% of this excess compensation. The restoration match feature is intended to provide the amount of matching employer contributions that the participant would otherwise have been</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65 </w:t>
      </w:r>
      <w:r>
        <w:rPr>
          <w:sz w:val="1"/>
          <w:szCs w:val="1"/>
          <w:color w:val="auto"/>
        </w:rPr>
        <w:drawing>
          <wp:inline distT="0" distB="0" distL="0" distR="0">
            <wp:extent cx="38735" cy="19685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eligible to receive under our 401(k) plan but for the limit imposed by Section 401(a)(17) of the Internal Revenue Code ($290,000 for 2021). In addition, eligible employees may make voluntary contributions of up to 80% of their base salary and 100% of their annual bonus and cash payments in respect of CSPUs and cash-settled PSUs, as applicable, to the SSP, and thereby defer income taxes on such amounts until distribution is made from the SSP. The Company does not match participants’ voluntary contributions to the SSP. The SSP provides for immediate vesting of the restoration match consistent with our immediate vesting of the Company match provided under our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360680</wp:posOffset>
            </wp:positionV>
            <wp:extent cx="102870" cy="946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40" w:space="400"/>
            <w:col w:w="5400"/>
          </w:cols>
          <w:pgMar w:left="320" w:top="455" w:right="4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185420</wp:posOffset>
            </wp:positionV>
            <wp:extent cx="69951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Notional SSP accounts are maintained for each participant. Accounts include employee and employer contributions and reflect the performance of notional investments selected by the employee or a default investment if the employee does not make a selection. These notional investment options include the mutual funds offered under our 401(k) plan as well as a fixed rate option which earns a rate of return determined each year by the Company’s retirement committee. For contributions to the SSP fixed rate option in 2021, this rate of return was set at 5%. Contributions to the fixed rate option continue to earn interest at the rate of return that was in effect during the year of contribution. The excess of the interest rate applicable to the fixed rate option above 120% of the applicable federal long-term rate (compounded quarterly) earned by our NEOs during 2021 is shown in the Summary Compensation Table. We fund the SSP liabilities through corporate-owned life insurance (COLI), which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purchase with the written consent of SSP participants, and investments in mutual funds. We believe that the COLI policies and mutual funds will be sufficient to cover plan liabilities through the projected payout date so the plan will not require direct funding by the Company. Upon enrollment in the SSP, a participant must elect when and how distributions will be made from the participant’s account. Distributions can be made upon termination of the participant’s employment, either in a lump sum or up to 15 annual installments, or at a specified future date while the participant is still employed (an “in-service” distribution), either in a lump sum or up to 5 annual installments. Further, upon enrollment, a participant must also elect a distribution method upon death or a change in control of the Company, which can either be a lump sum payment or, if different, the method selected for payment upon termination of employment.</w:t>
      </w:r>
    </w:p>
    <w:p>
      <w:pPr>
        <w:spacing w:after="0" w:line="390" w:lineRule="exact"/>
        <w:rPr>
          <w:sz w:val="20"/>
          <w:szCs w:val="20"/>
          <w:color w:val="auto"/>
        </w:rPr>
      </w:pPr>
    </w:p>
    <w:p>
      <w:pPr>
        <w:sectPr>
          <w:pgSz w:w="11900" w:h="16838" w:orient="portrait"/>
          <w:cols w:equalWidth="0" w:num="2">
            <w:col w:w="5400" w:space="340"/>
            <w:col w:w="5400"/>
          </w:cols>
          <w:pgMar w:left="320" w:top="455" w:right="439" w:bottom="1440" w:gutter="0" w:footer="0" w:header="0"/>
          <w:type w:val="continuous"/>
        </w:sectPr>
      </w:pPr>
    </w:p>
    <w:p>
      <w:pPr>
        <w:spacing w:after="0" w:line="4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following table shows a summary of all contributions to, earnings on and distributions received from the SSP for each of our NEOs for the year ended December 31, 2021. The account balances as of year-end include all contributions and interest amounts earned by our NEOs through the end of 2021 plus the SSP contributions that the Company made in early 2022 based on earnings in the last quarter of 2021.</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5340" w:type="dxa"/>
            <w:vAlign w:val="bottom"/>
            <w:shd w:val="clear" w:color="auto" w:fill="1A6DBB"/>
          </w:tcPr>
          <w:p>
            <w:pPr>
              <w:spacing w:after="0"/>
              <w:rPr>
                <w:sz w:val="14"/>
                <w:szCs w:val="14"/>
                <w:color w:val="auto"/>
              </w:rPr>
            </w:pPr>
          </w:p>
        </w:tc>
        <w:tc>
          <w:tcPr>
            <w:tcW w:w="42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34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1020" w:type="dxa"/>
            <w:vAlign w:val="bottom"/>
            <w:gridSpan w:val="2"/>
            <w:shd w:val="clear" w:color="auto" w:fill="1A6DBB"/>
          </w:tcPr>
          <w:p>
            <w:pPr>
              <w:ind w:left="180"/>
              <w:spacing w:after="0"/>
              <w:rPr>
                <w:sz w:val="20"/>
                <w:szCs w:val="20"/>
                <w:color w:val="auto"/>
              </w:rPr>
            </w:pPr>
            <w:r>
              <w:rPr>
                <w:rFonts w:ascii="Arial" w:cs="Arial" w:eastAsia="Arial" w:hAnsi="Arial"/>
                <w:sz w:val="14"/>
                <w:szCs w:val="14"/>
                <w:color w:val="FFFFFF"/>
              </w:rPr>
              <w:t>Aggregate</w:t>
            </w:r>
          </w:p>
        </w:tc>
        <w:tc>
          <w:tcPr>
            <w:tcW w:w="1060" w:type="dxa"/>
            <w:vAlign w:val="bottom"/>
            <w:shd w:val="clear" w:color="auto" w:fill="1A6DBB"/>
          </w:tcPr>
          <w:p>
            <w:pPr>
              <w:spacing w:after="0"/>
              <w:rPr>
                <w:sz w:val="14"/>
                <w:szCs w:val="14"/>
                <w:color w:val="auto"/>
              </w:rPr>
            </w:pPr>
          </w:p>
        </w:tc>
        <w:tc>
          <w:tcPr>
            <w:tcW w:w="200" w:type="dxa"/>
            <w:vAlign w:val="bottom"/>
            <w:shd w:val="clear" w:color="auto" w:fill="1A6DBB"/>
          </w:tcPr>
          <w:p>
            <w:pPr>
              <w:spacing w:after="0"/>
              <w:rPr>
                <w:sz w:val="14"/>
                <w:szCs w:val="14"/>
                <w:color w:val="auto"/>
              </w:rPr>
            </w:pPr>
          </w:p>
        </w:tc>
        <w:tc>
          <w:tcPr>
            <w:tcW w:w="920" w:type="dxa"/>
            <w:vAlign w:val="bottom"/>
            <w:vMerge w:val="restart"/>
            <w:shd w:val="clear" w:color="auto" w:fill="1A6DBB"/>
          </w:tcPr>
          <w:p>
            <w:pPr>
              <w:jc w:val="right"/>
              <w:ind w:right="104"/>
              <w:spacing w:after="0"/>
              <w:rPr>
                <w:sz w:val="20"/>
                <w:szCs w:val="20"/>
                <w:color w:val="auto"/>
              </w:rPr>
            </w:pPr>
            <w:r>
              <w:rPr>
                <w:rFonts w:ascii="Arial" w:cs="Arial" w:eastAsia="Arial" w:hAnsi="Arial"/>
                <w:sz w:val="14"/>
                <w:szCs w:val="14"/>
                <w:color w:val="FFFFFF"/>
              </w:rPr>
              <w:t>Aggregate</w:t>
            </w:r>
          </w:p>
        </w:tc>
        <w:tc>
          <w:tcPr>
            <w:tcW w:w="0" w:type="dxa"/>
            <w:vAlign w:val="bottom"/>
          </w:tcPr>
          <w:p>
            <w:pPr>
              <w:spacing w:after="0"/>
              <w:rPr>
                <w:sz w:val="1"/>
                <w:szCs w:val="1"/>
                <w:color w:val="auto"/>
              </w:rPr>
            </w:pPr>
          </w:p>
        </w:tc>
      </w:tr>
      <w:tr>
        <w:trPr>
          <w:trHeight w:val="148"/>
        </w:trPr>
        <w:tc>
          <w:tcPr>
            <w:tcW w:w="5340" w:type="dxa"/>
            <w:vAlign w:val="bottom"/>
            <w:shd w:val="clear" w:color="auto" w:fill="1A6DBB"/>
          </w:tcPr>
          <w:p>
            <w:pPr>
              <w:spacing w:after="0"/>
              <w:rPr>
                <w:sz w:val="12"/>
                <w:szCs w:val="12"/>
                <w:color w:val="auto"/>
              </w:rPr>
            </w:pPr>
          </w:p>
        </w:tc>
        <w:tc>
          <w:tcPr>
            <w:tcW w:w="420" w:type="dxa"/>
            <w:vAlign w:val="bottom"/>
            <w:shd w:val="clear" w:color="auto" w:fill="1A6DBB"/>
          </w:tcPr>
          <w:p>
            <w:pPr>
              <w:spacing w:after="0"/>
              <w:rPr>
                <w:sz w:val="12"/>
                <w:szCs w:val="12"/>
                <w:color w:val="auto"/>
              </w:rPr>
            </w:pPr>
          </w:p>
        </w:tc>
        <w:tc>
          <w:tcPr>
            <w:tcW w:w="900" w:type="dxa"/>
            <w:vAlign w:val="bottom"/>
            <w:shd w:val="clear" w:color="auto" w:fill="1A6DBB"/>
          </w:tcPr>
          <w:p>
            <w:pPr>
              <w:jc w:val="center"/>
              <w:ind w:right="202"/>
              <w:spacing w:after="0" w:line="149" w:lineRule="exact"/>
              <w:rPr>
                <w:sz w:val="20"/>
                <w:szCs w:val="20"/>
                <w:color w:val="auto"/>
              </w:rPr>
            </w:pPr>
            <w:r>
              <w:rPr>
                <w:rFonts w:ascii="Arial" w:cs="Arial" w:eastAsia="Arial" w:hAnsi="Arial"/>
                <w:sz w:val="14"/>
                <w:szCs w:val="14"/>
                <w:color w:val="FFFFFF"/>
              </w:rPr>
              <w:t>Executive</w:t>
            </w:r>
          </w:p>
        </w:tc>
        <w:tc>
          <w:tcPr>
            <w:tcW w:w="1160" w:type="dxa"/>
            <w:vAlign w:val="bottom"/>
            <w:gridSpan w:val="2"/>
            <w:shd w:val="clear" w:color="auto" w:fill="1A6DBB"/>
          </w:tcPr>
          <w:p>
            <w:pPr>
              <w:jc w:val="center"/>
              <w:spacing w:after="0" w:line="149" w:lineRule="exact"/>
              <w:rPr>
                <w:sz w:val="20"/>
                <w:szCs w:val="20"/>
                <w:color w:val="auto"/>
              </w:rPr>
            </w:pPr>
            <w:r>
              <w:rPr>
                <w:rFonts w:ascii="Arial" w:cs="Arial" w:eastAsia="Arial" w:hAnsi="Arial"/>
                <w:sz w:val="14"/>
                <w:szCs w:val="14"/>
                <w:color w:val="FFFFFF"/>
              </w:rPr>
              <w:t>Company</w:t>
            </w:r>
          </w:p>
        </w:tc>
        <w:tc>
          <w:tcPr>
            <w:tcW w:w="1020" w:type="dxa"/>
            <w:vAlign w:val="bottom"/>
            <w:gridSpan w:val="2"/>
            <w:shd w:val="clear" w:color="auto" w:fill="1A6DBB"/>
          </w:tcPr>
          <w:p>
            <w:pPr>
              <w:jc w:val="center"/>
              <w:spacing w:after="0" w:line="149" w:lineRule="exact"/>
              <w:rPr>
                <w:sz w:val="20"/>
                <w:szCs w:val="20"/>
                <w:color w:val="auto"/>
              </w:rPr>
            </w:pPr>
            <w:r>
              <w:rPr>
                <w:rFonts w:ascii="Arial" w:cs="Arial" w:eastAsia="Arial" w:hAnsi="Arial"/>
                <w:sz w:val="14"/>
                <w:szCs w:val="14"/>
                <w:color w:val="FFFFFF"/>
              </w:rPr>
              <w:t>Earnings</w:t>
            </w:r>
          </w:p>
        </w:tc>
        <w:tc>
          <w:tcPr>
            <w:tcW w:w="1060" w:type="dxa"/>
            <w:vAlign w:val="bottom"/>
            <w:shd w:val="clear" w:color="auto" w:fill="1A6DBB"/>
          </w:tcPr>
          <w:p>
            <w:pPr>
              <w:jc w:val="center"/>
              <w:spacing w:after="0" w:line="149" w:lineRule="exact"/>
              <w:rPr>
                <w:sz w:val="20"/>
                <w:szCs w:val="20"/>
                <w:color w:val="auto"/>
              </w:rPr>
            </w:pPr>
            <w:r>
              <w:rPr>
                <w:rFonts w:ascii="Arial" w:cs="Arial" w:eastAsia="Arial" w:hAnsi="Arial"/>
                <w:sz w:val="14"/>
                <w:szCs w:val="14"/>
                <w:color w:val="FFFFFF"/>
              </w:rPr>
              <w:t>Aggregate</w:t>
            </w:r>
          </w:p>
        </w:tc>
        <w:tc>
          <w:tcPr>
            <w:tcW w:w="200" w:type="dxa"/>
            <w:vAlign w:val="bottom"/>
            <w:shd w:val="clear" w:color="auto" w:fill="1A6DBB"/>
          </w:tcPr>
          <w:p>
            <w:pPr>
              <w:spacing w:after="0"/>
              <w:rPr>
                <w:sz w:val="12"/>
                <w:szCs w:val="12"/>
                <w:color w:val="auto"/>
              </w:rPr>
            </w:pPr>
          </w:p>
        </w:tc>
        <w:tc>
          <w:tcPr>
            <w:tcW w:w="920" w:type="dxa"/>
            <w:vAlign w:val="bottom"/>
            <w:vMerge w:val="continue"/>
            <w:shd w:val="clear" w:color="auto" w:fill="1A6DB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1A6DBB"/>
          </w:tcPr>
          <w:p>
            <w:pPr>
              <w:spacing w:after="0"/>
              <w:rPr>
                <w:sz w:val="14"/>
                <w:szCs w:val="14"/>
                <w:color w:val="auto"/>
              </w:rPr>
            </w:pPr>
          </w:p>
        </w:tc>
        <w:tc>
          <w:tcPr>
            <w:tcW w:w="1320" w:type="dxa"/>
            <w:vAlign w:val="bottom"/>
            <w:gridSpan w:val="2"/>
            <w:shd w:val="clear" w:color="auto" w:fill="1A6DBB"/>
          </w:tcPr>
          <w:p>
            <w:pPr>
              <w:ind w:left="320"/>
              <w:spacing w:after="0"/>
              <w:rPr>
                <w:sz w:val="20"/>
                <w:szCs w:val="20"/>
                <w:color w:val="auto"/>
              </w:rPr>
            </w:pPr>
            <w:r>
              <w:rPr>
                <w:rFonts w:ascii="Arial" w:cs="Arial" w:eastAsia="Arial" w:hAnsi="Arial"/>
                <w:sz w:val="14"/>
                <w:szCs w:val="14"/>
                <w:color w:val="FFFFFF"/>
              </w:rPr>
              <w:t>Contributions</w:t>
            </w:r>
          </w:p>
        </w:tc>
        <w:tc>
          <w:tcPr>
            <w:tcW w:w="11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Contributions</w:t>
            </w:r>
          </w:p>
        </w:tc>
        <w:tc>
          <w:tcPr>
            <w:tcW w:w="260" w:type="dxa"/>
            <w:vAlign w:val="bottom"/>
            <w:shd w:val="clear" w:color="auto" w:fill="1A6DBB"/>
          </w:tcPr>
          <w:p>
            <w:pPr>
              <w:spacing w:after="0"/>
              <w:rPr>
                <w:sz w:val="14"/>
                <w:szCs w:val="14"/>
                <w:color w:val="auto"/>
              </w:rPr>
            </w:pPr>
          </w:p>
        </w:tc>
        <w:tc>
          <w:tcPr>
            <w:tcW w:w="760" w:type="dxa"/>
            <w:vAlign w:val="bottom"/>
            <w:shd w:val="clear" w:color="auto" w:fill="1A6DBB"/>
          </w:tcPr>
          <w:p>
            <w:pPr>
              <w:jc w:val="center"/>
              <w:ind w:right="182"/>
              <w:spacing w:after="0"/>
              <w:rPr>
                <w:sz w:val="20"/>
                <w:szCs w:val="20"/>
                <w:color w:val="auto"/>
              </w:rPr>
            </w:pPr>
            <w:r>
              <w:rPr>
                <w:rFonts w:ascii="Arial" w:cs="Arial" w:eastAsia="Arial" w:hAnsi="Arial"/>
                <w:sz w:val="14"/>
                <w:szCs w:val="14"/>
                <w:color w:val="FFFFFF"/>
              </w:rPr>
              <w:t>in Last</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Distributions</w:t>
            </w:r>
          </w:p>
        </w:tc>
        <w:tc>
          <w:tcPr>
            <w:tcW w:w="200" w:type="dxa"/>
            <w:vAlign w:val="bottom"/>
            <w:shd w:val="clear" w:color="auto" w:fill="1A6DBB"/>
          </w:tcPr>
          <w:p>
            <w:pPr>
              <w:spacing w:after="0"/>
              <w:rPr>
                <w:sz w:val="14"/>
                <w:szCs w:val="14"/>
                <w:color w:val="auto"/>
              </w:rPr>
            </w:pPr>
          </w:p>
        </w:tc>
        <w:tc>
          <w:tcPr>
            <w:tcW w:w="920" w:type="dxa"/>
            <w:vAlign w:val="bottom"/>
            <w:shd w:val="clear" w:color="auto" w:fill="1A6DBB"/>
          </w:tcPr>
          <w:p>
            <w:pPr>
              <w:jc w:val="right"/>
              <w:ind w:right="84"/>
              <w:spacing w:after="0"/>
              <w:rPr>
                <w:sz w:val="20"/>
                <w:szCs w:val="20"/>
                <w:color w:val="auto"/>
              </w:rPr>
            </w:pPr>
            <w:r>
              <w:rPr>
                <w:rFonts w:ascii="Arial" w:cs="Arial" w:eastAsia="Arial" w:hAnsi="Arial"/>
                <w:sz w:val="14"/>
                <w:szCs w:val="14"/>
                <w:color w:val="FFFFFF"/>
              </w:rPr>
              <w:t>Balance at</w:t>
            </w:r>
          </w:p>
        </w:tc>
        <w:tc>
          <w:tcPr>
            <w:tcW w:w="0" w:type="dxa"/>
            <w:vAlign w:val="bottom"/>
          </w:tcPr>
          <w:p>
            <w:pPr>
              <w:spacing w:after="0"/>
              <w:rPr>
                <w:sz w:val="1"/>
                <w:szCs w:val="1"/>
                <w:color w:val="auto"/>
              </w:rPr>
            </w:pPr>
          </w:p>
        </w:tc>
      </w:tr>
      <w:tr>
        <w:trPr>
          <w:trHeight w:val="162"/>
        </w:trPr>
        <w:tc>
          <w:tcPr>
            <w:tcW w:w="5340" w:type="dxa"/>
            <w:vAlign w:val="bottom"/>
            <w:shd w:val="clear" w:color="auto" w:fill="1A6DBB"/>
          </w:tcPr>
          <w:p>
            <w:pPr>
              <w:spacing w:after="0"/>
              <w:rPr>
                <w:sz w:val="14"/>
                <w:szCs w:val="14"/>
                <w:color w:val="auto"/>
              </w:rPr>
            </w:pPr>
          </w:p>
        </w:tc>
        <w:tc>
          <w:tcPr>
            <w:tcW w:w="1320" w:type="dxa"/>
            <w:vAlign w:val="bottom"/>
            <w:gridSpan w:val="2"/>
            <w:shd w:val="clear" w:color="auto" w:fill="1A6DBB"/>
          </w:tcPr>
          <w:p>
            <w:pPr>
              <w:ind w:left="320"/>
              <w:spacing w:after="0"/>
              <w:rPr>
                <w:sz w:val="20"/>
                <w:szCs w:val="20"/>
                <w:color w:val="auto"/>
              </w:rPr>
            </w:pPr>
            <w:r>
              <w:rPr>
                <w:rFonts w:ascii="Arial" w:cs="Arial" w:eastAsia="Arial" w:hAnsi="Arial"/>
                <w:sz w:val="14"/>
                <w:szCs w:val="14"/>
                <w:color w:val="FFFFFF"/>
              </w:rPr>
              <w:t>in Last Fiscal</w:t>
            </w:r>
          </w:p>
        </w:tc>
        <w:tc>
          <w:tcPr>
            <w:tcW w:w="116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in Last Fiscal</w:t>
            </w:r>
          </w:p>
        </w:tc>
        <w:tc>
          <w:tcPr>
            <w:tcW w:w="260" w:type="dxa"/>
            <w:vAlign w:val="bottom"/>
            <w:shd w:val="clear" w:color="auto" w:fill="1A6DBB"/>
          </w:tcPr>
          <w:p>
            <w:pPr>
              <w:spacing w:after="0"/>
              <w:rPr>
                <w:sz w:val="14"/>
                <w:szCs w:val="14"/>
                <w:color w:val="auto"/>
              </w:rPr>
            </w:pPr>
          </w:p>
        </w:tc>
        <w:tc>
          <w:tcPr>
            <w:tcW w:w="760" w:type="dxa"/>
            <w:vAlign w:val="bottom"/>
            <w:shd w:val="clear" w:color="auto" w:fill="1A6DBB"/>
          </w:tcPr>
          <w:p>
            <w:pPr>
              <w:jc w:val="center"/>
              <w:ind w:right="182"/>
              <w:spacing w:after="0"/>
              <w:rPr>
                <w:sz w:val="20"/>
                <w:szCs w:val="20"/>
                <w:color w:val="auto"/>
              </w:rPr>
            </w:pPr>
            <w:r>
              <w:rPr>
                <w:rFonts w:ascii="Arial" w:cs="Arial" w:eastAsia="Arial" w:hAnsi="Arial"/>
                <w:sz w:val="14"/>
                <w:szCs w:val="14"/>
                <w:color w:val="FFFFFF"/>
              </w:rPr>
              <w:t>Fiscal</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in Last</w:t>
            </w:r>
          </w:p>
        </w:tc>
        <w:tc>
          <w:tcPr>
            <w:tcW w:w="200" w:type="dxa"/>
            <w:vAlign w:val="bottom"/>
            <w:shd w:val="clear" w:color="auto" w:fill="1A6DBB"/>
          </w:tcPr>
          <w:p>
            <w:pPr>
              <w:spacing w:after="0"/>
              <w:rPr>
                <w:sz w:val="14"/>
                <w:szCs w:val="14"/>
                <w:color w:val="auto"/>
              </w:rPr>
            </w:pPr>
          </w:p>
        </w:tc>
        <w:tc>
          <w:tcPr>
            <w:tcW w:w="920" w:type="dxa"/>
            <w:vAlign w:val="bottom"/>
            <w:shd w:val="clear" w:color="auto" w:fill="1A6DBB"/>
          </w:tcPr>
          <w:p>
            <w:pPr>
              <w:jc w:val="right"/>
              <w:ind w:right="84"/>
              <w:spacing w:after="0"/>
              <w:rPr>
                <w:sz w:val="20"/>
                <w:szCs w:val="20"/>
                <w:color w:val="auto"/>
              </w:rPr>
            </w:pPr>
            <w:r>
              <w:rPr>
                <w:rFonts w:ascii="Arial" w:cs="Arial" w:eastAsia="Arial" w:hAnsi="Arial"/>
                <w:sz w:val="14"/>
                <w:szCs w:val="14"/>
                <w:color w:val="FFFFFF"/>
              </w:rPr>
              <w:t>Last Fiscal</w:t>
            </w:r>
          </w:p>
        </w:tc>
        <w:tc>
          <w:tcPr>
            <w:tcW w:w="0" w:type="dxa"/>
            <w:vAlign w:val="bottom"/>
          </w:tcPr>
          <w:p>
            <w:pPr>
              <w:spacing w:after="0"/>
              <w:rPr>
                <w:sz w:val="1"/>
                <w:szCs w:val="1"/>
                <w:color w:val="auto"/>
              </w:rPr>
            </w:pPr>
          </w:p>
        </w:tc>
      </w:tr>
      <w:tr>
        <w:trPr>
          <w:trHeight w:val="185"/>
        </w:trPr>
        <w:tc>
          <w:tcPr>
            <w:tcW w:w="534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420" w:type="dxa"/>
            <w:vAlign w:val="bottom"/>
            <w:shd w:val="clear" w:color="auto" w:fill="1A6DBB"/>
          </w:tcPr>
          <w:p>
            <w:pPr>
              <w:spacing w:after="0"/>
              <w:rPr>
                <w:sz w:val="16"/>
                <w:szCs w:val="16"/>
                <w:color w:val="auto"/>
              </w:rPr>
            </w:pPr>
          </w:p>
        </w:tc>
        <w:tc>
          <w:tcPr>
            <w:tcW w:w="900" w:type="dxa"/>
            <w:vAlign w:val="bottom"/>
            <w:shd w:val="clear" w:color="auto" w:fill="1A6DBB"/>
          </w:tcPr>
          <w:p>
            <w:pPr>
              <w:jc w:val="center"/>
              <w:ind w:right="202"/>
              <w:spacing w:after="0"/>
              <w:rPr>
                <w:sz w:val="20"/>
                <w:szCs w:val="20"/>
                <w:color w:val="auto"/>
              </w:rPr>
            </w:pPr>
            <w:r>
              <w:rPr>
                <w:rFonts w:ascii="Arial" w:cs="Arial" w:eastAsia="Arial" w:hAnsi="Arial"/>
                <w:sz w:val="14"/>
                <w:szCs w:val="14"/>
                <w:color w:val="FFFFFF"/>
                <w:w w:val="92"/>
              </w:rPr>
              <w:t>Year</w:t>
            </w:r>
            <w:r>
              <w:rPr>
                <w:rFonts w:ascii="Arial" w:cs="Arial" w:eastAsia="Arial" w:hAnsi="Arial"/>
                <w:sz w:val="14"/>
                <w:szCs w:val="14"/>
                <w:color w:val="FFFFFF"/>
                <w:w w:val="92"/>
                <w:vertAlign w:val="superscript"/>
              </w:rPr>
              <w:t>(1)</w:t>
            </w:r>
          </w:p>
        </w:tc>
        <w:tc>
          <w:tcPr>
            <w:tcW w:w="340" w:type="dxa"/>
            <w:vAlign w:val="bottom"/>
            <w:shd w:val="clear" w:color="auto" w:fill="1A6DBB"/>
          </w:tcPr>
          <w:p>
            <w:pPr>
              <w:spacing w:after="0"/>
              <w:rPr>
                <w:sz w:val="16"/>
                <w:szCs w:val="16"/>
                <w:color w:val="auto"/>
              </w:rPr>
            </w:pPr>
          </w:p>
        </w:tc>
        <w:tc>
          <w:tcPr>
            <w:tcW w:w="820" w:type="dxa"/>
            <w:vAlign w:val="bottom"/>
            <w:shd w:val="clear" w:color="auto" w:fill="1A6DBB"/>
          </w:tcPr>
          <w:p>
            <w:pPr>
              <w:jc w:val="center"/>
              <w:ind w:right="261"/>
              <w:spacing w:after="0"/>
              <w:rPr>
                <w:sz w:val="20"/>
                <w:szCs w:val="20"/>
                <w:color w:val="auto"/>
              </w:rPr>
            </w:pPr>
            <w:r>
              <w:rPr>
                <w:rFonts w:ascii="Arial" w:cs="Arial" w:eastAsia="Arial" w:hAnsi="Arial"/>
                <w:sz w:val="14"/>
                <w:szCs w:val="14"/>
                <w:color w:val="FFFFFF"/>
                <w:w w:val="97"/>
              </w:rPr>
              <w:t>Year</w:t>
            </w:r>
            <w:r>
              <w:rPr>
                <w:rFonts w:ascii="Arial" w:cs="Arial" w:eastAsia="Arial" w:hAnsi="Arial"/>
                <w:sz w:val="14"/>
                <w:szCs w:val="14"/>
                <w:color w:val="FFFFFF"/>
                <w:w w:val="97"/>
                <w:vertAlign w:val="superscript"/>
              </w:rPr>
              <w:t>(2)</w:t>
            </w:r>
          </w:p>
        </w:tc>
        <w:tc>
          <w:tcPr>
            <w:tcW w:w="260" w:type="dxa"/>
            <w:vAlign w:val="bottom"/>
            <w:shd w:val="clear" w:color="auto" w:fill="1A6DBB"/>
          </w:tcPr>
          <w:p>
            <w:pPr>
              <w:spacing w:after="0"/>
              <w:rPr>
                <w:sz w:val="16"/>
                <w:szCs w:val="16"/>
                <w:color w:val="auto"/>
              </w:rPr>
            </w:pPr>
          </w:p>
        </w:tc>
        <w:tc>
          <w:tcPr>
            <w:tcW w:w="760" w:type="dxa"/>
            <w:vAlign w:val="bottom"/>
            <w:shd w:val="clear" w:color="auto" w:fill="1A6DBB"/>
          </w:tcPr>
          <w:p>
            <w:pPr>
              <w:jc w:val="center"/>
              <w:ind w:right="182"/>
              <w:spacing w:after="0"/>
              <w:rPr>
                <w:sz w:val="20"/>
                <w:szCs w:val="20"/>
                <w:color w:val="auto"/>
              </w:rPr>
            </w:pPr>
            <w:r>
              <w:rPr>
                <w:rFonts w:ascii="Arial" w:cs="Arial" w:eastAsia="Arial" w:hAnsi="Arial"/>
                <w:sz w:val="14"/>
                <w:szCs w:val="14"/>
                <w:color w:val="FFFFFF"/>
                <w:w w:val="92"/>
              </w:rPr>
              <w:t>Year</w:t>
            </w:r>
            <w:r>
              <w:rPr>
                <w:rFonts w:ascii="Arial" w:cs="Arial" w:eastAsia="Arial" w:hAnsi="Arial"/>
                <w:sz w:val="14"/>
                <w:szCs w:val="14"/>
                <w:color w:val="FFFFFF"/>
                <w:w w:val="92"/>
                <w:vertAlign w:val="superscript"/>
              </w:rPr>
              <w:t>(3)</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Fiscal Year</w:t>
            </w:r>
          </w:p>
        </w:tc>
        <w:tc>
          <w:tcPr>
            <w:tcW w:w="200" w:type="dxa"/>
            <w:vAlign w:val="bottom"/>
            <w:shd w:val="clear" w:color="auto" w:fill="1A6DBB"/>
          </w:tcPr>
          <w:p>
            <w:pPr>
              <w:spacing w:after="0"/>
              <w:rPr>
                <w:sz w:val="16"/>
                <w:szCs w:val="16"/>
                <w:color w:val="auto"/>
              </w:rPr>
            </w:pPr>
          </w:p>
        </w:tc>
        <w:tc>
          <w:tcPr>
            <w:tcW w:w="920" w:type="dxa"/>
            <w:vAlign w:val="bottom"/>
            <w:shd w:val="clear" w:color="auto" w:fill="1A6DBB"/>
          </w:tcPr>
          <w:p>
            <w:pPr>
              <w:jc w:val="right"/>
              <w:ind w:right="84"/>
              <w:spacing w:after="0"/>
              <w:rPr>
                <w:sz w:val="20"/>
                <w:szCs w:val="20"/>
                <w:color w:val="auto"/>
              </w:rPr>
            </w:pPr>
            <w:r>
              <w:rPr>
                <w:rFonts w:ascii="Arial" w:cs="Arial" w:eastAsia="Arial" w:hAnsi="Arial"/>
                <w:sz w:val="14"/>
                <w:szCs w:val="14"/>
                <w:color w:val="FFFFFF"/>
              </w:rPr>
              <w:t>Year-End</w:t>
            </w:r>
            <w:r>
              <w:rPr>
                <w:rFonts w:ascii="Arial" w:cs="Arial" w:eastAsia="Arial" w:hAnsi="Arial"/>
                <w:sz w:val="14"/>
                <w:szCs w:val="14"/>
                <w:color w:val="FFFFFF"/>
                <w:vertAlign w:val="superscript"/>
              </w:rPr>
              <w:t>(4)</w:t>
            </w:r>
          </w:p>
        </w:tc>
        <w:tc>
          <w:tcPr>
            <w:tcW w:w="0" w:type="dxa"/>
            <w:vAlign w:val="bottom"/>
          </w:tcPr>
          <w:p>
            <w:pPr>
              <w:spacing w:after="0"/>
              <w:rPr>
                <w:sz w:val="1"/>
                <w:szCs w:val="1"/>
                <w:color w:val="auto"/>
              </w:rPr>
            </w:pPr>
          </w:p>
        </w:tc>
      </w:tr>
      <w:tr>
        <w:trPr>
          <w:trHeight w:val="230"/>
        </w:trPr>
        <w:tc>
          <w:tcPr>
            <w:tcW w:w="5340" w:type="dxa"/>
            <w:vAlign w:val="bottom"/>
            <w:shd w:val="clear" w:color="auto" w:fill="E8F0F8"/>
          </w:tcPr>
          <w:p>
            <w:pPr>
              <w:ind w:left="80"/>
              <w:spacing w:after="0" w:line="230" w:lineRule="exact"/>
              <w:rPr>
                <w:sz w:val="20"/>
                <w:szCs w:val="20"/>
                <w:color w:val="auto"/>
              </w:rPr>
            </w:pPr>
            <w:r>
              <w:rPr>
                <w:rFonts w:ascii="Arial" w:cs="Arial" w:eastAsia="Arial" w:hAnsi="Arial"/>
                <w:sz w:val="16"/>
                <w:szCs w:val="16"/>
                <w:color w:val="auto"/>
              </w:rPr>
              <w:t>Michel Vounatsos</w:t>
            </w:r>
            <w:r>
              <w:rPr>
                <w:rFonts w:ascii="Arial" w:cs="Arial" w:eastAsia="Arial" w:hAnsi="Arial"/>
                <w:sz w:val="26"/>
                <w:szCs w:val="26"/>
                <w:color w:val="auto"/>
                <w:vertAlign w:val="superscript"/>
              </w:rPr>
              <w:t>(5)</w:t>
            </w:r>
          </w:p>
        </w:tc>
        <w:tc>
          <w:tcPr>
            <w:tcW w:w="420" w:type="dxa"/>
            <w:vAlign w:val="bottom"/>
            <w:shd w:val="clear" w:color="auto" w:fill="E8F0F8"/>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F0F8"/>
          </w:tcPr>
          <w:p>
            <w:pPr>
              <w:jc w:val="right"/>
              <w:ind w:right="102"/>
              <w:spacing w:after="0"/>
              <w:rPr>
                <w:sz w:val="20"/>
                <w:szCs w:val="20"/>
                <w:color w:val="auto"/>
              </w:rPr>
            </w:pPr>
            <w:r>
              <w:rPr>
                <w:rFonts w:ascii="Arial" w:cs="Arial" w:eastAsia="Arial" w:hAnsi="Arial"/>
                <w:sz w:val="16"/>
                <w:szCs w:val="16"/>
                <w:color w:val="auto"/>
                <w:w w:val="98"/>
              </w:rPr>
              <w:t>3,302,161</w:t>
            </w:r>
          </w:p>
        </w:tc>
        <w:tc>
          <w:tcPr>
            <w:tcW w:w="3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8F0F8"/>
          </w:tcPr>
          <w:p>
            <w:pPr>
              <w:jc w:val="right"/>
              <w:ind w:right="161"/>
              <w:spacing w:after="0"/>
              <w:rPr>
                <w:sz w:val="20"/>
                <w:szCs w:val="20"/>
                <w:color w:val="auto"/>
              </w:rPr>
            </w:pPr>
            <w:r>
              <w:rPr>
                <w:rFonts w:ascii="Arial" w:cs="Arial" w:eastAsia="Arial" w:hAnsi="Arial"/>
                <w:sz w:val="16"/>
                <w:szCs w:val="16"/>
                <w:color w:val="auto"/>
                <w:w w:val="96"/>
              </w:rPr>
              <w:t>402,654</w:t>
            </w:r>
          </w:p>
        </w:tc>
        <w:tc>
          <w:tcPr>
            <w:tcW w:w="260" w:type="dxa"/>
            <w:vAlign w:val="bottom"/>
            <w:shd w:val="clear" w:color="auto" w:fill="E8F0F8"/>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8F0F8"/>
          </w:tcPr>
          <w:p>
            <w:pPr>
              <w:jc w:val="right"/>
              <w:ind w:right="102"/>
              <w:spacing w:after="0"/>
              <w:rPr>
                <w:sz w:val="20"/>
                <w:szCs w:val="20"/>
                <w:color w:val="auto"/>
              </w:rPr>
            </w:pPr>
            <w:r>
              <w:rPr>
                <w:rFonts w:ascii="Arial" w:cs="Arial" w:eastAsia="Arial" w:hAnsi="Arial"/>
                <w:sz w:val="16"/>
                <w:szCs w:val="16"/>
                <w:color w:val="auto"/>
                <w:w w:val="96"/>
              </w:rPr>
              <w:t>728,371</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F0F8"/>
          </w:tcPr>
          <w:p>
            <w:pPr>
              <w:jc w:val="right"/>
              <w:ind w:right="24"/>
              <w:spacing w:after="0"/>
              <w:rPr>
                <w:sz w:val="20"/>
                <w:szCs w:val="20"/>
                <w:color w:val="auto"/>
              </w:rPr>
            </w:pPr>
            <w:r>
              <w:rPr>
                <w:rFonts w:ascii="Arial" w:cs="Arial" w:eastAsia="Arial" w:hAnsi="Arial"/>
                <w:sz w:val="16"/>
                <w:szCs w:val="16"/>
                <w:color w:val="auto"/>
                <w:w w:val="99"/>
              </w:rPr>
              <w:t>16,268,866</w:t>
            </w:r>
          </w:p>
        </w:tc>
        <w:tc>
          <w:tcPr>
            <w:tcW w:w="0" w:type="dxa"/>
            <w:vAlign w:val="bottom"/>
          </w:tcPr>
          <w:p>
            <w:pPr>
              <w:spacing w:after="0"/>
              <w:rPr>
                <w:sz w:val="1"/>
                <w:szCs w:val="1"/>
                <w:color w:val="auto"/>
              </w:rPr>
            </w:pPr>
          </w:p>
        </w:tc>
      </w:tr>
      <w:tr>
        <w:trPr>
          <w:trHeight w:val="230"/>
        </w:trPr>
        <w:tc>
          <w:tcPr>
            <w:tcW w:w="5340" w:type="dxa"/>
            <w:vAlign w:val="bottom"/>
            <w:shd w:val="clear" w:color="auto" w:fill="BAD3EA"/>
          </w:tcPr>
          <w:p>
            <w:pPr>
              <w:ind w:left="80"/>
              <w:spacing w:after="0"/>
              <w:rPr>
                <w:sz w:val="20"/>
                <w:szCs w:val="20"/>
                <w:color w:val="auto"/>
              </w:rPr>
            </w:pPr>
            <w:r>
              <w:rPr>
                <w:rFonts w:ascii="Arial" w:cs="Arial" w:eastAsia="Arial" w:hAnsi="Arial"/>
                <w:sz w:val="16"/>
                <w:szCs w:val="16"/>
                <w:color w:val="auto"/>
              </w:rPr>
              <w:t>Michael R. McDonnell</w:t>
            </w:r>
          </w:p>
        </w:tc>
        <w:tc>
          <w:tcPr>
            <w:tcW w:w="420" w:type="dxa"/>
            <w:vAlign w:val="bottom"/>
            <w:shd w:val="clear" w:color="auto" w:fill="BAD3EA"/>
          </w:tcPr>
          <w:p>
            <w:pPr>
              <w:spacing w:after="0"/>
              <w:rPr>
                <w:sz w:val="19"/>
                <w:szCs w:val="19"/>
                <w:color w:val="auto"/>
              </w:rPr>
            </w:pPr>
          </w:p>
        </w:tc>
        <w:tc>
          <w:tcPr>
            <w:tcW w:w="900" w:type="dxa"/>
            <w:vAlign w:val="bottom"/>
            <w:shd w:val="clear" w:color="auto" w:fill="BAD3EA"/>
          </w:tcPr>
          <w:p>
            <w:pPr>
              <w:jc w:val="center"/>
              <w:ind w:right="182"/>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AD3EA"/>
          </w:tcPr>
          <w:p>
            <w:pPr>
              <w:jc w:val="right"/>
              <w:ind w:right="161"/>
              <w:spacing w:after="0"/>
              <w:rPr>
                <w:sz w:val="20"/>
                <w:szCs w:val="20"/>
                <w:color w:val="auto"/>
              </w:rPr>
            </w:pPr>
            <w:r>
              <w:rPr>
                <w:rFonts w:ascii="Arial" w:cs="Arial" w:eastAsia="Arial" w:hAnsi="Arial"/>
                <w:sz w:val="16"/>
                <w:szCs w:val="16"/>
                <w:color w:val="auto"/>
              </w:rPr>
              <w:t>37,007</w:t>
            </w:r>
          </w:p>
        </w:tc>
        <w:tc>
          <w:tcPr>
            <w:tcW w:w="260" w:type="dxa"/>
            <w:vAlign w:val="bottom"/>
            <w:shd w:val="clear" w:color="auto" w:fill="BAD3EA"/>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AD3EA"/>
          </w:tcPr>
          <w:p>
            <w:pPr>
              <w:jc w:val="right"/>
              <w:ind w:right="82"/>
              <w:spacing w:after="0"/>
              <w:rPr>
                <w:sz w:val="20"/>
                <w:szCs w:val="20"/>
                <w:color w:val="auto"/>
              </w:rPr>
            </w:pPr>
            <w:r>
              <w:rPr>
                <w:rFonts w:ascii="Arial" w:cs="Arial" w:eastAsia="Arial" w:hAnsi="Arial"/>
                <w:sz w:val="16"/>
                <w:szCs w:val="16"/>
                <w:color w:val="auto"/>
              </w:rPr>
              <w:t>760</w:t>
            </w:r>
          </w:p>
        </w:tc>
        <w:tc>
          <w:tcPr>
            <w:tcW w:w="106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3EA"/>
          </w:tcPr>
          <w:p>
            <w:pPr>
              <w:jc w:val="right"/>
              <w:ind w:right="24"/>
              <w:spacing w:after="0"/>
              <w:rPr>
                <w:sz w:val="20"/>
                <w:szCs w:val="20"/>
                <w:color w:val="auto"/>
              </w:rPr>
            </w:pPr>
            <w:r>
              <w:rPr>
                <w:rFonts w:ascii="Arial" w:cs="Arial" w:eastAsia="Arial" w:hAnsi="Arial"/>
                <w:sz w:val="16"/>
                <w:szCs w:val="16"/>
                <w:color w:val="auto"/>
              </w:rPr>
              <w:t>51,841</w:t>
            </w:r>
          </w:p>
        </w:tc>
        <w:tc>
          <w:tcPr>
            <w:tcW w:w="0" w:type="dxa"/>
            <w:vAlign w:val="bottom"/>
          </w:tcPr>
          <w:p>
            <w:pPr>
              <w:spacing w:after="0"/>
              <w:rPr>
                <w:sz w:val="1"/>
                <w:szCs w:val="1"/>
                <w:color w:val="auto"/>
              </w:rPr>
            </w:pPr>
          </w:p>
        </w:tc>
      </w:tr>
      <w:tr>
        <w:trPr>
          <w:trHeight w:val="222"/>
        </w:trPr>
        <w:tc>
          <w:tcPr>
            <w:tcW w:w="5340" w:type="dxa"/>
            <w:vAlign w:val="bottom"/>
            <w:shd w:val="clear" w:color="auto" w:fill="E8F0F8"/>
          </w:tcPr>
          <w:p>
            <w:pPr>
              <w:ind w:left="80"/>
              <w:spacing w:after="0"/>
              <w:rPr>
                <w:sz w:val="20"/>
                <w:szCs w:val="20"/>
                <w:color w:val="auto"/>
              </w:rPr>
            </w:pPr>
            <w:r>
              <w:rPr>
                <w:rFonts w:ascii="Arial" w:cs="Arial" w:eastAsia="Arial" w:hAnsi="Arial"/>
                <w:sz w:val="16"/>
                <w:szCs w:val="16"/>
                <w:color w:val="auto"/>
              </w:rPr>
              <w:t>Susan H. Alexander</w:t>
            </w:r>
          </w:p>
        </w:tc>
        <w:tc>
          <w:tcPr>
            <w:tcW w:w="420" w:type="dxa"/>
            <w:vAlign w:val="bottom"/>
            <w:shd w:val="clear" w:color="auto" w:fill="E8F0F8"/>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8F0F8"/>
          </w:tcPr>
          <w:p>
            <w:pPr>
              <w:jc w:val="right"/>
              <w:ind w:right="102"/>
              <w:spacing w:after="0"/>
              <w:rPr>
                <w:sz w:val="20"/>
                <w:szCs w:val="20"/>
                <w:color w:val="auto"/>
              </w:rPr>
            </w:pPr>
            <w:r>
              <w:rPr>
                <w:rFonts w:ascii="Arial" w:cs="Arial" w:eastAsia="Arial" w:hAnsi="Arial"/>
                <w:sz w:val="16"/>
                <w:szCs w:val="16"/>
                <w:color w:val="auto"/>
              </w:rPr>
              <w:t>586,883</w:t>
            </w:r>
          </w:p>
        </w:tc>
        <w:tc>
          <w:tcPr>
            <w:tcW w:w="1160" w:type="dxa"/>
            <w:vAlign w:val="bottom"/>
            <w:gridSpan w:val="2"/>
            <w:shd w:val="clear" w:color="auto" w:fill="E8F0F8"/>
          </w:tcPr>
          <w:p>
            <w:pPr>
              <w:jc w:val="right"/>
              <w:ind w:right="161"/>
              <w:spacing w:after="0"/>
              <w:rPr>
                <w:sz w:val="20"/>
                <w:szCs w:val="20"/>
                <w:color w:val="auto"/>
              </w:rPr>
            </w:pPr>
            <w:r>
              <w:rPr>
                <w:rFonts w:ascii="Arial" w:cs="Arial" w:eastAsia="Arial" w:hAnsi="Arial"/>
                <w:sz w:val="16"/>
                <w:szCs w:val="16"/>
                <w:color w:val="auto"/>
              </w:rPr>
              <w:t>$117,165</w:t>
            </w:r>
          </w:p>
        </w:tc>
        <w:tc>
          <w:tcPr>
            <w:tcW w:w="260" w:type="dxa"/>
            <w:vAlign w:val="bottom"/>
            <w:shd w:val="clear" w:color="auto" w:fill="E8F0F8"/>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8F0F8"/>
          </w:tcPr>
          <w:p>
            <w:pPr>
              <w:jc w:val="right"/>
              <w:ind w:right="102"/>
              <w:spacing w:after="0"/>
              <w:rPr>
                <w:sz w:val="20"/>
                <w:szCs w:val="20"/>
                <w:color w:val="auto"/>
              </w:rPr>
            </w:pPr>
            <w:r>
              <w:rPr>
                <w:rFonts w:ascii="Arial" w:cs="Arial" w:eastAsia="Arial" w:hAnsi="Arial"/>
                <w:sz w:val="16"/>
                <w:szCs w:val="16"/>
                <w:color w:val="auto"/>
                <w:w w:val="96"/>
              </w:rPr>
              <w:t>618,461</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gridSpan w:val="2"/>
            <w:shd w:val="clear" w:color="auto" w:fill="E8F0F8"/>
          </w:tcPr>
          <w:p>
            <w:pPr>
              <w:jc w:val="right"/>
              <w:ind w:right="24"/>
              <w:spacing w:after="0"/>
              <w:rPr>
                <w:sz w:val="20"/>
                <w:szCs w:val="20"/>
                <w:color w:val="auto"/>
              </w:rPr>
            </w:pPr>
            <w:r>
              <w:rPr>
                <w:rFonts w:ascii="Arial" w:cs="Arial" w:eastAsia="Arial" w:hAnsi="Arial"/>
                <w:sz w:val="16"/>
                <w:szCs w:val="16"/>
                <w:color w:val="auto"/>
              </w:rPr>
              <w:t>$11,729,023</w:t>
            </w:r>
          </w:p>
        </w:tc>
        <w:tc>
          <w:tcPr>
            <w:tcW w:w="0" w:type="dxa"/>
            <w:vAlign w:val="bottom"/>
          </w:tcPr>
          <w:p>
            <w:pPr>
              <w:spacing w:after="0"/>
              <w:rPr>
                <w:sz w:val="1"/>
                <w:szCs w:val="1"/>
                <w:color w:val="auto"/>
              </w:rPr>
            </w:pPr>
          </w:p>
        </w:tc>
      </w:tr>
      <w:tr>
        <w:trPr>
          <w:trHeight w:val="237"/>
        </w:trPr>
        <w:tc>
          <w:tcPr>
            <w:tcW w:w="5340" w:type="dxa"/>
            <w:vAlign w:val="bottom"/>
            <w:shd w:val="clear" w:color="auto" w:fill="BAD3EA"/>
          </w:tcPr>
          <w:p>
            <w:pPr>
              <w:ind w:left="80"/>
              <w:spacing w:after="0" w:line="237" w:lineRule="exact"/>
              <w:rPr>
                <w:sz w:val="20"/>
                <w:szCs w:val="20"/>
                <w:color w:val="auto"/>
              </w:rPr>
            </w:pPr>
            <w:r>
              <w:rPr>
                <w:rFonts w:ascii="Arial" w:cs="Arial" w:eastAsia="Arial" w:hAnsi="Arial"/>
                <w:sz w:val="16"/>
                <w:szCs w:val="16"/>
                <w:color w:val="auto"/>
              </w:rPr>
              <w:t>Chirfi Guindo</w:t>
            </w:r>
            <w:r>
              <w:rPr>
                <w:rFonts w:ascii="Arial" w:cs="Arial" w:eastAsia="Arial" w:hAnsi="Arial"/>
                <w:sz w:val="27"/>
                <w:szCs w:val="27"/>
                <w:color w:val="auto"/>
                <w:vertAlign w:val="superscript"/>
              </w:rPr>
              <w:t>(5)</w:t>
            </w:r>
          </w:p>
        </w:tc>
        <w:tc>
          <w:tcPr>
            <w:tcW w:w="420" w:type="dxa"/>
            <w:vAlign w:val="bottom"/>
            <w:shd w:val="clear" w:color="auto" w:fill="BAD3EA"/>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BAD3EA"/>
          </w:tcPr>
          <w:p>
            <w:pPr>
              <w:jc w:val="right"/>
              <w:ind w:right="102"/>
              <w:spacing w:after="0"/>
              <w:rPr>
                <w:sz w:val="20"/>
                <w:szCs w:val="20"/>
                <w:color w:val="auto"/>
              </w:rPr>
            </w:pPr>
            <w:r>
              <w:rPr>
                <w:rFonts w:ascii="Arial" w:cs="Arial" w:eastAsia="Arial" w:hAnsi="Arial"/>
                <w:sz w:val="16"/>
                <w:szCs w:val="16"/>
                <w:color w:val="auto"/>
              </w:rPr>
              <w:t>546,078</w:t>
            </w:r>
          </w:p>
        </w:tc>
        <w:tc>
          <w:tcPr>
            <w:tcW w:w="3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AD3EA"/>
          </w:tcPr>
          <w:p>
            <w:pPr>
              <w:jc w:val="right"/>
              <w:ind w:right="161"/>
              <w:spacing w:after="0"/>
              <w:rPr>
                <w:sz w:val="20"/>
                <w:szCs w:val="20"/>
                <w:color w:val="auto"/>
              </w:rPr>
            </w:pPr>
            <w:r>
              <w:rPr>
                <w:rFonts w:ascii="Arial" w:cs="Arial" w:eastAsia="Arial" w:hAnsi="Arial"/>
                <w:sz w:val="16"/>
                <w:szCs w:val="16"/>
                <w:color w:val="auto"/>
              </w:rPr>
              <w:t>50,450</w:t>
            </w:r>
          </w:p>
        </w:tc>
        <w:tc>
          <w:tcPr>
            <w:tcW w:w="260" w:type="dxa"/>
            <w:vAlign w:val="bottom"/>
            <w:shd w:val="clear" w:color="auto" w:fill="BAD3EA"/>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BAD3EA"/>
          </w:tcPr>
          <w:p>
            <w:pPr>
              <w:jc w:val="right"/>
              <w:ind w:right="102"/>
              <w:spacing w:after="0"/>
              <w:rPr>
                <w:sz w:val="20"/>
                <w:szCs w:val="20"/>
                <w:color w:val="auto"/>
              </w:rPr>
            </w:pPr>
            <w:r>
              <w:rPr>
                <w:rFonts w:ascii="Arial" w:cs="Arial" w:eastAsia="Arial" w:hAnsi="Arial"/>
                <w:sz w:val="16"/>
                <w:szCs w:val="16"/>
                <w:color w:val="auto"/>
                <w:w w:val="96"/>
              </w:rPr>
              <w:t>238,160</w:t>
            </w:r>
          </w:p>
        </w:tc>
        <w:tc>
          <w:tcPr>
            <w:tcW w:w="106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3EA"/>
          </w:tcPr>
          <w:p>
            <w:pPr>
              <w:jc w:val="right"/>
              <w:ind w:right="24"/>
              <w:spacing w:after="0"/>
              <w:rPr>
                <w:sz w:val="20"/>
                <w:szCs w:val="20"/>
                <w:color w:val="auto"/>
              </w:rPr>
            </w:pPr>
            <w:r>
              <w:rPr>
                <w:rFonts w:ascii="Arial" w:cs="Arial" w:eastAsia="Arial" w:hAnsi="Arial"/>
                <w:sz w:val="16"/>
                <w:szCs w:val="16"/>
                <w:color w:val="auto"/>
              </w:rPr>
              <w:t>2,669,586</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Alfred W. Sandrock, Jr.</w:t>
            </w:r>
          </w:p>
        </w:tc>
        <w:tc>
          <w:tcPr>
            <w:tcW w:w="420" w:type="dxa"/>
            <w:vAlign w:val="bottom"/>
            <w:tcBorders>
              <w:bottom w:val="single" w:sz="8" w:color="auto"/>
            </w:tcBorders>
            <w:shd w:val="clear" w:color="auto" w:fill="E8F0F8"/>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8F0F8"/>
          </w:tcPr>
          <w:p>
            <w:pPr>
              <w:jc w:val="right"/>
              <w:ind w:right="102"/>
              <w:spacing w:after="0"/>
              <w:rPr>
                <w:sz w:val="20"/>
                <w:szCs w:val="20"/>
                <w:color w:val="auto"/>
              </w:rPr>
            </w:pPr>
            <w:r>
              <w:rPr>
                <w:rFonts w:ascii="Arial" w:cs="Arial" w:eastAsia="Arial" w:hAnsi="Arial"/>
                <w:sz w:val="16"/>
                <w:szCs w:val="16"/>
                <w:color w:val="auto"/>
              </w:rPr>
              <w:t>179,885</w:t>
            </w:r>
          </w:p>
        </w:tc>
        <w:tc>
          <w:tcPr>
            <w:tcW w:w="3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8F0F8"/>
          </w:tcPr>
          <w:p>
            <w:pPr>
              <w:jc w:val="right"/>
              <w:ind w:right="161"/>
              <w:spacing w:after="0"/>
              <w:rPr>
                <w:sz w:val="20"/>
                <w:szCs w:val="20"/>
                <w:color w:val="auto"/>
              </w:rPr>
            </w:pPr>
            <w:r>
              <w:rPr>
                <w:rFonts w:ascii="Arial" w:cs="Arial" w:eastAsia="Arial" w:hAnsi="Arial"/>
                <w:sz w:val="16"/>
                <w:szCs w:val="16"/>
                <w:color w:val="auto"/>
                <w:w w:val="96"/>
              </w:rPr>
              <w:t>120,619</w:t>
            </w:r>
          </w:p>
        </w:tc>
        <w:tc>
          <w:tcPr>
            <w:tcW w:w="260" w:type="dxa"/>
            <w:vAlign w:val="bottom"/>
            <w:tcBorders>
              <w:bottom w:val="single" w:sz="8" w:color="auto"/>
            </w:tcBorders>
            <w:shd w:val="clear" w:color="auto" w:fill="E8F0F8"/>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8F0F8"/>
          </w:tcPr>
          <w:p>
            <w:pPr>
              <w:jc w:val="right"/>
              <w:ind w:right="102"/>
              <w:spacing w:after="0"/>
              <w:rPr>
                <w:sz w:val="20"/>
                <w:szCs w:val="20"/>
                <w:color w:val="auto"/>
              </w:rPr>
            </w:pPr>
            <w:r>
              <w:rPr>
                <w:rFonts w:ascii="Arial" w:cs="Arial" w:eastAsia="Arial" w:hAnsi="Arial"/>
                <w:sz w:val="16"/>
                <w:szCs w:val="16"/>
                <w:color w:val="auto"/>
                <w:w w:val="96"/>
              </w:rPr>
              <w:t>265,726</w:t>
            </w:r>
          </w:p>
        </w:tc>
        <w:tc>
          <w:tcPr>
            <w:tcW w:w="106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8F0F8"/>
          </w:tcPr>
          <w:p>
            <w:pPr>
              <w:jc w:val="right"/>
              <w:ind w:right="24"/>
              <w:spacing w:after="0"/>
              <w:rPr>
                <w:sz w:val="20"/>
                <w:szCs w:val="20"/>
                <w:color w:val="auto"/>
              </w:rPr>
            </w:pPr>
            <w:r>
              <w:rPr>
                <w:rFonts w:ascii="Arial" w:cs="Arial" w:eastAsia="Arial" w:hAnsi="Arial"/>
                <w:sz w:val="16"/>
                <w:szCs w:val="16"/>
                <w:color w:val="auto"/>
              </w:rPr>
              <w:t>4,846,492</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4"/>
          <w:szCs w:val="14"/>
          <w:i w:val="1"/>
          <w:iCs w:val="1"/>
          <w:color w:val="auto"/>
        </w:rPr>
        <w:t>Notes to the 2021 Non-Qualified Deferred Compensation Table</w:t>
      </w:r>
    </w:p>
    <w:p>
      <w:pPr>
        <w:spacing w:after="0" w:line="113" w:lineRule="exact"/>
        <w:rPr>
          <w:sz w:val="20"/>
          <w:szCs w:val="20"/>
          <w:color w:val="auto"/>
        </w:rPr>
      </w:pPr>
    </w:p>
    <w:p>
      <w:pPr>
        <w:ind w:left="440" w:right="320" w:hanging="324"/>
        <w:spacing w:after="0" w:line="251" w:lineRule="auto"/>
        <w:tabs>
          <w:tab w:leader="none" w:pos="4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amounts in this column are also included, in part, in columns (c) and/or (f) of the Summary Compensation Table and represent deferral of salary and deferral of payments under our 2021 annual bonus plan, respectively.</w:t>
      </w:r>
    </w:p>
    <w:p>
      <w:pPr>
        <w:spacing w:after="0" w:line="1" w:lineRule="exact"/>
        <w:rPr>
          <w:rFonts w:ascii="Arial" w:cs="Arial" w:eastAsia="Arial" w:hAnsi="Arial"/>
          <w:sz w:val="14"/>
          <w:szCs w:val="14"/>
          <w:color w:val="auto"/>
        </w:rPr>
      </w:pPr>
    </w:p>
    <w:p>
      <w:pPr>
        <w:ind w:left="440" w:hanging="324"/>
        <w:spacing w:after="0"/>
        <w:tabs>
          <w:tab w:leader="none" w:pos="4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amounts in this column are also included in column (h) of the Summary Compensation Table for 2021 as Company contributions to the SSP.</w:t>
      </w:r>
    </w:p>
    <w:p>
      <w:pPr>
        <w:spacing w:after="0" w:line="1" w:lineRule="exact"/>
        <w:rPr>
          <w:rFonts w:ascii="Arial" w:cs="Arial" w:eastAsia="Arial" w:hAnsi="Arial"/>
          <w:sz w:val="14"/>
          <w:szCs w:val="14"/>
          <w:color w:val="auto"/>
        </w:rPr>
      </w:pPr>
    </w:p>
    <w:p>
      <w:pPr>
        <w:ind w:left="440" w:right="600" w:hanging="324"/>
        <w:spacing w:after="0" w:line="241" w:lineRule="auto"/>
        <w:tabs>
          <w:tab w:leader="none" w:pos="4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Earnings in excess of 120% of the applicable federal long-term rate are reported in column (g) of the Summary Compensation Table for 2021 for Mr. Vounatsos ($494,290), Mr. McDonnell ($513), Ms. Alexander ($441,999) and Dr. Sandrock ($193,267).</w:t>
      </w:r>
    </w:p>
    <w:p>
      <w:pPr>
        <w:ind w:left="440" w:right="220" w:hanging="324"/>
        <w:spacing w:after="0" w:line="264" w:lineRule="auto"/>
        <w:tabs>
          <w:tab w:leader="none" w:pos="4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following table lists the compensation deferrals during 2020 and 2019 by the NEOs, as reported, where applicable, in the proxy statement for our 2021 and 2020 annual meetings of stockholders:</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166"/>
        </w:trPr>
        <w:tc>
          <w:tcPr>
            <w:tcW w:w="4720" w:type="dxa"/>
            <w:vAlign w:val="bottom"/>
            <w:shd w:val="clear" w:color="auto" w:fill="1A6DBB"/>
          </w:tcPr>
          <w:p>
            <w:pPr>
              <w:spacing w:after="0"/>
              <w:rPr>
                <w:sz w:val="14"/>
                <w:szCs w:val="14"/>
                <w:color w:val="auto"/>
              </w:rPr>
            </w:pPr>
          </w:p>
        </w:tc>
        <w:tc>
          <w:tcPr>
            <w:tcW w:w="540" w:type="dxa"/>
            <w:vAlign w:val="bottom"/>
            <w:shd w:val="clear" w:color="auto" w:fill="1A6DBB"/>
          </w:tcPr>
          <w:p>
            <w:pPr>
              <w:spacing w:after="0"/>
              <w:rPr>
                <w:sz w:val="14"/>
                <w:szCs w:val="14"/>
                <w:color w:val="auto"/>
              </w:rPr>
            </w:pPr>
          </w:p>
        </w:tc>
        <w:tc>
          <w:tcPr>
            <w:tcW w:w="2220" w:type="dxa"/>
            <w:vAlign w:val="bottom"/>
            <w:gridSpan w:val="3"/>
            <w:shd w:val="clear" w:color="auto" w:fill="1A6DBB"/>
          </w:tcPr>
          <w:p>
            <w:pPr>
              <w:jc w:val="right"/>
              <w:ind w:right="481"/>
              <w:spacing w:after="0"/>
              <w:rPr>
                <w:sz w:val="20"/>
                <w:szCs w:val="20"/>
                <w:color w:val="auto"/>
              </w:rPr>
            </w:pPr>
            <w:r>
              <w:rPr>
                <w:rFonts w:ascii="Arial" w:cs="Arial" w:eastAsia="Arial" w:hAnsi="Arial"/>
                <w:sz w:val="14"/>
                <w:szCs w:val="14"/>
                <w:color w:val="FFFFFF"/>
              </w:rPr>
              <w:t>Amounts Previously</w:t>
            </w:r>
          </w:p>
        </w:tc>
      </w:tr>
      <w:tr>
        <w:trPr>
          <w:trHeight w:val="175"/>
        </w:trPr>
        <w:tc>
          <w:tcPr>
            <w:tcW w:w="4720" w:type="dxa"/>
            <w:vAlign w:val="bottom"/>
            <w:shd w:val="clear" w:color="auto" w:fill="1A6DBB"/>
          </w:tcPr>
          <w:p>
            <w:pPr>
              <w:spacing w:after="0"/>
              <w:rPr>
                <w:sz w:val="15"/>
                <w:szCs w:val="15"/>
                <w:color w:val="auto"/>
              </w:rPr>
            </w:pPr>
          </w:p>
        </w:tc>
        <w:tc>
          <w:tcPr>
            <w:tcW w:w="540" w:type="dxa"/>
            <w:vAlign w:val="bottom"/>
            <w:shd w:val="clear" w:color="auto" w:fill="1A6DBB"/>
          </w:tcPr>
          <w:p>
            <w:pPr>
              <w:spacing w:after="0"/>
              <w:rPr>
                <w:sz w:val="15"/>
                <w:szCs w:val="15"/>
                <w:color w:val="auto"/>
              </w:rPr>
            </w:pPr>
          </w:p>
        </w:tc>
        <w:tc>
          <w:tcPr>
            <w:tcW w:w="2220" w:type="dxa"/>
            <w:vAlign w:val="bottom"/>
            <w:gridSpan w:val="3"/>
            <w:shd w:val="clear" w:color="auto" w:fill="1A6DBB"/>
          </w:tcPr>
          <w:p>
            <w:pPr>
              <w:jc w:val="right"/>
              <w:ind w:right="421"/>
              <w:spacing w:after="0"/>
              <w:rPr>
                <w:sz w:val="20"/>
                <w:szCs w:val="20"/>
                <w:color w:val="auto"/>
              </w:rPr>
            </w:pPr>
            <w:r>
              <w:rPr>
                <w:rFonts w:ascii="Arial" w:cs="Arial" w:eastAsia="Arial" w:hAnsi="Arial"/>
                <w:sz w:val="14"/>
                <w:szCs w:val="14"/>
                <w:color w:val="FFFFFF"/>
              </w:rPr>
              <w:t>Reported as Deferred</w:t>
            </w:r>
          </w:p>
        </w:tc>
      </w:tr>
      <w:tr>
        <w:trPr>
          <w:trHeight w:val="171"/>
        </w:trPr>
        <w:tc>
          <w:tcPr>
            <w:tcW w:w="47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540" w:type="dxa"/>
            <w:vAlign w:val="bottom"/>
            <w:shd w:val="clear" w:color="auto" w:fill="1A6DBB"/>
          </w:tcPr>
          <w:p>
            <w:pPr>
              <w:spacing w:after="0"/>
              <w:rPr>
                <w:sz w:val="14"/>
                <w:szCs w:val="14"/>
                <w:color w:val="auto"/>
              </w:rPr>
            </w:pPr>
          </w:p>
        </w:tc>
        <w:tc>
          <w:tcPr>
            <w:tcW w:w="980" w:type="dxa"/>
            <w:vAlign w:val="bottom"/>
            <w:shd w:val="clear" w:color="auto" w:fill="1A6DBB"/>
          </w:tcPr>
          <w:p>
            <w:pPr>
              <w:jc w:val="right"/>
              <w:ind w:right="402"/>
              <w:spacing w:after="0"/>
              <w:rPr>
                <w:sz w:val="20"/>
                <w:szCs w:val="20"/>
                <w:color w:val="auto"/>
              </w:rPr>
            </w:pPr>
            <w:r>
              <w:rPr>
                <w:rFonts w:ascii="Arial" w:cs="Arial" w:eastAsia="Arial" w:hAnsi="Arial"/>
                <w:sz w:val="14"/>
                <w:szCs w:val="14"/>
                <w:color w:val="FFFFFF"/>
              </w:rPr>
              <w:t>2020*</w:t>
            </w:r>
          </w:p>
        </w:tc>
        <w:tc>
          <w:tcPr>
            <w:tcW w:w="360" w:type="dxa"/>
            <w:vAlign w:val="bottom"/>
            <w:shd w:val="clear" w:color="auto" w:fill="1A6DBB"/>
          </w:tcPr>
          <w:p>
            <w:pPr>
              <w:spacing w:after="0"/>
              <w:rPr>
                <w:sz w:val="14"/>
                <w:szCs w:val="14"/>
                <w:color w:val="auto"/>
              </w:rPr>
            </w:pPr>
          </w:p>
        </w:tc>
        <w:tc>
          <w:tcPr>
            <w:tcW w:w="880" w:type="dxa"/>
            <w:vAlign w:val="bottom"/>
            <w:shd w:val="clear" w:color="auto" w:fill="1A6DBB"/>
          </w:tcPr>
          <w:p>
            <w:pPr>
              <w:jc w:val="right"/>
              <w:ind w:right="261"/>
              <w:spacing w:after="0"/>
              <w:rPr>
                <w:sz w:val="20"/>
                <w:szCs w:val="20"/>
                <w:color w:val="auto"/>
              </w:rPr>
            </w:pPr>
            <w:r>
              <w:rPr>
                <w:rFonts w:ascii="Arial" w:cs="Arial" w:eastAsia="Arial" w:hAnsi="Arial"/>
                <w:sz w:val="14"/>
                <w:szCs w:val="14"/>
                <w:color w:val="FFFFFF"/>
              </w:rPr>
              <w:t>2019*</w:t>
            </w:r>
          </w:p>
        </w:tc>
      </w:tr>
      <w:tr>
        <w:trPr>
          <w:trHeight w:val="222"/>
        </w:trPr>
        <w:tc>
          <w:tcPr>
            <w:tcW w:w="4720" w:type="dxa"/>
            <w:vAlign w:val="bottom"/>
            <w:shd w:val="clear" w:color="auto" w:fill="E8F0F8"/>
          </w:tcPr>
          <w:p>
            <w:pPr>
              <w:ind w:left="100"/>
              <w:spacing w:after="0"/>
              <w:rPr>
                <w:sz w:val="20"/>
                <w:szCs w:val="20"/>
                <w:color w:val="auto"/>
              </w:rPr>
            </w:pPr>
            <w:r>
              <w:rPr>
                <w:rFonts w:ascii="Arial" w:cs="Arial" w:eastAsia="Arial" w:hAnsi="Arial"/>
                <w:sz w:val="16"/>
                <w:szCs w:val="16"/>
                <w:color w:val="auto"/>
              </w:rPr>
              <w:t>Mr. Vounatsos</w:t>
            </w:r>
          </w:p>
        </w:tc>
        <w:tc>
          <w:tcPr>
            <w:tcW w:w="5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8F0F8"/>
          </w:tcPr>
          <w:p>
            <w:pPr>
              <w:jc w:val="right"/>
              <w:ind w:right="182"/>
              <w:spacing w:after="0"/>
              <w:rPr>
                <w:sz w:val="20"/>
                <w:szCs w:val="20"/>
                <w:color w:val="auto"/>
              </w:rPr>
            </w:pPr>
            <w:r>
              <w:rPr>
                <w:rFonts w:ascii="Arial" w:cs="Arial" w:eastAsia="Arial" w:hAnsi="Arial"/>
                <w:sz w:val="16"/>
                <w:szCs w:val="16"/>
                <w:color w:val="auto"/>
                <w:w w:val="98"/>
              </w:rPr>
              <w:t>3,193,708</w:t>
            </w:r>
          </w:p>
        </w:tc>
        <w:tc>
          <w:tcPr>
            <w:tcW w:w="3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8F0F8"/>
          </w:tcPr>
          <w:p>
            <w:pPr>
              <w:jc w:val="right"/>
              <w:ind w:right="81"/>
              <w:spacing w:after="0"/>
              <w:rPr>
                <w:sz w:val="20"/>
                <w:szCs w:val="20"/>
                <w:color w:val="auto"/>
              </w:rPr>
            </w:pPr>
            <w:r>
              <w:rPr>
                <w:rFonts w:ascii="Arial" w:cs="Arial" w:eastAsia="Arial" w:hAnsi="Arial"/>
                <w:sz w:val="16"/>
                <w:szCs w:val="16"/>
                <w:color w:val="auto"/>
                <w:w w:val="98"/>
              </w:rPr>
              <w:t>1,765,018</w:t>
            </w:r>
          </w:p>
        </w:tc>
      </w:tr>
      <w:tr>
        <w:trPr>
          <w:trHeight w:val="237"/>
        </w:trPr>
        <w:tc>
          <w:tcPr>
            <w:tcW w:w="47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Mr. McDonnell</w:t>
            </w:r>
          </w:p>
        </w:tc>
        <w:tc>
          <w:tcPr>
            <w:tcW w:w="540" w:type="dxa"/>
            <w:vAlign w:val="bottom"/>
            <w:shd w:val="clear" w:color="auto" w:fill="BAD3EA"/>
          </w:tcPr>
          <w:p>
            <w:pPr>
              <w:spacing w:after="0"/>
              <w:rPr>
                <w:sz w:val="20"/>
                <w:szCs w:val="20"/>
                <w:color w:val="auto"/>
              </w:rPr>
            </w:pPr>
          </w:p>
        </w:tc>
        <w:tc>
          <w:tcPr>
            <w:tcW w:w="980" w:type="dxa"/>
            <w:vAlign w:val="bottom"/>
            <w:shd w:val="clear" w:color="auto" w:fill="BAD3EA"/>
          </w:tcPr>
          <w:p>
            <w:pPr>
              <w:jc w:val="right"/>
              <w:ind w:right="462"/>
              <w:spacing w:after="0"/>
              <w:rPr>
                <w:sz w:val="20"/>
                <w:szCs w:val="20"/>
                <w:color w:val="auto"/>
              </w:rPr>
            </w:pPr>
            <w:r>
              <w:rPr>
                <w:rFonts w:ascii="Arial" w:cs="Arial" w:eastAsia="Arial" w:hAnsi="Arial"/>
                <w:sz w:val="16"/>
                <w:szCs w:val="16"/>
                <w:color w:val="auto"/>
              </w:rPr>
              <w:t>—</w:t>
            </w:r>
          </w:p>
        </w:tc>
        <w:tc>
          <w:tcPr>
            <w:tcW w:w="360" w:type="dxa"/>
            <w:vAlign w:val="bottom"/>
            <w:shd w:val="clear" w:color="auto" w:fill="BAD3EA"/>
          </w:tcPr>
          <w:p>
            <w:pPr>
              <w:spacing w:after="0"/>
              <w:rPr>
                <w:sz w:val="20"/>
                <w:szCs w:val="20"/>
                <w:color w:val="auto"/>
              </w:rPr>
            </w:pPr>
          </w:p>
        </w:tc>
        <w:tc>
          <w:tcPr>
            <w:tcW w:w="880" w:type="dxa"/>
            <w:vAlign w:val="bottom"/>
            <w:shd w:val="clear" w:color="auto" w:fill="BAD3EA"/>
          </w:tcPr>
          <w:p>
            <w:pPr>
              <w:jc w:val="right"/>
              <w:ind w:right="321"/>
              <w:spacing w:after="0"/>
              <w:rPr>
                <w:sz w:val="20"/>
                <w:szCs w:val="20"/>
                <w:color w:val="auto"/>
              </w:rPr>
            </w:pPr>
            <w:r>
              <w:rPr>
                <w:rFonts w:ascii="Arial" w:cs="Arial" w:eastAsia="Arial" w:hAnsi="Arial"/>
                <w:sz w:val="16"/>
                <w:szCs w:val="16"/>
                <w:color w:val="auto"/>
              </w:rPr>
              <w:t>—</w:t>
            </w:r>
          </w:p>
        </w:tc>
      </w:tr>
      <w:tr>
        <w:trPr>
          <w:trHeight w:val="222"/>
        </w:trPr>
        <w:tc>
          <w:tcPr>
            <w:tcW w:w="4720" w:type="dxa"/>
            <w:vAlign w:val="bottom"/>
            <w:shd w:val="clear" w:color="auto" w:fill="E8F0F8"/>
          </w:tcPr>
          <w:p>
            <w:pPr>
              <w:ind w:left="100"/>
              <w:spacing w:after="0"/>
              <w:rPr>
                <w:sz w:val="20"/>
                <w:szCs w:val="20"/>
                <w:color w:val="auto"/>
              </w:rPr>
            </w:pPr>
            <w:r>
              <w:rPr>
                <w:rFonts w:ascii="Arial" w:cs="Arial" w:eastAsia="Arial" w:hAnsi="Arial"/>
                <w:sz w:val="16"/>
                <w:szCs w:val="16"/>
                <w:color w:val="auto"/>
              </w:rPr>
              <w:t>Ms. Alexander</w:t>
            </w:r>
          </w:p>
        </w:tc>
        <w:tc>
          <w:tcPr>
            <w:tcW w:w="5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8F0F8"/>
          </w:tcPr>
          <w:p>
            <w:pPr>
              <w:jc w:val="right"/>
              <w:ind w:right="182"/>
              <w:spacing w:after="0"/>
              <w:rPr>
                <w:sz w:val="20"/>
                <w:szCs w:val="20"/>
                <w:color w:val="auto"/>
              </w:rPr>
            </w:pPr>
            <w:r>
              <w:rPr>
                <w:rFonts w:ascii="Arial" w:cs="Arial" w:eastAsia="Arial" w:hAnsi="Arial"/>
                <w:sz w:val="16"/>
                <w:szCs w:val="16"/>
                <w:color w:val="auto"/>
                <w:w w:val="98"/>
              </w:rPr>
              <w:t>1,000,194</w:t>
            </w:r>
          </w:p>
        </w:tc>
        <w:tc>
          <w:tcPr>
            <w:tcW w:w="3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8F0F8"/>
          </w:tcPr>
          <w:p>
            <w:pPr>
              <w:jc w:val="right"/>
              <w:ind w:right="81"/>
              <w:spacing w:after="0"/>
              <w:rPr>
                <w:sz w:val="20"/>
                <w:szCs w:val="20"/>
                <w:color w:val="auto"/>
              </w:rPr>
            </w:pPr>
            <w:r>
              <w:rPr>
                <w:rFonts w:ascii="Arial" w:cs="Arial" w:eastAsia="Arial" w:hAnsi="Arial"/>
                <w:sz w:val="16"/>
                <w:szCs w:val="16"/>
                <w:color w:val="auto"/>
              </w:rPr>
              <w:t>838,564</w:t>
            </w:r>
          </w:p>
        </w:tc>
      </w:tr>
      <w:tr>
        <w:trPr>
          <w:trHeight w:val="237"/>
        </w:trPr>
        <w:tc>
          <w:tcPr>
            <w:tcW w:w="47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Mr. Guindo</w:t>
            </w:r>
          </w:p>
        </w:tc>
        <w:tc>
          <w:tcPr>
            <w:tcW w:w="5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BAD3EA"/>
          </w:tcPr>
          <w:p>
            <w:pPr>
              <w:jc w:val="right"/>
              <w:ind w:right="182"/>
              <w:spacing w:after="0"/>
              <w:rPr>
                <w:sz w:val="20"/>
                <w:szCs w:val="20"/>
                <w:color w:val="auto"/>
              </w:rPr>
            </w:pPr>
            <w:r>
              <w:rPr>
                <w:rFonts w:ascii="Arial" w:cs="Arial" w:eastAsia="Arial" w:hAnsi="Arial"/>
                <w:sz w:val="16"/>
                <w:szCs w:val="16"/>
                <w:color w:val="auto"/>
              </w:rPr>
              <w:t>677,671</w:t>
            </w:r>
          </w:p>
        </w:tc>
        <w:tc>
          <w:tcPr>
            <w:tcW w:w="3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BAD3EA"/>
          </w:tcPr>
          <w:p>
            <w:pPr>
              <w:jc w:val="right"/>
              <w:ind w:right="81"/>
              <w:spacing w:after="0"/>
              <w:rPr>
                <w:sz w:val="20"/>
                <w:szCs w:val="20"/>
                <w:color w:val="auto"/>
              </w:rPr>
            </w:pPr>
            <w:r>
              <w:rPr>
                <w:rFonts w:ascii="Arial" w:cs="Arial" w:eastAsia="Arial" w:hAnsi="Arial"/>
                <w:sz w:val="16"/>
                <w:szCs w:val="16"/>
                <w:color w:val="auto"/>
              </w:rPr>
              <w:t>618,828</w:t>
            </w:r>
          </w:p>
        </w:tc>
      </w:tr>
      <w:tr>
        <w:trPr>
          <w:trHeight w:val="223"/>
        </w:trPr>
        <w:tc>
          <w:tcPr>
            <w:tcW w:w="472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rPr>
              <w:t>Dr. Sandrock</w:t>
            </w:r>
          </w:p>
        </w:tc>
        <w:tc>
          <w:tcPr>
            <w:tcW w:w="5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8F0F8"/>
          </w:tcPr>
          <w:p>
            <w:pPr>
              <w:jc w:val="right"/>
              <w:ind w:right="182"/>
              <w:spacing w:after="0"/>
              <w:rPr>
                <w:sz w:val="20"/>
                <w:szCs w:val="20"/>
                <w:color w:val="auto"/>
              </w:rPr>
            </w:pPr>
            <w:r>
              <w:rPr>
                <w:rFonts w:ascii="Arial" w:cs="Arial" w:eastAsia="Arial" w:hAnsi="Arial"/>
                <w:sz w:val="16"/>
                <w:szCs w:val="16"/>
                <w:color w:val="auto"/>
              </w:rPr>
              <w:t>223,260</w:t>
            </w:r>
          </w:p>
        </w:tc>
        <w:tc>
          <w:tcPr>
            <w:tcW w:w="3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8F0F8"/>
          </w:tcPr>
          <w:p>
            <w:pPr>
              <w:jc w:val="right"/>
              <w:ind w:right="81"/>
              <w:spacing w:after="0"/>
              <w:rPr>
                <w:sz w:val="20"/>
                <w:szCs w:val="20"/>
                <w:color w:val="auto"/>
              </w:rPr>
            </w:pPr>
            <w:r>
              <w:rPr>
                <w:rFonts w:ascii="Arial" w:cs="Arial" w:eastAsia="Arial" w:hAnsi="Arial"/>
                <w:sz w:val="16"/>
                <w:szCs w:val="16"/>
                <w:color w:val="auto"/>
              </w:rPr>
              <w:t>245,492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-848360</wp:posOffset>
            </wp:positionV>
            <wp:extent cx="147447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66 </w:t>
      </w:r>
      <w:r>
        <w:rPr>
          <w:sz w:val="1"/>
          <w:szCs w:val="1"/>
          <w:color w:val="auto"/>
        </w:rPr>
        <w:drawing>
          <wp:inline distT="0" distB="0" distL="0" distR="0">
            <wp:extent cx="38735" cy="19685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139"/>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399" w:lineRule="exact"/>
        <w:rPr>
          <w:rFonts w:ascii="Arial" w:cs="Arial" w:eastAsia="Arial" w:hAnsi="Arial"/>
          <w:sz w:val="90"/>
          <w:szCs w:val="90"/>
          <w:color w:val="1A6DBB"/>
        </w:rPr>
      </w:pPr>
    </w:p>
    <w:p>
      <w:pPr>
        <w:ind w:left="440" w:right="420" w:hanging="324"/>
        <w:spacing w:after="0" w:line="285" w:lineRule="auto"/>
        <w:tabs>
          <w:tab w:leader="none" w:pos="4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This column also includes Company contributions and compensation earned and deferred in prior years, which was disclosed in our prior proxy statements where applicable, together with earnings on these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-1059180</wp:posOffset>
            </wp:positionV>
            <wp:extent cx="699516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-365125</wp:posOffset>
            </wp:positionV>
            <wp:extent cx="69951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3" w:lineRule="exact"/>
        <w:rPr>
          <w:sz w:val="20"/>
          <w:szCs w:val="20"/>
          <w:color w:val="auto"/>
        </w:rPr>
      </w:pPr>
    </w:p>
    <w:p>
      <w:pPr>
        <w:ind w:left="440" w:hanging="324"/>
        <w:spacing w:after="0" w:line="285" w:lineRule="auto"/>
        <w:tabs>
          <w:tab w:leader="none" w:pos="4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On February 12, 2022, cash-settled PSUs that were elected as deferred by Mr. Vounatsos and Mr. Guindo became vested and credited to the SSP; the earned amounts were $1,371,724 and $533,791, respectively.</w:t>
      </w:r>
    </w:p>
    <w:p>
      <w:pPr>
        <w:sectPr>
          <w:pgSz w:w="11900" w:h="16838" w:orient="portrait"/>
          <w:cols w:equalWidth="0" w:num="1">
            <w:col w:w="11120"/>
          </w:cols>
          <w:pgMar w:left="320" w:top="455" w:right="45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Potential Payments Upon Termination or Change in Control</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Executive Severance Policy</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Definition of Key Terms Relating to our Executive Severance Policy</w:t>
      </w:r>
    </w:p>
    <w:p>
      <w:pPr>
        <w:spacing w:after="0" w:line="71"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Our executive severance policy and benefits refer to certain key terms, including cause, change in control, retirement, involuntary employment action and disability. These terms are defined in our 2017 Omnibus Equity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Executive Vice President Arrangements</w:t>
      </w:r>
    </w:p>
    <w:p>
      <w:pPr>
        <w:spacing w:after="0" w:line="8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Each of our NEOs, other than Mr. Vounatsos, was covered by our executive severance policy in 2021 under which he or she was eligible to receive the following benefits if certain events occurred during 2021:</w:t>
      </w:r>
    </w:p>
    <w:p>
      <w:pPr>
        <w:spacing w:after="0" w:line="77" w:lineRule="exact"/>
        <w:rPr>
          <w:sz w:val="20"/>
          <w:szCs w:val="20"/>
          <w:color w:val="auto"/>
        </w:rPr>
      </w:pPr>
    </w:p>
    <w:p>
      <w:pPr>
        <w:ind w:left="380" w:right="20" w:hanging="264"/>
        <w:spacing w:after="0" w:line="248" w:lineRule="auto"/>
        <w:tabs>
          <w:tab w:leader="none" w:pos="380" w:val="left"/>
        </w:tabs>
        <w:numPr>
          <w:ilvl w:val="0"/>
          <w:numId w:val="141"/>
        </w:numPr>
        <w:rPr>
          <w:rFonts w:ascii="Arial" w:cs="Arial" w:eastAsia="Arial" w:hAnsi="Arial"/>
          <w:sz w:val="16"/>
          <w:szCs w:val="16"/>
          <w:color w:val="1A6DBB"/>
        </w:rPr>
      </w:pPr>
      <w:r>
        <w:rPr>
          <w:rFonts w:ascii="Arial" w:cs="Arial" w:eastAsia="Arial" w:hAnsi="Arial"/>
          <w:sz w:val="16"/>
          <w:szCs w:val="16"/>
          <w:color w:val="auto"/>
        </w:rPr>
        <w:t>In the event of a termination of employment other than for cause and other than by reason of the executive’s death or disability, the NEO would be entitled to receive a lump sum severance payment equal to a minimum of 12 months of such NEO’s then base salary and target bonus as then in effect, with an additional two months of base salary and target bonus for each full year of service, up to a maximum benefit of 21 months of base salary and target bonus. We refer to the number of months of severance an NEO is entitled to receive as the “severance period.”</w:t>
      </w:r>
    </w:p>
    <w:p>
      <w:pPr>
        <w:spacing w:after="0" w:line="5" w:lineRule="exact"/>
        <w:rPr>
          <w:rFonts w:ascii="Arial" w:cs="Arial" w:eastAsia="Arial" w:hAnsi="Arial"/>
          <w:sz w:val="16"/>
          <w:szCs w:val="16"/>
          <w:color w:val="1A6DBB"/>
        </w:rPr>
      </w:pPr>
    </w:p>
    <w:p>
      <w:pPr>
        <w:ind w:left="380" w:hanging="264"/>
        <w:spacing w:after="0" w:line="249" w:lineRule="auto"/>
        <w:tabs>
          <w:tab w:leader="none" w:pos="380" w:val="left"/>
        </w:tabs>
        <w:numPr>
          <w:ilvl w:val="0"/>
          <w:numId w:val="141"/>
        </w:numPr>
        <w:rPr>
          <w:rFonts w:ascii="Arial" w:cs="Arial" w:eastAsia="Arial" w:hAnsi="Arial"/>
          <w:sz w:val="16"/>
          <w:szCs w:val="16"/>
          <w:color w:val="1A6DBB"/>
        </w:rPr>
      </w:pPr>
      <w:r>
        <w:rPr>
          <w:rFonts w:ascii="Arial" w:cs="Arial" w:eastAsia="Arial" w:hAnsi="Arial"/>
          <w:sz w:val="16"/>
          <w:szCs w:val="16"/>
          <w:color w:val="auto"/>
        </w:rPr>
        <w:t>If, within two years following a corporate transaction or a corporate change in control, the NEO experiences a termination of employment other than for cause and other than by reason of death or disability or experiences an involuntary employment action, the NEO would be entitled to a lump sum severance payment equal to two times the NEO’s annual base salary plus target annual bonus as then in effect. These payments are in lieu of any payment in the preceding paragraph.</w:t>
      </w:r>
    </w:p>
    <w:p>
      <w:pPr>
        <w:spacing w:after="0" w:line="77"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payment of these severance benefits is conditioned upon execution of an irrevocable release in favor of the Company.</w:t>
      </w:r>
    </w:p>
    <w:p>
      <w:pPr>
        <w:spacing w:after="0" w:line="48"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color w:val="auto"/>
        </w:rPr>
        <w:t>The executive severance policy does not pay severance upon a termination for cause, voluntary resignation, retirement or death or disability.</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67 </w:t>
      </w:r>
      <w:r>
        <w:rPr>
          <w:sz w:val="1"/>
          <w:szCs w:val="1"/>
          <w:color w:val="auto"/>
        </w:rPr>
        <w:drawing>
          <wp:inline distT="0" distB="0" distL="0" distR="0">
            <wp:extent cx="38735" cy="19685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any case where severance is payable under our executive severance policy, our NEOs would also receive continuation of medical, dental and vision insurance benefits until the earlier of the end of the severance period or the date the executive becomes eligible to participate in another employer’s medical, dental and vision insurance plans. NEOs would also be provided up to 12 months of executive-level outplacement services at our cost.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Annual Bonus Plan</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annual bonus plan provides for a prorated target bonus payment upon a termination of employment due to the death or disability of the participant. Our annual bonus plan provides for payment of a full bonus to any participant remaining employed as of the date of payout.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Mr. Vounatsos’ Arrangements</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entered into an employment agreement with Mr. Vounatsos effective January 6, 2017. The agreement had an initial term that ended on December 31, 2019, and now the term automatically extends each year for additional 12-month periods until the agreement is otherwise terminated in accordance with its terms.</w:t>
      </w:r>
    </w:p>
    <w:p>
      <w:pPr>
        <w:spacing w:after="0" w:line="7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Under Mr. Vounatsos’ employment agreement, if his employment is terminated by the Company without cause or if he terminates his employment for good reason (referred to in his employment agreement as an involuntary employment action), then he would be entitled to a lump sum payment of cash severance in the amount of one and one-half times his annual base salary and target annual bonus. If, however, such termination of employment occurs within two years following a corporate transaction or a corporate change in control (CIC), then he would be entitled to a lump sum payment of cash severance in the amount of two times his annual base salary and target annual bonus. Mr. Vounatsos would also receive continuation of medical, dental and vision benefits until the earlier of 18 months (24 months if within two years of a CIC) following the date his employment terminates or the date upon which he becomes eligible to receive substantially comparable benefits through another employer. In addition, he would be entitled to receive a pro rata portion of his annual cash bonus for the year that such termination occurs based on actual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271780</wp:posOffset>
            </wp:positionV>
            <wp:extent cx="102870" cy="946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340" w:space="400"/>
            <w:col w:w="5380"/>
          </w:cols>
          <w:pgMar w:left="320" w:top="455" w:right="4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85"/>
          <w:szCs w:val="85"/>
          <w:color w:val="1A6DBB"/>
        </w:rPr>
        <w:t xml:space="preserve">6 </w:t>
      </w:r>
      <w:r>
        <w:rPr>
          <w:rFonts w:ascii="Arial" w:cs="Arial" w:eastAsia="Arial" w:hAnsi="Arial"/>
          <w:sz w:val="39"/>
          <w:szCs w:val="39"/>
          <w:color w:val="1A6DBB"/>
        </w:rPr>
        <w:t>Executive Compensation Matters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-602615</wp:posOffset>
            </wp:positionV>
            <wp:extent cx="69951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85" w:lineRule="exact"/>
        <w:rPr>
          <w:sz w:val="20"/>
          <w:szCs w:val="20"/>
          <w:color w:val="auto"/>
        </w:rPr>
      </w:pPr>
    </w:p>
    <w:p>
      <w:pPr>
        <w:jc w:val="both"/>
        <w:ind w:left="120" w:right="140"/>
        <w:spacing w:after="0" w:line="251" w:lineRule="auto"/>
        <w:rPr>
          <w:sz w:val="20"/>
          <w:szCs w:val="20"/>
          <w:color w:val="auto"/>
        </w:rPr>
      </w:pPr>
      <w:r>
        <w:rPr>
          <w:rFonts w:ascii="Arial" w:cs="Arial" w:eastAsia="Arial" w:hAnsi="Arial"/>
          <w:sz w:val="16"/>
          <w:szCs w:val="16"/>
          <w:color w:val="auto"/>
        </w:rPr>
        <w:t>ance or, in the event the termination occurs within two years following a CIC, a pro rata portion of his target annual bonus. Mr. Vounatsos would also be provided executive-level outplacement services for a 12-month period following the termination date at our cost. The payment of</w:t>
      </w:r>
    </w:p>
    <w:p>
      <w:pPr>
        <w:spacing w:after="0" w:line="2" w:lineRule="exact"/>
        <w:rPr>
          <w:sz w:val="20"/>
          <w:szCs w:val="20"/>
          <w:color w:val="auto"/>
        </w:rPr>
      </w:pPr>
    </w:p>
    <w:p>
      <w:pPr>
        <w:ind w:left="120" w:right="280"/>
        <w:spacing w:after="0" w:line="265" w:lineRule="auto"/>
        <w:rPr>
          <w:sz w:val="20"/>
          <w:szCs w:val="20"/>
          <w:color w:val="auto"/>
        </w:rPr>
      </w:pPr>
      <w:r>
        <w:rPr>
          <w:rFonts w:ascii="Arial" w:cs="Arial" w:eastAsia="Arial" w:hAnsi="Arial"/>
          <w:sz w:val="16"/>
          <w:szCs w:val="16"/>
          <w:color w:val="auto"/>
        </w:rPr>
        <w:t>Mr. Vounatsos’ severance benefits is conditioned upon execution of a general release in favor of the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Excise Tax Provisions</w:t>
      </w:r>
    </w:p>
    <w:p>
      <w:pPr>
        <w:spacing w:after="0" w:line="11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No executive officer is eligible to receive excise tax gross ups in respect of payments received in connection with a corporate transaction or corporate CIC.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7F3D"/>
        </w:rPr>
        <w:t>Awards Under Equity Plans</w:t>
      </w:r>
    </w:p>
    <w:p>
      <w:pPr>
        <w:spacing w:after="0" w:line="11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Under the provisions of our 2008 Omnibus Equity Plan and our 2017 Omnibus Equity Plan, unless otherwise determined by our C&amp;MD Committee at the time of grant, awards will vest or become exercisable in full immediately prior to an involuntary employment action that occurs within two years following a corporate CIC (i.e., upon a “double trigger”).</w:t>
      </w:r>
    </w:p>
    <w:p>
      <w:pPr>
        <w:spacing w:after="0" w:line="7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In the event of a corporate transaction, we can either cause the surviving corporation to assume all equity awards or accelerate their vesting and exercisability immediately before the corporate transaction. If the equity awards are</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68 </w:t>
      </w:r>
      <w:r>
        <w:rPr>
          <w:sz w:val="1"/>
          <w:szCs w:val="1"/>
          <w:color w:val="auto"/>
        </w:rPr>
        <w:drawing>
          <wp:inline distT="0" distB="0" distL="0" distR="0">
            <wp:extent cx="38735" cy="19685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7970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assumed and a NEO’s employment is terminated in an involuntary employment action within two years following the corporate transaction, the equity awards that are assumed will become fully vested and, if applicable, exercisable.</w:t>
      </w:r>
    </w:p>
    <w:p>
      <w:pPr>
        <w:spacing w:after="0" w:line="7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If the holder of an equity award retires, which is defined under our equity plans as leaving the employment of Biogen after reaching age 55 with 10 consecutive years of service, each then outstanding time-based equity award or earned performance-based equity award not yet vested will become immediately vested upon such termination at a rate of 50% of the shares unvested at the time of retirement plus an additional 10% of the shares for each full year of service beyond 10 years of service (and performance-based awards would remain eligible to vest based on actual performance). Upon a termination of employment due to death or disability, all unvested time-based equity awards and earned performance-based equity awards vest in full and all unearned performance-based equity awards remain eligible to vest based on actual performance. As of December 31, 2021, Dr. Sandrock and Ms. Alexander were eligible for retirement under our equity plans, and, as a result, Dr. Sandrock was entitled to benefits under his LTI awards as described in the table below in connection with his retirement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692785</wp:posOffset>
            </wp:positionV>
            <wp:extent cx="102870" cy="9398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2">
            <w:col w:w="5360" w:space="380"/>
            <w:col w:w="5380"/>
          </w:cols>
          <w:pgMar w:left="320" w:top="455" w:right="4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42"/>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1A6DBB"/>
        </w:rPr>
        <w:t>Potential Post-Termination Payments Table</w:t>
      </w:r>
    </w:p>
    <w:p>
      <w:pPr>
        <w:spacing w:after="0" w:line="11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following table summarizes the potential payments to each NEO under various termination events. The table assumes that the event occurred on December 31, 2021, for all NEOs. For Dr. Sandrock, the amount in the table below reflects the estimated value associated with the vesting of LTI awards held by Dr. Sandrock as a result of his being retirement eligible under the terms of our equity plans. Dr. Sandrock did not receive any severance payments in connection with his retirement. The calculations use the closing price of our common stock as reported by Nasdaq on December 31, 2021, which was $239.92 per share.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5160" w:type="dxa"/>
            <w:vAlign w:val="bottom"/>
            <w:shd w:val="clear" w:color="auto" w:fill="1A6DBB"/>
          </w:tcPr>
          <w:p>
            <w:pPr>
              <w:spacing w:after="0"/>
              <w:rPr>
                <w:sz w:val="14"/>
                <w:szCs w:val="14"/>
                <w:color w:val="auto"/>
              </w:rPr>
            </w:pPr>
          </w:p>
        </w:tc>
        <w:tc>
          <w:tcPr>
            <w:tcW w:w="360" w:type="dxa"/>
            <w:vAlign w:val="bottom"/>
            <w:shd w:val="clear" w:color="auto" w:fill="1A6DBB"/>
          </w:tcPr>
          <w:p>
            <w:pPr>
              <w:spacing w:after="0"/>
              <w:rPr>
                <w:sz w:val="14"/>
                <w:szCs w:val="14"/>
                <w:color w:val="auto"/>
              </w:rPr>
            </w:pPr>
          </w:p>
        </w:tc>
        <w:tc>
          <w:tcPr>
            <w:tcW w:w="1100" w:type="dxa"/>
            <w:vAlign w:val="bottom"/>
            <w:shd w:val="clear" w:color="auto" w:fill="1A6DBB"/>
          </w:tcPr>
          <w:p>
            <w:pPr>
              <w:spacing w:after="0"/>
              <w:rPr>
                <w:sz w:val="14"/>
                <w:szCs w:val="14"/>
                <w:color w:val="auto"/>
              </w:rPr>
            </w:pPr>
          </w:p>
        </w:tc>
        <w:tc>
          <w:tcPr>
            <w:tcW w:w="2140" w:type="dxa"/>
            <w:vAlign w:val="bottom"/>
            <w:gridSpan w:val="2"/>
            <w:shd w:val="clear" w:color="auto" w:fill="1A6DBB"/>
          </w:tcPr>
          <w:p>
            <w:pPr>
              <w:jc w:val="center"/>
              <w:ind w:right="184"/>
              <w:spacing w:after="0"/>
              <w:rPr>
                <w:sz w:val="20"/>
                <w:szCs w:val="20"/>
                <w:color w:val="auto"/>
              </w:rPr>
            </w:pPr>
            <w:r>
              <w:rPr>
                <w:rFonts w:ascii="Arial" w:cs="Arial" w:eastAsia="Arial" w:hAnsi="Arial"/>
                <w:sz w:val="14"/>
                <w:szCs w:val="14"/>
                <w:color w:val="FFFFFF"/>
              </w:rPr>
              <w:t>Qualifying</w:t>
            </w:r>
          </w:p>
        </w:tc>
        <w:tc>
          <w:tcPr>
            <w:tcW w:w="880" w:type="dxa"/>
            <w:vAlign w:val="bottom"/>
            <w:shd w:val="clear" w:color="auto" w:fill="1A6DBB"/>
          </w:tcPr>
          <w:p>
            <w:pPr>
              <w:spacing w:after="0"/>
              <w:rPr>
                <w:sz w:val="14"/>
                <w:szCs w:val="14"/>
                <w:color w:val="auto"/>
              </w:rPr>
            </w:pPr>
          </w:p>
        </w:tc>
        <w:tc>
          <w:tcPr>
            <w:tcW w:w="1380" w:type="dxa"/>
            <w:vAlign w:val="bottom"/>
            <w:shd w:val="clear" w:color="auto" w:fill="1A6DBB"/>
          </w:tcPr>
          <w:p>
            <w:pPr>
              <w:jc w:val="center"/>
              <w:ind w:right="624"/>
              <w:spacing w:after="0"/>
              <w:rPr>
                <w:sz w:val="20"/>
                <w:szCs w:val="20"/>
                <w:color w:val="auto"/>
              </w:rPr>
            </w:pPr>
            <w:r>
              <w:rPr>
                <w:rFonts w:ascii="Arial" w:cs="Arial" w:eastAsia="Arial" w:hAnsi="Arial"/>
                <w:sz w:val="14"/>
                <w:szCs w:val="14"/>
                <w:color w:val="FFFFFF"/>
              </w:rPr>
              <w:t>Qualifying</w:t>
            </w:r>
          </w:p>
        </w:tc>
      </w:tr>
      <w:tr>
        <w:trPr>
          <w:trHeight w:val="162"/>
        </w:trPr>
        <w:tc>
          <w:tcPr>
            <w:tcW w:w="5160" w:type="dxa"/>
            <w:vAlign w:val="bottom"/>
            <w:shd w:val="clear" w:color="auto" w:fill="1A6DBB"/>
          </w:tcPr>
          <w:p>
            <w:pPr>
              <w:spacing w:after="0"/>
              <w:rPr>
                <w:sz w:val="14"/>
                <w:szCs w:val="14"/>
                <w:color w:val="auto"/>
              </w:rPr>
            </w:pPr>
          </w:p>
        </w:tc>
        <w:tc>
          <w:tcPr>
            <w:tcW w:w="360" w:type="dxa"/>
            <w:vAlign w:val="bottom"/>
            <w:shd w:val="clear" w:color="auto" w:fill="1A6DBB"/>
          </w:tcPr>
          <w:p>
            <w:pPr>
              <w:spacing w:after="0"/>
              <w:rPr>
                <w:sz w:val="14"/>
                <w:szCs w:val="14"/>
                <w:color w:val="auto"/>
              </w:rPr>
            </w:pPr>
          </w:p>
        </w:tc>
        <w:tc>
          <w:tcPr>
            <w:tcW w:w="1100" w:type="dxa"/>
            <w:vAlign w:val="bottom"/>
            <w:shd w:val="clear" w:color="auto" w:fill="1A6DBB"/>
          </w:tcPr>
          <w:p>
            <w:pPr>
              <w:spacing w:after="0"/>
              <w:rPr>
                <w:sz w:val="14"/>
                <w:szCs w:val="14"/>
                <w:color w:val="auto"/>
              </w:rPr>
            </w:pPr>
          </w:p>
        </w:tc>
        <w:tc>
          <w:tcPr>
            <w:tcW w:w="2140" w:type="dxa"/>
            <w:vAlign w:val="bottom"/>
            <w:gridSpan w:val="2"/>
            <w:shd w:val="clear" w:color="auto" w:fill="1A6DBB"/>
          </w:tcPr>
          <w:p>
            <w:pPr>
              <w:jc w:val="center"/>
              <w:ind w:right="164"/>
              <w:spacing w:after="0"/>
              <w:rPr>
                <w:sz w:val="20"/>
                <w:szCs w:val="20"/>
                <w:color w:val="auto"/>
              </w:rPr>
            </w:pPr>
            <w:r>
              <w:rPr>
                <w:rFonts w:ascii="Arial" w:cs="Arial" w:eastAsia="Arial" w:hAnsi="Arial"/>
                <w:sz w:val="14"/>
                <w:szCs w:val="14"/>
                <w:color w:val="FFFFFF"/>
              </w:rPr>
              <w:t>Termination of</w:t>
            </w:r>
          </w:p>
        </w:tc>
        <w:tc>
          <w:tcPr>
            <w:tcW w:w="2260" w:type="dxa"/>
            <w:vAlign w:val="bottom"/>
            <w:gridSpan w:val="2"/>
            <w:shd w:val="clear" w:color="auto" w:fill="1A6DBB"/>
          </w:tcPr>
          <w:p>
            <w:pPr>
              <w:ind w:left="760"/>
              <w:spacing w:after="0"/>
              <w:rPr>
                <w:sz w:val="20"/>
                <w:szCs w:val="20"/>
                <w:color w:val="auto"/>
              </w:rPr>
            </w:pPr>
            <w:r>
              <w:rPr>
                <w:rFonts w:ascii="Arial" w:cs="Arial" w:eastAsia="Arial" w:hAnsi="Arial"/>
                <w:sz w:val="14"/>
                <w:szCs w:val="14"/>
                <w:color w:val="FFFFFF"/>
              </w:rPr>
              <w:t>Termination of</w:t>
            </w:r>
          </w:p>
        </w:tc>
      </w:tr>
      <w:tr>
        <w:trPr>
          <w:trHeight w:val="162"/>
        </w:trPr>
        <w:tc>
          <w:tcPr>
            <w:tcW w:w="5160" w:type="dxa"/>
            <w:vAlign w:val="bottom"/>
            <w:shd w:val="clear" w:color="auto" w:fill="1A6DBB"/>
          </w:tcPr>
          <w:p>
            <w:pPr>
              <w:spacing w:after="0"/>
              <w:rPr>
                <w:sz w:val="14"/>
                <w:szCs w:val="14"/>
                <w:color w:val="auto"/>
              </w:rPr>
            </w:pPr>
          </w:p>
        </w:tc>
        <w:tc>
          <w:tcPr>
            <w:tcW w:w="360" w:type="dxa"/>
            <w:vAlign w:val="bottom"/>
            <w:shd w:val="clear" w:color="auto" w:fill="1A6DBB"/>
          </w:tcPr>
          <w:p>
            <w:pPr>
              <w:spacing w:after="0"/>
              <w:rPr>
                <w:sz w:val="14"/>
                <w:szCs w:val="14"/>
                <w:color w:val="auto"/>
              </w:rPr>
            </w:pPr>
          </w:p>
        </w:tc>
        <w:tc>
          <w:tcPr>
            <w:tcW w:w="1100" w:type="dxa"/>
            <w:vAlign w:val="bottom"/>
            <w:shd w:val="clear" w:color="auto" w:fill="1A6DBB"/>
          </w:tcPr>
          <w:p>
            <w:pPr>
              <w:spacing w:after="0"/>
              <w:rPr>
                <w:sz w:val="14"/>
                <w:szCs w:val="14"/>
                <w:color w:val="auto"/>
              </w:rPr>
            </w:pPr>
          </w:p>
        </w:tc>
        <w:tc>
          <w:tcPr>
            <w:tcW w:w="2140" w:type="dxa"/>
            <w:vAlign w:val="bottom"/>
            <w:gridSpan w:val="2"/>
            <w:shd w:val="clear" w:color="auto" w:fill="1A6DBB"/>
          </w:tcPr>
          <w:p>
            <w:pPr>
              <w:ind w:left="540"/>
              <w:spacing w:after="0"/>
              <w:rPr>
                <w:sz w:val="20"/>
                <w:szCs w:val="20"/>
                <w:color w:val="auto"/>
              </w:rPr>
            </w:pPr>
            <w:r>
              <w:rPr>
                <w:rFonts w:ascii="Arial" w:cs="Arial" w:eastAsia="Arial" w:hAnsi="Arial"/>
                <w:sz w:val="14"/>
                <w:szCs w:val="14"/>
                <w:color w:val="FFFFFF"/>
              </w:rPr>
              <w:t>Employment</w:t>
            </w:r>
          </w:p>
        </w:tc>
        <w:tc>
          <w:tcPr>
            <w:tcW w:w="2260" w:type="dxa"/>
            <w:vAlign w:val="bottom"/>
            <w:gridSpan w:val="2"/>
            <w:shd w:val="clear" w:color="auto" w:fill="1A6DBB"/>
          </w:tcPr>
          <w:p>
            <w:pPr>
              <w:jc w:val="center"/>
              <w:ind w:left="104"/>
              <w:spacing w:after="0"/>
              <w:rPr>
                <w:sz w:val="20"/>
                <w:szCs w:val="20"/>
                <w:color w:val="auto"/>
              </w:rPr>
            </w:pPr>
            <w:r>
              <w:rPr>
                <w:rFonts w:ascii="Arial" w:cs="Arial" w:eastAsia="Arial" w:hAnsi="Arial"/>
                <w:sz w:val="14"/>
                <w:szCs w:val="14"/>
                <w:color w:val="FFFFFF"/>
              </w:rPr>
              <w:t>Employment</w:t>
            </w:r>
          </w:p>
        </w:tc>
      </w:tr>
      <w:tr>
        <w:trPr>
          <w:trHeight w:val="162"/>
        </w:trPr>
        <w:tc>
          <w:tcPr>
            <w:tcW w:w="5160" w:type="dxa"/>
            <w:vAlign w:val="bottom"/>
            <w:shd w:val="clear" w:color="auto" w:fill="1A6DBB"/>
          </w:tcPr>
          <w:p>
            <w:pPr>
              <w:spacing w:after="0"/>
              <w:rPr>
                <w:sz w:val="14"/>
                <w:szCs w:val="14"/>
                <w:color w:val="auto"/>
              </w:rPr>
            </w:pPr>
          </w:p>
        </w:tc>
        <w:tc>
          <w:tcPr>
            <w:tcW w:w="360" w:type="dxa"/>
            <w:vAlign w:val="bottom"/>
            <w:shd w:val="clear" w:color="auto" w:fill="1A6DBB"/>
          </w:tcPr>
          <w:p>
            <w:pPr>
              <w:spacing w:after="0"/>
              <w:rPr>
                <w:sz w:val="14"/>
                <w:szCs w:val="14"/>
                <w:color w:val="auto"/>
              </w:rPr>
            </w:pPr>
          </w:p>
        </w:tc>
        <w:tc>
          <w:tcPr>
            <w:tcW w:w="1100" w:type="dxa"/>
            <w:vAlign w:val="bottom"/>
            <w:shd w:val="clear" w:color="auto" w:fill="1A6DBB"/>
          </w:tcPr>
          <w:p>
            <w:pPr>
              <w:spacing w:after="0"/>
              <w:rPr>
                <w:sz w:val="14"/>
                <w:szCs w:val="14"/>
                <w:color w:val="auto"/>
              </w:rPr>
            </w:pPr>
          </w:p>
        </w:tc>
        <w:tc>
          <w:tcPr>
            <w:tcW w:w="2140" w:type="dxa"/>
            <w:vAlign w:val="bottom"/>
            <w:gridSpan w:val="2"/>
            <w:shd w:val="clear" w:color="auto" w:fill="1A6DBB"/>
          </w:tcPr>
          <w:p>
            <w:pPr>
              <w:jc w:val="center"/>
              <w:ind w:right="164"/>
              <w:spacing w:after="0"/>
              <w:rPr>
                <w:sz w:val="20"/>
                <w:szCs w:val="20"/>
                <w:color w:val="auto"/>
              </w:rPr>
            </w:pPr>
            <w:r>
              <w:rPr>
                <w:rFonts w:ascii="Arial" w:cs="Arial" w:eastAsia="Arial" w:hAnsi="Arial"/>
                <w:sz w:val="14"/>
                <w:szCs w:val="14"/>
                <w:color w:val="FFFFFF"/>
              </w:rPr>
              <w:t>Not Following</w:t>
            </w:r>
          </w:p>
        </w:tc>
        <w:tc>
          <w:tcPr>
            <w:tcW w:w="880" w:type="dxa"/>
            <w:vAlign w:val="bottom"/>
            <w:shd w:val="clear" w:color="auto" w:fill="1A6DBB"/>
          </w:tcPr>
          <w:p>
            <w:pPr>
              <w:spacing w:after="0"/>
              <w:rPr>
                <w:sz w:val="14"/>
                <w:szCs w:val="14"/>
                <w:color w:val="auto"/>
              </w:rPr>
            </w:pPr>
          </w:p>
        </w:tc>
        <w:tc>
          <w:tcPr>
            <w:tcW w:w="1380" w:type="dxa"/>
            <w:vAlign w:val="bottom"/>
            <w:shd w:val="clear" w:color="auto" w:fill="1A6DBB"/>
          </w:tcPr>
          <w:p>
            <w:pPr>
              <w:jc w:val="center"/>
              <w:ind w:right="644"/>
              <w:spacing w:after="0"/>
              <w:rPr>
                <w:sz w:val="20"/>
                <w:szCs w:val="20"/>
                <w:color w:val="auto"/>
              </w:rPr>
            </w:pPr>
            <w:r>
              <w:rPr>
                <w:rFonts w:ascii="Arial" w:cs="Arial" w:eastAsia="Arial" w:hAnsi="Arial"/>
                <w:sz w:val="14"/>
                <w:szCs w:val="14"/>
                <w:color w:val="FFFFFF"/>
              </w:rPr>
              <w:t>Following</w:t>
            </w:r>
          </w:p>
        </w:tc>
      </w:tr>
      <w:tr>
        <w:trPr>
          <w:trHeight w:val="162"/>
        </w:trPr>
        <w:tc>
          <w:tcPr>
            <w:tcW w:w="5160" w:type="dxa"/>
            <w:vAlign w:val="bottom"/>
            <w:shd w:val="clear" w:color="auto" w:fill="1A6DBB"/>
          </w:tcPr>
          <w:p>
            <w:pPr>
              <w:spacing w:after="0"/>
              <w:rPr>
                <w:sz w:val="14"/>
                <w:szCs w:val="14"/>
                <w:color w:val="auto"/>
              </w:rPr>
            </w:pPr>
          </w:p>
        </w:tc>
        <w:tc>
          <w:tcPr>
            <w:tcW w:w="360" w:type="dxa"/>
            <w:vAlign w:val="bottom"/>
            <w:shd w:val="clear" w:color="auto" w:fill="1A6DBB"/>
          </w:tcPr>
          <w:p>
            <w:pPr>
              <w:spacing w:after="0"/>
              <w:rPr>
                <w:sz w:val="14"/>
                <w:szCs w:val="14"/>
                <w:color w:val="auto"/>
              </w:rPr>
            </w:pPr>
          </w:p>
        </w:tc>
        <w:tc>
          <w:tcPr>
            <w:tcW w:w="1100" w:type="dxa"/>
            <w:vAlign w:val="bottom"/>
            <w:shd w:val="clear" w:color="auto" w:fill="1A6DBB"/>
          </w:tcPr>
          <w:p>
            <w:pPr>
              <w:spacing w:after="0"/>
              <w:rPr>
                <w:sz w:val="14"/>
                <w:szCs w:val="14"/>
                <w:color w:val="auto"/>
              </w:rPr>
            </w:pPr>
          </w:p>
        </w:tc>
        <w:tc>
          <w:tcPr>
            <w:tcW w:w="2140" w:type="dxa"/>
            <w:vAlign w:val="bottom"/>
            <w:gridSpan w:val="2"/>
            <w:shd w:val="clear" w:color="auto" w:fill="1A6DBB"/>
          </w:tcPr>
          <w:p>
            <w:pPr>
              <w:ind w:left="560"/>
              <w:spacing w:after="0"/>
              <w:rPr>
                <w:sz w:val="20"/>
                <w:szCs w:val="20"/>
                <w:color w:val="auto"/>
              </w:rPr>
            </w:pPr>
            <w:r>
              <w:rPr>
                <w:rFonts w:ascii="Arial" w:cs="Arial" w:eastAsia="Arial" w:hAnsi="Arial"/>
                <w:sz w:val="14"/>
                <w:szCs w:val="14"/>
                <w:color w:val="FFFFFF"/>
              </w:rPr>
              <w:t>a Corporate</w:t>
            </w:r>
          </w:p>
        </w:tc>
        <w:tc>
          <w:tcPr>
            <w:tcW w:w="2260" w:type="dxa"/>
            <w:vAlign w:val="bottom"/>
            <w:gridSpan w:val="2"/>
            <w:shd w:val="clear" w:color="auto" w:fill="1A6DBB"/>
          </w:tcPr>
          <w:p>
            <w:pPr>
              <w:jc w:val="center"/>
              <w:ind w:left="104"/>
              <w:spacing w:after="0"/>
              <w:rPr>
                <w:sz w:val="20"/>
                <w:szCs w:val="20"/>
                <w:color w:val="auto"/>
              </w:rPr>
            </w:pPr>
            <w:r>
              <w:rPr>
                <w:rFonts w:ascii="Arial" w:cs="Arial" w:eastAsia="Arial" w:hAnsi="Arial"/>
                <w:sz w:val="14"/>
                <w:szCs w:val="14"/>
                <w:color w:val="FFFFFF"/>
              </w:rPr>
              <w:t>a Corporate</w:t>
            </w:r>
          </w:p>
        </w:tc>
      </w:tr>
      <w:tr>
        <w:trPr>
          <w:trHeight w:val="162"/>
        </w:trPr>
        <w:tc>
          <w:tcPr>
            <w:tcW w:w="5160" w:type="dxa"/>
            <w:vAlign w:val="bottom"/>
            <w:shd w:val="clear" w:color="auto" w:fill="1A6DBB"/>
          </w:tcPr>
          <w:p>
            <w:pPr>
              <w:spacing w:after="0"/>
              <w:rPr>
                <w:sz w:val="14"/>
                <w:szCs w:val="14"/>
                <w:color w:val="auto"/>
              </w:rPr>
            </w:pPr>
          </w:p>
        </w:tc>
        <w:tc>
          <w:tcPr>
            <w:tcW w:w="360" w:type="dxa"/>
            <w:vAlign w:val="bottom"/>
            <w:shd w:val="clear" w:color="auto" w:fill="1A6DBB"/>
          </w:tcPr>
          <w:p>
            <w:pPr>
              <w:spacing w:after="0"/>
              <w:rPr>
                <w:sz w:val="14"/>
                <w:szCs w:val="14"/>
                <w:color w:val="auto"/>
              </w:rPr>
            </w:pPr>
          </w:p>
        </w:tc>
        <w:tc>
          <w:tcPr>
            <w:tcW w:w="1100" w:type="dxa"/>
            <w:vAlign w:val="bottom"/>
            <w:shd w:val="clear" w:color="auto" w:fill="1A6DBB"/>
          </w:tcPr>
          <w:p>
            <w:pPr>
              <w:spacing w:after="0"/>
              <w:rPr>
                <w:sz w:val="14"/>
                <w:szCs w:val="14"/>
                <w:color w:val="auto"/>
              </w:rPr>
            </w:pPr>
          </w:p>
        </w:tc>
        <w:tc>
          <w:tcPr>
            <w:tcW w:w="2140" w:type="dxa"/>
            <w:vAlign w:val="bottom"/>
            <w:gridSpan w:val="2"/>
            <w:shd w:val="clear" w:color="auto" w:fill="1A6DBB"/>
          </w:tcPr>
          <w:p>
            <w:pPr>
              <w:jc w:val="center"/>
              <w:ind w:right="164"/>
              <w:spacing w:after="0"/>
              <w:rPr>
                <w:sz w:val="20"/>
                <w:szCs w:val="20"/>
                <w:color w:val="auto"/>
              </w:rPr>
            </w:pPr>
            <w:r>
              <w:rPr>
                <w:rFonts w:ascii="Arial" w:cs="Arial" w:eastAsia="Arial" w:hAnsi="Arial"/>
                <w:sz w:val="14"/>
                <w:szCs w:val="14"/>
                <w:color w:val="FFFFFF"/>
              </w:rPr>
              <w:t>Transaction or</w:t>
            </w:r>
          </w:p>
        </w:tc>
        <w:tc>
          <w:tcPr>
            <w:tcW w:w="2260" w:type="dxa"/>
            <w:vAlign w:val="bottom"/>
            <w:gridSpan w:val="2"/>
            <w:shd w:val="clear" w:color="auto" w:fill="1A6DBB"/>
          </w:tcPr>
          <w:p>
            <w:pPr>
              <w:ind w:left="760"/>
              <w:spacing w:after="0"/>
              <w:rPr>
                <w:sz w:val="20"/>
                <w:szCs w:val="20"/>
                <w:color w:val="auto"/>
              </w:rPr>
            </w:pPr>
            <w:r>
              <w:rPr>
                <w:rFonts w:ascii="Arial" w:cs="Arial" w:eastAsia="Arial" w:hAnsi="Arial"/>
                <w:sz w:val="14"/>
                <w:szCs w:val="14"/>
                <w:color w:val="FFFFFF"/>
              </w:rPr>
              <w:t>Transaction or</w:t>
            </w:r>
          </w:p>
        </w:tc>
      </w:tr>
      <w:tr>
        <w:trPr>
          <w:trHeight w:val="162"/>
        </w:trPr>
        <w:tc>
          <w:tcPr>
            <w:tcW w:w="51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 and Payment Elements</w:t>
            </w:r>
            <w:r>
              <w:rPr>
                <w:rFonts w:ascii="Arial" w:cs="Arial" w:eastAsia="Arial" w:hAnsi="Arial"/>
                <w:sz w:val="14"/>
                <w:szCs w:val="14"/>
                <w:color w:val="FFFFFF"/>
                <w:vertAlign w:val="superscript"/>
              </w:rPr>
              <w:t>(1)</w:t>
            </w:r>
          </w:p>
        </w:tc>
        <w:tc>
          <w:tcPr>
            <w:tcW w:w="1460" w:type="dxa"/>
            <w:vAlign w:val="bottom"/>
            <w:gridSpan w:val="2"/>
            <w:shd w:val="clear" w:color="auto" w:fill="1A6DBB"/>
          </w:tcPr>
          <w:p>
            <w:pPr>
              <w:jc w:val="center"/>
              <w:ind w:right="144"/>
              <w:spacing w:after="0"/>
              <w:rPr>
                <w:sz w:val="20"/>
                <w:szCs w:val="20"/>
                <w:color w:val="auto"/>
              </w:rPr>
            </w:pPr>
            <w:r>
              <w:rPr>
                <w:rFonts w:ascii="Arial" w:cs="Arial" w:eastAsia="Arial" w:hAnsi="Arial"/>
                <w:sz w:val="14"/>
                <w:szCs w:val="14"/>
                <w:color w:val="FFFFFF"/>
              </w:rPr>
              <w:t>Retirement</w:t>
            </w:r>
            <w:r>
              <w:rPr>
                <w:rFonts w:ascii="Arial" w:cs="Arial" w:eastAsia="Arial" w:hAnsi="Arial"/>
                <w:sz w:val="14"/>
                <w:szCs w:val="14"/>
                <w:color w:val="FFFFFF"/>
                <w:vertAlign w:val="superscript"/>
              </w:rPr>
              <w:t>(2)</w:t>
            </w:r>
          </w:p>
        </w:tc>
        <w:tc>
          <w:tcPr>
            <w:tcW w:w="2140" w:type="dxa"/>
            <w:vAlign w:val="bottom"/>
            <w:gridSpan w:val="2"/>
            <w:shd w:val="clear" w:color="auto" w:fill="1A6DBB"/>
          </w:tcPr>
          <w:p>
            <w:pPr>
              <w:jc w:val="center"/>
              <w:ind w:right="184"/>
              <w:spacing w:after="0"/>
              <w:rPr>
                <w:sz w:val="20"/>
                <w:szCs w:val="20"/>
                <w:color w:val="auto"/>
              </w:rPr>
            </w:pPr>
            <w:r>
              <w:rPr>
                <w:rFonts w:ascii="Arial" w:cs="Arial" w:eastAsia="Arial" w:hAnsi="Arial"/>
                <w:sz w:val="14"/>
                <w:szCs w:val="14"/>
                <w:color w:val="FFFFFF"/>
              </w:rPr>
              <w:t>Change in Control</w:t>
            </w:r>
          </w:p>
        </w:tc>
        <w:tc>
          <w:tcPr>
            <w:tcW w:w="2260" w:type="dxa"/>
            <w:vAlign w:val="bottom"/>
            <w:gridSpan w:val="2"/>
            <w:shd w:val="clear" w:color="auto" w:fill="1A6DBB"/>
          </w:tcPr>
          <w:p>
            <w:pPr>
              <w:ind w:left="600"/>
              <w:spacing w:after="0"/>
              <w:rPr>
                <w:sz w:val="20"/>
                <w:szCs w:val="20"/>
                <w:color w:val="auto"/>
              </w:rPr>
            </w:pPr>
            <w:r>
              <w:rPr>
                <w:rFonts w:ascii="Arial" w:cs="Arial" w:eastAsia="Arial" w:hAnsi="Arial"/>
                <w:sz w:val="14"/>
                <w:szCs w:val="14"/>
                <w:color w:val="FFFFFF"/>
              </w:rPr>
              <w:t>Change in Control</w:t>
            </w:r>
          </w:p>
        </w:tc>
      </w:tr>
      <w:tr>
        <w:trPr>
          <w:trHeight w:val="185"/>
        </w:trPr>
        <w:tc>
          <w:tcPr>
            <w:tcW w:w="5160" w:type="dxa"/>
            <w:vAlign w:val="bottom"/>
            <w:shd w:val="clear" w:color="auto" w:fill="1A6DBB"/>
          </w:tcPr>
          <w:p>
            <w:pPr>
              <w:ind w:left="1160"/>
              <w:spacing w:after="0"/>
              <w:rPr>
                <w:sz w:val="20"/>
                <w:szCs w:val="20"/>
                <w:color w:val="auto"/>
              </w:rPr>
            </w:pPr>
            <w:r>
              <w:rPr>
                <w:rFonts w:ascii="Arial" w:cs="Arial" w:eastAsia="Arial" w:hAnsi="Arial"/>
                <w:sz w:val="14"/>
                <w:szCs w:val="14"/>
                <w:color w:val="FFFFFF"/>
              </w:rPr>
              <w:t>(a)</w:t>
            </w:r>
          </w:p>
        </w:tc>
        <w:tc>
          <w:tcPr>
            <w:tcW w:w="360" w:type="dxa"/>
            <w:vAlign w:val="bottom"/>
            <w:shd w:val="clear" w:color="auto" w:fill="1A6DBB"/>
          </w:tcPr>
          <w:p>
            <w:pPr>
              <w:spacing w:after="0"/>
              <w:rPr>
                <w:sz w:val="16"/>
                <w:szCs w:val="16"/>
                <w:color w:val="auto"/>
              </w:rPr>
            </w:pPr>
          </w:p>
        </w:tc>
        <w:tc>
          <w:tcPr>
            <w:tcW w:w="1100" w:type="dxa"/>
            <w:vAlign w:val="bottom"/>
            <w:shd w:val="clear" w:color="auto" w:fill="1A6DBB"/>
          </w:tcPr>
          <w:p>
            <w:pPr>
              <w:jc w:val="center"/>
              <w:ind w:right="484"/>
              <w:spacing w:after="0"/>
              <w:rPr>
                <w:sz w:val="20"/>
                <w:szCs w:val="20"/>
                <w:color w:val="auto"/>
              </w:rPr>
            </w:pPr>
            <w:r>
              <w:rPr>
                <w:rFonts w:ascii="Arial" w:cs="Arial" w:eastAsia="Arial" w:hAnsi="Arial"/>
                <w:sz w:val="14"/>
                <w:szCs w:val="14"/>
                <w:color w:val="FFFFFF"/>
              </w:rPr>
              <w:t>(b)</w:t>
            </w:r>
          </w:p>
        </w:tc>
        <w:tc>
          <w:tcPr>
            <w:tcW w:w="660" w:type="dxa"/>
            <w:vAlign w:val="bottom"/>
            <w:shd w:val="clear" w:color="auto" w:fill="1A6DBB"/>
          </w:tcPr>
          <w:p>
            <w:pPr>
              <w:spacing w:after="0"/>
              <w:rPr>
                <w:sz w:val="16"/>
                <w:szCs w:val="16"/>
                <w:color w:val="auto"/>
              </w:rPr>
            </w:pPr>
          </w:p>
        </w:tc>
        <w:tc>
          <w:tcPr>
            <w:tcW w:w="1480" w:type="dxa"/>
            <w:vAlign w:val="bottom"/>
            <w:shd w:val="clear" w:color="auto" w:fill="1A6DBB"/>
          </w:tcPr>
          <w:p>
            <w:pPr>
              <w:jc w:val="center"/>
              <w:ind w:right="824"/>
              <w:spacing w:after="0"/>
              <w:rPr>
                <w:sz w:val="20"/>
                <w:szCs w:val="20"/>
                <w:color w:val="auto"/>
              </w:rPr>
            </w:pPr>
            <w:r>
              <w:rPr>
                <w:rFonts w:ascii="Arial" w:cs="Arial" w:eastAsia="Arial" w:hAnsi="Arial"/>
                <w:sz w:val="14"/>
                <w:szCs w:val="14"/>
                <w:color w:val="FFFFFF"/>
                <w:w w:val="93"/>
              </w:rPr>
              <w:t>(c)</w:t>
            </w:r>
            <w:r>
              <w:rPr>
                <w:rFonts w:ascii="Arial" w:cs="Arial" w:eastAsia="Arial" w:hAnsi="Arial"/>
                <w:sz w:val="14"/>
                <w:szCs w:val="14"/>
                <w:color w:val="FFFFFF"/>
                <w:w w:val="93"/>
                <w:vertAlign w:val="superscript"/>
              </w:rPr>
              <w:t>(3)</w:t>
            </w:r>
          </w:p>
        </w:tc>
        <w:tc>
          <w:tcPr>
            <w:tcW w:w="880" w:type="dxa"/>
            <w:vAlign w:val="bottom"/>
            <w:shd w:val="clear" w:color="auto" w:fill="1A6DBB"/>
          </w:tcPr>
          <w:p>
            <w:pPr>
              <w:spacing w:after="0"/>
              <w:rPr>
                <w:sz w:val="16"/>
                <w:szCs w:val="16"/>
                <w:color w:val="auto"/>
              </w:rPr>
            </w:pPr>
          </w:p>
        </w:tc>
        <w:tc>
          <w:tcPr>
            <w:tcW w:w="1380" w:type="dxa"/>
            <w:vAlign w:val="bottom"/>
            <w:shd w:val="clear" w:color="auto" w:fill="1A6DBB"/>
          </w:tcPr>
          <w:p>
            <w:pPr>
              <w:jc w:val="center"/>
              <w:ind w:right="644"/>
              <w:spacing w:after="0"/>
              <w:rPr>
                <w:sz w:val="20"/>
                <w:szCs w:val="20"/>
                <w:color w:val="auto"/>
              </w:rPr>
            </w:pPr>
            <w:r>
              <w:rPr>
                <w:rFonts w:ascii="Arial" w:cs="Arial" w:eastAsia="Arial" w:hAnsi="Arial"/>
                <w:sz w:val="14"/>
                <w:szCs w:val="14"/>
                <w:color w:val="FFFFFF"/>
                <w:w w:val="91"/>
              </w:rPr>
              <w:t>(d)</w:t>
            </w:r>
            <w:r>
              <w:rPr>
                <w:rFonts w:ascii="Arial" w:cs="Arial" w:eastAsia="Arial" w:hAnsi="Arial"/>
                <w:sz w:val="14"/>
                <w:szCs w:val="14"/>
                <w:color w:val="FFFFFF"/>
                <w:w w:val="91"/>
                <w:vertAlign w:val="superscript"/>
              </w:rPr>
              <w:t>(3)</w:t>
            </w:r>
          </w:p>
        </w:tc>
      </w:tr>
      <w:tr>
        <w:trPr>
          <w:trHeight w:val="216"/>
        </w:trPr>
        <w:tc>
          <w:tcPr>
            <w:tcW w:w="5160" w:type="dxa"/>
            <w:vAlign w:val="bottom"/>
            <w:shd w:val="clear" w:color="auto" w:fill="E8F0F8"/>
          </w:tcPr>
          <w:p>
            <w:pPr>
              <w:ind w:left="80"/>
              <w:spacing w:after="0" w:line="216" w:lineRule="exact"/>
              <w:rPr>
                <w:sz w:val="20"/>
                <w:szCs w:val="20"/>
                <w:color w:val="auto"/>
              </w:rPr>
            </w:pPr>
            <w:r>
              <w:rPr>
                <w:rFonts w:ascii="Arial" w:cs="Arial" w:eastAsia="Arial" w:hAnsi="Arial"/>
                <w:sz w:val="15"/>
                <w:szCs w:val="15"/>
                <w:b w:val="1"/>
                <w:bCs w:val="1"/>
                <w:color w:val="auto"/>
              </w:rPr>
              <w:t>Michel Vounatsos</w:t>
            </w:r>
            <w:r>
              <w:rPr>
                <w:rFonts w:ascii="Arial" w:cs="Arial" w:eastAsia="Arial" w:hAnsi="Arial"/>
                <w:sz w:val="25"/>
                <w:szCs w:val="25"/>
                <w:color w:val="auto"/>
                <w:vertAlign w:val="superscript"/>
              </w:rPr>
              <w:t>(4)</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spacing w:after="0"/>
              <w:rPr>
                <w:sz w:val="18"/>
                <w:szCs w:val="18"/>
                <w:color w:val="auto"/>
              </w:rPr>
            </w:pPr>
          </w:p>
        </w:tc>
        <w:tc>
          <w:tcPr>
            <w:tcW w:w="660" w:type="dxa"/>
            <w:vAlign w:val="bottom"/>
            <w:shd w:val="clear" w:color="auto" w:fill="E8F0F8"/>
          </w:tcPr>
          <w:p>
            <w:pPr>
              <w:spacing w:after="0"/>
              <w:rPr>
                <w:sz w:val="18"/>
                <w:szCs w:val="18"/>
                <w:color w:val="auto"/>
              </w:rPr>
            </w:pPr>
          </w:p>
        </w:tc>
        <w:tc>
          <w:tcPr>
            <w:tcW w:w="1480" w:type="dxa"/>
            <w:vAlign w:val="bottom"/>
            <w:shd w:val="clear" w:color="auto" w:fill="E8F0F8"/>
          </w:tcPr>
          <w:p>
            <w:pPr>
              <w:spacing w:after="0"/>
              <w:rPr>
                <w:sz w:val="18"/>
                <w:szCs w:val="18"/>
                <w:color w:val="auto"/>
              </w:rPr>
            </w:pPr>
          </w:p>
        </w:tc>
        <w:tc>
          <w:tcPr>
            <w:tcW w:w="880" w:type="dxa"/>
            <w:vAlign w:val="bottom"/>
            <w:shd w:val="clear" w:color="auto" w:fill="E8F0F8"/>
          </w:tcPr>
          <w:p>
            <w:pPr>
              <w:spacing w:after="0"/>
              <w:rPr>
                <w:sz w:val="18"/>
                <w:szCs w:val="18"/>
                <w:color w:val="auto"/>
              </w:rPr>
            </w:pPr>
          </w:p>
        </w:tc>
        <w:tc>
          <w:tcPr>
            <w:tcW w:w="1380" w:type="dxa"/>
            <w:vAlign w:val="bottom"/>
            <w:shd w:val="clear" w:color="auto" w:fill="E8F0F8"/>
          </w:tcPr>
          <w:p>
            <w:pPr>
              <w:spacing w:after="0"/>
              <w:rPr>
                <w:sz w:val="18"/>
                <w:szCs w:val="18"/>
                <w:color w:val="auto"/>
              </w:rPr>
            </w:pPr>
          </w:p>
        </w:tc>
      </w:tr>
      <w:tr>
        <w:trPr>
          <w:trHeight w:val="210"/>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Severance</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w w:val="98"/>
              </w:rPr>
              <w:t>5,765,625</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7,687,500</w:t>
            </w:r>
          </w:p>
        </w:tc>
      </w:tr>
      <w:tr>
        <w:trPr>
          <w:trHeight w:val="216"/>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Performance-based RSUs</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w w:val="98"/>
              </w:rPr>
              <w:t>23,627,167</w:t>
            </w:r>
          </w:p>
        </w:tc>
      </w:tr>
      <w:tr>
        <w:trPr>
          <w:trHeight w:val="216"/>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Medical, Dental and Vision</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29,595</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39,460</w:t>
            </w:r>
          </w:p>
        </w:tc>
      </w:tr>
      <w:tr>
        <w:trPr>
          <w:trHeight w:val="222"/>
        </w:trPr>
        <w:tc>
          <w:tcPr>
            <w:tcW w:w="5160" w:type="dxa"/>
            <w:vAlign w:val="bottom"/>
            <w:shd w:val="clear" w:color="auto" w:fill="E8F0F8"/>
          </w:tcPr>
          <w:p>
            <w:pPr>
              <w:ind w:left="420"/>
              <w:spacing w:after="0" w:line="222"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60" w:type="dxa"/>
            <w:vAlign w:val="bottom"/>
            <w:shd w:val="clear" w:color="auto" w:fill="E8F0F8"/>
          </w:tcPr>
          <w:p>
            <w:pPr>
              <w:spacing w:after="0"/>
              <w:rPr>
                <w:sz w:val="19"/>
                <w:szCs w:val="19"/>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32,000</w:t>
            </w:r>
          </w:p>
        </w:tc>
      </w:tr>
      <w:tr>
        <w:trPr>
          <w:trHeight w:val="216"/>
        </w:trPr>
        <w:tc>
          <w:tcPr>
            <w:tcW w:w="51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auto"/>
            </w:tcBorders>
            <w:shd w:val="clear" w:color="auto" w:fill="E8F0F8"/>
          </w:tcPr>
          <w:p>
            <w:pPr>
              <w:spacing w:after="0"/>
              <w:rPr>
                <w:sz w:val="18"/>
                <w:szCs w:val="18"/>
                <w:color w:val="auto"/>
              </w:rPr>
            </w:pPr>
          </w:p>
        </w:tc>
        <w:tc>
          <w:tcPr>
            <w:tcW w:w="1100" w:type="dxa"/>
            <w:vAlign w:val="bottom"/>
            <w:tcBorders>
              <w:bottom w:val="single" w:sz="8" w:color="auto"/>
            </w:tcBorders>
            <w:shd w:val="clear" w:color="auto" w:fill="E8F0F8"/>
          </w:tcPr>
          <w:p>
            <w:pPr>
              <w:jc w:val="center"/>
              <w:ind w:right="344"/>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E8F0F8"/>
          </w:tcPr>
          <w:p>
            <w:pPr>
              <w:ind w:left="56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E8F0F8"/>
          </w:tcPr>
          <w:p>
            <w:pPr>
              <w:jc w:val="right"/>
              <w:ind w:right="724"/>
              <w:spacing w:after="0"/>
              <w:rPr>
                <w:sz w:val="20"/>
                <w:szCs w:val="20"/>
                <w:color w:val="auto"/>
              </w:rPr>
            </w:pPr>
            <w:r>
              <w:rPr>
                <w:rFonts w:ascii="Arial" w:cs="Arial" w:eastAsia="Arial" w:hAnsi="Arial"/>
                <w:sz w:val="15"/>
                <w:szCs w:val="15"/>
                <w:b w:val="1"/>
                <w:bCs w:val="1"/>
                <w:color w:val="auto"/>
                <w:w w:val="98"/>
              </w:rPr>
              <w:t>5,827,220</w:t>
            </w:r>
          </w:p>
        </w:tc>
        <w:tc>
          <w:tcPr>
            <w:tcW w:w="880" w:type="dxa"/>
            <w:vAlign w:val="bottom"/>
            <w:tcBorders>
              <w:bottom w:val="single" w:sz="8" w:color="auto"/>
            </w:tcBorders>
            <w:shd w:val="clear" w:color="auto" w:fill="E8F0F8"/>
          </w:tcPr>
          <w:p>
            <w:pPr>
              <w:ind w:left="780"/>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E8F0F8"/>
          </w:tcPr>
          <w:p>
            <w:pPr>
              <w:jc w:val="right"/>
              <w:ind w:right="544"/>
              <w:spacing w:after="0"/>
              <w:rPr>
                <w:sz w:val="20"/>
                <w:szCs w:val="20"/>
                <w:color w:val="auto"/>
              </w:rPr>
            </w:pPr>
            <w:r>
              <w:rPr>
                <w:rFonts w:ascii="Arial" w:cs="Arial" w:eastAsia="Arial" w:hAnsi="Arial"/>
                <w:sz w:val="15"/>
                <w:szCs w:val="15"/>
                <w:b w:val="1"/>
                <w:bCs w:val="1"/>
                <w:color w:val="auto"/>
                <w:w w:val="98"/>
              </w:rPr>
              <w:t>31,386,127</w:t>
            </w:r>
          </w:p>
        </w:tc>
      </w:tr>
      <w:tr>
        <w:trPr>
          <w:trHeight w:val="210"/>
        </w:trPr>
        <w:tc>
          <w:tcPr>
            <w:tcW w:w="5160" w:type="dxa"/>
            <w:vAlign w:val="bottom"/>
            <w:shd w:val="clear" w:color="auto" w:fill="BAD3EA"/>
          </w:tcPr>
          <w:p>
            <w:pPr>
              <w:ind w:left="80"/>
              <w:spacing w:after="0"/>
              <w:rPr>
                <w:sz w:val="20"/>
                <w:szCs w:val="20"/>
                <w:color w:val="auto"/>
              </w:rPr>
            </w:pPr>
            <w:r>
              <w:rPr>
                <w:rFonts w:ascii="Arial" w:cs="Arial" w:eastAsia="Arial" w:hAnsi="Arial"/>
                <w:sz w:val="16"/>
                <w:szCs w:val="16"/>
                <w:b w:val="1"/>
                <w:bCs w:val="1"/>
                <w:color w:val="auto"/>
              </w:rPr>
              <w:t>Michael R. McDonnell</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spacing w:after="0"/>
              <w:rPr>
                <w:sz w:val="18"/>
                <w:szCs w:val="18"/>
                <w:color w:val="auto"/>
              </w:rPr>
            </w:pPr>
          </w:p>
        </w:tc>
        <w:tc>
          <w:tcPr>
            <w:tcW w:w="660" w:type="dxa"/>
            <w:vAlign w:val="bottom"/>
            <w:shd w:val="clear" w:color="auto" w:fill="BAD3EA"/>
          </w:tcPr>
          <w:p>
            <w:pPr>
              <w:spacing w:after="0"/>
              <w:rPr>
                <w:sz w:val="18"/>
                <w:szCs w:val="18"/>
                <w:color w:val="auto"/>
              </w:rPr>
            </w:pPr>
          </w:p>
        </w:tc>
        <w:tc>
          <w:tcPr>
            <w:tcW w:w="1480" w:type="dxa"/>
            <w:vAlign w:val="bottom"/>
            <w:shd w:val="clear" w:color="auto" w:fill="BAD3EA"/>
          </w:tcPr>
          <w:p>
            <w:pPr>
              <w:spacing w:after="0"/>
              <w:rPr>
                <w:sz w:val="18"/>
                <w:szCs w:val="18"/>
                <w:color w:val="auto"/>
              </w:rPr>
            </w:pPr>
          </w:p>
        </w:tc>
        <w:tc>
          <w:tcPr>
            <w:tcW w:w="880" w:type="dxa"/>
            <w:vAlign w:val="bottom"/>
            <w:shd w:val="clear" w:color="auto" w:fill="BAD3EA"/>
          </w:tcPr>
          <w:p>
            <w:pPr>
              <w:spacing w:after="0"/>
              <w:rPr>
                <w:sz w:val="18"/>
                <w:szCs w:val="18"/>
                <w:color w:val="auto"/>
              </w:rPr>
            </w:pPr>
          </w:p>
        </w:tc>
        <w:tc>
          <w:tcPr>
            <w:tcW w:w="1380" w:type="dxa"/>
            <w:vAlign w:val="bottom"/>
            <w:shd w:val="clear" w:color="auto" w:fill="BAD3EA"/>
          </w:tcPr>
          <w:p>
            <w:pPr>
              <w:spacing w:after="0"/>
              <w:rPr>
                <w:sz w:val="18"/>
                <w:szCs w:val="18"/>
                <w:color w:val="auto"/>
              </w:rPr>
            </w:pPr>
          </w:p>
        </w:tc>
      </w:tr>
      <w:tr>
        <w:trPr>
          <w:trHeight w:val="210"/>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Severance</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w w:val="98"/>
              </w:rPr>
              <w:t>1,829,625</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3,136,500</w:t>
            </w:r>
          </w:p>
        </w:tc>
      </w:tr>
      <w:tr>
        <w:trPr>
          <w:trHeight w:val="216"/>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Performance-based RSUs</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spacing w:after="0"/>
              <w:rPr>
                <w:sz w:val="18"/>
                <w:szCs w:val="18"/>
                <w:color w:val="auto"/>
              </w:rPr>
            </w:pP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rPr>
              <w:t>—</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4,474,618</w:t>
            </w:r>
          </w:p>
        </w:tc>
      </w:tr>
      <w:tr>
        <w:trPr>
          <w:trHeight w:val="216"/>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Time-based RSUs</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spacing w:after="0"/>
              <w:rPr>
                <w:sz w:val="18"/>
                <w:szCs w:val="18"/>
                <w:color w:val="auto"/>
              </w:rPr>
            </w:pP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rPr>
              <w:t>—</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1,286,931</w:t>
            </w:r>
          </w:p>
        </w:tc>
      </w:tr>
      <w:tr>
        <w:trPr>
          <w:trHeight w:val="216"/>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Medical, Dental and Vision</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rPr>
              <w:t>22,932</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39,312</w:t>
            </w:r>
          </w:p>
        </w:tc>
      </w:tr>
      <w:tr>
        <w:trPr>
          <w:trHeight w:val="222"/>
        </w:trPr>
        <w:tc>
          <w:tcPr>
            <w:tcW w:w="5160" w:type="dxa"/>
            <w:vAlign w:val="bottom"/>
            <w:shd w:val="clear" w:color="auto" w:fill="BAD3EA"/>
          </w:tcPr>
          <w:p>
            <w:pPr>
              <w:ind w:left="420"/>
              <w:spacing w:after="0" w:line="222"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60" w:type="dxa"/>
            <w:vAlign w:val="bottom"/>
            <w:shd w:val="clear" w:color="auto" w:fill="BAD3EA"/>
          </w:tcPr>
          <w:p>
            <w:pPr>
              <w:spacing w:after="0"/>
              <w:rPr>
                <w:sz w:val="19"/>
                <w:szCs w:val="19"/>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32,000</w:t>
            </w:r>
          </w:p>
        </w:tc>
      </w:tr>
      <w:tr>
        <w:trPr>
          <w:trHeight w:val="216"/>
        </w:trPr>
        <w:tc>
          <w:tcPr>
            <w:tcW w:w="5160" w:type="dxa"/>
            <w:vAlign w:val="bottom"/>
            <w:tcBorders>
              <w:bottom w:val="single" w:sz="8" w:color="auto"/>
            </w:tcBorders>
            <w:shd w:val="clear" w:color="auto" w:fill="BAD3EA"/>
          </w:tcPr>
          <w:p>
            <w:pPr>
              <w:ind w:left="38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auto"/>
            </w:tcBorders>
            <w:shd w:val="clear" w:color="auto" w:fill="BAD3EA"/>
          </w:tcPr>
          <w:p>
            <w:pPr>
              <w:spacing w:after="0"/>
              <w:rPr>
                <w:sz w:val="18"/>
                <w:szCs w:val="18"/>
                <w:color w:val="auto"/>
              </w:rPr>
            </w:pPr>
          </w:p>
        </w:tc>
        <w:tc>
          <w:tcPr>
            <w:tcW w:w="1100" w:type="dxa"/>
            <w:vAlign w:val="bottom"/>
            <w:tcBorders>
              <w:bottom w:val="single" w:sz="8" w:color="auto"/>
            </w:tcBorders>
            <w:shd w:val="clear" w:color="auto" w:fill="BAD3EA"/>
          </w:tcPr>
          <w:p>
            <w:pPr>
              <w:jc w:val="center"/>
              <w:ind w:right="344"/>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BAD3EA"/>
          </w:tcPr>
          <w:p>
            <w:pPr>
              <w:ind w:left="56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BAD3EA"/>
          </w:tcPr>
          <w:p>
            <w:pPr>
              <w:jc w:val="right"/>
              <w:ind w:right="724"/>
              <w:spacing w:after="0"/>
              <w:rPr>
                <w:sz w:val="20"/>
                <w:szCs w:val="20"/>
                <w:color w:val="auto"/>
              </w:rPr>
            </w:pPr>
            <w:r>
              <w:rPr>
                <w:rFonts w:ascii="Arial" w:cs="Arial" w:eastAsia="Arial" w:hAnsi="Arial"/>
                <w:sz w:val="15"/>
                <w:szCs w:val="15"/>
                <w:b w:val="1"/>
                <w:bCs w:val="1"/>
                <w:color w:val="auto"/>
                <w:w w:val="98"/>
              </w:rPr>
              <w:t>1,884,557</w:t>
            </w:r>
          </w:p>
        </w:tc>
        <w:tc>
          <w:tcPr>
            <w:tcW w:w="880" w:type="dxa"/>
            <w:vAlign w:val="bottom"/>
            <w:tcBorders>
              <w:bottom w:val="single" w:sz="8" w:color="auto"/>
            </w:tcBorders>
            <w:shd w:val="clear" w:color="auto" w:fill="BAD3EA"/>
          </w:tcPr>
          <w:p>
            <w:pPr>
              <w:ind w:left="780"/>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BAD3EA"/>
          </w:tcPr>
          <w:p>
            <w:pPr>
              <w:jc w:val="right"/>
              <w:ind w:right="544"/>
              <w:spacing w:after="0"/>
              <w:rPr>
                <w:sz w:val="20"/>
                <w:szCs w:val="20"/>
                <w:color w:val="auto"/>
              </w:rPr>
            </w:pPr>
            <w:r>
              <w:rPr>
                <w:rFonts w:ascii="Arial" w:cs="Arial" w:eastAsia="Arial" w:hAnsi="Arial"/>
                <w:sz w:val="15"/>
                <w:szCs w:val="15"/>
                <w:b w:val="1"/>
                <w:bCs w:val="1"/>
                <w:color w:val="auto"/>
              </w:rPr>
              <w:t>8,969,361</w:t>
            </w:r>
          </w:p>
        </w:tc>
      </w:tr>
      <w:tr>
        <w:trPr>
          <w:trHeight w:val="210"/>
        </w:trPr>
        <w:tc>
          <w:tcPr>
            <w:tcW w:w="5160" w:type="dxa"/>
            <w:vAlign w:val="bottom"/>
            <w:shd w:val="clear" w:color="auto" w:fill="E8F0F8"/>
          </w:tcPr>
          <w:p>
            <w:pPr>
              <w:ind w:left="80"/>
              <w:spacing w:after="0"/>
              <w:rPr>
                <w:sz w:val="20"/>
                <w:szCs w:val="20"/>
                <w:color w:val="auto"/>
              </w:rPr>
            </w:pPr>
            <w:r>
              <w:rPr>
                <w:rFonts w:ascii="Arial" w:cs="Arial" w:eastAsia="Arial" w:hAnsi="Arial"/>
                <w:sz w:val="16"/>
                <w:szCs w:val="16"/>
                <w:b w:val="1"/>
                <w:bCs w:val="1"/>
                <w:color w:val="auto"/>
              </w:rPr>
              <w:t>Chirfi Guindo</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spacing w:after="0"/>
              <w:rPr>
                <w:sz w:val="18"/>
                <w:szCs w:val="18"/>
                <w:color w:val="auto"/>
              </w:rPr>
            </w:pPr>
          </w:p>
        </w:tc>
        <w:tc>
          <w:tcPr>
            <w:tcW w:w="660" w:type="dxa"/>
            <w:vAlign w:val="bottom"/>
            <w:shd w:val="clear" w:color="auto" w:fill="E8F0F8"/>
          </w:tcPr>
          <w:p>
            <w:pPr>
              <w:spacing w:after="0"/>
              <w:rPr>
                <w:sz w:val="18"/>
                <w:szCs w:val="18"/>
                <w:color w:val="auto"/>
              </w:rPr>
            </w:pPr>
          </w:p>
        </w:tc>
        <w:tc>
          <w:tcPr>
            <w:tcW w:w="1480" w:type="dxa"/>
            <w:vAlign w:val="bottom"/>
            <w:shd w:val="clear" w:color="auto" w:fill="E8F0F8"/>
          </w:tcPr>
          <w:p>
            <w:pPr>
              <w:spacing w:after="0"/>
              <w:rPr>
                <w:sz w:val="18"/>
                <w:szCs w:val="18"/>
                <w:color w:val="auto"/>
              </w:rPr>
            </w:pPr>
          </w:p>
        </w:tc>
        <w:tc>
          <w:tcPr>
            <w:tcW w:w="880" w:type="dxa"/>
            <w:vAlign w:val="bottom"/>
            <w:shd w:val="clear" w:color="auto" w:fill="E8F0F8"/>
          </w:tcPr>
          <w:p>
            <w:pPr>
              <w:spacing w:after="0"/>
              <w:rPr>
                <w:sz w:val="18"/>
                <w:szCs w:val="18"/>
                <w:color w:val="auto"/>
              </w:rPr>
            </w:pPr>
          </w:p>
        </w:tc>
        <w:tc>
          <w:tcPr>
            <w:tcW w:w="1380" w:type="dxa"/>
            <w:vAlign w:val="bottom"/>
            <w:shd w:val="clear" w:color="auto" w:fill="E8F0F8"/>
          </w:tcPr>
          <w:p>
            <w:pPr>
              <w:spacing w:after="0"/>
              <w:rPr>
                <w:sz w:val="18"/>
                <w:szCs w:val="18"/>
                <w:color w:val="auto"/>
              </w:rPr>
            </w:pPr>
          </w:p>
        </w:tc>
      </w:tr>
      <w:tr>
        <w:trPr>
          <w:trHeight w:val="210"/>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Severance</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w w:val="98"/>
              </w:rPr>
              <w:t>1,823,541</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2,188,249</w:t>
            </w:r>
          </w:p>
        </w:tc>
      </w:tr>
      <w:tr>
        <w:trPr>
          <w:trHeight w:val="216"/>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Performance-based RSUs</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7,278,378</w:t>
            </w:r>
          </w:p>
        </w:tc>
      </w:tr>
      <w:tr>
        <w:trPr>
          <w:trHeight w:val="216"/>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Medical, Dental and Vision</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33,703</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40,443</w:t>
            </w:r>
          </w:p>
        </w:tc>
      </w:tr>
      <w:tr>
        <w:trPr>
          <w:trHeight w:val="222"/>
        </w:trPr>
        <w:tc>
          <w:tcPr>
            <w:tcW w:w="5160" w:type="dxa"/>
            <w:vAlign w:val="bottom"/>
            <w:shd w:val="clear" w:color="auto" w:fill="E8F0F8"/>
          </w:tcPr>
          <w:p>
            <w:pPr>
              <w:ind w:left="420"/>
              <w:spacing w:after="0" w:line="222"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60" w:type="dxa"/>
            <w:vAlign w:val="bottom"/>
            <w:shd w:val="clear" w:color="auto" w:fill="E8F0F8"/>
          </w:tcPr>
          <w:p>
            <w:pPr>
              <w:spacing w:after="0"/>
              <w:rPr>
                <w:sz w:val="19"/>
                <w:szCs w:val="19"/>
                <w:color w:val="auto"/>
              </w:rPr>
            </w:pPr>
          </w:p>
        </w:tc>
        <w:tc>
          <w:tcPr>
            <w:tcW w:w="1100" w:type="dxa"/>
            <w:vAlign w:val="bottom"/>
            <w:shd w:val="clear" w:color="auto" w:fill="E8F0F8"/>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E8F0F8"/>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E8F0F8"/>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32,000</w:t>
            </w:r>
          </w:p>
        </w:tc>
      </w:tr>
      <w:tr>
        <w:trPr>
          <w:trHeight w:val="216"/>
        </w:trPr>
        <w:tc>
          <w:tcPr>
            <w:tcW w:w="51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auto"/>
            </w:tcBorders>
            <w:shd w:val="clear" w:color="auto" w:fill="E8F0F8"/>
          </w:tcPr>
          <w:p>
            <w:pPr>
              <w:spacing w:after="0"/>
              <w:rPr>
                <w:sz w:val="18"/>
                <w:szCs w:val="18"/>
                <w:color w:val="auto"/>
              </w:rPr>
            </w:pPr>
          </w:p>
        </w:tc>
        <w:tc>
          <w:tcPr>
            <w:tcW w:w="1100" w:type="dxa"/>
            <w:vAlign w:val="bottom"/>
            <w:tcBorders>
              <w:bottom w:val="single" w:sz="8" w:color="auto"/>
            </w:tcBorders>
            <w:shd w:val="clear" w:color="auto" w:fill="E8F0F8"/>
          </w:tcPr>
          <w:p>
            <w:pPr>
              <w:jc w:val="center"/>
              <w:ind w:right="344"/>
              <w:spacing w:after="0"/>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E8F0F8"/>
          </w:tcPr>
          <w:p>
            <w:pPr>
              <w:ind w:left="56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E8F0F8"/>
          </w:tcPr>
          <w:p>
            <w:pPr>
              <w:jc w:val="right"/>
              <w:ind w:right="724"/>
              <w:spacing w:after="0"/>
              <w:rPr>
                <w:sz w:val="20"/>
                <w:szCs w:val="20"/>
                <w:color w:val="auto"/>
              </w:rPr>
            </w:pPr>
            <w:r>
              <w:rPr>
                <w:rFonts w:ascii="Arial" w:cs="Arial" w:eastAsia="Arial" w:hAnsi="Arial"/>
                <w:sz w:val="15"/>
                <w:szCs w:val="15"/>
                <w:b w:val="1"/>
                <w:bCs w:val="1"/>
                <w:color w:val="auto"/>
                <w:w w:val="98"/>
              </w:rPr>
              <w:t>1,889,244</w:t>
            </w:r>
          </w:p>
        </w:tc>
        <w:tc>
          <w:tcPr>
            <w:tcW w:w="880" w:type="dxa"/>
            <w:vAlign w:val="bottom"/>
            <w:tcBorders>
              <w:bottom w:val="single" w:sz="8" w:color="auto"/>
            </w:tcBorders>
            <w:shd w:val="clear" w:color="auto" w:fill="E8F0F8"/>
          </w:tcPr>
          <w:p>
            <w:pPr>
              <w:ind w:left="780"/>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E8F0F8"/>
          </w:tcPr>
          <w:p>
            <w:pPr>
              <w:jc w:val="right"/>
              <w:ind w:right="544"/>
              <w:spacing w:after="0"/>
              <w:rPr>
                <w:sz w:val="20"/>
                <w:szCs w:val="20"/>
                <w:color w:val="auto"/>
              </w:rPr>
            </w:pPr>
            <w:r>
              <w:rPr>
                <w:rFonts w:ascii="Arial" w:cs="Arial" w:eastAsia="Arial" w:hAnsi="Arial"/>
                <w:sz w:val="15"/>
                <w:szCs w:val="15"/>
                <w:b w:val="1"/>
                <w:bCs w:val="1"/>
                <w:color w:val="auto"/>
              </w:rPr>
              <w:t>9,539,070</w:t>
            </w:r>
          </w:p>
        </w:tc>
      </w:tr>
      <w:tr>
        <w:trPr>
          <w:trHeight w:val="210"/>
        </w:trPr>
        <w:tc>
          <w:tcPr>
            <w:tcW w:w="5160" w:type="dxa"/>
            <w:vAlign w:val="bottom"/>
            <w:shd w:val="clear" w:color="auto" w:fill="BAD3EA"/>
          </w:tcPr>
          <w:p>
            <w:pPr>
              <w:ind w:left="80"/>
              <w:spacing w:after="0"/>
              <w:rPr>
                <w:sz w:val="20"/>
                <w:szCs w:val="20"/>
                <w:color w:val="auto"/>
              </w:rPr>
            </w:pPr>
            <w:r>
              <w:rPr>
                <w:rFonts w:ascii="Arial" w:cs="Arial" w:eastAsia="Arial" w:hAnsi="Arial"/>
                <w:sz w:val="16"/>
                <w:szCs w:val="16"/>
                <w:b w:val="1"/>
                <w:bCs w:val="1"/>
                <w:color w:val="auto"/>
              </w:rPr>
              <w:t>Susan H. Alexander</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spacing w:after="0"/>
              <w:rPr>
                <w:sz w:val="18"/>
                <w:szCs w:val="18"/>
                <w:color w:val="auto"/>
              </w:rPr>
            </w:pPr>
          </w:p>
        </w:tc>
        <w:tc>
          <w:tcPr>
            <w:tcW w:w="660" w:type="dxa"/>
            <w:vAlign w:val="bottom"/>
            <w:shd w:val="clear" w:color="auto" w:fill="BAD3EA"/>
          </w:tcPr>
          <w:p>
            <w:pPr>
              <w:spacing w:after="0"/>
              <w:rPr>
                <w:sz w:val="18"/>
                <w:szCs w:val="18"/>
                <w:color w:val="auto"/>
              </w:rPr>
            </w:pPr>
          </w:p>
        </w:tc>
        <w:tc>
          <w:tcPr>
            <w:tcW w:w="1480" w:type="dxa"/>
            <w:vAlign w:val="bottom"/>
            <w:shd w:val="clear" w:color="auto" w:fill="BAD3EA"/>
          </w:tcPr>
          <w:p>
            <w:pPr>
              <w:spacing w:after="0"/>
              <w:rPr>
                <w:sz w:val="18"/>
                <w:szCs w:val="18"/>
                <w:color w:val="auto"/>
              </w:rPr>
            </w:pPr>
          </w:p>
        </w:tc>
        <w:tc>
          <w:tcPr>
            <w:tcW w:w="880" w:type="dxa"/>
            <w:vAlign w:val="bottom"/>
            <w:shd w:val="clear" w:color="auto" w:fill="BAD3EA"/>
          </w:tcPr>
          <w:p>
            <w:pPr>
              <w:spacing w:after="0"/>
              <w:rPr>
                <w:sz w:val="18"/>
                <w:szCs w:val="18"/>
                <w:color w:val="auto"/>
              </w:rPr>
            </w:pPr>
          </w:p>
        </w:tc>
        <w:tc>
          <w:tcPr>
            <w:tcW w:w="1380" w:type="dxa"/>
            <w:vAlign w:val="bottom"/>
            <w:shd w:val="clear" w:color="auto" w:fill="BAD3EA"/>
          </w:tcPr>
          <w:p>
            <w:pPr>
              <w:spacing w:after="0"/>
              <w:rPr>
                <w:sz w:val="18"/>
                <w:szCs w:val="18"/>
                <w:color w:val="auto"/>
              </w:rPr>
            </w:pPr>
          </w:p>
        </w:tc>
      </w:tr>
      <w:tr>
        <w:trPr>
          <w:trHeight w:val="210"/>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Severance</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w w:val="98"/>
              </w:rPr>
              <w:t>2,555,724</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2,920,827</w:t>
            </w:r>
          </w:p>
        </w:tc>
      </w:tr>
      <w:tr>
        <w:trPr>
          <w:trHeight w:val="216"/>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Performance-based RSUs</w:t>
            </w:r>
          </w:p>
        </w:tc>
        <w:tc>
          <w:tcPr>
            <w:tcW w:w="1460" w:type="dxa"/>
            <w:vAlign w:val="bottom"/>
            <w:gridSpan w:val="2"/>
            <w:shd w:val="clear" w:color="auto" w:fill="BAD3EA"/>
          </w:tcPr>
          <w:p>
            <w:pPr>
              <w:ind w:left="260"/>
              <w:spacing w:after="0"/>
              <w:rPr>
                <w:sz w:val="20"/>
                <w:szCs w:val="20"/>
                <w:color w:val="auto"/>
              </w:rPr>
            </w:pPr>
            <w:r>
              <w:rPr>
                <w:rFonts w:ascii="Arial" w:cs="Arial" w:eastAsia="Arial" w:hAnsi="Arial"/>
                <w:sz w:val="15"/>
                <w:szCs w:val="15"/>
                <w:color w:val="auto"/>
              </w:rPr>
              <w:t>$ 5,945,022</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w w:val="98"/>
              </w:rPr>
              <w:t>5,945,022</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5,945,022</w:t>
            </w:r>
          </w:p>
        </w:tc>
      </w:tr>
      <w:tr>
        <w:trPr>
          <w:trHeight w:val="216"/>
        </w:trPr>
        <w:tc>
          <w:tcPr>
            <w:tcW w:w="51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Medical, Dental and Vision</w:t>
            </w:r>
          </w:p>
        </w:tc>
        <w:tc>
          <w:tcPr>
            <w:tcW w:w="360" w:type="dxa"/>
            <w:vAlign w:val="bottom"/>
            <w:shd w:val="clear" w:color="auto" w:fill="BAD3EA"/>
          </w:tcPr>
          <w:p>
            <w:pPr>
              <w:spacing w:after="0"/>
              <w:rPr>
                <w:sz w:val="18"/>
                <w:szCs w:val="18"/>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rPr>
              <w:t>24,977</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28,545</w:t>
            </w:r>
          </w:p>
        </w:tc>
      </w:tr>
      <w:tr>
        <w:trPr>
          <w:trHeight w:val="222"/>
        </w:trPr>
        <w:tc>
          <w:tcPr>
            <w:tcW w:w="5160" w:type="dxa"/>
            <w:vAlign w:val="bottom"/>
            <w:shd w:val="clear" w:color="auto" w:fill="BAD3EA"/>
          </w:tcPr>
          <w:p>
            <w:pPr>
              <w:ind w:left="420"/>
              <w:spacing w:after="0" w:line="222"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60" w:type="dxa"/>
            <w:vAlign w:val="bottom"/>
            <w:shd w:val="clear" w:color="auto" w:fill="BAD3EA"/>
          </w:tcPr>
          <w:p>
            <w:pPr>
              <w:spacing w:after="0"/>
              <w:rPr>
                <w:sz w:val="19"/>
                <w:szCs w:val="19"/>
                <w:color w:val="auto"/>
              </w:rPr>
            </w:pPr>
          </w:p>
        </w:tc>
        <w:tc>
          <w:tcPr>
            <w:tcW w:w="1100" w:type="dxa"/>
            <w:vAlign w:val="bottom"/>
            <w:shd w:val="clear" w:color="auto" w:fill="BAD3EA"/>
          </w:tcPr>
          <w:p>
            <w:pPr>
              <w:jc w:val="center"/>
              <w:ind w:right="344"/>
              <w:spacing w:after="0"/>
              <w:rPr>
                <w:sz w:val="20"/>
                <w:szCs w:val="20"/>
                <w:color w:val="auto"/>
              </w:rPr>
            </w:pPr>
            <w:r>
              <w:rPr>
                <w:rFonts w:ascii="Arial" w:cs="Arial" w:eastAsia="Arial" w:hAnsi="Arial"/>
                <w:sz w:val="15"/>
                <w:szCs w:val="15"/>
                <w:color w:val="auto"/>
              </w:rPr>
              <w:t>—</w:t>
            </w:r>
          </w:p>
        </w:tc>
        <w:tc>
          <w:tcPr>
            <w:tcW w:w="660" w:type="dxa"/>
            <w:vAlign w:val="bottom"/>
            <w:shd w:val="clear" w:color="auto" w:fill="BAD3EA"/>
          </w:tcPr>
          <w:p>
            <w:pPr>
              <w:ind w:left="56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2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BAD3EA"/>
          </w:tcPr>
          <w:p>
            <w:pPr>
              <w:ind w:left="780"/>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32,000</w:t>
            </w:r>
          </w:p>
        </w:tc>
      </w:tr>
      <w:tr>
        <w:trPr>
          <w:trHeight w:val="216"/>
        </w:trPr>
        <w:tc>
          <w:tcPr>
            <w:tcW w:w="5160" w:type="dxa"/>
            <w:vAlign w:val="bottom"/>
            <w:tcBorders>
              <w:bottom w:val="single" w:sz="8" w:color="auto"/>
            </w:tcBorders>
            <w:shd w:val="clear" w:color="auto" w:fill="BAD3EA"/>
          </w:tcPr>
          <w:p>
            <w:pPr>
              <w:ind w:left="38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auto"/>
            </w:tcBorders>
            <w:shd w:val="clear" w:color="auto" w:fill="BAD3EA"/>
          </w:tcPr>
          <w:p>
            <w:pPr>
              <w:ind w:left="260"/>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shd w:val="clear" w:color="auto" w:fill="BAD3EA"/>
          </w:tcPr>
          <w:p>
            <w:pPr>
              <w:jc w:val="center"/>
              <w:ind w:right="344"/>
              <w:spacing w:after="0"/>
              <w:rPr>
                <w:sz w:val="20"/>
                <w:szCs w:val="20"/>
                <w:color w:val="auto"/>
              </w:rPr>
            </w:pPr>
            <w:r>
              <w:rPr>
                <w:rFonts w:ascii="Arial" w:cs="Arial" w:eastAsia="Arial" w:hAnsi="Arial"/>
                <w:sz w:val="15"/>
                <w:szCs w:val="15"/>
                <w:b w:val="1"/>
                <w:bCs w:val="1"/>
                <w:color w:val="auto"/>
              </w:rPr>
              <w:t>5,945,022</w:t>
            </w:r>
          </w:p>
        </w:tc>
        <w:tc>
          <w:tcPr>
            <w:tcW w:w="660" w:type="dxa"/>
            <w:vAlign w:val="bottom"/>
            <w:tcBorders>
              <w:bottom w:val="single" w:sz="8" w:color="auto"/>
            </w:tcBorders>
            <w:shd w:val="clear" w:color="auto" w:fill="BAD3EA"/>
          </w:tcPr>
          <w:p>
            <w:pPr>
              <w:ind w:left="56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BAD3EA"/>
          </w:tcPr>
          <w:p>
            <w:pPr>
              <w:jc w:val="right"/>
              <w:ind w:right="724"/>
              <w:spacing w:after="0"/>
              <w:rPr>
                <w:sz w:val="20"/>
                <w:szCs w:val="20"/>
                <w:color w:val="auto"/>
              </w:rPr>
            </w:pPr>
            <w:r>
              <w:rPr>
                <w:rFonts w:ascii="Arial" w:cs="Arial" w:eastAsia="Arial" w:hAnsi="Arial"/>
                <w:sz w:val="15"/>
                <w:szCs w:val="15"/>
                <w:b w:val="1"/>
                <w:bCs w:val="1"/>
                <w:color w:val="auto"/>
                <w:w w:val="98"/>
              </w:rPr>
              <w:t>8,557,723</w:t>
            </w:r>
          </w:p>
        </w:tc>
        <w:tc>
          <w:tcPr>
            <w:tcW w:w="880" w:type="dxa"/>
            <w:vAlign w:val="bottom"/>
            <w:tcBorders>
              <w:bottom w:val="single" w:sz="8" w:color="auto"/>
            </w:tcBorders>
            <w:shd w:val="clear" w:color="auto" w:fill="BAD3EA"/>
          </w:tcPr>
          <w:p>
            <w:pPr>
              <w:ind w:left="780"/>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shd w:val="clear" w:color="auto" w:fill="BAD3EA"/>
          </w:tcPr>
          <w:p>
            <w:pPr>
              <w:jc w:val="right"/>
              <w:ind w:right="544"/>
              <w:spacing w:after="0"/>
              <w:rPr>
                <w:sz w:val="20"/>
                <w:szCs w:val="20"/>
                <w:color w:val="auto"/>
              </w:rPr>
            </w:pPr>
            <w:r>
              <w:rPr>
                <w:rFonts w:ascii="Arial" w:cs="Arial" w:eastAsia="Arial" w:hAnsi="Arial"/>
                <w:sz w:val="15"/>
                <w:szCs w:val="15"/>
                <w:b w:val="1"/>
                <w:bCs w:val="1"/>
                <w:color w:val="auto"/>
              </w:rPr>
              <w:t>8,926,394</w:t>
            </w:r>
          </w:p>
        </w:tc>
      </w:tr>
      <w:tr>
        <w:trPr>
          <w:trHeight w:val="210"/>
        </w:trPr>
        <w:tc>
          <w:tcPr>
            <w:tcW w:w="5160" w:type="dxa"/>
            <w:vAlign w:val="bottom"/>
            <w:shd w:val="clear" w:color="auto" w:fill="E8F0F8"/>
          </w:tcPr>
          <w:p>
            <w:pPr>
              <w:ind w:left="80"/>
              <w:spacing w:after="0" w:line="210" w:lineRule="exact"/>
              <w:rPr>
                <w:sz w:val="20"/>
                <w:szCs w:val="20"/>
                <w:color w:val="auto"/>
              </w:rPr>
            </w:pPr>
            <w:r>
              <w:rPr>
                <w:rFonts w:ascii="Arial" w:cs="Arial" w:eastAsia="Arial" w:hAnsi="Arial"/>
                <w:sz w:val="15"/>
                <w:szCs w:val="15"/>
                <w:b w:val="1"/>
                <w:bCs w:val="1"/>
                <w:color w:val="auto"/>
              </w:rPr>
              <w:t>Alfred W. Sandrock</w:t>
            </w:r>
            <w:r>
              <w:rPr>
                <w:rFonts w:ascii="Arial" w:cs="Arial" w:eastAsia="Arial" w:hAnsi="Arial"/>
                <w:sz w:val="24"/>
                <w:szCs w:val="24"/>
                <w:color w:val="auto"/>
                <w:vertAlign w:val="superscript"/>
              </w:rPr>
              <w:t>(6)</w:t>
            </w:r>
          </w:p>
        </w:tc>
        <w:tc>
          <w:tcPr>
            <w:tcW w:w="360" w:type="dxa"/>
            <w:vAlign w:val="bottom"/>
            <w:shd w:val="clear" w:color="auto" w:fill="E8F0F8"/>
          </w:tcPr>
          <w:p>
            <w:pPr>
              <w:spacing w:after="0"/>
              <w:rPr>
                <w:sz w:val="18"/>
                <w:szCs w:val="18"/>
                <w:color w:val="auto"/>
              </w:rPr>
            </w:pPr>
          </w:p>
        </w:tc>
        <w:tc>
          <w:tcPr>
            <w:tcW w:w="1100" w:type="dxa"/>
            <w:vAlign w:val="bottom"/>
            <w:shd w:val="clear" w:color="auto" w:fill="E8F0F8"/>
          </w:tcPr>
          <w:p>
            <w:pPr>
              <w:spacing w:after="0"/>
              <w:rPr>
                <w:sz w:val="18"/>
                <w:szCs w:val="18"/>
                <w:color w:val="auto"/>
              </w:rPr>
            </w:pPr>
          </w:p>
        </w:tc>
        <w:tc>
          <w:tcPr>
            <w:tcW w:w="660" w:type="dxa"/>
            <w:vAlign w:val="bottom"/>
            <w:shd w:val="clear" w:color="auto" w:fill="E8F0F8"/>
          </w:tcPr>
          <w:p>
            <w:pPr>
              <w:spacing w:after="0"/>
              <w:rPr>
                <w:sz w:val="18"/>
                <w:szCs w:val="18"/>
                <w:color w:val="auto"/>
              </w:rPr>
            </w:pPr>
          </w:p>
        </w:tc>
        <w:tc>
          <w:tcPr>
            <w:tcW w:w="1480" w:type="dxa"/>
            <w:vAlign w:val="bottom"/>
            <w:shd w:val="clear" w:color="auto" w:fill="E8F0F8"/>
          </w:tcPr>
          <w:p>
            <w:pPr>
              <w:spacing w:after="0"/>
              <w:rPr>
                <w:sz w:val="18"/>
                <w:szCs w:val="18"/>
                <w:color w:val="auto"/>
              </w:rPr>
            </w:pPr>
          </w:p>
        </w:tc>
        <w:tc>
          <w:tcPr>
            <w:tcW w:w="880" w:type="dxa"/>
            <w:vAlign w:val="bottom"/>
            <w:shd w:val="clear" w:color="auto" w:fill="E8F0F8"/>
          </w:tcPr>
          <w:p>
            <w:pPr>
              <w:spacing w:after="0"/>
              <w:rPr>
                <w:sz w:val="18"/>
                <w:szCs w:val="18"/>
                <w:color w:val="auto"/>
              </w:rPr>
            </w:pPr>
          </w:p>
        </w:tc>
        <w:tc>
          <w:tcPr>
            <w:tcW w:w="1380" w:type="dxa"/>
            <w:vAlign w:val="bottom"/>
            <w:shd w:val="clear" w:color="auto" w:fill="E8F0F8"/>
          </w:tcPr>
          <w:p>
            <w:pPr>
              <w:spacing w:after="0"/>
              <w:rPr>
                <w:sz w:val="18"/>
                <w:szCs w:val="18"/>
                <w:color w:val="auto"/>
              </w:rPr>
            </w:pPr>
          </w:p>
        </w:tc>
      </w:tr>
      <w:tr>
        <w:trPr>
          <w:trHeight w:val="210"/>
        </w:trPr>
        <w:tc>
          <w:tcPr>
            <w:tcW w:w="51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Performance-based RSUs</w:t>
            </w:r>
          </w:p>
        </w:tc>
        <w:tc>
          <w:tcPr>
            <w:tcW w:w="1460" w:type="dxa"/>
            <w:vAlign w:val="bottom"/>
            <w:gridSpan w:val="2"/>
            <w:shd w:val="clear" w:color="auto" w:fill="E8F0F8"/>
          </w:tcPr>
          <w:p>
            <w:pPr>
              <w:ind w:left="260"/>
              <w:spacing w:after="0"/>
              <w:rPr>
                <w:sz w:val="20"/>
                <w:szCs w:val="20"/>
                <w:color w:val="auto"/>
              </w:rPr>
            </w:pPr>
            <w:r>
              <w:rPr>
                <w:rFonts w:ascii="Arial" w:cs="Arial" w:eastAsia="Arial" w:hAnsi="Arial"/>
                <w:sz w:val="15"/>
                <w:szCs w:val="15"/>
                <w:color w:val="auto"/>
              </w:rPr>
              <w:t>$ 7,287,016</w:t>
            </w:r>
          </w:p>
        </w:tc>
        <w:tc>
          <w:tcPr>
            <w:tcW w:w="66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2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spacing w:after="0"/>
              <w:rPr>
                <w:sz w:val="18"/>
                <w:szCs w:val="18"/>
                <w:color w:val="auto"/>
              </w:rPr>
            </w:pPr>
          </w:p>
        </w:tc>
        <w:tc>
          <w:tcPr>
            <w:tcW w:w="138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w:t>
            </w:r>
          </w:p>
        </w:tc>
      </w:tr>
      <w:tr>
        <w:trPr>
          <w:trHeight w:val="222"/>
        </w:trPr>
        <w:tc>
          <w:tcPr>
            <w:tcW w:w="51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5"/>
                <w:szCs w:val="15"/>
                <w:b w:val="1"/>
                <w:bCs w:val="1"/>
                <w:color w:val="auto"/>
              </w:rPr>
              <w:t>Total</w:t>
            </w:r>
          </w:p>
        </w:tc>
        <w:tc>
          <w:tcPr>
            <w:tcW w:w="1460" w:type="dxa"/>
            <w:vAlign w:val="bottom"/>
            <w:tcBorders>
              <w:bottom w:val="single" w:sz="8" w:color="auto"/>
            </w:tcBorders>
            <w:gridSpan w:val="2"/>
            <w:shd w:val="clear" w:color="auto" w:fill="E8F0F8"/>
          </w:tcPr>
          <w:p>
            <w:pPr>
              <w:ind w:left="260"/>
              <w:spacing w:after="0"/>
              <w:rPr>
                <w:sz w:val="20"/>
                <w:szCs w:val="20"/>
                <w:color w:val="auto"/>
              </w:rPr>
            </w:pPr>
            <w:r>
              <w:rPr>
                <w:rFonts w:ascii="Arial" w:cs="Arial" w:eastAsia="Arial" w:hAnsi="Arial"/>
                <w:sz w:val="15"/>
                <w:szCs w:val="15"/>
                <w:b w:val="1"/>
                <w:bCs w:val="1"/>
                <w:color w:val="auto"/>
              </w:rPr>
              <w:t>$ 7,287,016</w:t>
            </w:r>
          </w:p>
        </w:tc>
        <w:tc>
          <w:tcPr>
            <w:tcW w:w="660" w:type="dxa"/>
            <w:vAlign w:val="bottom"/>
            <w:tcBorders>
              <w:bottom w:val="single" w:sz="8" w:color="auto"/>
            </w:tcBorders>
            <w:shd w:val="clear" w:color="auto" w:fill="E8F0F8"/>
          </w:tcPr>
          <w:p>
            <w:pPr>
              <w:spacing w:after="0"/>
              <w:rPr>
                <w:sz w:val="19"/>
                <w:szCs w:val="19"/>
                <w:color w:val="auto"/>
              </w:rPr>
            </w:pPr>
          </w:p>
        </w:tc>
        <w:tc>
          <w:tcPr>
            <w:tcW w:w="1480" w:type="dxa"/>
            <w:vAlign w:val="bottom"/>
            <w:tcBorders>
              <w:bottom w:val="single" w:sz="8" w:color="auto"/>
            </w:tcBorders>
            <w:shd w:val="clear" w:color="auto" w:fill="E8F0F8"/>
          </w:tcPr>
          <w:p>
            <w:pPr>
              <w:jc w:val="right"/>
              <w:ind w:right="724"/>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E8F0F8"/>
          </w:tcPr>
          <w:p>
            <w:pPr>
              <w:spacing w:after="0"/>
              <w:rPr>
                <w:sz w:val="19"/>
                <w:szCs w:val="19"/>
                <w:color w:val="auto"/>
              </w:rPr>
            </w:pPr>
          </w:p>
        </w:tc>
        <w:tc>
          <w:tcPr>
            <w:tcW w:w="1380" w:type="dxa"/>
            <w:vAlign w:val="bottom"/>
            <w:tcBorders>
              <w:bottom w:val="single" w:sz="8" w:color="auto"/>
            </w:tcBorders>
            <w:shd w:val="clear" w:color="auto" w:fill="E8F0F8"/>
          </w:tcPr>
          <w:p>
            <w:pPr>
              <w:jc w:val="right"/>
              <w:ind w:right="544"/>
              <w:spacing w:after="0"/>
              <w:rPr>
                <w:sz w:val="20"/>
                <w:szCs w:val="20"/>
                <w:color w:val="auto"/>
              </w:rPr>
            </w:pPr>
            <w:r>
              <w:rPr>
                <w:rFonts w:ascii="Arial" w:cs="Arial" w:eastAsia="Arial" w:hAnsi="Arial"/>
                <w:sz w:val="15"/>
                <w:szCs w:val="15"/>
                <w:b w:val="1"/>
                <w:bCs w:val="1"/>
                <w:color w:val="auto"/>
              </w:rPr>
              <w:t>—</w:t>
            </w:r>
          </w:p>
        </w:tc>
      </w:tr>
    </w:tbl>
    <w:p>
      <w:pPr>
        <w:ind w:left="120"/>
        <w:spacing w:after="0"/>
        <w:rPr>
          <w:sz w:val="20"/>
          <w:szCs w:val="20"/>
          <w:color w:val="auto"/>
        </w:rPr>
      </w:pPr>
      <w:r>
        <w:rPr>
          <w:rFonts w:ascii="Arial" w:cs="Arial" w:eastAsia="Arial" w:hAnsi="Arial"/>
          <w:sz w:val="14"/>
          <w:szCs w:val="14"/>
          <w:i w:val="1"/>
          <w:iCs w:val="1"/>
          <w:color w:val="auto"/>
        </w:rPr>
        <w:t>Notes to the Potential Post-Termination Payments Table</w:t>
      </w:r>
    </w:p>
    <w:p>
      <w:pPr>
        <w:spacing w:after="0" w:line="113" w:lineRule="exact"/>
        <w:rPr>
          <w:sz w:val="20"/>
          <w:szCs w:val="20"/>
          <w:color w:val="auto"/>
        </w:rPr>
      </w:pPr>
    </w:p>
    <w:p>
      <w:pPr>
        <w:ind w:left="440" w:hanging="324"/>
        <w:spacing w:after="0" w:line="248" w:lineRule="auto"/>
        <w:tabs>
          <w:tab w:leader="none" w:pos="4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In the event of an executive’s death or disability, all outstanding time-based equity awards and earned performance-based equity awards under our LTI program will vest in full and all unearned performance-based equity awards will remain outstanding and eligible to vest based on actual performance. The value of such accelerated awards for all NEOs would be the same amount as shown in column (d) for such NEO (based on actual performance estimated as of December 31, 2021).</w:t>
      </w:r>
    </w:p>
    <w:p>
      <w:pPr>
        <w:ind w:left="440" w:hanging="324"/>
        <w:spacing w:after="0" w:line="241" w:lineRule="auto"/>
        <w:tabs>
          <w:tab w:leader="none" w:pos="4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Ms. Alexander and Dr. Sandrock were eligible for potential benefits upon retirement at December 31, 2021, and Dr. Sandrock received those benefits in connection with his retirement from Biogen. Based on years of service, Ms. Alexander and Dr. Sandrock were eligible for accelerated vesting on 100% of their outstanding equity awards as of December 31, 2021. Any unvested PSU and MSU awards would, subject to the achievement of any applicable performance goals, remain outstanding and eligible to be earned and vest in accordance with the terms of such awards based on actual performance as to 100% of the earned PSUs or MSUs, as applicable. The amount listed in column (b) is the estimated value of 100% of all unvested awards held by Ms. Alexander and Dr. Sandrock, based on actual performance estimated as of December 31, 2021, for unearned performance-based awards.</w:t>
      </w:r>
    </w:p>
    <w:p>
      <w:pPr>
        <w:spacing w:after="0" w:line="2" w:lineRule="exact"/>
        <w:rPr>
          <w:rFonts w:ascii="Arial" w:cs="Arial" w:eastAsia="Arial" w:hAnsi="Arial"/>
          <w:sz w:val="14"/>
          <w:szCs w:val="14"/>
          <w:color w:val="auto"/>
        </w:rPr>
      </w:pPr>
    </w:p>
    <w:p>
      <w:pPr>
        <w:ind w:left="440" w:right="280" w:hanging="324"/>
        <w:spacing w:after="0" w:line="264" w:lineRule="auto"/>
        <w:tabs>
          <w:tab w:leader="none" w:pos="4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amounts listed in column (c) and column (d) for performance-based RSUs for the applicable named executive officers includes the value of applicable unvested awards based, where applicable, on actual performance estimated as of December 31, 2021.</w:t>
      </w:r>
    </w:p>
    <w:p>
      <w:pPr>
        <w:sectPr>
          <w:pgSz w:w="11900" w:h="16838" w:orient="portrait"/>
          <w:cols w:equalWidth="0" w:num="1">
            <w:col w:w="11140"/>
          </w:cols>
          <w:pgMar w:left="320" w:top="455" w:right="439" w:bottom="1440" w:gutter="0" w:footer="0" w:header="0"/>
        </w:sectPr>
      </w:pPr>
    </w:p>
    <w:p>
      <w:pPr>
        <w:spacing w:after="0" w:line="94"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69 </w:t>
      </w:r>
      <w:r>
        <w:rPr>
          <w:sz w:val="1"/>
          <w:szCs w:val="1"/>
          <w:color w:val="auto"/>
        </w:rPr>
        <w:drawing>
          <wp:inline distT="0" distB="0" distL="0" distR="0">
            <wp:extent cx="38735" cy="19685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1"/>
          <w:numId w:val="144"/>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200" w:lineRule="exact"/>
        <w:rPr>
          <w:rFonts w:ascii="Arial" w:cs="Arial" w:eastAsia="Arial" w:hAnsi="Arial"/>
          <w:sz w:val="90"/>
          <w:szCs w:val="90"/>
          <w:color w:val="1A6DBB"/>
        </w:rPr>
      </w:pPr>
    </w:p>
    <w:p>
      <w:pPr>
        <w:spacing w:after="0" w:line="347" w:lineRule="exact"/>
        <w:rPr>
          <w:rFonts w:ascii="Arial" w:cs="Arial" w:eastAsia="Arial" w:hAnsi="Arial"/>
          <w:sz w:val="90"/>
          <w:szCs w:val="90"/>
          <w:color w:val="1A6DBB"/>
        </w:rPr>
      </w:pPr>
    </w:p>
    <w:p>
      <w:pPr>
        <w:ind w:left="440" w:hanging="324"/>
        <w:spacing w:after="0" w:line="244" w:lineRule="auto"/>
        <w:tabs>
          <w:tab w:leader="none" w:pos="4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Pursuant to his employment agreement, upon an involuntary termination by the Company without cause or involuntary employment action not following a corporate transaction or CIC, Mr. Vounatsos is eligible to receive a lump sum payment within 60 days of such termination consisting of the pro rata portion of the target bonus for the year of termination and an amount equal to the sum of the annual base salary rate and target bonus in effect at the time of termination multiplied by a factor of 1.5, continuation of medical, dental and vision insurance for up to 18 months and up to 12 months of executive outplacement services. Upon an involuntary termination by the Company without cause or an involuntary employment action following a corporate transaction or CIC, Mr. Vounatsos is eligible to receive a lump sum payment within 60 days consisting of the pro rata portion of the target bonus for the year of termination and an amount equal to the sum of the annual base salary rate and target bonus in effect at the time of termination multiplied by a factor of two, continuation of medical, dental and vision insurance for up to 24 months and up to 12 months of outplacement services.</w:t>
      </w:r>
    </w:p>
    <w:p>
      <w:pPr>
        <w:ind w:left="440" w:hanging="324"/>
        <w:spacing w:after="0"/>
        <w:tabs>
          <w:tab w:leader="none" w:pos="4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named executive officers are provided outplacement services at a cost of up to $32,000 for the Executive Vice President level.</w:t>
      </w:r>
    </w:p>
    <w:p>
      <w:pPr>
        <w:spacing w:after="0" w:line="1" w:lineRule="exact"/>
        <w:rPr>
          <w:rFonts w:ascii="Arial" w:cs="Arial" w:eastAsia="Arial" w:hAnsi="Arial"/>
          <w:sz w:val="14"/>
          <w:szCs w:val="14"/>
          <w:color w:val="auto"/>
        </w:rPr>
      </w:pPr>
    </w:p>
    <w:p>
      <w:pPr>
        <w:ind w:left="440" w:right="560" w:hanging="324"/>
        <w:spacing w:after="0" w:line="264" w:lineRule="auto"/>
        <w:tabs>
          <w:tab w:leader="none" w:pos="4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Dr. Sandrock retired from the Company effective on December 31, 2021. Dr. Sandrock’s outstanding LTI awards were eligible for retirement vesting and remain outstanding and eligible to vest based on actual performance, as set forth in the original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-2070100</wp:posOffset>
            </wp:positionV>
            <wp:extent cx="69951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-1281430</wp:posOffset>
            </wp:positionV>
            <wp:extent cx="69951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6DBB"/>
        </w:rPr>
        <w:t>CEO Pay Ratio</w:t>
      </w:r>
    </w:p>
    <w:p>
      <w:pPr>
        <w:spacing w:after="0" w:line="113"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We believe executive pay must be internally consistent and equitable to motivate our employees to create stockholder value, and we are committed to internal pay equity. As discussed earlier in this Proxy Statement, our compensation programs are designed to drive the creation of long-term stockholder value by delivering performance-based compensation. We invest in our employees at all levels in the Company by rewarding performance that balances risk and reward, empowering professional growth and development and offering affordable benefits and programs that meet the diverse needs of our employees.</w:t>
      </w:r>
    </w:p>
    <w:p>
      <w:pPr>
        <w:spacing w:after="0" w:line="7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We believe strongly in pay-for-performance, and all of our employees are eligible to participate in our annual bonus plan, our LTI programs and our benefit plans. Our annual bonus plan is consistently maintained for all participants globally, with the same Company performance goals, payout levels (as a percentage of target) and administrative provisions regardless of the participant’s job level, location or function in the Company. Our LTI programs provide different forms of awards depending upon an employee’s level but are otherwise consistent throughout the Company.</w:t>
      </w:r>
    </w:p>
    <w:p>
      <w:pPr>
        <w:spacing w:after="0" w:line="70"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 following is a reasonable estimate, prepared under applicable SEC rules, of the ratio of the annual total compensation of our CEO to the median of the annual total compensation of our other employees. We determined our median employee as of December 31, 2021, based on a consistently applied compensation measure defined as the sum of base salary, target bonus and LTI target value. We annualized pay for employees who commenced employment during 2021.</w:t>
      </w:r>
    </w:p>
    <w:p>
      <w:pPr>
        <w:spacing w:after="0" w:line="70"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Our median employee is a full-time employee based in the U.S. In December 2021, when we determined the median employee, approximately 59% of our workforce was based in the U.S. with the remaining approximately 41% of our workforce based in the rest of the world. In addition, approximately 98% of our workforce was full-time.</w:t>
      </w:r>
    </w:p>
    <w:p>
      <w:pPr>
        <w:spacing w:after="0" w:line="6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For our median employee, annual total compensation was calculated in accordance with the SEC’s rules for the Summary Compensation Table, including salary, bonus, LTI grant date fair value and value of certain benefits provided. For our CEO, annual total compensation is equal to the amount included in the “Total” column of the Summary Compensation Table, and our CEO’s annual total compensation for 2021 was $17,689,665. The annual total compensation of the median employee, as determined in accordance with the SEC’s rules, for 2021 was $163,551. Based on the foregoing, our estimate of the ratio of the annual total compensation of our CEO to the median of the annual total compensation of our other employees was 108 to 1. This pay ratio is a reasonable estimate calculated in a manner consistent with SEC rules based on our payroll and employment records and the methodology described above. Given the different methodologies, estimates, assumptions and exclusions that other public companies use to determine an estimate of their pay ratio, the estimated ratio reported above should not be used as a basis for comparison between companies.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70 </w:t>
      </w:r>
      <w:r>
        <w:rPr>
          <w:sz w:val="1"/>
          <w:szCs w:val="1"/>
          <w:color w:val="auto"/>
        </w:rPr>
        <w:drawing>
          <wp:inline distT="0" distB="0" distL="0" distR="0">
            <wp:extent cx="38735" cy="19685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360"/>
        <w:spacing w:after="0"/>
        <w:rPr>
          <w:sz w:val="20"/>
          <w:szCs w:val="20"/>
          <w:color w:val="auto"/>
        </w:rPr>
      </w:pPr>
      <w:r>
        <w:rPr>
          <w:rFonts w:ascii="Arial" w:cs="Arial" w:eastAsia="Arial" w:hAnsi="Arial"/>
          <w:sz w:val="90"/>
          <w:szCs w:val="90"/>
          <w:color w:val="1A6DBB"/>
        </w:rPr>
        <w:t xml:space="preserve">7 </w:t>
      </w:r>
      <w:r>
        <w:rPr>
          <w:rFonts w:ascii="Arial" w:cs="Arial" w:eastAsia="Arial" w:hAnsi="Arial"/>
          <w:sz w:val="41"/>
          <w:szCs w:val="41"/>
          <w:color w:val="1A6DBB"/>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-639445</wp:posOffset>
            </wp:positionV>
            <wp:extent cx="699516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0" w:lineRule="exact"/>
        <w:rPr>
          <w:sz w:val="20"/>
          <w:szCs w:val="20"/>
          <w:color w:val="auto"/>
        </w:rPr>
      </w:pPr>
    </w:p>
    <w:p>
      <w:pPr>
        <w:ind w:left="120" w:right="980"/>
        <w:spacing w:after="0" w:line="279" w:lineRule="auto"/>
        <w:rPr>
          <w:sz w:val="20"/>
          <w:szCs w:val="20"/>
          <w:color w:val="auto"/>
        </w:rPr>
      </w:pPr>
      <w:r>
        <w:rPr>
          <w:rFonts w:ascii="Arial" w:cs="Arial" w:eastAsia="Arial" w:hAnsi="Arial"/>
          <w:sz w:val="41"/>
          <w:szCs w:val="41"/>
          <w:color w:val="1A6DBB"/>
        </w:rPr>
        <w:t>CERTAIN RELATIONSHIPS AND RELATED PERSON TRANSACTIONS</w:t>
      </w:r>
    </w:p>
    <w:p>
      <w:pPr>
        <w:spacing w:after="0" w:line="87"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Code of Business Conduct (Values in Action), Corporate Governance Principles, Related Person Transaction Policy and Conflict of Interest Policy set forth our policies and procedures for the review and approval of transactions with related persons, including transactions that would be required to be disclosed in this Proxy Statement in accordance with SEC rules.</w:t>
      </w:r>
    </w:p>
    <w:p>
      <w:pPr>
        <w:spacing w:after="0" w:line="63"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In circumstances where one of our directors or executive officers, or a family member, has a direct or indirect material interest in a transaction involving Biogen, our Corporate Governance Committee must review and approve all such proposed transactions or courses of dealing. In determining whether to approve or ratify a transaction with a related person, among the factors our Corporate Governance Committee may consider (as applicable) are:</w:t>
      </w:r>
    </w:p>
    <w:p>
      <w:pPr>
        <w:spacing w:after="0" w:line="77" w:lineRule="exact"/>
        <w:rPr>
          <w:sz w:val="20"/>
          <w:szCs w:val="20"/>
          <w:color w:val="auto"/>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the business reasons for entering into the transaction;</w:t>
      </w:r>
    </w:p>
    <w:p>
      <w:pPr>
        <w:spacing w:after="0" w:line="21"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the size of the transaction and the nature of the related person’s interest in the transaction;</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whether the transaction terms are as favorable to us as they would be to an unaffiliated third party;</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whether the transaction terms are more favorable to the related person than they would be to an unaffiliated third party;</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the availability of alternative sources for comparable products, services or other benefits;</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whether the transaction would impair the independence or judgment of the related person in the performance of his or her duties to us;</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for non-employee directors, whether the transaction would be consistent with Nasdaq’s requirements for independent directors;</w:t>
      </w:r>
    </w:p>
    <w:p>
      <w:pPr>
        <w:spacing w:after="0" w:line="5" w:lineRule="exact"/>
        <w:rPr>
          <w:rFonts w:ascii="Arial" w:cs="Arial" w:eastAsia="Arial" w:hAnsi="Arial"/>
          <w:sz w:val="16"/>
          <w:szCs w:val="16"/>
          <w:color w:val="1A6DBB"/>
        </w:rPr>
      </w:pPr>
    </w:p>
    <w:p>
      <w:pPr>
        <w:ind w:left="760" w:right="500" w:hanging="320"/>
        <w:spacing w:after="0" w:line="246" w:lineRule="auto"/>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whether the transaction is consistent with our Conflict of Interest Policy, which prohibits related persons and others from having a financial interest in any competitor, customer, vendor or supplier of ours;</w:t>
      </w: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the related person’s role in arranging the transaction;</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the potential for the transaction to be viewed as representing or leading to an actual or apparent conflict of interest; and</w:t>
      </w:r>
    </w:p>
    <w:p>
      <w:pPr>
        <w:spacing w:after="0" w:line="5" w:lineRule="exact"/>
        <w:rPr>
          <w:rFonts w:ascii="Arial" w:cs="Arial" w:eastAsia="Arial" w:hAnsi="Arial"/>
          <w:sz w:val="16"/>
          <w:szCs w:val="16"/>
          <w:color w:val="1A6DBB"/>
        </w:rPr>
      </w:pPr>
    </w:p>
    <w:p>
      <w:pPr>
        <w:ind w:left="760" w:hanging="320"/>
        <w:spacing w:after="0"/>
        <w:tabs>
          <w:tab w:leader="none" w:pos="760" w:val="left"/>
        </w:tabs>
        <w:numPr>
          <w:ilvl w:val="0"/>
          <w:numId w:val="145"/>
        </w:numPr>
        <w:rPr>
          <w:rFonts w:ascii="Arial" w:cs="Arial" w:eastAsia="Arial" w:hAnsi="Arial"/>
          <w:sz w:val="16"/>
          <w:szCs w:val="16"/>
          <w:color w:val="1A6DBB"/>
        </w:rPr>
      </w:pPr>
      <w:r>
        <w:rPr>
          <w:rFonts w:ascii="Arial" w:cs="Arial" w:eastAsia="Arial" w:hAnsi="Arial"/>
          <w:sz w:val="16"/>
          <w:szCs w:val="16"/>
          <w:color w:val="auto"/>
        </w:rPr>
        <w:t>any other factors that our Corporate Governance Committee deems appropriate.</w:t>
      </w:r>
    </w:p>
    <w:p>
      <w:pPr>
        <w:spacing w:after="0" w:line="9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Code of Business Conduct, which sets forth legal and ethical guidelines for all of our directors and employees, states that directors, executive officers and employees must avoid relationships or activities that might impair their ability to make objective and fair decisions while acting in their Company roles.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are no relationships or transactions with related persons that are required to be disclosed in this Proxy Statement under SEC rules.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71 </w:t>
      </w:r>
      <w:r>
        <w:rPr>
          <w:sz w:val="1"/>
          <w:szCs w:val="1"/>
          <w:color w:val="auto"/>
        </w:rPr>
        <w:drawing>
          <wp:inline distT="0" distB="0" distL="0" distR="0">
            <wp:extent cx="38735" cy="19685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46"/>
        </w:numPr>
        <w:rPr>
          <w:rFonts w:ascii="Arial" w:cs="Arial" w:eastAsia="Arial" w:hAnsi="Arial"/>
          <w:sz w:val="90"/>
          <w:szCs w:val="90"/>
          <w:color w:val="1A6DBB"/>
        </w:rPr>
      </w:pPr>
      <w:r>
        <w:rPr>
          <w:rFonts w:ascii="Arial" w:cs="Arial" w:eastAsia="Arial" w:hAnsi="Arial"/>
          <w:sz w:val="41"/>
          <w:szCs w:val="41"/>
          <w:color w:val="1A6DBB"/>
        </w:rPr>
        <w:t xml:space="preserve">Additional Information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EQUITY COMPENSATION PLAN INFORMATION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information as of December 31, 2021, about:</w:t>
      </w:r>
    </w:p>
    <w:p>
      <w:pPr>
        <w:spacing w:after="0" w:line="127" w:lineRule="exact"/>
        <w:rPr>
          <w:sz w:val="20"/>
          <w:szCs w:val="20"/>
          <w:color w:val="auto"/>
        </w:rPr>
      </w:pPr>
    </w:p>
    <w:p>
      <w:pPr>
        <w:ind w:left="440" w:right="580" w:hanging="324"/>
        <w:spacing w:after="0" w:line="256" w:lineRule="auto"/>
        <w:tabs>
          <w:tab w:leader="none" w:pos="4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number of shares of common stock subject to issuance upon vesting of RSUs, MSUs and PSUs under plans adopted and assumed by us (assuming target performance); and</w:t>
      </w:r>
    </w:p>
    <w:p>
      <w:pPr>
        <w:spacing w:after="0" w:line="1" w:lineRule="exact"/>
        <w:rPr>
          <w:rFonts w:ascii="Arial" w:cs="Arial" w:eastAsia="Arial" w:hAnsi="Arial"/>
          <w:sz w:val="16"/>
          <w:szCs w:val="16"/>
          <w:color w:val="1A6DBB"/>
        </w:rPr>
      </w:pPr>
    </w:p>
    <w:p>
      <w:pPr>
        <w:ind w:left="440" w:right="480" w:hanging="324"/>
        <w:spacing w:after="0" w:line="265" w:lineRule="auto"/>
        <w:tabs>
          <w:tab w:leader="none" w:pos="4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number of shares of common stock available for future issuance under our active plans: our 2017 Omnibus Equity Plan, our Non-Employee Directors Equity Plan and our 2015 Employee Stock Purchase Plan.</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4200" w:type="dxa"/>
            <w:vAlign w:val="bottom"/>
            <w:shd w:val="clear" w:color="auto" w:fill="1A6DBB"/>
          </w:tcPr>
          <w:p>
            <w:pPr>
              <w:spacing w:after="0"/>
              <w:rPr>
                <w:sz w:val="14"/>
                <w:szCs w:val="14"/>
                <w:color w:val="auto"/>
              </w:rPr>
            </w:pPr>
          </w:p>
        </w:tc>
        <w:tc>
          <w:tcPr>
            <w:tcW w:w="2740" w:type="dxa"/>
            <w:vAlign w:val="bottom"/>
            <w:shd w:val="clear" w:color="auto" w:fill="1A6DBB"/>
          </w:tcPr>
          <w:p>
            <w:pPr>
              <w:spacing w:after="0"/>
              <w:rPr>
                <w:sz w:val="14"/>
                <w:szCs w:val="14"/>
                <w:color w:val="auto"/>
              </w:rPr>
            </w:pPr>
          </w:p>
        </w:tc>
        <w:tc>
          <w:tcPr>
            <w:tcW w:w="1980" w:type="dxa"/>
            <w:vAlign w:val="bottom"/>
            <w:shd w:val="clear" w:color="auto" w:fill="1A6DBB"/>
          </w:tcPr>
          <w:p>
            <w:pPr>
              <w:spacing w:after="0"/>
              <w:rPr>
                <w:sz w:val="14"/>
                <w:szCs w:val="14"/>
                <w:color w:val="auto"/>
              </w:rPr>
            </w:pPr>
          </w:p>
        </w:tc>
        <w:tc>
          <w:tcPr>
            <w:tcW w:w="2100" w:type="dxa"/>
            <w:vAlign w:val="bottom"/>
            <w:shd w:val="clear" w:color="auto" w:fill="1A6DBB"/>
          </w:tcPr>
          <w:p>
            <w:pPr>
              <w:jc w:val="center"/>
              <w:ind w:left="125"/>
              <w:spacing w:after="0"/>
              <w:rPr>
                <w:sz w:val="20"/>
                <w:szCs w:val="20"/>
                <w:color w:val="auto"/>
              </w:rPr>
            </w:pPr>
            <w:r>
              <w:rPr>
                <w:rFonts w:ascii="Arial" w:cs="Arial" w:eastAsia="Arial" w:hAnsi="Arial"/>
                <w:sz w:val="14"/>
                <w:szCs w:val="14"/>
                <w:color w:val="FFFFFF"/>
              </w:rPr>
              <w:t>Number of Securities</w:t>
            </w:r>
          </w:p>
        </w:tc>
      </w:tr>
      <w:tr>
        <w:trPr>
          <w:trHeight w:val="162"/>
        </w:trPr>
        <w:tc>
          <w:tcPr>
            <w:tcW w:w="420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Number of Securities</w:t>
            </w:r>
          </w:p>
        </w:tc>
        <w:tc>
          <w:tcPr>
            <w:tcW w:w="1980" w:type="dxa"/>
            <w:vAlign w:val="bottom"/>
            <w:shd w:val="clear" w:color="auto" w:fill="1A6DBB"/>
          </w:tcPr>
          <w:p>
            <w:pPr>
              <w:spacing w:after="0"/>
              <w:rPr>
                <w:sz w:val="14"/>
                <w:szCs w:val="14"/>
                <w:color w:val="auto"/>
              </w:rPr>
            </w:pPr>
          </w:p>
        </w:tc>
        <w:tc>
          <w:tcPr>
            <w:tcW w:w="2100" w:type="dxa"/>
            <w:vAlign w:val="bottom"/>
            <w:shd w:val="clear" w:color="auto" w:fill="1A6DBB"/>
          </w:tcPr>
          <w:p>
            <w:pPr>
              <w:jc w:val="center"/>
              <w:ind w:left="125"/>
              <w:spacing w:after="0"/>
              <w:rPr>
                <w:sz w:val="20"/>
                <w:szCs w:val="20"/>
                <w:color w:val="auto"/>
              </w:rPr>
            </w:pPr>
            <w:r>
              <w:rPr>
                <w:rFonts w:ascii="Arial" w:cs="Arial" w:eastAsia="Arial" w:hAnsi="Arial"/>
                <w:sz w:val="14"/>
                <w:szCs w:val="14"/>
                <w:color w:val="FFFFFF"/>
              </w:rPr>
              <w:t>Remaining Available for</w:t>
            </w:r>
          </w:p>
        </w:tc>
      </w:tr>
      <w:tr>
        <w:trPr>
          <w:trHeight w:val="162"/>
        </w:trPr>
        <w:tc>
          <w:tcPr>
            <w:tcW w:w="420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to be Issued Upon</w:t>
            </w:r>
          </w:p>
        </w:tc>
        <w:tc>
          <w:tcPr>
            <w:tcW w:w="198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Weighted-average</w:t>
            </w:r>
          </w:p>
        </w:tc>
        <w:tc>
          <w:tcPr>
            <w:tcW w:w="2100" w:type="dxa"/>
            <w:vAlign w:val="bottom"/>
            <w:shd w:val="clear" w:color="auto" w:fill="1A6DBB"/>
          </w:tcPr>
          <w:p>
            <w:pPr>
              <w:jc w:val="center"/>
              <w:ind w:left="125"/>
              <w:spacing w:after="0"/>
              <w:rPr>
                <w:sz w:val="20"/>
                <w:szCs w:val="20"/>
                <w:color w:val="auto"/>
              </w:rPr>
            </w:pPr>
            <w:r>
              <w:rPr>
                <w:rFonts w:ascii="Arial" w:cs="Arial" w:eastAsia="Arial" w:hAnsi="Arial"/>
                <w:sz w:val="14"/>
                <w:szCs w:val="14"/>
                <w:color w:val="FFFFFF"/>
              </w:rPr>
              <w:t>Future Issuance Under</w:t>
            </w:r>
          </w:p>
        </w:tc>
      </w:tr>
      <w:tr>
        <w:trPr>
          <w:trHeight w:val="162"/>
        </w:trPr>
        <w:tc>
          <w:tcPr>
            <w:tcW w:w="420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Exercise of</w:t>
            </w:r>
          </w:p>
        </w:tc>
        <w:tc>
          <w:tcPr>
            <w:tcW w:w="1980" w:type="dxa"/>
            <w:vAlign w:val="bottom"/>
            <w:shd w:val="clear" w:color="auto" w:fill="1A6DBB"/>
          </w:tcPr>
          <w:p>
            <w:pPr>
              <w:jc w:val="center"/>
              <w:ind w:left="65"/>
              <w:spacing w:after="0"/>
              <w:rPr>
                <w:sz w:val="20"/>
                <w:szCs w:val="20"/>
                <w:color w:val="auto"/>
              </w:rPr>
            </w:pPr>
            <w:r>
              <w:rPr>
                <w:rFonts w:ascii="Arial" w:cs="Arial" w:eastAsia="Arial" w:hAnsi="Arial"/>
                <w:sz w:val="14"/>
                <w:szCs w:val="14"/>
                <w:color w:val="FFFFFF"/>
              </w:rPr>
              <w:t>Exercise Price of</w:t>
            </w:r>
          </w:p>
        </w:tc>
        <w:tc>
          <w:tcPr>
            <w:tcW w:w="2100" w:type="dxa"/>
            <w:vAlign w:val="bottom"/>
            <w:shd w:val="clear" w:color="auto" w:fill="1A6DBB"/>
          </w:tcPr>
          <w:p>
            <w:pPr>
              <w:jc w:val="center"/>
              <w:ind w:left="145"/>
              <w:spacing w:after="0"/>
              <w:rPr>
                <w:sz w:val="20"/>
                <w:szCs w:val="20"/>
                <w:color w:val="auto"/>
              </w:rPr>
            </w:pPr>
            <w:r>
              <w:rPr>
                <w:rFonts w:ascii="Arial" w:cs="Arial" w:eastAsia="Arial" w:hAnsi="Arial"/>
                <w:sz w:val="14"/>
                <w:szCs w:val="14"/>
                <w:color w:val="FFFFFF"/>
              </w:rPr>
              <w:t>Equity Compensation</w:t>
            </w:r>
          </w:p>
        </w:tc>
      </w:tr>
      <w:tr>
        <w:trPr>
          <w:trHeight w:val="162"/>
        </w:trPr>
        <w:tc>
          <w:tcPr>
            <w:tcW w:w="420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Outstanding Options</w:t>
            </w:r>
          </w:p>
        </w:tc>
        <w:tc>
          <w:tcPr>
            <w:tcW w:w="198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Outstanding</w:t>
            </w:r>
          </w:p>
        </w:tc>
        <w:tc>
          <w:tcPr>
            <w:tcW w:w="2100" w:type="dxa"/>
            <w:vAlign w:val="bottom"/>
            <w:shd w:val="clear" w:color="auto" w:fill="1A6DBB"/>
          </w:tcPr>
          <w:p>
            <w:pPr>
              <w:jc w:val="center"/>
              <w:ind w:left="125"/>
              <w:spacing w:after="0"/>
              <w:rPr>
                <w:sz w:val="20"/>
                <w:szCs w:val="20"/>
                <w:color w:val="auto"/>
              </w:rPr>
            </w:pPr>
            <w:r>
              <w:rPr>
                <w:rFonts w:ascii="Arial" w:cs="Arial" w:eastAsia="Arial" w:hAnsi="Arial"/>
                <w:sz w:val="14"/>
                <w:szCs w:val="14"/>
                <w:color w:val="FFFFFF"/>
              </w:rPr>
              <w:t>Plans (excluding securities</w:t>
            </w:r>
          </w:p>
        </w:tc>
      </w:tr>
      <w:tr>
        <w:trPr>
          <w:trHeight w:val="162"/>
        </w:trPr>
        <w:tc>
          <w:tcPr>
            <w:tcW w:w="420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and Rights</w:t>
            </w:r>
          </w:p>
        </w:tc>
        <w:tc>
          <w:tcPr>
            <w:tcW w:w="198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Options and Rights</w:t>
            </w:r>
          </w:p>
        </w:tc>
        <w:tc>
          <w:tcPr>
            <w:tcW w:w="2100" w:type="dxa"/>
            <w:vAlign w:val="bottom"/>
            <w:shd w:val="clear" w:color="auto" w:fill="1A6DBB"/>
          </w:tcPr>
          <w:p>
            <w:pPr>
              <w:jc w:val="center"/>
              <w:ind w:left="185"/>
              <w:spacing w:after="0"/>
              <w:rPr>
                <w:sz w:val="20"/>
                <w:szCs w:val="20"/>
                <w:color w:val="auto"/>
              </w:rPr>
            </w:pPr>
            <w:r>
              <w:rPr>
                <w:rFonts w:ascii="Arial" w:cs="Arial" w:eastAsia="Arial" w:hAnsi="Arial"/>
                <w:sz w:val="14"/>
                <w:szCs w:val="14"/>
                <w:color w:val="FFFFFF"/>
              </w:rPr>
              <w:t>reflected in column(a))</w:t>
            </w:r>
            <w:r>
              <w:rPr>
                <w:rFonts w:ascii="Arial" w:cs="Arial" w:eastAsia="Arial" w:hAnsi="Arial"/>
                <w:sz w:val="14"/>
                <w:szCs w:val="14"/>
                <w:color w:val="FFFFFF"/>
                <w:vertAlign w:val="superscript"/>
              </w:rPr>
              <w:t>(1)</w:t>
            </w:r>
          </w:p>
        </w:tc>
      </w:tr>
      <w:tr>
        <w:trPr>
          <w:trHeight w:val="185"/>
        </w:trPr>
        <w:tc>
          <w:tcPr>
            <w:tcW w:w="420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Plan Category</w:t>
            </w: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w w:val="93"/>
              </w:rPr>
              <w:t>(a)</w:t>
            </w:r>
          </w:p>
        </w:tc>
        <w:tc>
          <w:tcPr>
            <w:tcW w:w="198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(b)</w:t>
            </w:r>
          </w:p>
        </w:tc>
        <w:tc>
          <w:tcPr>
            <w:tcW w:w="2100" w:type="dxa"/>
            <w:vAlign w:val="bottom"/>
            <w:shd w:val="clear" w:color="auto" w:fill="1A6DBB"/>
          </w:tcPr>
          <w:p>
            <w:pPr>
              <w:ind w:left="1120"/>
              <w:spacing w:after="0"/>
              <w:rPr>
                <w:sz w:val="20"/>
                <w:szCs w:val="20"/>
                <w:color w:val="auto"/>
              </w:rPr>
            </w:pPr>
            <w:r>
              <w:rPr>
                <w:rFonts w:ascii="Arial" w:cs="Arial" w:eastAsia="Arial" w:hAnsi="Arial"/>
                <w:sz w:val="14"/>
                <w:szCs w:val="14"/>
                <w:color w:val="FFFFFF"/>
              </w:rPr>
              <w:t>(c)</w:t>
            </w:r>
          </w:p>
        </w:tc>
      </w:tr>
      <w:tr>
        <w:trPr>
          <w:trHeight w:val="215"/>
        </w:trPr>
        <w:tc>
          <w:tcPr>
            <w:tcW w:w="4200" w:type="dxa"/>
            <w:vAlign w:val="bottom"/>
            <w:shd w:val="clear" w:color="auto" w:fill="E8F0F8"/>
          </w:tcPr>
          <w:p>
            <w:pPr>
              <w:ind w:left="80"/>
              <w:spacing w:after="0"/>
              <w:rPr>
                <w:sz w:val="20"/>
                <w:szCs w:val="20"/>
                <w:color w:val="auto"/>
              </w:rPr>
            </w:pPr>
            <w:r>
              <w:rPr>
                <w:rFonts w:ascii="Arial" w:cs="Arial" w:eastAsia="Arial" w:hAnsi="Arial"/>
                <w:sz w:val="16"/>
                <w:szCs w:val="16"/>
                <w:color w:val="auto"/>
              </w:rPr>
              <w:t>Equity compensation plans approved by stockholders</w:t>
            </w:r>
          </w:p>
        </w:tc>
        <w:tc>
          <w:tcPr>
            <w:tcW w:w="2740" w:type="dxa"/>
            <w:vAlign w:val="bottom"/>
            <w:shd w:val="clear" w:color="auto" w:fill="E8F0F8"/>
          </w:tcPr>
          <w:p>
            <w:pPr>
              <w:jc w:val="center"/>
              <w:ind w:left="385"/>
              <w:spacing w:after="0"/>
              <w:rPr>
                <w:sz w:val="20"/>
                <w:szCs w:val="20"/>
                <w:color w:val="auto"/>
              </w:rPr>
            </w:pPr>
            <w:r>
              <w:rPr>
                <w:rFonts w:ascii="Arial" w:cs="Arial" w:eastAsia="Arial" w:hAnsi="Arial"/>
                <w:sz w:val="16"/>
                <w:szCs w:val="16"/>
                <w:color w:val="auto"/>
              </w:rPr>
              <w:t>1,788,491</w:t>
            </w:r>
          </w:p>
        </w:tc>
        <w:tc>
          <w:tcPr>
            <w:tcW w:w="1980" w:type="dxa"/>
            <w:vAlign w:val="bottom"/>
            <w:shd w:val="clear" w:color="auto" w:fill="E8F0F8"/>
          </w:tcPr>
          <w:p>
            <w:pPr>
              <w:jc w:val="center"/>
              <w:ind w:left="65"/>
              <w:spacing w:after="0"/>
              <w:rPr>
                <w:sz w:val="20"/>
                <w:szCs w:val="20"/>
                <w:color w:val="auto"/>
              </w:rPr>
            </w:pPr>
            <w:r>
              <w:rPr>
                <w:rFonts w:ascii="Arial" w:cs="Arial" w:eastAsia="Arial" w:hAnsi="Arial"/>
                <w:sz w:val="16"/>
                <w:szCs w:val="16"/>
                <w:color w:val="auto"/>
                <w:w w:val="99"/>
              </w:rPr>
              <w:t>—</w:t>
            </w:r>
          </w:p>
        </w:tc>
        <w:tc>
          <w:tcPr>
            <w:tcW w:w="2100" w:type="dxa"/>
            <w:vAlign w:val="bottom"/>
            <w:shd w:val="clear" w:color="auto" w:fill="E8F0F8"/>
          </w:tcPr>
          <w:p>
            <w:pPr>
              <w:jc w:val="center"/>
              <w:ind w:left="205"/>
              <w:spacing w:after="0"/>
              <w:rPr>
                <w:sz w:val="20"/>
                <w:szCs w:val="20"/>
                <w:color w:val="auto"/>
              </w:rPr>
            </w:pPr>
            <w:r>
              <w:rPr>
                <w:rFonts w:ascii="Arial" w:cs="Arial" w:eastAsia="Arial" w:hAnsi="Arial"/>
                <w:sz w:val="16"/>
                <w:szCs w:val="16"/>
                <w:color w:val="auto"/>
              </w:rPr>
              <w:t>16,505,990</w:t>
            </w:r>
          </w:p>
        </w:tc>
      </w:tr>
      <w:tr>
        <w:trPr>
          <w:trHeight w:val="217"/>
        </w:trPr>
        <w:tc>
          <w:tcPr>
            <w:tcW w:w="4200" w:type="dxa"/>
            <w:vAlign w:val="bottom"/>
            <w:shd w:val="clear" w:color="auto" w:fill="BAD3EA"/>
          </w:tcPr>
          <w:p>
            <w:pPr>
              <w:ind w:left="80"/>
              <w:spacing w:after="0"/>
              <w:rPr>
                <w:sz w:val="20"/>
                <w:szCs w:val="20"/>
                <w:color w:val="auto"/>
              </w:rPr>
            </w:pPr>
            <w:r>
              <w:rPr>
                <w:rFonts w:ascii="Arial" w:cs="Arial" w:eastAsia="Arial" w:hAnsi="Arial"/>
                <w:sz w:val="16"/>
                <w:szCs w:val="16"/>
                <w:color w:val="auto"/>
              </w:rPr>
              <w:t>Equity compensation plans not approved by stockholders</w:t>
            </w:r>
          </w:p>
        </w:tc>
        <w:tc>
          <w:tcPr>
            <w:tcW w:w="2740" w:type="dxa"/>
            <w:vAlign w:val="bottom"/>
            <w:shd w:val="clear" w:color="auto" w:fill="BAD3EA"/>
          </w:tcPr>
          <w:p>
            <w:pPr>
              <w:jc w:val="center"/>
              <w:ind w:left="385"/>
              <w:spacing w:after="0"/>
              <w:rPr>
                <w:sz w:val="20"/>
                <w:szCs w:val="20"/>
                <w:color w:val="auto"/>
              </w:rPr>
            </w:pPr>
            <w:r>
              <w:rPr>
                <w:rFonts w:ascii="Arial" w:cs="Arial" w:eastAsia="Arial" w:hAnsi="Arial"/>
                <w:sz w:val="16"/>
                <w:szCs w:val="16"/>
                <w:color w:val="auto"/>
                <w:w w:val="99"/>
              </w:rPr>
              <w:t>—</w:t>
            </w:r>
          </w:p>
        </w:tc>
        <w:tc>
          <w:tcPr>
            <w:tcW w:w="1980" w:type="dxa"/>
            <w:vAlign w:val="bottom"/>
            <w:shd w:val="clear" w:color="auto" w:fill="BAD3EA"/>
          </w:tcPr>
          <w:p>
            <w:pPr>
              <w:jc w:val="center"/>
              <w:ind w:left="65"/>
              <w:spacing w:after="0"/>
              <w:rPr>
                <w:sz w:val="20"/>
                <w:szCs w:val="20"/>
                <w:color w:val="auto"/>
              </w:rPr>
            </w:pPr>
            <w:r>
              <w:rPr>
                <w:rFonts w:ascii="Arial" w:cs="Arial" w:eastAsia="Arial" w:hAnsi="Arial"/>
                <w:sz w:val="16"/>
                <w:szCs w:val="16"/>
                <w:color w:val="auto"/>
                <w:w w:val="99"/>
              </w:rPr>
              <w:t>—</w:t>
            </w:r>
          </w:p>
        </w:tc>
        <w:tc>
          <w:tcPr>
            <w:tcW w:w="2100" w:type="dxa"/>
            <w:vAlign w:val="bottom"/>
            <w:shd w:val="clear" w:color="auto" w:fill="BAD3EA"/>
          </w:tcPr>
          <w:p>
            <w:pPr>
              <w:jc w:val="center"/>
              <w:ind w:left="225"/>
              <w:spacing w:after="0"/>
              <w:rPr>
                <w:sz w:val="20"/>
                <w:szCs w:val="20"/>
                <w:color w:val="auto"/>
              </w:rPr>
            </w:pPr>
            <w:r>
              <w:rPr>
                <w:rFonts w:ascii="Arial" w:cs="Arial" w:eastAsia="Arial" w:hAnsi="Arial"/>
                <w:sz w:val="16"/>
                <w:szCs w:val="16"/>
                <w:color w:val="auto"/>
                <w:w w:val="99"/>
              </w:rPr>
              <w:t>—</w:t>
            </w:r>
          </w:p>
        </w:tc>
      </w:tr>
      <w:tr>
        <w:trPr>
          <w:trHeight w:val="215"/>
        </w:trPr>
        <w:tc>
          <w:tcPr>
            <w:tcW w:w="420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Total</w:t>
            </w:r>
          </w:p>
        </w:tc>
        <w:tc>
          <w:tcPr>
            <w:tcW w:w="2740" w:type="dxa"/>
            <w:vAlign w:val="bottom"/>
            <w:tcBorders>
              <w:bottom w:val="single" w:sz="8" w:color="auto"/>
            </w:tcBorders>
            <w:shd w:val="clear" w:color="auto" w:fill="E8F0F8"/>
          </w:tcPr>
          <w:p>
            <w:pPr>
              <w:jc w:val="center"/>
              <w:ind w:left="385"/>
              <w:spacing w:after="0"/>
              <w:rPr>
                <w:sz w:val="20"/>
                <w:szCs w:val="20"/>
                <w:color w:val="auto"/>
              </w:rPr>
            </w:pPr>
            <w:r>
              <w:rPr>
                <w:rFonts w:ascii="Arial" w:cs="Arial" w:eastAsia="Arial" w:hAnsi="Arial"/>
                <w:sz w:val="16"/>
                <w:szCs w:val="16"/>
                <w:color w:val="auto"/>
              </w:rPr>
              <w:t>1,788,491</w:t>
            </w:r>
          </w:p>
        </w:tc>
        <w:tc>
          <w:tcPr>
            <w:tcW w:w="1980" w:type="dxa"/>
            <w:vAlign w:val="bottom"/>
            <w:tcBorders>
              <w:bottom w:val="single" w:sz="8" w:color="auto"/>
            </w:tcBorders>
            <w:shd w:val="clear" w:color="auto" w:fill="E8F0F8"/>
          </w:tcPr>
          <w:p>
            <w:pPr>
              <w:jc w:val="center"/>
              <w:ind w:left="65"/>
              <w:spacing w:after="0"/>
              <w:rPr>
                <w:sz w:val="20"/>
                <w:szCs w:val="20"/>
                <w:color w:val="auto"/>
              </w:rPr>
            </w:pPr>
            <w:r>
              <w:rPr>
                <w:rFonts w:ascii="Arial" w:cs="Arial" w:eastAsia="Arial" w:hAnsi="Arial"/>
                <w:sz w:val="16"/>
                <w:szCs w:val="16"/>
                <w:color w:val="auto"/>
                <w:w w:val="99"/>
              </w:rPr>
              <w:t>—</w:t>
            </w:r>
          </w:p>
        </w:tc>
        <w:tc>
          <w:tcPr>
            <w:tcW w:w="2100" w:type="dxa"/>
            <w:vAlign w:val="bottom"/>
            <w:tcBorders>
              <w:bottom w:val="single" w:sz="8" w:color="auto"/>
            </w:tcBorders>
            <w:shd w:val="clear" w:color="auto" w:fill="E8F0F8"/>
          </w:tcPr>
          <w:p>
            <w:pPr>
              <w:jc w:val="center"/>
              <w:ind w:left="205"/>
              <w:spacing w:after="0"/>
              <w:rPr>
                <w:sz w:val="20"/>
                <w:szCs w:val="20"/>
                <w:color w:val="auto"/>
              </w:rPr>
            </w:pPr>
            <w:r>
              <w:rPr>
                <w:rFonts w:ascii="Arial" w:cs="Arial" w:eastAsia="Arial" w:hAnsi="Arial"/>
                <w:sz w:val="16"/>
                <w:szCs w:val="16"/>
                <w:color w:val="auto"/>
              </w:rPr>
              <w:t>16,505,990</w:t>
            </w:r>
          </w:p>
        </w:tc>
      </w:tr>
    </w:tbl>
    <w:p>
      <w:pPr>
        <w:ind w:left="440" w:right="180" w:hanging="324"/>
        <w:spacing w:after="0" w:line="252" w:lineRule="auto"/>
        <w:tabs>
          <w:tab w:leader="none" w:pos="4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Of these shares, (a) 10,784,472 remain available for future issuance under our 2017 Omnibus Equity Plan, (b) 651,255 remain available for future issuance under our Non-Employee Directors Equity Plan and (c) 5,070,263 remain available under our 2015 Employee Stock Purchase Plan. In addition to shares issuable upon the exercise of options or rights, the shares under our 2017 Omnibus Equity Plan and our Non-Employee Directors Equity Plan may also be issued other than upon such exercise.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2"/>
          <w:szCs w:val="12"/>
          <w:color w:val="1A6DBB"/>
        </w:rPr>
        <w:t xml:space="preserve">72 </w:t>
      </w:r>
      <w:r>
        <w:rPr>
          <w:sz w:val="1"/>
          <w:szCs w:val="1"/>
          <w:color w:val="auto"/>
        </w:rPr>
        <w:drawing>
          <wp:inline distT="0" distB="0" distL="0" distR="0">
            <wp:extent cx="38735" cy="19685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102870" cy="939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7" w:lineRule="exact"/>
        <w:rPr>
          <w:sz w:val="20"/>
          <w:szCs w:val="20"/>
          <w:color w:val="auto"/>
        </w:rPr>
      </w:pPr>
    </w:p>
    <w:p>
      <w:pPr>
        <w:ind w:left="1000" w:hanging="634"/>
        <w:spacing w:after="0"/>
        <w:tabs>
          <w:tab w:leader="none" w:pos="1000" w:val="left"/>
        </w:tabs>
        <w:numPr>
          <w:ilvl w:val="0"/>
          <w:numId w:val="149"/>
        </w:numPr>
        <w:rPr>
          <w:rFonts w:ascii="Arial" w:cs="Arial" w:eastAsia="Arial" w:hAnsi="Arial"/>
          <w:sz w:val="90"/>
          <w:szCs w:val="90"/>
          <w:color w:val="1A6DBB"/>
        </w:rPr>
      </w:pPr>
      <w:r>
        <w:rPr>
          <w:rFonts w:ascii="Arial" w:cs="Arial" w:eastAsia="Arial" w:hAnsi="Arial"/>
          <w:sz w:val="41"/>
          <w:szCs w:val="41"/>
          <w:color w:val="1A6DBB"/>
        </w:rPr>
        <w:t xml:space="preserve">Additional Information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wp:posOffset>
            </wp:positionV>
            <wp:extent cx="69951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MISCELLANEOUS</w:t>
      </w:r>
    </w:p>
    <w:p>
      <w:pPr>
        <w:sectPr>
          <w:pgSz w:w="11900" w:h="16838" w:orient="portrait"/>
          <w:cols w:equalWidth="0" w:num="1">
            <w:col w:w="11120"/>
          </w:cols>
          <w:pgMar w:left="320" w:top="455" w:right="459" w:bottom="1440" w:gutter="0" w:footer="0" w:header="0"/>
        </w:sectPr>
      </w:pP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Stockholder Proposals</w:t>
      </w:r>
    </w:p>
    <w:p>
      <w:pPr>
        <w:spacing w:after="0" w:line="10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Stockholder proposals submitted pursuant to Exchange Act Rule 14a-8 and intended to be presented at our 2023 annual meeting of stockholders must be received by our Secretary no later than December 30, 2022, to be eligible for inclusion in our proxy statement and form of proxy relating to that meeting.</w:t>
      </w:r>
    </w:p>
    <w:p>
      <w:pPr>
        <w:spacing w:after="0" w:line="7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A stockholder proposal submitted outside the processes of Rule 14a-8 and not for inclusion in our proxy statement for the 2023 annual meeting of stockholders will be ineligible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 later than March 17, 2023, and no earlier than February 15, 2023. However, if the date of the 2023 annual meeting of stockholders is more than 30 days before or more than 60 days after the first anniversary of the Annual Meeting, we must receive the stockholder’s notice not earlier than the close of business on the</w:t>
      </w:r>
    </w:p>
    <w:p>
      <w:pPr>
        <w:spacing w:after="0" w:line="7" w:lineRule="exact"/>
        <w:rPr>
          <w:sz w:val="20"/>
          <w:szCs w:val="20"/>
          <w:color w:val="auto"/>
        </w:rPr>
      </w:pPr>
    </w:p>
    <w:p>
      <w:pPr>
        <w:ind w:left="120" w:right="40"/>
        <w:spacing w:after="0" w:line="182" w:lineRule="auto"/>
        <w:rPr>
          <w:sz w:val="20"/>
          <w:szCs w:val="20"/>
          <w:color w:val="auto"/>
        </w:rPr>
      </w:pPr>
      <w:r>
        <w:rPr>
          <w:rFonts w:ascii="Arial" w:cs="Arial" w:eastAsia="Arial" w:hAnsi="Arial"/>
          <w:sz w:val="16"/>
          <w:szCs w:val="16"/>
          <w:color w:val="auto"/>
        </w:rPr>
        <w:t>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2023 annual meeting of stockholders and not later than the close of business on the later of (1)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2023 annual meeting of stockholders and (2)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the 2023 annual meeting of stockholders is first made.</w:t>
      </w:r>
    </w:p>
    <w:p>
      <w:pPr>
        <w:spacing w:after="0" w:line="83"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All stockholder proposals for our 2023 annual meeting of stockholders should be sent to our Secretary, Biogen Inc., 225 Binney Street, Cambridge, Massachusetts 02142.</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Other Stockholder Communications</w:t>
      </w:r>
    </w:p>
    <w:p>
      <w:pPr>
        <w:spacing w:after="0" w:line="108"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Generally, stockholders who have questions or concerns should contact our Investor Relations department at (781) 464-2442. However, stockholders who wish to communicate directly with our Board of Directors, or any individual director, should direct questions in writing to our Secretary, Biogen Inc., 225 Binney Street, Cambridge, Massachusetts 02142. Communications addressed in this manner will be forwarded directly to our Board of Directors or named individual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Incorporation by Reference</w:t>
      </w:r>
    </w:p>
    <w:p>
      <w:pPr>
        <w:spacing w:after="0" w:line="10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Notwithstanding anything to the contrary set forth in any of our previous filings under the securities laws that might incorporate future filings, including this Proxy Statement, in whole or in part, the Compensation Committee Report, the Audit Committee Report, the content of </w:t>
      </w:r>
      <w:r>
        <w:rPr>
          <w:rFonts w:ascii="Arial" w:cs="Arial" w:eastAsia="Arial" w:hAnsi="Arial"/>
          <w:sz w:val="16"/>
          <w:szCs w:val="16"/>
          <w:i w:val="1"/>
          <w:iCs w:val="1"/>
          <w:color w:val="auto"/>
        </w:rPr>
        <w:t>www.biogen.com</w:t>
      </w:r>
      <w:r>
        <w:rPr>
          <w:rFonts w:ascii="Arial" w:cs="Arial" w:eastAsia="Arial" w:hAnsi="Arial"/>
          <w:sz w:val="16"/>
          <w:szCs w:val="16"/>
          <w:color w:val="auto"/>
        </w:rPr>
        <w:t>, including the charters of the committees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Corporate Governance Principles, Related Person Transaction Policy, Conflicts of Interest Policy, Code of Business Conduct, Certificate of Incorporation and Bylaws, included or referenced in this Proxy Statement shall not be incorporated by reference into any such filings.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Copies of Annual Meeting Materials</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Some banks, brokers and other nominee record holders may be participating in the practice of householding proxy statements and annual reports. This means that, unless you have instructed otherwise, only one copy of this Proxy Statement, Annual Report or Notice of Internet Availability of Proxy Materials, as applicable, may have been sent to multiple stockholders in your household. </w:t>
      </w:r>
      <w:r>
        <w:rPr>
          <w:rFonts w:ascii="Arial" w:cs="Arial" w:eastAsia="Arial" w:hAnsi="Arial"/>
          <w:sz w:val="16"/>
          <w:szCs w:val="16"/>
          <w:b w:val="1"/>
          <w:bCs w:val="1"/>
          <w:color w:val="auto"/>
        </w:rPr>
        <w:t>We will promptly deliver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separate copy of any of these documents without charge to you if you write or call Investor Relations, Biogen Inc., 225 Binney Street, Cambridge, Massachusetts 02142, (781) 464-2442. </w:t>
      </w:r>
      <w:r>
        <w:rPr>
          <w:rFonts w:ascii="Arial" w:cs="Arial" w:eastAsia="Arial" w:hAnsi="Arial"/>
          <w:sz w:val="16"/>
          <w:szCs w:val="16"/>
          <w:color w:val="auto"/>
        </w:rPr>
        <w:t>If you want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separate copies of our Proxy Statement, Annual Report or Notice of Internet Availability of Proxy Materials, as applicable, in the future, or if you are receiving multiple copies and would like to receive only one copy for your household, you should contact your bank, broker or other nominee record holder, or you may contact us at the above address or phone number.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Manner and Cost of Proxy Solicitation</w:t>
      </w:r>
    </w:p>
    <w:p>
      <w:pPr>
        <w:spacing w:after="0" w:line="1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Biogen pays the cost of soliciting proxies. In addition to solicitation by mail, our directors, officers and employees may contact you in person, by telephone or by email or other electronic means. None of our directors, officers or employees will receive additional compensation for soliciting you. We will reimburse brokerage houses, banks, custodians and other nominees and fiduciaries for out-of-pocket expenses incurred in forwarding our proxy solicitation materials to, and obtaining instructions relating to such materials from, beneficial owners of our common stock. Georgeson LLC, New York, New York, has been retained to assist us in the solicitation of proxies at a fee estimated not to exceed $14,000.</w:t>
      </w:r>
    </w:p>
    <w:p>
      <w:pPr>
        <w:spacing w:after="0" w:line="200" w:lineRule="exact"/>
        <w:rPr>
          <w:sz w:val="20"/>
          <w:szCs w:val="20"/>
          <w:color w:val="auto"/>
        </w:rPr>
      </w:pPr>
    </w:p>
    <w:p>
      <w:pPr>
        <w:sectPr>
          <w:pgSz w:w="11900" w:h="16838" w:orient="portrait"/>
          <w:cols w:equalWidth="0" w:num="2">
            <w:col w:w="5400" w:space="340"/>
            <w:col w:w="5380"/>
          </w:cols>
          <w:pgMar w:left="320" w:top="455" w:right="459" w:bottom="1440" w:gutter="0" w:footer="0" w:header="0"/>
          <w:type w:val="continuous"/>
        </w:sectPr>
      </w:pPr>
    </w:p>
    <w:p>
      <w:pPr>
        <w:spacing w:after="0" w:line="52" w:lineRule="exact"/>
        <w:rPr>
          <w:sz w:val="20"/>
          <w:szCs w:val="20"/>
          <w:color w:val="auto"/>
        </w:rPr>
      </w:pPr>
    </w:p>
    <w:p>
      <w:pPr>
        <w:ind w:left="180"/>
        <w:spacing w:after="0"/>
        <w:rPr>
          <w:sz w:val="20"/>
          <w:szCs w:val="20"/>
          <w:color w:val="auto"/>
        </w:rPr>
      </w:pPr>
      <w:r>
        <w:rPr>
          <w:rFonts w:ascii="Arial" w:cs="Arial" w:eastAsia="Arial" w:hAnsi="Arial"/>
          <w:sz w:val="9"/>
          <w:szCs w:val="9"/>
          <w:color w:val="1A6DBB"/>
        </w:rPr>
        <w:t xml:space="preserve">73 </w:t>
      </w:r>
      <w:r>
        <w:rPr>
          <w:sz w:val="1"/>
          <w:szCs w:val="1"/>
          <w:color w:val="auto"/>
        </w:rPr>
        <w:drawing>
          <wp:inline distT="0" distB="0" distL="0" distR="0">
            <wp:extent cx="38735" cy="19685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8735" cy="196850"/>
                    </a:xfrm>
                    <a:prstGeom prst="rect">
                      <a:avLst/>
                    </a:prstGeom>
                    <a:noFill/>
                    <a:ln>
                      <a:noFill/>
                    </a:ln>
                  </pic:spPr>
                </pic:pic>
              </a:graphicData>
            </a:graphic>
          </wp:inline>
        </w:drawing>
        <w:drawing>
          <wp:inline distT="0" distB="0" distL="0" distR="0">
            <wp:extent cx="419735" cy="13716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19735" cy="13716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179705" cy="1968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-93980</wp:posOffset>
            </wp:positionV>
            <wp:extent cx="102870" cy="946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8859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APPENDIX A</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41"/>
          <w:szCs w:val="41"/>
          <w:color w:val="1A6DBB"/>
        </w:rPr>
        <w:t>GAAP to Non-GAAP Reconciliation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Diluted Earnings Per Share and Net Income Attributable to Biogen Inc.</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(unaudited, $ in millions, except per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860" w:type="dxa"/>
            <w:vAlign w:val="bottom"/>
            <w:shd w:val="clear" w:color="auto" w:fill="1A6DBB"/>
          </w:tcPr>
          <w:p>
            <w:pPr>
              <w:spacing w:after="0"/>
              <w:rPr>
                <w:sz w:val="15"/>
                <w:szCs w:val="15"/>
                <w:color w:val="auto"/>
              </w:rPr>
            </w:pPr>
          </w:p>
        </w:tc>
        <w:tc>
          <w:tcPr>
            <w:tcW w:w="240" w:type="dxa"/>
            <w:vAlign w:val="bottom"/>
            <w:shd w:val="clear" w:color="auto" w:fill="1A6DBB"/>
          </w:tcPr>
          <w:p>
            <w:pPr>
              <w:spacing w:after="0"/>
              <w:rPr>
                <w:sz w:val="15"/>
                <w:szCs w:val="15"/>
                <w:color w:val="auto"/>
              </w:rPr>
            </w:pPr>
          </w:p>
        </w:tc>
        <w:tc>
          <w:tcPr>
            <w:tcW w:w="500" w:type="dxa"/>
            <w:vAlign w:val="bottom"/>
            <w:shd w:val="clear" w:color="auto" w:fill="1A6DBB"/>
          </w:tcPr>
          <w:p>
            <w:pPr>
              <w:spacing w:after="0"/>
              <w:rPr>
                <w:sz w:val="15"/>
                <w:szCs w:val="15"/>
                <w:color w:val="auto"/>
              </w:rPr>
            </w:pPr>
          </w:p>
        </w:tc>
        <w:tc>
          <w:tcPr>
            <w:tcW w:w="2420" w:type="dxa"/>
            <w:vAlign w:val="bottom"/>
            <w:gridSpan w:val="3"/>
            <w:shd w:val="clear" w:color="auto" w:fill="1A6DBB"/>
          </w:tcPr>
          <w:p>
            <w:pPr>
              <w:jc w:val="right"/>
              <w:ind w:right="225"/>
              <w:spacing w:after="0"/>
              <w:rPr>
                <w:sz w:val="20"/>
                <w:szCs w:val="20"/>
                <w:color w:val="auto"/>
              </w:rPr>
            </w:pPr>
            <w:r>
              <w:rPr>
                <w:rFonts w:ascii="Arial" w:cs="Arial" w:eastAsia="Arial" w:hAnsi="Arial"/>
                <w:sz w:val="14"/>
                <w:szCs w:val="14"/>
                <w:color w:val="FFFFFF"/>
              </w:rPr>
              <w:t>For the Twelve Months Ended</w:t>
            </w:r>
          </w:p>
        </w:tc>
      </w:tr>
      <w:tr>
        <w:trPr>
          <w:trHeight w:val="162"/>
        </w:trPr>
        <w:tc>
          <w:tcPr>
            <w:tcW w:w="7860" w:type="dxa"/>
            <w:vAlign w:val="bottom"/>
            <w:shd w:val="clear" w:color="auto" w:fill="1A6DBB"/>
          </w:tcPr>
          <w:p>
            <w:pPr>
              <w:spacing w:after="0"/>
              <w:rPr>
                <w:sz w:val="14"/>
                <w:szCs w:val="14"/>
                <w:color w:val="auto"/>
              </w:rPr>
            </w:pPr>
          </w:p>
        </w:tc>
        <w:tc>
          <w:tcPr>
            <w:tcW w:w="24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100" w:type="dxa"/>
            <w:vAlign w:val="bottom"/>
            <w:shd w:val="clear" w:color="auto" w:fill="1A6DBB"/>
          </w:tcPr>
          <w:p>
            <w:pPr>
              <w:jc w:val="right"/>
              <w:ind w:right="105"/>
              <w:spacing w:after="0"/>
              <w:rPr>
                <w:sz w:val="20"/>
                <w:szCs w:val="20"/>
                <w:color w:val="auto"/>
              </w:rPr>
            </w:pPr>
            <w:r>
              <w:rPr>
                <w:rFonts w:ascii="Arial" w:cs="Arial" w:eastAsia="Arial" w:hAnsi="Arial"/>
                <w:sz w:val="14"/>
                <w:szCs w:val="14"/>
                <w:color w:val="FFFFFF"/>
              </w:rPr>
              <w:t>December 31,</w:t>
            </w:r>
          </w:p>
        </w:tc>
        <w:tc>
          <w:tcPr>
            <w:tcW w:w="300" w:type="dxa"/>
            <w:vAlign w:val="bottom"/>
            <w:shd w:val="clear" w:color="auto" w:fill="1A6DBB"/>
          </w:tcPr>
          <w:p>
            <w:pPr>
              <w:spacing w:after="0"/>
              <w:rPr>
                <w:sz w:val="14"/>
                <w:szCs w:val="14"/>
                <w:color w:val="auto"/>
              </w:rPr>
            </w:pPr>
          </w:p>
        </w:tc>
        <w:tc>
          <w:tcPr>
            <w:tcW w:w="1020" w:type="dxa"/>
            <w:vAlign w:val="bottom"/>
            <w:shd w:val="clear" w:color="auto" w:fill="1A6DBB"/>
          </w:tcPr>
          <w:p>
            <w:pPr>
              <w:jc w:val="right"/>
              <w:ind w:right="45"/>
              <w:spacing w:after="0"/>
              <w:rPr>
                <w:sz w:val="20"/>
                <w:szCs w:val="20"/>
                <w:color w:val="auto"/>
              </w:rPr>
            </w:pPr>
            <w:r>
              <w:rPr>
                <w:rFonts w:ascii="Arial" w:cs="Arial" w:eastAsia="Arial" w:hAnsi="Arial"/>
                <w:sz w:val="14"/>
                <w:szCs w:val="14"/>
                <w:color w:val="FFFFFF"/>
              </w:rPr>
              <w:t>December 31,</w:t>
            </w:r>
          </w:p>
        </w:tc>
      </w:tr>
      <w:tr>
        <w:trPr>
          <w:trHeight w:val="185"/>
        </w:trPr>
        <w:tc>
          <w:tcPr>
            <w:tcW w:w="7860" w:type="dxa"/>
            <w:vAlign w:val="bottom"/>
            <w:shd w:val="clear" w:color="auto" w:fill="1A6DBB"/>
          </w:tcPr>
          <w:p>
            <w:pPr>
              <w:spacing w:after="0"/>
              <w:rPr>
                <w:sz w:val="16"/>
                <w:szCs w:val="16"/>
                <w:color w:val="auto"/>
              </w:rPr>
            </w:pPr>
          </w:p>
        </w:tc>
        <w:tc>
          <w:tcPr>
            <w:tcW w:w="240" w:type="dxa"/>
            <w:vAlign w:val="bottom"/>
            <w:shd w:val="clear" w:color="auto" w:fill="1A6DBB"/>
          </w:tcPr>
          <w:p>
            <w:pPr>
              <w:spacing w:after="0"/>
              <w:rPr>
                <w:sz w:val="16"/>
                <w:szCs w:val="16"/>
                <w:color w:val="auto"/>
              </w:rPr>
            </w:pPr>
          </w:p>
        </w:tc>
        <w:tc>
          <w:tcPr>
            <w:tcW w:w="500" w:type="dxa"/>
            <w:vAlign w:val="bottom"/>
            <w:shd w:val="clear" w:color="auto" w:fill="1A6DBB"/>
          </w:tcPr>
          <w:p>
            <w:pPr>
              <w:spacing w:after="0"/>
              <w:rPr>
                <w:sz w:val="16"/>
                <w:szCs w:val="16"/>
                <w:color w:val="auto"/>
              </w:rPr>
            </w:pPr>
          </w:p>
        </w:tc>
        <w:tc>
          <w:tcPr>
            <w:tcW w:w="1100" w:type="dxa"/>
            <w:vAlign w:val="bottom"/>
            <w:shd w:val="clear" w:color="auto" w:fill="1A6DBB"/>
          </w:tcPr>
          <w:p>
            <w:pPr>
              <w:jc w:val="right"/>
              <w:ind w:right="305"/>
              <w:spacing w:after="0" w:line="185" w:lineRule="exact"/>
              <w:rPr>
                <w:sz w:val="20"/>
                <w:szCs w:val="20"/>
                <w:color w:val="auto"/>
              </w:rPr>
            </w:pPr>
            <w:r>
              <w:rPr>
                <w:rFonts w:ascii="Arial" w:cs="Arial" w:eastAsia="Arial" w:hAnsi="Arial"/>
                <w:sz w:val="21"/>
                <w:szCs w:val="21"/>
                <w:color w:val="FFFFFF"/>
                <w:vertAlign w:val="subscript"/>
              </w:rPr>
              <w:t>2021</w:t>
            </w:r>
            <w:r>
              <w:rPr>
                <w:rFonts w:ascii="Arial" w:cs="Arial" w:eastAsia="Arial" w:hAnsi="Arial"/>
                <w:sz w:val="7"/>
                <w:szCs w:val="7"/>
                <w:color w:val="FFFFFF"/>
              </w:rPr>
              <w:t>(1)(3)</w:t>
            </w:r>
          </w:p>
        </w:tc>
        <w:tc>
          <w:tcPr>
            <w:tcW w:w="300" w:type="dxa"/>
            <w:vAlign w:val="bottom"/>
            <w:shd w:val="clear" w:color="auto" w:fill="1A6DBB"/>
          </w:tcPr>
          <w:p>
            <w:pPr>
              <w:spacing w:after="0"/>
              <w:rPr>
                <w:sz w:val="16"/>
                <w:szCs w:val="16"/>
                <w:color w:val="auto"/>
              </w:rPr>
            </w:pPr>
          </w:p>
        </w:tc>
        <w:tc>
          <w:tcPr>
            <w:tcW w:w="1020" w:type="dxa"/>
            <w:vAlign w:val="bottom"/>
            <w:shd w:val="clear" w:color="auto" w:fill="1A6DBB"/>
          </w:tcPr>
          <w:p>
            <w:pPr>
              <w:jc w:val="right"/>
              <w:ind w:right="245"/>
              <w:spacing w:after="0" w:line="185" w:lineRule="exact"/>
              <w:rPr>
                <w:sz w:val="20"/>
                <w:szCs w:val="20"/>
                <w:color w:val="auto"/>
              </w:rPr>
            </w:pPr>
            <w:r>
              <w:rPr>
                <w:rFonts w:ascii="Arial" w:cs="Arial" w:eastAsia="Arial" w:hAnsi="Arial"/>
                <w:sz w:val="21"/>
                <w:szCs w:val="21"/>
                <w:color w:val="FFFFFF"/>
                <w:vertAlign w:val="subscript"/>
              </w:rPr>
              <w:t>2020</w:t>
            </w:r>
            <w:r>
              <w:rPr>
                <w:rFonts w:ascii="Arial" w:cs="Arial" w:eastAsia="Arial" w:hAnsi="Arial"/>
                <w:sz w:val="7"/>
                <w:szCs w:val="7"/>
                <w:color w:val="FFFFFF"/>
              </w:rPr>
              <w:t>(2)(3)</w:t>
            </w:r>
          </w:p>
        </w:tc>
      </w:tr>
      <w:tr>
        <w:trPr>
          <w:trHeight w:val="250"/>
        </w:trPr>
        <w:tc>
          <w:tcPr>
            <w:tcW w:w="8100" w:type="dxa"/>
            <w:vAlign w:val="bottom"/>
            <w:tcBorders>
              <w:bottom w:val="single" w:sz="8" w:color="E8F0F8"/>
            </w:tcBorders>
            <w:gridSpan w:val="2"/>
            <w:shd w:val="clear" w:color="auto" w:fill="E8F0F8"/>
          </w:tcPr>
          <w:p>
            <w:pPr>
              <w:ind w:left="60"/>
              <w:spacing w:after="0"/>
              <w:rPr>
                <w:sz w:val="20"/>
                <w:szCs w:val="20"/>
                <w:color w:val="auto"/>
              </w:rPr>
            </w:pPr>
            <w:r>
              <w:rPr>
                <w:rFonts w:ascii="Arial" w:cs="Arial" w:eastAsia="Arial" w:hAnsi="Arial"/>
                <w:sz w:val="16"/>
                <w:szCs w:val="16"/>
                <w:color w:val="auto"/>
              </w:rPr>
              <w:t>GAAP earnings per share – Diluted</w:t>
            </w:r>
          </w:p>
        </w:tc>
        <w:tc>
          <w:tcPr>
            <w:tcW w:w="500" w:type="dxa"/>
            <w:vAlign w:val="bottom"/>
            <w:tcBorders>
              <w:bottom w:val="single" w:sz="8" w:color="E8F0F8"/>
            </w:tcBorders>
            <w:shd w:val="clear" w:color="auto" w:fill="E8F0F8"/>
          </w:tcPr>
          <w:p>
            <w:pPr>
              <w:spacing w:after="0"/>
              <w:rPr>
                <w:sz w:val="21"/>
                <w:szCs w:val="21"/>
                <w:color w:val="auto"/>
              </w:rPr>
            </w:pPr>
          </w:p>
        </w:tc>
        <w:tc>
          <w:tcPr>
            <w:tcW w:w="1100" w:type="dxa"/>
            <w:vAlign w:val="bottom"/>
            <w:tcBorders>
              <w:bottom w:val="single" w:sz="8" w:color="E8F0F8"/>
            </w:tcBorders>
            <w:shd w:val="clear" w:color="auto" w:fill="E8F0F8"/>
          </w:tcPr>
          <w:p>
            <w:pPr>
              <w:jc w:val="right"/>
              <w:ind w:right="105"/>
              <w:spacing w:after="0"/>
              <w:rPr>
                <w:sz w:val="20"/>
                <w:szCs w:val="20"/>
                <w:color w:val="auto"/>
              </w:rPr>
            </w:pPr>
            <w:r>
              <w:rPr>
                <w:rFonts w:ascii="Arial" w:cs="Arial" w:eastAsia="Arial" w:hAnsi="Arial"/>
                <w:sz w:val="16"/>
                <w:szCs w:val="16"/>
                <w:color w:val="auto"/>
              </w:rPr>
              <w:t>$10.40</w:t>
            </w:r>
          </w:p>
        </w:tc>
        <w:tc>
          <w:tcPr>
            <w:tcW w:w="300" w:type="dxa"/>
            <w:vAlign w:val="bottom"/>
            <w:tcBorders>
              <w:bottom w:val="single" w:sz="8" w:color="E8F0F8"/>
            </w:tcBorders>
            <w:shd w:val="clear" w:color="auto" w:fill="E8F0F8"/>
          </w:tcPr>
          <w:p>
            <w:pPr>
              <w:spacing w:after="0"/>
              <w:rPr>
                <w:sz w:val="21"/>
                <w:szCs w:val="21"/>
                <w:color w:val="auto"/>
              </w:rPr>
            </w:pPr>
          </w:p>
        </w:tc>
        <w:tc>
          <w:tcPr>
            <w:tcW w:w="1020" w:type="dxa"/>
            <w:vAlign w:val="bottom"/>
            <w:tcBorders>
              <w:bottom w:val="single" w:sz="8" w:color="E8F0F8"/>
            </w:tcBorders>
            <w:shd w:val="clear" w:color="auto" w:fill="E8F0F8"/>
          </w:tcPr>
          <w:p>
            <w:pPr>
              <w:jc w:val="right"/>
              <w:ind w:right="45"/>
              <w:spacing w:after="0"/>
              <w:rPr>
                <w:sz w:val="20"/>
                <w:szCs w:val="20"/>
                <w:color w:val="auto"/>
              </w:rPr>
            </w:pPr>
            <w:r>
              <w:rPr>
                <w:rFonts w:ascii="Arial" w:cs="Arial" w:eastAsia="Arial" w:hAnsi="Arial"/>
                <w:sz w:val="16"/>
                <w:szCs w:val="16"/>
                <w:color w:val="auto"/>
              </w:rPr>
              <w:t>$24.80</w:t>
            </w:r>
          </w:p>
        </w:tc>
      </w:tr>
      <w:tr>
        <w:trPr>
          <w:trHeight w:val="275"/>
        </w:trPr>
        <w:tc>
          <w:tcPr>
            <w:tcW w:w="8100" w:type="dxa"/>
            <w:vAlign w:val="bottom"/>
            <w:tcBorders>
              <w:bottom w:val="single" w:sz="8" w:color="BAD3EA"/>
            </w:tcBorders>
            <w:gridSpan w:val="2"/>
            <w:shd w:val="clear" w:color="auto" w:fill="BAD3EA"/>
          </w:tcPr>
          <w:p>
            <w:pPr>
              <w:ind w:left="60"/>
              <w:spacing w:after="0"/>
              <w:rPr>
                <w:sz w:val="20"/>
                <w:szCs w:val="20"/>
                <w:color w:val="auto"/>
              </w:rPr>
            </w:pPr>
            <w:r>
              <w:rPr>
                <w:rFonts w:ascii="Arial" w:cs="Arial" w:eastAsia="Arial" w:hAnsi="Arial"/>
                <w:sz w:val="16"/>
                <w:szCs w:val="16"/>
                <w:color w:val="auto"/>
              </w:rPr>
              <w:t>Adjustments to GAAP net income attributable to Biogen Inc. (as detailed below)</w:t>
            </w:r>
          </w:p>
        </w:tc>
        <w:tc>
          <w:tcPr>
            <w:tcW w:w="500" w:type="dxa"/>
            <w:vAlign w:val="bottom"/>
            <w:tcBorders>
              <w:bottom w:val="single" w:sz="8" w:color="BAD3EA"/>
            </w:tcBorders>
            <w:shd w:val="clear" w:color="auto" w:fill="BAD3EA"/>
          </w:tcPr>
          <w:p>
            <w:pPr>
              <w:spacing w:after="0"/>
              <w:rPr>
                <w:sz w:val="23"/>
                <w:szCs w:val="23"/>
                <w:color w:val="auto"/>
              </w:rPr>
            </w:pPr>
          </w:p>
        </w:tc>
        <w:tc>
          <w:tcPr>
            <w:tcW w:w="1100" w:type="dxa"/>
            <w:vAlign w:val="bottom"/>
            <w:tcBorders>
              <w:bottom w:val="single" w:sz="8" w:color="BAD3EA"/>
            </w:tcBorders>
            <w:shd w:val="clear" w:color="auto" w:fill="BAD3EA"/>
          </w:tcPr>
          <w:p>
            <w:pPr>
              <w:jc w:val="right"/>
              <w:ind w:right="105"/>
              <w:spacing w:after="0"/>
              <w:rPr>
                <w:sz w:val="20"/>
                <w:szCs w:val="20"/>
                <w:color w:val="auto"/>
              </w:rPr>
            </w:pPr>
            <w:r>
              <w:rPr>
                <w:rFonts w:ascii="Arial" w:cs="Arial" w:eastAsia="Arial" w:hAnsi="Arial"/>
                <w:sz w:val="16"/>
                <w:szCs w:val="16"/>
                <w:color w:val="auto"/>
              </w:rPr>
              <w:t>8.73</w:t>
            </w:r>
          </w:p>
        </w:tc>
        <w:tc>
          <w:tcPr>
            <w:tcW w:w="300" w:type="dxa"/>
            <w:vAlign w:val="bottom"/>
            <w:tcBorders>
              <w:bottom w:val="single" w:sz="8" w:color="BAD3EA"/>
            </w:tcBorders>
            <w:shd w:val="clear" w:color="auto" w:fill="BAD3EA"/>
          </w:tcPr>
          <w:p>
            <w:pPr>
              <w:spacing w:after="0"/>
              <w:rPr>
                <w:sz w:val="23"/>
                <w:szCs w:val="23"/>
                <w:color w:val="auto"/>
              </w:rPr>
            </w:pPr>
          </w:p>
        </w:tc>
        <w:tc>
          <w:tcPr>
            <w:tcW w:w="10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(1.05)</w:t>
            </w:r>
          </w:p>
        </w:tc>
      </w:tr>
      <w:tr>
        <w:trPr>
          <w:trHeight w:val="268"/>
        </w:trPr>
        <w:tc>
          <w:tcPr>
            <w:tcW w:w="8100" w:type="dxa"/>
            <w:vAlign w:val="bottom"/>
            <w:tcBorders>
              <w:top w:val="single" w:sz="8" w:color="E8F0F8"/>
              <w:bottom w:val="single" w:sz="8" w:color="E8F0F8"/>
            </w:tcBorders>
            <w:gridSpan w:val="2"/>
            <w:shd w:val="clear" w:color="auto" w:fill="E8F0F8"/>
          </w:tcPr>
          <w:p>
            <w:pPr>
              <w:ind w:left="60"/>
              <w:spacing w:after="0"/>
              <w:rPr>
                <w:sz w:val="20"/>
                <w:szCs w:val="20"/>
                <w:color w:val="auto"/>
              </w:rPr>
            </w:pPr>
            <w:r>
              <w:rPr>
                <w:rFonts w:ascii="Arial" w:cs="Arial" w:eastAsia="Arial" w:hAnsi="Arial"/>
                <w:sz w:val="16"/>
                <w:szCs w:val="16"/>
                <w:color w:val="auto"/>
              </w:rPr>
              <w:t>Non-GAAP earnings per share – Diluted</w:t>
            </w:r>
          </w:p>
        </w:tc>
        <w:tc>
          <w:tcPr>
            <w:tcW w:w="500" w:type="dxa"/>
            <w:vAlign w:val="bottom"/>
            <w:tcBorders>
              <w:top w:val="single" w:sz="8" w:color="auto"/>
              <w:bottom w:val="single" w:sz="8" w:color="E8F0F8"/>
            </w:tcBorders>
            <w:shd w:val="clear" w:color="auto" w:fill="E8F0F8"/>
          </w:tcPr>
          <w:p>
            <w:pPr>
              <w:spacing w:after="0"/>
              <w:rPr>
                <w:sz w:val="22"/>
                <w:szCs w:val="22"/>
                <w:color w:val="auto"/>
              </w:rPr>
            </w:pPr>
          </w:p>
        </w:tc>
        <w:tc>
          <w:tcPr>
            <w:tcW w:w="1100" w:type="dxa"/>
            <w:vAlign w:val="bottom"/>
            <w:tcBorders>
              <w:top w:val="single" w:sz="8" w:color="auto"/>
              <w:bottom w:val="single" w:sz="8" w:color="E8F0F8"/>
            </w:tcBorders>
            <w:shd w:val="clear" w:color="auto" w:fill="E8F0F8"/>
          </w:tcPr>
          <w:p>
            <w:pPr>
              <w:jc w:val="right"/>
              <w:ind w:right="105"/>
              <w:spacing w:after="0"/>
              <w:rPr>
                <w:sz w:val="20"/>
                <w:szCs w:val="20"/>
                <w:color w:val="auto"/>
              </w:rPr>
            </w:pPr>
            <w:r>
              <w:rPr>
                <w:rFonts w:ascii="Arial" w:cs="Arial" w:eastAsia="Arial" w:hAnsi="Arial"/>
                <w:sz w:val="16"/>
                <w:szCs w:val="16"/>
                <w:color w:val="auto"/>
              </w:rPr>
              <w:t>$19.13</w:t>
            </w:r>
          </w:p>
        </w:tc>
        <w:tc>
          <w:tcPr>
            <w:tcW w:w="300" w:type="dxa"/>
            <w:vAlign w:val="bottom"/>
            <w:tcBorders>
              <w:top w:val="single" w:sz="8" w:color="auto"/>
              <w:bottom w:val="single" w:sz="8" w:color="E8F0F8"/>
            </w:tcBorders>
            <w:shd w:val="clear" w:color="auto" w:fill="E8F0F8"/>
          </w:tcPr>
          <w:p>
            <w:pPr>
              <w:spacing w:after="0"/>
              <w:rPr>
                <w:sz w:val="22"/>
                <w:szCs w:val="22"/>
                <w:color w:val="auto"/>
              </w:rPr>
            </w:pPr>
          </w:p>
        </w:tc>
        <w:tc>
          <w:tcPr>
            <w:tcW w:w="1020" w:type="dxa"/>
            <w:vAlign w:val="bottom"/>
            <w:tcBorders>
              <w:top w:val="single" w:sz="8" w:color="auto"/>
              <w:bottom w:val="single" w:sz="8" w:color="E8F0F8"/>
            </w:tcBorders>
            <w:shd w:val="clear" w:color="auto" w:fill="E8F0F8"/>
          </w:tcPr>
          <w:p>
            <w:pPr>
              <w:jc w:val="right"/>
              <w:ind w:right="45"/>
              <w:spacing w:after="0"/>
              <w:rPr>
                <w:sz w:val="20"/>
                <w:szCs w:val="20"/>
                <w:color w:val="auto"/>
              </w:rPr>
            </w:pPr>
            <w:r>
              <w:rPr>
                <w:rFonts w:ascii="Arial" w:cs="Arial" w:eastAsia="Arial" w:hAnsi="Arial"/>
                <w:sz w:val="16"/>
                <w:szCs w:val="16"/>
                <w:color w:val="auto"/>
              </w:rPr>
              <w:t>$23.75</w:t>
            </w:r>
          </w:p>
        </w:tc>
      </w:tr>
      <w:tr>
        <w:trPr>
          <w:trHeight w:val="237"/>
        </w:trPr>
        <w:tc>
          <w:tcPr>
            <w:tcW w:w="78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spacing w:after="0"/>
              <w:rPr>
                <w:sz w:val="20"/>
                <w:szCs w:val="20"/>
                <w:color w:val="auto"/>
              </w:rPr>
            </w:pPr>
          </w:p>
        </w:tc>
      </w:tr>
      <w:tr>
        <w:trPr>
          <w:trHeight w:val="180"/>
        </w:trPr>
        <w:tc>
          <w:tcPr>
            <w:tcW w:w="7860" w:type="dxa"/>
            <w:vAlign w:val="bottom"/>
            <w:shd w:val="clear" w:color="auto" w:fill="1A6DBB"/>
          </w:tcPr>
          <w:p>
            <w:pPr>
              <w:spacing w:after="0"/>
              <w:rPr>
                <w:sz w:val="15"/>
                <w:szCs w:val="15"/>
                <w:color w:val="auto"/>
              </w:rPr>
            </w:pPr>
          </w:p>
        </w:tc>
        <w:tc>
          <w:tcPr>
            <w:tcW w:w="240" w:type="dxa"/>
            <w:vAlign w:val="bottom"/>
            <w:shd w:val="clear" w:color="auto" w:fill="1A6DBB"/>
          </w:tcPr>
          <w:p>
            <w:pPr>
              <w:spacing w:after="0"/>
              <w:rPr>
                <w:sz w:val="15"/>
                <w:szCs w:val="15"/>
                <w:color w:val="auto"/>
              </w:rPr>
            </w:pPr>
          </w:p>
        </w:tc>
        <w:tc>
          <w:tcPr>
            <w:tcW w:w="500" w:type="dxa"/>
            <w:vAlign w:val="bottom"/>
            <w:shd w:val="clear" w:color="auto" w:fill="1A6DBB"/>
          </w:tcPr>
          <w:p>
            <w:pPr>
              <w:spacing w:after="0"/>
              <w:rPr>
                <w:sz w:val="15"/>
                <w:szCs w:val="15"/>
                <w:color w:val="auto"/>
              </w:rPr>
            </w:pPr>
          </w:p>
        </w:tc>
        <w:tc>
          <w:tcPr>
            <w:tcW w:w="2420" w:type="dxa"/>
            <w:vAlign w:val="bottom"/>
            <w:gridSpan w:val="3"/>
            <w:shd w:val="clear" w:color="auto" w:fill="1A6DBB"/>
          </w:tcPr>
          <w:p>
            <w:pPr>
              <w:jc w:val="right"/>
              <w:ind w:right="345"/>
              <w:spacing w:after="0"/>
              <w:rPr>
                <w:sz w:val="20"/>
                <w:szCs w:val="20"/>
                <w:color w:val="auto"/>
              </w:rPr>
            </w:pPr>
            <w:r>
              <w:rPr>
                <w:rFonts w:ascii="Arial" w:cs="Arial" w:eastAsia="Arial" w:hAnsi="Arial"/>
                <w:sz w:val="14"/>
                <w:szCs w:val="14"/>
                <w:color w:val="FFFFFF"/>
              </w:rPr>
              <w:t>For the Twelve Months Ended</w:t>
            </w:r>
          </w:p>
        </w:tc>
      </w:tr>
      <w:tr>
        <w:trPr>
          <w:trHeight w:val="162"/>
        </w:trPr>
        <w:tc>
          <w:tcPr>
            <w:tcW w:w="7860" w:type="dxa"/>
            <w:vAlign w:val="bottom"/>
            <w:shd w:val="clear" w:color="auto" w:fill="1A6DBB"/>
          </w:tcPr>
          <w:p>
            <w:pPr>
              <w:spacing w:after="0"/>
              <w:rPr>
                <w:sz w:val="14"/>
                <w:szCs w:val="14"/>
                <w:color w:val="auto"/>
              </w:rPr>
            </w:pPr>
          </w:p>
        </w:tc>
        <w:tc>
          <w:tcPr>
            <w:tcW w:w="240" w:type="dxa"/>
            <w:vAlign w:val="bottom"/>
            <w:shd w:val="clear" w:color="auto" w:fill="1A6DBB"/>
          </w:tcPr>
          <w:p>
            <w:pPr>
              <w:spacing w:after="0"/>
              <w:rPr>
                <w:sz w:val="14"/>
                <w:szCs w:val="14"/>
                <w:color w:val="auto"/>
              </w:rPr>
            </w:pPr>
          </w:p>
        </w:tc>
        <w:tc>
          <w:tcPr>
            <w:tcW w:w="1600" w:type="dxa"/>
            <w:vAlign w:val="bottom"/>
            <w:gridSpan w:val="2"/>
            <w:shd w:val="clear" w:color="auto" w:fill="1A6DBB"/>
          </w:tcPr>
          <w:p>
            <w:pPr>
              <w:ind w:left="380"/>
              <w:spacing w:after="0"/>
              <w:rPr>
                <w:sz w:val="20"/>
                <w:szCs w:val="20"/>
                <w:color w:val="auto"/>
              </w:rPr>
            </w:pPr>
            <w:r>
              <w:rPr>
                <w:rFonts w:ascii="Arial" w:cs="Arial" w:eastAsia="Arial" w:hAnsi="Arial"/>
                <w:sz w:val="14"/>
                <w:szCs w:val="14"/>
                <w:color w:val="FFFFFF"/>
              </w:rPr>
              <w:t>December 31,</w:t>
            </w:r>
          </w:p>
        </w:tc>
        <w:tc>
          <w:tcPr>
            <w:tcW w:w="1320" w:type="dxa"/>
            <w:vAlign w:val="bottom"/>
            <w:gridSpan w:val="2"/>
            <w:shd w:val="clear" w:color="auto" w:fill="1A6DBB"/>
          </w:tcPr>
          <w:p>
            <w:pPr>
              <w:ind w:left="200"/>
              <w:spacing w:after="0"/>
              <w:rPr>
                <w:sz w:val="20"/>
                <w:szCs w:val="20"/>
                <w:color w:val="auto"/>
              </w:rPr>
            </w:pPr>
            <w:r>
              <w:rPr>
                <w:rFonts w:ascii="Arial" w:cs="Arial" w:eastAsia="Arial" w:hAnsi="Arial"/>
                <w:sz w:val="14"/>
                <w:szCs w:val="14"/>
                <w:color w:val="FFFFFF"/>
              </w:rPr>
              <w:t>December 31,</w:t>
            </w:r>
          </w:p>
        </w:tc>
      </w:tr>
      <w:tr>
        <w:trPr>
          <w:trHeight w:val="185"/>
        </w:trPr>
        <w:tc>
          <w:tcPr>
            <w:tcW w:w="7860" w:type="dxa"/>
            <w:vAlign w:val="bottom"/>
            <w:shd w:val="clear" w:color="auto" w:fill="1A6DBB"/>
          </w:tcPr>
          <w:p>
            <w:pPr>
              <w:spacing w:after="0"/>
              <w:rPr>
                <w:sz w:val="16"/>
                <w:szCs w:val="16"/>
                <w:color w:val="auto"/>
              </w:rPr>
            </w:pPr>
          </w:p>
        </w:tc>
        <w:tc>
          <w:tcPr>
            <w:tcW w:w="240" w:type="dxa"/>
            <w:vAlign w:val="bottom"/>
            <w:shd w:val="clear" w:color="auto" w:fill="1A6DBB"/>
          </w:tcPr>
          <w:p>
            <w:pPr>
              <w:spacing w:after="0"/>
              <w:rPr>
                <w:sz w:val="16"/>
                <w:szCs w:val="16"/>
                <w:color w:val="auto"/>
              </w:rPr>
            </w:pPr>
          </w:p>
        </w:tc>
        <w:tc>
          <w:tcPr>
            <w:tcW w:w="500" w:type="dxa"/>
            <w:vAlign w:val="bottom"/>
            <w:shd w:val="clear" w:color="auto" w:fill="1A6DBB"/>
          </w:tcPr>
          <w:p>
            <w:pPr>
              <w:spacing w:after="0"/>
              <w:rPr>
                <w:sz w:val="16"/>
                <w:szCs w:val="16"/>
                <w:color w:val="auto"/>
              </w:rPr>
            </w:pPr>
          </w:p>
        </w:tc>
        <w:tc>
          <w:tcPr>
            <w:tcW w:w="1100" w:type="dxa"/>
            <w:vAlign w:val="bottom"/>
            <w:shd w:val="clear" w:color="auto" w:fill="1A6DBB"/>
          </w:tcPr>
          <w:p>
            <w:pPr>
              <w:jc w:val="right"/>
              <w:ind w:right="445"/>
              <w:spacing w:after="0" w:line="185" w:lineRule="exact"/>
              <w:rPr>
                <w:sz w:val="20"/>
                <w:szCs w:val="20"/>
                <w:color w:val="auto"/>
              </w:rPr>
            </w:pPr>
            <w:r>
              <w:rPr>
                <w:rFonts w:ascii="Arial" w:cs="Arial" w:eastAsia="Arial" w:hAnsi="Arial"/>
                <w:sz w:val="21"/>
                <w:szCs w:val="21"/>
                <w:color w:val="FFFFFF"/>
                <w:vertAlign w:val="subscript"/>
              </w:rPr>
              <w:t>2021</w:t>
            </w:r>
            <w:r>
              <w:rPr>
                <w:rFonts w:ascii="Arial" w:cs="Arial" w:eastAsia="Arial" w:hAnsi="Arial"/>
                <w:sz w:val="7"/>
                <w:szCs w:val="7"/>
                <w:color w:val="FFFFFF"/>
              </w:rPr>
              <w:t>(1)(3)</w:t>
            </w:r>
          </w:p>
        </w:tc>
        <w:tc>
          <w:tcPr>
            <w:tcW w:w="300" w:type="dxa"/>
            <w:vAlign w:val="bottom"/>
            <w:shd w:val="clear" w:color="auto" w:fill="1A6DBB"/>
          </w:tcPr>
          <w:p>
            <w:pPr>
              <w:spacing w:after="0"/>
              <w:rPr>
                <w:sz w:val="16"/>
                <w:szCs w:val="16"/>
                <w:color w:val="auto"/>
              </w:rPr>
            </w:pPr>
          </w:p>
        </w:tc>
        <w:tc>
          <w:tcPr>
            <w:tcW w:w="1020" w:type="dxa"/>
            <w:vAlign w:val="bottom"/>
            <w:shd w:val="clear" w:color="auto" w:fill="1A6DBB"/>
          </w:tcPr>
          <w:p>
            <w:pPr>
              <w:jc w:val="right"/>
              <w:ind w:right="345"/>
              <w:spacing w:after="0" w:line="185" w:lineRule="exact"/>
              <w:rPr>
                <w:sz w:val="20"/>
                <w:szCs w:val="20"/>
                <w:color w:val="auto"/>
              </w:rPr>
            </w:pPr>
            <w:r>
              <w:rPr>
                <w:rFonts w:ascii="Arial" w:cs="Arial" w:eastAsia="Arial" w:hAnsi="Arial"/>
                <w:sz w:val="21"/>
                <w:szCs w:val="21"/>
                <w:color w:val="FFFFFF"/>
                <w:vertAlign w:val="subscript"/>
              </w:rPr>
              <w:t>2020</w:t>
            </w:r>
            <w:r>
              <w:rPr>
                <w:rFonts w:ascii="Arial" w:cs="Arial" w:eastAsia="Arial" w:hAnsi="Arial"/>
                <w:sz w:val="7"/>
                <w:szCs w:val="7"/>
                <w:color w:val="FFFFFF"/>
              </w:rPr>
              <w:t>(2)(3)</w:t>
            </w:r>
          </w:p>
        </w:tc>
      </w:tr>
      <w:tr>
        <w:trPr>
          <w:trHeight w:val="250"/>
        </w:trPr>
        <w:tc>
          <w:tcPr>
            <w:tcW w:w="8100" w:type="dxa"/>
            <w:vAlign w:val="bottom"/>
            <w:tcBorders>
              <w:bottom w:val="single" w:sz="8" w:color="E8F0F8"/>
            </w:tcBorders>
            <w:gridSpan w:val="2"/>
            <w:shd w:val="clear" w:color="auto" w:fill="E8F0F8"/>
          </w:tcPr>
          <w:p>
            <w:pPr>
              <w:ind w:left="60"/>
              <w:spacing w:after="0"/>
              <w:rPr>
                <w:sz w:val="20"/>
                <w:szCs w:val="20"/>
                <w:color w:val="auto"/>
              </w:rPr>
            </w:pPr>
            <w:r>
              <w:rPr>
                <w:rFonts w:ascii="Arial" w:cs="Arial" w:eastAsia="Arial" w:hAnsi="Arial"/>
                <w:sz w:val="16"/>
                <w:szCs w:val="16"/>
                <w:color w:val="auto"/>
              </w:rPr>
              <w:t>GAAP net income attributable to Biogen Inc.</w:t>
            </w:r>
          </w:p>
        </w:tc>
        <w:tc>
          <w:tcPr>
            <w:tcW w:w="500" w:type="dxa"/>
            <w:vAlign w:val="bottom"/>
            <w:tcBorders>
              <w:bottom w:val="single" w:sz="8" w:color="E8F0F8"/>
            </w:tcBorders>
            <w:shd w:val="clear" w:color="auto" w:fill="E8F0F8"/>
          </w:tcPr>
          <w:p>
            <w:pPr>
              <w:spacing w:after="0"/>
              <w:rPr>
                <w:sz w:val="21"/>
                <w:szCs w:val="21"/>
                <w:color w:val="auto"/>
              </w:rPr>
            </w:pPr>
          </w:p>
        </w:tc>
        <w:tc>
          <w:tcPr>
            <w:tcW w:w="1100" w:type="dxa"/>
            <w:vAlign w:val="bottom"/>
            <w:tcBorders>
              <w:bottom w:val="single" w:sz="8" w:color="E8F0F8"/>
            </w:tcBorders>
            <w:shd w:val="clear" w:color="auto" w:fill="E8F0F8"/>
          </w:tcPr>
          <w:p>
            <w:pPr>
              <w:jc w:val="right"/>
              <w:ind w:right="245"/>
              <w:spacing w:after="0"/>
              <w:rPr>
                <w:sz w:val="20"/>
                <w:szCs w:val="20"/>
                <w:color w:val="auto"/>
              </w:rPr>
            </w:pPr>
            <w:r>
              <w:rPr>
                <w:rFonts w:ascii="Arial" w:cs="Arial" w:eastAsia="Arial" w:hAnsi="Arial"/>
                <w:sz w:val="16"/>
                <w:szCs w:val="16"/>
                <w:color w:val="auto"/>
              </w:rPr>
              <w:t>$1,556.1</w:t>
            </w:r>
          </w:p>
        </w:tc>
        <w:tc>
          <w:tcPr>
            <w:tcW w:w="300" w:type="dxa"/>
            <w:vAlign w:val="bottom"/>
            <w:tcBorders>
              <w:bottom w:val="single" w:sz="8" w:color="E8F0F8"/>
            </w:tcBorders>
            <w:shd w:val="clear" w:color="auto" w:fill="E8F0F8"/>
          </w:tcPr>
          <w:p>
            <w:pPr>
              <w:spacing w:after="0"/>
              <w:rPr>
                <w:sz w:val="21"/>
                <w:szCs w:val="21"/>
                <w:color w:val="auto"/>
              </w:rPr>
            </w:pPr>
          </w:p>
        </w:tc>
        <w:tc>
          <w:tcPr>
            <w:tcW w:w="1020" w:type="dxa"/>
            <w:vAlign w:val="bottom"/>
            <w:tcBorders>
              <w:bottom w:val="single" w:sz="8" w:color="E8F0F8"/>
            </w:tcBorders>
            <w:shd w:val="clear" w:color="auto" w:fill="E8F0F8"/>
          </w:tcPr>
          <w:p>
            <w:pPr>
              <w:jc w:val="right"/>
              <w:ind w:right="145"/>
              <w:spacing w:after="0"/>
              <w:rPr>
                <w:sz w:val="20"/>
                <w:szCs w:val="20"/>
                <w:color w:val="auto"/>
              </w:rPr>
            </w:pPr>
            <w:r>
              <w:rPr>
                <w:rFonts w:ascii="Arial" w:cs="Arial" w:eastAsia="Arial" w:hAnsi="Arial"/>
                <w:sz w:val="16"/>
                <w:szCs w:val="16"/>
                <w:color w:val="auto"/>
              </w:rPr>
              <w:t>$4,000.6</w:t>
            </w:r>
          </w:p>
        </w:tc>
      </w:tr>
      <w:tr>
        <w:trPr>
          <w:trHeight w:val="250"/>
        </w:trPr>
        <w:tc>
          <w:tcPr>
            <w:tcW w:w="8100" w:type="dxa"/>
            <w:vAlign w:val="bottom"/>
            <w:tcBorders>
              <w:bottom w:val="single" w:sz="8" w:color="BAD3EA"/>
            </w:tcBorders>
            <w:gridSpan w:val="2"/>
            <w:shd w:val="clear" w:color="auto" w:fill="BAD3EA"/>
          </w:tcPr>
          <w:p>
            <w:pPr>
              <w:ind w:left="320"/>
              <w:spacing w:after="0"/>
              <w:rPr>
                <w:sz w:val="20"/>
                <w:szCs w:val="20"/>
                <w:color w:val="auto"/>
              </w:rPr>
            </w:pPr>
            <w:r>
              <w:rPr>
                <w:rFonts w:ascii="Arial" w:cs="Arial" w:eastAsia="Arial" w:hAnsi="Arial"/>
                <w:sz w:val="16"/>
                <w:szCs w:val="16"/>
                <w:color w:val="auto"/>
              </w:rPr>
              <w:t>Adjustments:</w:t>
            </w:r>
          </w:p>
        </w:tc>
        <w:tc>
          <w:tcPr>
            <w:tcW w:w="500" w:type="dxa"/>
            <w:vAlign w:val="bottom"/>
            <w:tcBorders>
              <w:bottom w:val="single" w:sz="8" w:color="BAD3EA"/>
            </w:tcBorders>
            <w:shd w:val="clear" w:color="auto" w:fill="BAD3EA"/>
          </w:tcPr>
          <w:p>
            <w:pPr>
              <w:spacing w:after="0"/>
              <w:rPr>
                <w:sz w:val="21"/>
                <w:szCs w:val="21"/>
                <w:color w:val="auto"/>
              </w:rPr>
            </w:pPr>
          </w:p>
        </w:tc>
        <w:tc>
          <w:tcPr>
            <w:tcW w:w="1100" w:type="dxa"/>
            <w:vAlign w:val="bottom"/>
            <w:tcBorders>
              <w:bottom w:val="single" w:sz="8" w:color="BAD3EA"/>
            </w:tcBorders>
            <w:shd w:val="clear" w:color="auto" w:fill="BAD3EA"/>
          </w:tcPr>
          <w:p>
            <w:pPr>
              <w:spacing w:after="0"/>
              <w:rPr>
                <w:sz w:val="21"/>
                <w:szCs w:val="21"/>
                <w:color w:val="auto"/>
              </w:rPr>
            </w:pPr>
          </w:p>
        </w:tc>
        <w:tc>
          <w:tcPr>
            <w:tcW w:w="300" w:type="dxa"/>
            <w:vAlign w:val="bottom"/>
            <w:tcBorders>
              <w:bottom w:val="single" w:sz="8" w:color="BAD3EA"/>
            </w:tcBorders>
            <w:shd w:val="clear" w:color="auto" w:fill="BAD3EA"/>
          </w:tcPr>
          <w:p>
            <w:pPr>
              <w:spacing w:after="0"/>
              <w:rPr>
                <w:sz w:val="21"/>
                <w:szCs w:val="21"/>
                <w:color w:val="auto"/>
              </w:rPr>
            </w:pPr>
          </w:p>
        </w:tc>
        <w:tc>
          <w:tcPr>
            <w:tcW w:w="1020" w:type="dxa"/>
            <w:vAlign w:val="bottom"/>
            <w:tcBorders>
              <w:bottom w:val="single" w:sz="8" w:color="BAD3EA"/>
            </w:tcBorders>
            <w:shd w:val="clear" w:color="auto" w:fill="BAD3EA"/>
          </w:tcPr>
          <w:p>
            <w:pPr>
              <w:spacing w:after="0"/>
              <w:rPr>
                <w:sz w:val="21"/>
                <w:szCs w:val="21"/>
                <w:color w:val="auto"/>
              </w:rPr>
            </w:pPr>
          </w:p>
        </w:tc>
      </w:tr>
      <w:tr>
        <w:trPr>
          <w:trHeight w:val="270"/>
        </w:trPr>
        <w:tc>
          <w:tcPr>
            <w:tcW w:w="8100" w:type="dxa"/>
            <w:vAlign w:val="bottom"/>
            <w:gridSpan w:val="2"/>
            <w:shd w:val="clear" w:color="auto" w:fill="E8F0F8"/>
          </w:tcPr>
          <w:p>
            <w:pPr>
              <w:ind w:left="320"/>
              <w:spacing w:after="0" w:line="270" w:lineRule="exact"/>
              <w:rPr>
                <w:sz w:val="20"/>
                <w:szCs w:val="20"/>
                <w:color w:val="auto"/>
              </w:rPr>
            </w:pPr>
            <w:r>
              <w:rPr>
                <w:rFonts w:ascii="Arial" w:cs="Arial" w:eastAsia="Arial" w:hAnsi="Arial"/>
                <w:sz w:val="16"/>
                <w:szCs w:val="16"/>
                <w:color w:val="auto"/>
              </w:rPr>
              <w:t>Impairment charges</w:t>
            </w:r>
            <w:r>
              <w:rPr>
                <w:rFonts w:ascii="Arial" w:cs="Arial" w:eastAsia="Arial" w:hAnsi="Arial"/>
                <w:sz w:val="27"/>
                <w:szCs w:val="27"/>
                <w:color w:val="auto"/>
                <w:vertAlign w:val="superscript"/>
              </w:rPr>
              <w:t>A</w:t>
            </w:r>
          </w:p>
        </w:tc>
        <w:tc>
          <w:tcPr>
            <w:tcW w:w="500" w:type="dxa"/>
            <w:vAlign w:val="bottom"/>
            <w:shd w:val="clear" w:color="auto" w:fill="E8F0F8"/>
          </w:tcPr>
          <w:p>
            <w:pPr>
              <w:spacing w:after="0"/>
              <w:rPr>
                <w:sz w:val="23"/>
                <w:szCs w:val="23"/>
                <w:color w:val="auto"/>
              </w:rPr>
            </w:pPr>
          </w:p>
        </w:tc>
        <w:tc>
          <w:tcPr>
            <w:tcW w:w="1100" w:type="dxa"/>
            <w:vAlign w:val="bottom"/>
            <w:shd w:val="clear" w:color="auto" w:fill="E8F0F8"/>
          </w:tcPr>
          <w:p>
            <w:pPr>
              <w:jc w:val="right"/>
              <w:ind w:right="245"/>
              <w:spacing w:after="0"/>
              <w:rPr>
                <w:sz w:val="20"/>
                <w:szCs w:val="20"/>
                <w:color w:val="auto"/>
              </w:rPr>
            </w:pPr>
            <w:r>
              <w:rPr>
                <w:rFonts w:ascii="Arial" w:cs="Arial" w:eastAsia="Arial" w:hAnsi="Arial"/>
                <w:sz w:val="16"/>
                <w:szCs w:val="16"/>
                <w:color w:val="auto"/>
              </w:rPr>
              <w:t>629.3</w:t>
            </w:r>
          </w:p>
        </w:tc>
        <w:tc>
          <w:tcPr>
            <w:tcW w:w="300" w:type="dxa"/>
            <w:vAlign w:val="bottom"/>
            <w:shd w:val="clear" w:color="auto" w:fill="E8F0F8"/>
          </w:tcPr>
          <w:p>
            <w:pPr>
              <w:spacing w:after="0"/>
              <w:rPr>
                <w:sz w:val="23"/>
                <w:szCs w:val="23"/>
                <w:color w:val="auto"/>
              </w:rPr>
            </w:pPr>
          </w:p>
        </w:tc>
        <w:tc>
          <w:tcPr>
            <w:tcW w:w="1020" w:type="dxa"/>
            <w:vAlign w:val="bottom"/>
            <w:shd w:val="clear" w:color="auto" w:fill="E8F0F8"/>
          </w:tcPr>
          <w:p>
            <w:pPr>
              <w:jc w:val="right"/>
              <w:ind w:right="145"/>
              <w:spacing w:after="0"/>
              <w:rPr>
                <w:sz w:val="20"/>
                <w:szCs w:val="20"/>
                <w:color w:val="auto"/>
              </w:rPr>
            </w:pPr>
            <w:r>
              <w:rPr>
                <w:rFonts w:ascii="Arial" w:cs="Arial" w:eastAsia="Arial" w:hAnsi="Arial"/>
                <w:sz w:val="16"/>
                <w:szCs w:val="16"/>
                <w:color w:val="auto"/>
              </w:rPr>
              <w:t>209.7</w:t>
            </w:r>
          </w:p>
        </w:tc>
      </w:tr>
      <w:tr>
        <w:trPr>
          <w:trHeight w:val="250"/>
        </w:trPr>
        <w:tc>
          <w:tcPr>
            <w:tcW w:w="8100" w:type="dxa"/>
            <w:vAlign w:val="bottom"/>
            <w:tcBorders>
              <w:bottom w:val="single" w:sz="8" w:color="BAD3EA"/>
            </w:tcBorders>
            <w:gridSpan w:val="2"/>
            <w:shd w:val="clear" w:color="auto" w:fill="BAD3EA"/>
          </w:tcPr>
          <w:p>
            <w:pPr>
              <w:ind w:left="320"/>
              <w:spacing w:after="0"/>
              <w:rPr>
                <w:sz w:val="20"/>
                <w:szCs w:val="20"/>
                <w:color w:val="auto"/>
              </w:rPr>
            </w:pPr>
            <w:r>
              <w:rPr>
                <w:rFonts w:ascii="Arial" w:cs="Arial" w:eastAsia="Arial" w:hAnsi="Arial"/>
                <w:sz w:val="16"/>
                <w:szCs w:val="16"/>
                <w:color w:val="auto"/>
              </w:rPr>
              <w:t>Amortization of acquired intangible assets</w:t>
            </w:r>
          </w:p>
        </w:tc>
        <w:tc>
          <w:tcPr>
            <w:tcW w:w="500" w:type="dxa"/>
            <w:vAlign w:val="bottom"/>
            <w:tcBorders>
              <w:bottom w:val="single" w:sz="8" w:color="BAD3EA"/>
            </w:tcBorders>
            <w:shd w:val="clear" w:color="auto" w:fill="BAD3EA"/>
          </w:tcPr>
          <w:p>
            <w:pPr>
              <w:spacing w:after="0"/>
              <w:rPr>
                <w:sz w:val="21"/>
                <w:szCs w:val="21"/>
                <w:color w:val="auto"/>
              </w:rPr>
            </w:pPr>
          </w:p>
        </w:tc>
        <w:tc>
          <w:tcPr>
            <w:tcW w:w="1100" w:type="dxa"/>
            <w:vAlign w:val="bottom"/>
            <w:tcBorders>
              <w:bottom w:val="single" w:sz="8" w:color="BAD3EA"/>
            </w:tcBorders>
            <w:shd w:val="clear" w:color="auto" w:fill="BAD3EA"/>
          </w:tcPr>
          <w:p>
            <w:pPr>
              <w:jc w:val="right"/>
              <w:ind w:right="245"/>
              <w:spacing w:after="0"/>
              <w:rPr>
                <w:sz w:val="20"/>
                <w:szCs w:val="20"/>
                <w:color w:val="auto"/>
              </w:rPr>
            </w:pPr>
            <w:r>
              <w:rPr>
                <w:rFonts w:ascii="Arial" w:cs="Arial" w:eastAsia="Arial" w:hAnsi="Arial"/>
                <w:sz w:val="16"/>
                <w:szCs w:val="16"/>
                <w:color w:val="auto"/>
              </w:rPr>
              <w:t>237.1</w:t>
            </w:r>
          </w:p>
        </w:tc>
        <w:tc>
          <w:tcPr>
            <w:tcW w:w="300" w:type="dxa"/>
            <w:vAlign w:val="bottom"/>
            <w:tcBorders>
              <w:bottom w:val="single" w:sz="8" w:color="BAD3EA"/>
            </w:tcBorders>
            <w:shd w:val="clear" w:color="auto" w:fill="BAD3EA"/>
          </w:tcPr>
          <w:p>
            <w:pPr>
              <w:spacing w:after="0"/>
              <w:rPr>
                <w:sz w:val="21"/>
                <w:szCs w:val="21"/>
                <w:color w:val="auto"/>
              </w:rPr>
            </w:pPr>
          </w:p>
        </w:tc>
        <w:tc>
          <w:tcPr>
            <w:tcW w:w="1020" w:type="dxa"/>
            <w:vAlign w:val="bottom"/>
            <w:tcBorders>
              <w:bottom w:val="single" w:sz="8" w:color="BAD3EA"/>
            </w:tcBorders>
            <w:shd w:val="clear" w:color="auto" w:fill="BAD3EA"/>
          </w:tcPr>
          <w:p>
            <w:pPr>
              <w:jc w:val="right"/>
              <w:ind w:right="145"/>
              <w:spacing w:after="0"/>
              <w:rPr>
                <w:sz w:val="20"/>
                <w:szCs w:val="20"/>
                <w:color w:val="auto"/>
              </w:rPr>
            </w:pPr>
            <w:r>
              <w:rPr>
                <w:rFonts w:ascii="Arial" w:cs="Arial" w:eastAsia="Arial" w:hAnsi="Arial"/>
                <w:sz w:val="16"/>
                <w:szCs w:val="16"/>
                <w:color w:val="auto"/>
              </w:rPr>
              <w:t>255.1</w:t>
            </w:r>
          </w:p>
        </w:tc>
      </w:tr>
      <w:tr>
        <w:trPr>
          <w:trHeight w:val="250"/>
        </w:trPr>
        <w:tc>
          <w:tcPr>
            <w:tcW w:w="8100" w:type="dxa"/>
            <w:vAlign w:val="bottom"/>
            <w:tcBorders>
              <w:bottom w:val="single" w:sz="8" w:color="E8F0F8"/>
            </w:tcBorders>
            <w:gridSpan w:val="2"/>
            <w:shd w:val="clear" w:color="auto" w:fill="E8F0F8"/>
          </w:tcPr>
          <w:p>
            <w:pPr>
              <w:ind w:left="3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500" w:type="dxa"/>
            <w:vAlign w:val="bottom"/>
            <w:tcBorders>
              <w:bottom w:val="single" w:sz="8" w:color="E8F0F8"/>
            </w:tcBorders>
            <w:shd w:val="clear" w:color="auto" w:fill="E8F0F8"/>
          </w:tcPr>
          <w:p>
            <w:pPr>
              <w:spacing w:after="0"/>
              <w:rPr>
                <w:sz w:val="21"/>
                <w:szCs w:val="21"/>
                <w:color w:val="auto"/>
              </w:rPr>
            </w:pPr>
          </w:p>
        </w:tc>
        <w:tc>
          <w:tcPr>
            <w:tcW w:w="1100" w:type="dxa"/>
            <w:vAlign w:val="bottom"/>
            <w:tcBorders>
              <w:bottom w:val="single" w:sz="8" w:color="E8F0F8"/>
            </w:tcBorders>
            <w:shd w:val="clear" w:color="auto" w:fill="E8F0F8"/>
          </w:tcPr>
          <w:p>
            <w:pPr>
              <w:jc w:val="right"/>
              <w:ind w:right="185"/>
              <w:spacing w:after="0"/>
              <w:rPr>
                <w:sz w:val="20"/>
                <w:szCs w:val="20"/>
                <w:color w:val="auto"/>
              </w:rPr>
            </w:pPr>
            <w:r>
              <w:rPr>
                <w:rFonts w:ascii="Arial" w:cs="Arial" w:eastAsia="Arial" w:hAnsi="Arial"/>
                <w:sz w:val="16"/>
                <w:szCs w:val="16"/>
                <w:color w:val="auto"/>
              </w:rPr>
              <w:t>(50.7)</w:t>
            </w:r>
          </w:p>
        </w:tc>
        <w:tc>
          <w:tcPr>
            <w:tcW w:w="300" w:type="dxa"/>
            <w:vAlign w:val="bottom"/>
            <w:tcBorders>
              <w:bottom w:val="single" w:sz="8" w:color="E8F0F8"/>
            </w:tcBorders>
            <w:shd w:val="clear" w:color="auto" w:fill="E8F0F8"/>
          </w:tcPr>
          <w:p>
            <w:pPr>
              <w:spacing w:after="0"/>
              <w:rPr>
                <w:sz w:val="21"/>
                <w:szCs w:val="21"/>
                <w:color w:val="auto"/>
              </w:rPr>
            </w:pPr>
          </w:p>
        </w:tc>
        <w:tc>
          <w:tcPr>
            <w:tcW w:w="1020" w:type="dxa"/>
            <w:vAlign w:val="bottom"/>
            <w:tcBorders>
              <w:bottom w:val="single" w:sz="8" w:color="E8F0F8"/>
            </w:tcBorders>
            <w:shd w:val="clear" w:color="auto" w:fill="E8F0F8"/>
          </w:tcPr>
          <w:p>
            <w:pPr>
              <w:jc w:val="right"/>
              <w:ind w:right="85"/>
              <w:spacing w:after="0"/>
              <w:rPr>
                <w:sz w:val="20"/>
                <w:szCs w:val="20"/>
                <w:color w:val="auto"/>
              </w:rPr>
            </w:pPr>
            <w:r>
              <w:rPr>
                <w:rFonts w:ascii="Arial" w:cs="Arial" w:eastAsia="Arial" w:hAnsi="Arial"/>
                <w:sz w:val="16"/>
                <w:szCs w:val="16"/>
                <w:color w:val="auto"/>
              </w:rPr>
              <w:t>(86.3)</w:t>
            </w:r>
          </w:p>
        </w:tc>
      </w:tr>
      <w:tr>
        <w:trPr>
          <w:trHeight w:val="250"/>
        </w:trPr>
        <w:tc>
          <w:tcPr>
            <w:tcW w:w="8100" w:type="dxa"/>
            <w:vAlign w:val="bottom"/>
            <w:tcBorders>
              <w:bottom w:val="single" w:sz="8" w:color="BAD3EA"/>
            </w:tcBorders>
            <w:gridSpan w:val="2"/>
            <w:shd w:val="clear" w:color="auto" w:fill="BAD3EA"/>
          </w:tcPr>
          <w:p>
            <w:pPr>
              <w:ind w:left="320"/>
              <w:spacing w:after="0"/>
              <w:rPr>
                <w:sz w:val="20"/>
                <w:szCs w:val="20"/>
                <w:color w:val="auto"/>
              </w:rPr>
            </w:pPr>
            <w:r>
              <w:rPr>
                <w:rFonts w:ascii="Arial" w:cs="Arial" w:eastAsia="Arial" w:hAnsi="Arial"/>
                <w:sz w:val="16"/>
                <w:szCs w:val="16"/>
                <w:color w:val="auto"/>
              </w:rPr>
              <w:t>(Gain) loss on divestiture of Hillerød, Denmark manufacturing operations</w:t>
            </w:r>
          </w:p>
        </w:tc>
        <w:tc>
          <w:tcPr>
            <w:tcW w:w="500" w:type="dxa"/>
            <w:vAlign w:val="bottom"/>
            <w:tcBorders>
              <w:bottom w:val="single" w:sz="8" w:color="BAD3EA"/>
            </w:tcBorders>
            <w:shd w:val="clear" w:color="auto" w:fill="BAD3EA"/>
          </w:tcPr>
          <w:p>
            <w:pPr>
              <w:spacing w:after="0"/>
              <w:rPr>
                <w:sz w:val="21"/>
                <w:szCs w:val="21"/>
                <w:color w:val="auto"/>
              </w:rPr>
            </w:pPr>
          </w:p>
        </w:tc>
        <w:tc>
          <w:tcPr>
            <w:tcW w:w="1100" w:type="dxa"/>
            <w:vAlign w:val="bottom"/>
            <w:tcBorders>
              <w:bottom w:val="single" w:sz="8" w:color="BAD3EA"/>
            </w:tcBorders>
            <w:shd w:val="clear" w:color="auto" w:fill="BAD3EA"/>
          </w:tcPr>
          <w:p>
            <w:pPr>
              <w:jc w:val="right"/>
              <w:ind w:right="24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AD3EA"/>
            </w:tcBorders>
            <w:shd w:val="clear" w:color="auto" w:fill="BAD3EA"/>
          </w:tcPr>
          <w:p>
            <w:pPr>
              <w:spacing w:after="0"/>
              <w:rPr>
                <w:sz w:val="21"/>
                <w:szCs w:val="21"/>
                <w:color w:val="auto"/>
              </w:rPr>
            </w:pPr>
          </w:p>
        </w:tc>
        <w:tc>
          <w:tcPr>
            <w:tcW w:w="1020" w:type="dxa"/>
            <w:vAlign w:val="bottom"/>
            <w:tcBorders>
              <w:bottom w:val="single" w:sz="8" w:color="BAD3EA"/>
            </w:tcBorders>
            <w:shd w:val="clear" w:color="auto" w:fill="BAD3EA"/>
          </w:tcPr>
          <w:p>
            <w:pPr>
              <w:jc w:val="right"/>
              <w:ind w:right="145"/>
              <w:spacing w:after="0"/>
              <w:rPr>
                <w:sz w:val="20"/>
                <w:szCs w:val="20"/>
                <w:color w:val="auto"/>
              </w:rPr>
            </w:pPr>
            <w:r>
              <w:rPr>
                <w:rFonts w:ascii="Arial" w:cs="Arial" w:eastAsia="Arial" w:hAnsi="Arial"/>
                <w:sz w:val="16"/>
                <w:szCs w:val="16"/>
                <w:color w:val="auto"/>
              </w:rPr>
              <w:t>(92.5)</w:t>
            </w:r>
          </w:p>
        </w:tc>
      </w:tr>
      <w:tr>
        <w:trPr>
          <w:trHeight w:val="250"/>
        </w:trPr>
        <w:tc>
          <w:tcPr>
            <w:tcW w:w="8100" w:type="dxa"/>
            <w:vAlign w:val="bottom"/>
            <w:tcBorders>
              <w:bottom w:val="single" w:sz="8" w:color="E8F0F8"/>
            </w:tcBorders>
            <w:gridSpan w:val="2"/>
            <w:shd w:val="clear" w:color="auto" w:fill="E8F0F8"/>
          </w:tcPr>
          <w:p>
            <w:pPr>
              <w:ind w:left="320"/>
              <w:spacing w:after="0"/>
              <w:rPr>
                <w:sz w:val="20"/>
                <w:szCs w:val="20"/>
                <w:color w:val="auto"/>
              </w:rPr>
            </w:pPr>
            <w:r>
              <w:rPr>
                <w:rFonts w:ascii="Arial" w:cs="Arial" w:eastAsia="Arial" w:hAnsi="Arial"/>
                <w:sz w:val="16"/>
                <w:szCs w:val="16"/>
                <w:color w:val="auto"/>
              </w:rPr>
              <w:t>(Gain) loss on equity security investments</w:t>
            </w:r>
          </w:p>
        </w:tc>
        <w:tc>
          <w:tcPr>
            <w:tcW w:w="500" w:type="dxa"/>
            <w:vAlign w:val="bottom"/>
            <w:tcBorders>
              <w:bottom w:val="single" w:sz="8" w:color="E8F0F8"/>
            </w:tcBorders>
            <w:shd w:val="clear" w:color="auto" w:fill="E8F0F8"/>
          </w:tcPr>
          <w:p>
            <w:pPr>
              <w:spacing w:after="0"/>
              <w:rPr>
                <w:sz w:val="21"/>
                <w:szCs w:val="21"/>
                <w:color w:val="auto"/>
              </w:rPr>
            </w:pPr>
          </w:p>
        </w:tc>
        <w:tc>
          <w:tcPr>
            <w:tcW w:w="1100" w:type="dxa"/>
            <w:vAlign w:val="bottom"/>
            <w:tcBorders>
              <w:bottom w:val="single" w:sz="8" w:color="E8F0F8"/>
            </w:tcBorders>
            <w:shd w:val="clear" w:color="auto" w:fill="E8F0F8"/>
          </w:tcPr>
          <w:p>
            <w:pPr>
              <w:jc w:val="right"/>
              <w:ind w:right="245"/>
              <w:spacing w:after="0"/>
              <w:rPr>
                <w:sz w:val="20"/>
                <w:szCs w:val="20"/>
                <w:color w:val="auto"/>
              </w:rPr>
            </w:pPr>
            <w:r>
              <w:rPr>
                <w:rFonts w:ascii="Arial" w:cs="Arial" w:eastAsia="Arial" w:hAnsi="Arial"/>
                <w:sz w:val="16"/>
                <w:szCs w:val="16"/>
                <w:color w:val="auto"/>
              </w:rPr>
              <w:t>821.3</w:t>
            </w:r>
          </w:p>
        </w:tc>
        <w:tc>
          <w:tcPr>
            <w:tcW w:w="300" w:type="dxa"/>
            <w:vAlign w:val="bottom"/>
            <w:tcBorders>
              <w:bottom w:val="single" w:sz="8" w:color="E8F0F8"/>
            </w:tcBorders>
            <w:shd w:val="clear" w:color="auto" w:fill="E8F0F8"/>
          </w:tcPr>
          <w:p>
            <w:pPr>
              <w:spacing w:after="0"/>
              <w:rPr>
                <w:sz w:val="21"/>
                <w:szCs w:val="21"/>
                <w:color w:val="auto"/>
              </w:rPr>
            </w:pPr>
          </w:p>
        </w:tc>
        <w:tc>
          <w:tcPr>
            <w:tcW w:w="1020" w:type="dxa"/>
            <w:vAlign w:val="bottom"/>
            <w:tcBorders>
              <w:bottom w:val="single" w:sz="8" w:color="E8F0F8"/>
            </w:tcBorders>
            <w:shd w:val="clear" w:color="auto" w:fill="E8F0F8"/>
          </w:tcPr>
          <w:p>
            <w:pPr>
              <w:jc w:val="right"/>
              <w:ind w:right="145"/>
              <w:spacing w:after="0"/>
              <w:rPr>
                <w:sz w:val="20"/>
                <w:szCs w:val="20"/>
                <w:color w:val="auto"/>
              </w:rPr>
            </w:pPr>
            <w:r>
              <w:rPr>
                <w:rFonts w:ascii="Arial" w:cs="Arial" w:eastAsia="Arial" w:hAnsi="Arial"/>
                <w:sz w:val="16"/>
                <w:szCs w:val="16"/>
                <w:color w:val="auto"/>
              </w:rPr>
              <w:t>(693.9)</w:t>
            </w:r>
          </w:p>
        </w:tc>
      </w:tr>
      <w:tr>
        <w:trPr>
          <w:trHeight w:val="250"/>
        </w:trPr>
        <w:tc>
          <w:tcPr>
            <w:tcW w:w="8100" w:type="dxa"/>
            <w:vAlign w:val="bottom"/>
            <w:tcBorders>
              <w:bottom w:val="single" w:sz="8" w:color="BAD3EA"/>
            </w:tcBorders>
            <w:gridSpan w:val="2"/>
            <w:shd w:val="clear" w:color="auto" w:fill="BAD3EA"/>
          </w:tcPr>
          <w:p>
            <w:pPr>
              <w:ind w:left="320"/>
              <w:spacing w:after="0"/>
              <w:rPr>
                <w:sz w:val="20"/>
                <w:szCs w:val="20"/>
                <w:color w:val="auto"/>
              </w:rPr>
            </w:pPr>
            <w:r>
              <w:rPr>
                <w:rFonts w:ascii="Arial" w:cs="Arial" w:eastAsia="Arial" w:hAnsi="Arial"/>
                <w:sz w:val="16"/>
                <w:szCs w:val="16"/>
                <w:color w:val="auto"/>
              </w:rPr>
              <w:t>Premium paid on debt exchange or early debt redemption</w:t>
            </w:r>
          </w:p>
        </w:tc>
        <w:tc>
          <w:tcPr>
            <w:tcW w:w="500" w:type="dxa"/>
            <w:vAlign w:val="bottom"/>
            <w:tcBorders>
              <w:bottom w:val="single" w:sz="8" w:color="BAD3EA"/>
            </w:tcBorders>
            <w:shd w:val="clear" w:color="auto" w:fill="BAD3EA"/>
          </w:tcPr>
          <w:p>
            <w:pPr>
              <w:spacing w:after="0"/>
              <w:rPr>
                <w:sz w:val="21"/>
                <w:szCs w:val="21"/>
                <w:color w:val="auto"/>
              </w:rPr>
            </w:pPr>
          </w:p>
        </w:tc>
        <w:tc>
          <w:tcPr>
            <w:tcW w:w="1100" w:type="dxa"/>
            <w:vAlign w:val="bottom"/>
            <w:tcBorders>
              <w:bottom w:val="single" w:sz="8" w:color="BAD3EA"/>
            </w:tcBorders>
            <w:shd w:val="clear" w:color="auto" w:fill="BAD3EA"/>
          </w:tcPr>
          <w:p>
            <w:pPr>
              <w:jc w:val="right"/>
              <w:ind w:right="245"/>
              <w:spacing w:after="0"/>
              <w:rPr>
                <w:sz w:val="20"/>
                <w:szCs w:val="20"/>
                <w:color w:val="auto"/>
              </w:rPr>
            </w:pPr>
            <w:r>
              <w:rPr>
                <w:rFonts w:ascii="Arial" w:cs="Arial" w:eastAsia="Arial" w:hAnsi="Arial"/>
                <w:sz w:val="16"/>
                <w:szCs w:val="16"/>
                <w:color w:val="auto"/>
              </w:rPr>
              <w:t>9.5</w:t>
            </w:r>
          </w:p>
        </w:tc>
        <w:tc>
          <w:tcPr>
            <w:tcW w:w="300" w:type="dxa"/>
            <w:vAlign w:val="bottom"/>
            <w:tcBorders>
              <w:bottom w:val="single" w:sz="8" w:color="BAD3EA"/>
            </w:tcBorders>
            <w:shd w:val="clear" w:color="auto" w:fill="BAD3EA"/>
          </w:tcPr>
          <w:p>
            <w:pPr>
              <w:spacing w:after="0"/>
              <w:rPr>
                <w:sz w:val="21"/>
                <w:szCs w:val="21"/>
                <w:color w:val="auto"/>
              </w:rPr>
            </w:pPr>
          </w:p>
        </w:tc>
        <w:tc>
          <w:tcPr>
            <w:tcW w:w="1020" w:type="dxa"/>
            <w:vAlign w:val="bottom"/>
            <w:tcBorders>
              <w:bottom w:val="single" w:sz="8" w:color="BAD3EA"/>
            </w:tcBorders>
            <w:shd w:val="clear" w:color="auto" w:fill="BAD3EA"/>
          </w:tcPr>
          <w:p>
            <w:pPr>
              <w:jc w:val="right"/>
              <w:ind w:right="145"/>
              <w:spacing w:after="0"/>
              <w:rPr>
                <w:sz w:val="20"/>
                <w:szCs w:val="20"/>
                <w:color w:val="auto"/>
              </w:rPr>
            </w:pPr>
            <w:r>
              <w:rPr>
                <w:rFonts w:ascii="Arial" w:cs="Arial" w:eastAsia="Arial" w:hAnsi="Arial"/>
                <w:sz w:val="16"/>
                <w:szCs w:val="16"/>
                <w:color w:val="auto"/>
              </w:rPr>
              <w:t>9.4</w:t>
            </w:r>
          </w:p>
        </w:tc>
      </w:tr>
      <w:tr>
        <w:trPr>
          <w:trHeight w:val="270"/>
        </w:trPr>
        <w:tc>
          <w:tcPr>
            <w:tcW w:w="8100" w:type="dxa"/>
            <w:vAlign w:val="bottom"/>
            <w:gridSpan w:val="2"/>
            <w:shd w:val="clear" w:color="auto" w:fill="E8F0F8"/>
          </w:tcPr>
          <w:p>
            <w:pPr>
              <w:ind w:left="320"/>
              <w:spacing w:after="0" w:line="270" w:lineRule="exact"/>
              <w:rPr>
                <w:sz w:val="20"/>
                <w:szCs w:val="20"/>
                <w:color w:val="auto"/>
              </w:rPr>
            </w:pPr>
            <w:r>
              <w:rPr>
                <w:rFonts w:ascii="Arial" w:cs="Arial" w:eastAsia="Arial" w:hAnsi="Arial"/>
                <w:sz w:val="16"/>
                <w:szCs w:val="16"/>
                <w:color w:val="auto"/>
              </w:rPr>
              <w:t>Valuation allowance associated with TECFIDERA IP court decision</w:t>
            </w:r>
            <w:r>
              <w:rPr>
                <w:rFonts w:ascii="Arial" w:cs="Arial" w:eastAsia="Arial" w:hAnsi="Arial"/>
                <w:sz w:val="27"/>
                <w:szCs w:val="27"/>
                <w:color w:val="auto"/>
                <w:vertAlign w:val="superscript"/>
              </w:rPr>
              <w:t>B</w:t>
            </w:r>
          </w:p>
        </w:tc>
        <w:tc>
          <w:tcPr>
            <w:tcW w:w="500" w:type="dxa"/>
            <w:vAlign w:val="bottom"/>
            <w:shd w:val="clear" w:color="auto" w:fill="E8F0F8"/>
          </w:tcPr>
          <w:p>
            <w:pPr>
              <w:spacing w:after="0"/>
              <w:rPr>
                <w:sz w:val="23"/>
                <w:szCs w:val="23"/>
                <w:color w:val="auto"/>
              </w:rPr>
            </w:pPr>
          </w:p>
        </w:tc>
        <w:tc>
          <w:tcPr>
            <w:tcW w:w="1100" w:type="dxa"/>
            <w:vAlign w:val="bottom"/>
            <w:shd w:val="clear" w:color="auto" w:fill="E8F0F8"/>
          </w:tcPr>
          <w:p>
            <w:pPr>
              <w:jc w:val="right"/>
              <w:ind w:right="245"/>
              <w:spacing w:after="0"/>
              <w:rPr>
                <w:sz w:val="20"/>
                <w:szCs w:val="20"/>
                <w:color w:val="auto"/>
              </w:rPr>
            </w:pPr>
            <w:r>
              <w:rPr>
                <w:rFonts w:ascii="Arial" w:cs="Arial" w:eastAsia="Arial" w:hAnsi="Arial"/>
                <w:sz w:val="16"/>
                <w:szCs w:val="16"/>
                <w:color w:val="auto"/>
              </w:rPr>
              <w:t>—</w:t>
            </w:r>
          </w:p>
        </w:tc>
        <w:tc>
          <w:tcPr>
            <w:tcW w:w="300" w:type="dxa"/>
            <w:vAlign w:val="bottom"/>
            <w:shd w:val="clear" w:color="auto" w:fill="E8F0F8"/>
          </w:tcPr>
          <w:p>
            <w:pPr>
              <w:spacing w:after="0"/>
              <w:rPr>
                <w:sz w:val="23"/>
                <w:szCs w:val="23"/>
                <w:color w:val="auto"/>
              </w:rPr>
            </w:pPr>
          </w:p>
        </w:tc>
        <w:tc>
          <w:tcPr>
            <w:tcW w:w="1020" w:type="dxa"/>
            <w:vAlign w:val="bottom"/>
            <w:shd w:val="clear" w:color="auto" w:fill="E8F0F8"/>
          </w:tcPr>
          <w:p>
            <w:pPr>
              <w:jc w:val="right"/>
              <w:ind w:right="145"/>
              <w:spacing w:after="0"/>
              <w:rPr>
                <w:sz w:val="20"/>
                <w:szCs w:val="20"/>
                <w:color w:val="auto"/>
              </w:rPr>
            </w:pPr>
            <w:r>
              <w:rPr>
                <w:rFonts w:ascii="Arial" w:cs="Arial" w:eastAsia="Arial" w:hAnsi="Arial"/>
                <w:sz w:val="16"/>
                <w:szCs w:val="16"/>
                <w:color w:val="auto"/>
              </w:rPr>
              <w:t>90.3</w:t>
            </w:r>
          </w:p>
        </w:tc>
      </w:tr>
      <w:tr>
        <w:trPr>
          <w:trHeight w:val="250"/>
        </w:trPr>
        <w:tc>
          <w:tcPr>
            <w:tcW w:w="8100" w:type="dxa"/>
            <w:vAlign w:val="bottom"/>
            <w:tcBorders>
              <w:bottom w:val="single" w:sz="8" w:color="BAD3EA"/>
            </w:tcBorders>
            <w:gridSpan w:val="2"/>
            <w:shd w:val="clear" w:color="auto" w:fill="BAD3EA"/>
          </w:tcPr>
          <w:p>
            <w:pPr>
              <w:ind w:left="320"/>
              <w:spacing w:after="0"/>
              <w:rPr>
                <w:sz w:val="20"/>
                <w:szCs w:val="20"/>
                <w:color w:val="auto"/>
              </w:rPr>
            </w:pPr>
            <w:r>
              <w:rPr>
                <w:rFonts w:ascii="Arial" w:cs="Arial" w:eastAsia="Arial" w:hAnsi="Arial"/>
                <w:sz w:val="16"/>
                <w:szCs w:val="16"/>
                <w:color w:val="auto"/>
              </w:rPr>
              <w:t>Income tax effect related to Non-GAAP reconciling items</w:t>
            </w:r>
          </w:p>
        </w:tc>
        <w:tc>
          <w:tcPr>
            <w:tcW w:w="500" w:type="dxa"/>
            <w:vAlign w:val="bottom"/>
            <w:tcBorders>
              <w:bottom w:val="single" w:sz="8" w:color="BAD3EA"/>
            </w:tcBorders>
            <w:shd w:val="clear" w:color="auto" w:fill="BAD3EA"/>
          </w:tcPr>
          <w:p>
            <w:pPr>
              <w:spacing w:after="0"/>
              <w:rPr>
                <w:sz w:val="21"/>
                <w:szCs w:val="21"/>
                <w:color w:val="auto"/>
              </w:rPr>
            </w:pPr>
          </w:p>
        </w:tc>
        <w:tc>
          <w:tcPr>
            <w:tcW w:w="1100" w:type="dxa"/>
            <w:vAlign w:val="bottom"/>
            <w:tcBorders>
              <w:bottom w:val="single" w:sz="8" w:color="BAD3EA"/>
            </w:tcBorders>
            <w:shd w:val="clear" w:color="auto" w:fill="BAD3EA"/>
          </w:tcPr>
          <w:p>
            <w:pPr>
              <w:jc w:val="right"/>
              <w:ind w:right="245"/>
              <w:spacing w:after="0"/>
              <w:rPr>
                <w:sz w:val="20"/>
                <w:szCs w:val="20"/>
                <w:color w:val="auto"/>
              </w:rPr>
            </w:pPr>
            <w:r>
              <w:rPr>
                <w:rFonts w:ascii="Arial" w:cs="Arial" w:eastAsia="Arial" w:hAnsi="Arial"/>
                <w:sz w:val="16"/>
                <w:szCs w:val="16"/>
                <w:color w:val="auto"/>
              </w:rPr>
              <w:t>(384.1)</w:t>
            </w:r>
          </w:p>
        </w:tc>
        <w:tc>
          <w:tcPr>
            <w:tcW w:w="300" w:type="dxa"/>
            <w:vAlign w:val="bottom"/>
            <w:tcBorders>
              <w:bottom w:val="single" w:sz="8" w:color="BAD3EA"/>
            </w:tcBorders>
            <w:shd w:val="clear" w:color="auto" w:fill="BAD3EA"/>
          </w:tcPr>
          <w:p>
            <w:pPr>
              <w:spacing w:after="0"/>
              <w:rPr>
                <w:sz w:val="21"/>
                <w:szCs w:val="21"/>
                <w:color w:val="auto"/>
              </w:rPr>
            </w:pPr>
          </w:p>
        </w:tc>
        <w:tc>
          <w:tcPr>
            <w:tcW w:w="1020" w:type="dxa"/>
            <w:vAlign w:val="bottom"/>
            <w:tcBorders>
              <w:bottom w:val="single" w:sz="8" w:color="BAD3EA"/>
            </w:tcBorders>
            <w:shd w:val="clear" w:color="auto" w:fill="BAD3EA"/>
          </w:tcPr>
          <w:p>
            <w:pPr>
              <w:jc w:val="right"/>
              <w:ind w:right="145"/>
              <w:spacing w:after="0"/>
              <w:rPr>
                <w:sz w:val="20"/>
                <w:szCs w:val="20"/>
                <w:color w:val="auto"/>
              </w:rPr>
            </w:pPr>
            <w:r>
              <w:rPr>
                <w:rFonts w:ascii="Arial" w:cs="Arial" w:eastAsia="Arial" w:hAnsi="Arial"/>
                <w:sz w:val="16"/>
                <w:szCs w:val="16"/>
                <w:color w:val="auto"/>
              </w:rPr>
              <w:t>93.9</w:t>
            </w:r>
          </w:p>
        </w:tc>
      </w:tr>
      <w:tr>
        <w:trPr>
          <w:trHeight w:val="250"/>
        </w:trPr>
        <w:tc>
          <w:tcPr>
            <w:tcW w:w="8100" w:type="dxa"/>
            <w:vAlign w:val="bottom"/>
            <w:tcBorders>
              <w:bottom w:val="single" w:sz="8" w:color="E8F0F8"/>
            </w:tcBorders>
            <w:gridSpan w:val="2"/>
            <w:shd w:val="clear" w:color="auto" w:fill="E8F0F8"/>
          </w:tcPr>
          <w:p>
            <w:pPr>
              <w:ind w:left="320"/>
              <w:spacing w:after="0"/>
              <w:rPr>
                <w:sz w:val="20"/>
                <w:szCs w:val="20"/>
                <w:color w:val="auto"/>
              </w:rPr>
            </w:pPr>
            <w:r>
              <w:rPr>
                <w:rFonts w:ascii="Arial" w:cs="Arial" w:eastAsia="Arial" w:hAnsi="Arial"/>
                <w:sz w:val="16"/>
                <w:szCs w:val="16"/>
                <w:color w:val="auto"/>
              </w:rPr>
              <w:t>Net distribution to noncontrolling interests &amp; amortization of equity in (income) loss of investee, net of tax</w:t>
            </w:r>
          </w:p>
        </w:tc>
        <w:tc>
          <w:tcPr>
            <w:tcW w:w="500" w:type="dxa"/>
            <w:vAlign w:val="bottom"/>
            <w:tcBorders>
              <w:bottom w:val="single" w:sz="8" w:color="E8F0F8"/>
            </w:tcBorders>
            <w:shd w:val="clear" w:color="auto" w:fill="E8F0F8"/>
          </w:tcPr>
          <w:p>
            <w:pPr>
              <w:spacing w:after="0"/>
              <w:rPr>
                <w:sz w:val="21"/>
                <w:szCs w:val="21"/>
                <w:color w:val="auto"/>
              </w:rPr>
            </w:pPr>
          </w:p>
        </w:tc>
        <w:tc>
          <w:tcPr>
            <w:tcW w:w="1100" w:type="dxa"/>
            <w:vAlign w:val="bottom"/>
            <w:tcBorders>
              <w:bottom w:val="single" w:sz="8" w:color="E8F0F8"/>
            </w:tcBorders>
            <w:shd w:val="clear" w:color="auto" w:fill="E8F0F8"/>
          </w:tcPr>
          <w:p>
            <w:pPr>
              <w:jc w:val="right"/>
              <w:ind w:right="245"/>
              <w:spacing w:after="0"/>
              <w:rPr>
                <w:sz w:val="20"/>
                <w:szCs w:val="20"/>
                <w:color w:val="auto"/>
              </w:rPr>
            </w:pPr>
            <w:r>
              <w:rPr>
                <w:rFonts w:ascii="Arial" w:cs="Arial" w:eastAsia="Arial" w:hAnsi="Arial"/>
                <w:sz w:val="16"/>
                <w:szCs w:val="16"/>
                <w:color w:val="auto"/>
              </w:rPr>
              <w:t>34.1</w:t>
            </w:r>
          </w:p>
        </w:tc>
        <w:tc>
          <w:tcPr>
            <w:tcW w:w="300" w:type="dxa"/>
            <w:vAlign w:val="bottom"/>
            <w:tcBorders>
              <w:bottom w:val="single" w:sz="8" w:color="E8F0F8"/>
            </w:tcBorders>
            <w:shd w:val="clear" w:color="auto" w:fill="E8F0F8"/>
          </w:tcPr>
          <w:p>
            <w:pPr>
              <w:spacing w:after="0"/>
              <w:rPr>
                <w:sz w:val="21"/>
                <w:szCs w:val="21"/>
                <w:color w:val="auto"/>
              </w:rPr>
            </w:pPr>
          </w:p>
        </w:tc>
        <w:tc>
          <w:tcPr>
            <w:tcW w:w="1020" w:type="dxa"/>
            <w:vAlign w:val="bottom"/>
            <w:tcBorders>
              <w:bottom w:val="single" w:sz="8" w:color="E8F0F8"/>
            </w:tcBorders>
            <w:shd w:val="clear" w:color="auto" w:fill="E8F0F8"/>
          </w:tcPr>
          <w:p>
            <w:pPr>
              <w:jc w:val="right"/>
              <w:ind w:right="145"/>
              <w:spacing w:after="0"/>
              <w:rPr>
                <w:sz w:val="20"/>
                <w:szCs w:val="20"/>
                <w:color w:val="auto"/>
              </w:rPr>
            </w:pPr>
            <w:r>
              <w:rPr>
                <w:rFonts w:ascii="Arial" w:cs="Arial" w:eastAsia="Arial" w:hAnsi="Arial"/>
                <w:sz w:val="16"/>
                <w:szCs w:val="16"/>
                <w:color w:val="auto"/>
              </w:rPr>
              <w:t>40.3</w:t>
            </w:r>
          </w:p>
        </w:tc>
      </w:tr>
      <w:tr>
        <w:trPr>
          <w:trHeight w:val="275"/>
        </w:trPr>
        <w:tc>
          <w:tcPr>
            <w:tcW w:w="8100" w:type="dxa"/>
            <w:vAlign w:val="bottom"/>
            <w:tcBorders>
              <w:bottom w:val="single" w:sz="8" w:color="BAD3EA"/>
            </w:tcBorders>
            <w:gridSpan w:val="2"/>
            <w:shd w:val="clear" w:color="auto" w:fill="BAD3EA"/>
          </w:tcPr>
          <w:p>
            <w:pPr>
              <w:ind w:left="3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BAD3EA"/>
            </w:tcBorders>
            <w:shd w:val="clear" w:color="auto" w:fill="BAD3EA"/>
          </w:tcPr>
          <w:p>
            <w:pPr>
              <w:spacing w:after="0"/>
              <w:rPr>
                <w:sz w:val="23"/>
                <w:szCs w:val="23"/>
                <w:color w:val="auto"/>
              </w:rPr>
            </w:pPr>
          </w:p>
        </w:tc>
        <w:tc>
          <w:tcPr>
            <w:tcW w:w="1100" w:type="dxa"/>
            <w:vAlign w:val="bottom"/>
            <w:tcBorders>
              <w:bottom w:val="single" w:sz="8" w:color="BAD3EA"/>
            </w:tcBorders>
            <w:shd w:val="clear" w:color="auto" w:fill="BAD3EA"/>
          </w:tcPr>
          <w:p>
            <w:pPr>
              <w:jc w:val="right"/>
              <w:ind w:right="245"/>
              <w:spacing w:after="0"/>
              <w:rPr>
                <w:sz w:val="20"/>
                <w:szCs w:val="20"/>
                <w:color w:val="auto"/>
              </w:rPr>
            </w:pPr>
            <w:r>
              <w:rPr>
                <w:rFonts w:ascii="Arial" w:cs="Arial" w:eastAsia="Arial" w:hAnsi="Arial"/>
                <w:sz w:val="16"/>
                <w:szCs w:val="16"/>
                <w:color w:val="auto"/>
              </w:rPr>
              <w:t>8.3</w:t>
            </w:r>
          </w:p>
        </w:tc>
        <w:tc>
          <w:tcPr>
            <w:tcW w:w="300" w:type="dxa"/>
            <w:vAlign w:val="bottom"/>
            <w:tcBorders>
              <w:bottom w:val="single" w:sz="8" w:color="BAD3EA"/>
            </w:tcBorders>
            <w:shd w:val="clear" w:color="auto" w:fill="BAD3EA"/>
          </w:tcPr>
          <w:p>
            <w:pPr>
              <w:spacing w:after="0"/>
              <w:rPr>
                <w:sz w:val="23"/>
                <w:szCs w:val="23"/>
                <w:color w:val="auto"/>
              </w:rPr>
            </w:pPr>
          </w:p>
        </w:tc>
        <w:tc>
          <w:tcPr>
            <w:tcW w:w="1020" w:type="dxa"/>
            <w:vAlign w:val="bottom"/>
            <w:tcBorders>
              <w:bottom w:val="single" w:sz="8" w:color="BAD3EA"/>
            </w:tcBorders>
            <w:shd w:val="clear" w:color="auto" w:fill="BAD3EA"/>
          </w:tcPr>
          <w:p>
            <w:pPr>
              <w:jc w:val="right"/>
              <w:ind w:right="145"/>
              <w:spacing w:after="0"/>
              <w:rPr>
                <w:sz w:val="20"/>
                <w:szCs w:val="20"/>
                <w:color w:val="auto"/>
              </w:rPr>
            </w:pPr>
            <w:r>
              <w:rPr>
                <w:rFonts w:ascii="Arial" w:cs="Arial" w:eastAsia="Arial" w:hAnsi="Arial"/>
                <w:sz w:val="16"/>
                <w:szCs w:val="16"/>
                <w:color w:val="auto"/>
              </w:rPr>
              <w:t>3.8</w:t>
            </w:r>
          </w:p>
        </w:tc>
      </w:tr>
      <w:tr>
        <w:trPr>
          <w:trHeight w:val="243"/>
        </w:trPr>
        <w:tc>
          <w:tcPr>
            <w:tcW w:w="7860" w:type="dxa"/>
            <w:vAlign w:val="bottom"/>
            <w:tcBorders>
              <w:top w:val="single" w:sz="8" w:color="E8F0F8"/>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Non-GAAP net income attributable to Biogen Inc.</w:t>
            </w:r>
          </w:p>
        </w:tc>
        <w:tc>
          <w:tcPr>
            <w:tcW w:w="240" w:type="dxa"/>
            <w:vAlign w:val="bottom"/>
            <w:tcBorders>
              <w:top w:val="single" w:sz="8" w:color="auto"/>
              <w:bottom w:val="single" w:sz="8" w:color="E8F0F8"/>
            </w:tcBorders>
            <w:shd w:val="clear" w:color="auto" w:fill="E8F0F8"/>
          </w:tcPr>
          <w:p>
            <w:pPr>
              <w:spacing w:after="0"/>
              <w:rPr>
                <w:sz w:val="21"/>
                <w:szCs w:val="21"/>
                <w:color w:val="auto"/>
              </w:rPr>
            </w:pPr>
          </w:p>
        </w:tc>
        <w:tc>
          <w:tcPr>
            <w:tcW w:w="500" w:type="dxa"/>
            <w:vAlign w:val="bottom"/>
            <w:tcBorders>
              <w:top w:val="single" w:sz="8" w:color="auto"/>
              <w:bottom w:val="single" w:sz="8" w:color="E8F0F8"/>
            </w:tcBorders>
            <w:shd w:val="clear" w:color="auto" w:fill="E8F0F8"/>
          </w:tcPr>
          <w:p>
            <w:pPr>
              <w:ind w:left="38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E8F0F8"/>
            </w:tcBorders>
            <w:shd w:val="clear" w:color="auto" w:fill="E8F0F8"/>
          </w:tcPr>
          <w:p>
            <w:pPr>
              <w:jc w:val="right"/>
              <w:ind w:right="245"/>
              <w:spacing w:after="0"/>
              <w:rPr>
                <w:sz w:val="20"/>
                <w:szCs w:val="20"/>
                <w:color w:val="auto"/>
              </w:rPr>
            </w:pPr>
            <w:r>
              <w:rPr>
                <w:rFonts w:ascii="Arial" w:cs="Arial" w:eastAsia="Arial" w:hAnsi="Arial"/>
                <w:sz w:val="16"/>
                <w:szCs w:val="16"/>
                <w:color w:val="auto"/>
              </w:rPr>
              <w:t>2,860.9</w:t>
            </w:r>
          </w:p>
        </w:tc>
        <w:tc>
          <w:tcPr>
            <w:tcW w:w="300" w:type="dxa"/>
            <w:vAlign w:val="bottom"/>
            <w:tcBorders>
              <w:top w:val="single" w:sz="8" w:color="auto"/>
              <w:bottom w:val="single" w:sz="8" w:color="E8F0F8"/>
            </w:tcBorders>
            <w:shd w:val="clear" w:color="auto" w:fill="E8F0F8"/>
          </w:tcPr>
          <w:p>
            <w:pPr>
              <w:ind w:left="20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E8F0F8"/>
            </w:tcBorders>
            <w:shd w:val="clear" w:color="auto" w:fill="E8F0F8"/>
          </w:tcPr>
          <w:p>
            <w:pPr>
              <w:jc w:val="right"/>
              <w:ind w:right="145"/>
              <w:spacing w:after="0"/>
              <w:rPr>
                <w:sz w:val="20"/>
                <w:szCs w:val="20"/>
                <w:color w:val="auto"/>
              </w:rPr>
            </w:pPr>
            <w:r>
              <w:rPr>
                <w:rFonts w:ascii="Arial" w:cs="Arial" w:eastAsia="Arial" w:hAnsi="Arial"/>
                <w:sz w:val="16"/>
                <w:szCs w:val="16"/>
                <w:color w:val="auto"/>
              </w:rPr>
              <w:t>3,830.4</w:t>
            </w:r>
          </w:p>
        </w:tc>
      </w:tr>
      <w:tr>
        <w:trPr>
          <w:trHeight w:val="20"/>
        </w:trPr>
        <w:tc>
          <w:tcPr>
            <w:tcW w:w="7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-3488055</wp:posOffset>
            </wp:positionV>
            <wp:extent cx="184277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-2468245</wp:posOffset>
            </wp:positionV>
            <wp:extent cx="199707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2" w:lineRule="exact"/>
        <w:rPr>
          <w:sz w:val="20"/>
          <w:szCs w:val="20"/>
          <w:color w:val="auto"/>
        </w:rPr>
      </w:pPr>
    </w:p>
    <w:p>
      <w:pPr>
        <w:ind w:left="440" w:right="600" w:hanging="324"/>
        <w:spacing w:after="0" w:line="193" w:lineRule="auto"/>
        <w:tabs>
          <w:tab w:leader="none" w:pos="44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Beginning in the third quarter of 2021 amortization expense recorded in intangible assets that arose from collaboration and licensing arrangements is no longer excluded from our Non-GAAP results on a prospective basis. Non-GAAP financial results for 2020 have not been updated to reflect this change.</w:t>
      </w:r>
    </w:p>
    <w:p>
      <w:pPr>
        <w:spacing w:after="0" w:line="53" w:lineRule="exact"/>
        <w:rPr>
          <w:rFonts w:ascii="Arial" w:cs="Arial" w:eastAsia="Arial" w:hAnsi="Arial"/>
          <w:sz w:val="24"/>
          <w:szCs w:val="24"/>
          <w:color w:val="auto"/>
          <w:vertAlign w:val="superscript"/>
        </w:rPr>
      </w:pPr>
    </w:p>
    <w:p>
      <w:pPr>
        <w:ind w:left="440" w:right="40" w:hanging="324"/>
        <w:spacing w:after="0" w:line="222" w:lineRule="auto"/>
        <w:tabs>
          <w:tab w:leader="none" w:pos="44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Beginning in the second quarter of 2021 material upfront payments and premiums paid on the acquisition of common stock associated with significant collaboration and licensing arrangements along with the related transaction costs incurred are no longer excluded from Non-GAAP research and development expense and selling, general and administrative expense. Non-GAAP financial results for 2020 have been updated to include the $1,084.0 million payment related to our collaboration with Sage Therapeutics, Inc. recorded in the fourth quarter of 2020, the $601.3 million payment related to our collaboration with Denali Therapeutics, Inc. recorded in the third quarter of 2020 and the $208.0 million payment related to our collaboration with Sangamo Therapeutics, Inc. recorded in the second quarter of 2020 along with the associated transaction costs and income tax effect.</w:t>
      </w:r>
    </w:p>
    <w:p>
      <w:pPr>
        <w:spacing w:after="0" w:line="53" w:lineRule="exact"/>
        <w:rPr>
          <w:rFonts w:ascii="Arial" w:cs="Arial" w:eastAsia="Arial" w:hAnsi="Arial"/>
          <w:sz w:val="24"/>
          <w:szCs w:val="24"/>
          <w:color w:val="auto"/>
          <w:vertAlign w:val="superscript"/>
        </w:rPr>
      </w:pPr>
    </w:p>
    <w:p>
      <w:pPr>
        <w:ind w:left="440" w:right="140" w:hanging="324"/>
        <w:spacing w:after="0" w:line="193" w:lineRule="auto"/>
        <w:tabs>
          <w:tab w:leader="none" w:pos="44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Beginning in the first quarter of 2022 material payments on the acquisition of in-process research and development assets are no longer excluded in the determination of Non-GAAP net income. Non-GAAP financial results for 2021 and 2020 have been updated to reflect this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74295</wp:posOffset>
            </wp:positionV>
            <wp:extent cx="737235" cy="154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37235" cy="154305"/>
                    </a:xfrm>
                    <a:prstGeom prst="rect">
                      <a:avLst/>
                    </a:prstGeom>
                    <a:noFill/>
                  </pic:spPr>
                </pic:pic>
              </a:graphicData>
            </a:graphic>
          </wp:anchor>
        </w:drawing>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2"/>
          <w:szCs w:val="12"/>
          <w:color w:val="1A6DBB"/>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-64770</wp:posOffset>
            </wp:positionV>
            <wp:extent cx="102870" cy="9398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8859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A6DBB"/>
        </w:rPr>
        <w:t xml:space="preserve">Appendix A </w:t>
      </w:r>
      <w:r>
        <w:rPr>
          <w:rFonts w:ascii="Arial" w:cs="Arial" w:eastAsia="Arial" w:hAnsi="Arial"/>
          <w:sz w:val="11"/>
          <w:szCs w:val="11"/>
          <w:color w:val="1A6DBB"/>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Free Cash Flow Reconciliation</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(unaudited, $ in millions)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8340" w:type="dxa"/>
            <w:vAlign w:val="bottom"/>
            <w:shd w:val="clear" w:color="auto" w:fill="1A6DBB"/>
          </w:tcPr>
          <w:p>
            <w:pPr>
              <w:spacing w:after="0"/>
              <w:rPr>
                <w:sz w:val="15"/>
                <w:szCs w:val="15"/>
                <w:color w:val="auto"/>
              </w:rPr>
            </w:pPr>
          </w:p>
        </w:tc>
        <w:tc>
          <w:tcPr>
            <w:tcW w:w="2680" w:type="dxa"/>
            <w:vAlign w:val="bottom"/>
            <w:gridSpan w:val="5"/>
            <w:shd w:val="clear" w:color="auto" w:fill="1A6DBB"/>
          </w:tcPr>
          <w:p>
            <w:pPr>
              <w:ind w:left="480"/>
              <w:spacing w:after="0"/>
              <w:rPr>
                <w:sz w:val="20"/>
                <w:szCs w:val="20"/>
                <w:color w:val="auto"/>
              </w:rPr>
            </w:pPr>
            <w:r>
              <w:rPr>
                <w:rFonts w:ascii="Arial" w:cs="Arial" w:eastAsia="Arial" w:hAnsi="Arial"/>
                <w:sz w:val="14"/>
                <w:szCs w:val="14"/>
                <w:color w:val="FFFFFF"/>
              </w:rPr>
              <w:t>For the Twelve Months Ended</w:t>
            </w:r>
          </w:p>
        </w:tc>
      </w:tr>
      <w:tr>
        <w:trPr>
          <w:trHeight w:val="166"/>
        </w:trPr>
        <w:tc>
          <w:tcPr>
            <w:tcW w:w="8340" w:type="dxa"/>
            <w:vAlign w:val="bottom"/>
            <w:shd w:val="clear" w:color="auto" w:fill="1A6DBB"/>
          </w:tcPr>
          <w:p>
            <w:pPr>
              <w:spacing w:after="0"/>
              <w:rPr>
                <w:sz w:val="14"/>
                <w:szCs w:val="14"/>
                <w:color w:val="auto"/>
              </w:rPr>
            </w:pPr>
          </w:p>
        </w:tc>
        <w:tc>
          <w:tcPr>
            <w:tcW w:w="1440" w:type="dxa"/>
            <w:vAlign w:val="bottom"/>
            <w:gridSpan w:val="2"/>
            <w:shd w:val="clear" w:color="auto" w:fill="1A6DBB"/>
          </w:tcPr>
          <w:p>
            <w:pPr>
              <w:jc w:val="right"/>
              <w:ind w:right="140"/>
              <w:spacing w:after="0"/>
              <w:rPr>
                <w:sz w:val="20"/>
                <w:szCs w:val="20"/>
                <w:color w:val="auto"/>
              </w:rPr>
            </w:pPr>
            <w:r>
              <w:rPr>
                <w:rFonts w:ascii="Arial" w:cs="Arial" w:eastAsia="Arial" w:hAnsi="Arial"/>
                <w:sz w:val="14"/>
                <w:szCs w:val="14"/>
                <w:color w:val="FFFFFF"/>
              </w:rPr>
              <w:t>December 31,</w:t>
            </w:r>
          </w:p>
        </w:tc>
        <w:tc>
          <w:tcPr>
            <w:tcW w:w="1240" w:type="dxa"/>
            <w:vAlign w:val="bottom"/>
            <w:gridSpan w:val="3"/>
            <w:shd w:val="clear" w:color="auto" w:fill="1A6DBB"/>
          </w:tcPr>
          <w:p>
            <w:pPr>
              <w:ind w:left="220"/>
              <w:spacing w:after="0"/>
              <w:rPr>
                <w:sz w:val="20"/>
                <w:szCs w:val="20"/>
                <w:color w:val="auto"/>
              </w:rPr>
            </w:pPr>
            <w:r>
              <w:rPr>
                <w:rFonts w:ascii="Arial" w:cs="Arial" w:eastAsia="Arial" w:hAnsi="Arial"/>
                <w:sz w:val="14"/>
                <w:szCs w:val="14"/>
                <w:color w:val="FFFFFF"/>
              </w:rPr>
              <w:t>December 31,</w:t>
            </w:r>
          </w:p>
        </w:tc>
      </w:tr>
      <w:tr>
        <w:trPr>
          <w:trHeight w:val="185"/>
        </w:trPr>
        <w:tc>
          <w:tcPr>
            <w:tcW w:w="8340" w:type="dxa"/>
            <w:vAlign w:val="bottom"/>
            <w:shd w:val="clear" w:color="auto" w:fill="1A6DBB"/>
          </w:tcPr>
          <w:p>
            <w:pPr>
              <w:spacing w:after="0"/>
              <w:rPr>
                <w:sz w:val="16"/>
                <w:szCs w:val="16"/>
                <w:color w:val="auto"/>
              </w:rPr>
            </w:pPr>
          </w:p>
        </w:tc>
        <w:tc>
          <w:tcPr>
            <w:tcW w:w="600" w:type="dxa"/>
            <w:vAlign w:val="bottom"/>
            <w:shd w:val="clear" w:color="auto" w:fill="1A6DBB"/>
          </w:tcPr>
          <w:p>
            <w:pPr>
              <w:spacing w:after="0"/>
              <w:rPr>
                <w:sz w:val="16"/>
                <w:szCs w:val="16"/>
                <w:color w:val="auto"/>
              </w:rPr>
            </w:pPr>
          </w:p>
        </w:tc>
        <w:tc>
          <w:tcPr>
            <w:tcW w:w="840" w:type="dxa"/>
            <w:vAlign w:val="bottom"/>
            <w:shd w:val="clear" w:color="auto" w:fill="1A6DBB"/>
          </w:tcPr>
          <w:p>
            <w:pPr>
              <w:jc w:val="right"/>
              <w:ind w:right="420"/>
              <w:spacing w:after="0"/>
              <w:rPr>
                <w:sz w:val="20"/>
                <w:szCs w:val="20"/>
                <w:color w:val="auto"/>
              </w:rPr>
            </w:pPr>
            <w:r>
              <w:rPr>
                <w:rFonts w:ascii="Arial" w:cs="Arial" w:eastAsia="Arial" w:hAnsi="Arial"/>
                <w:sz w:val="14"/>
                <w:szCs w:val="14"/>
                <w:color w:val="FFFFFF"/>
              </w:rPr>
              <w:t>2021</w:t>
            </w:r>
          </w:p>
        </w:tc>
        <w:tc>
          <w:tcPr>
            <w:tcW w:w="360" w:type="dxa"/>
            <w:vAlign w:val="bottom"/>
            <w:shd w:val="clear" w:color="auto" w:fill="1A6DBB"/>
          </w:tcPr>
          <w:p>
            <w:pPr>
              <w:spacing w:after="0"/>
              <w:rPr>
                <w:sz w:val="16"/>
                <w:szCs w:val="16"/>
                <w:color w:val="auto"/>
              </w:rPr>
            </w:pPr>
          </w:p>
        </w:tc>
        <w:tc>
          <w:tcPr>
            <w:tcW w:w="140" w:type="dxa"/>
            <w:vAlign w:val="bottom"/>
            <w:shd w:val="clear" w:color="auto" w:fill="1A6DBB"/>
          </w:tcPr>
          <w:p>
            <w:pPr>
              <w:spacing w:after="0"/>
              <w:rPr>
                <w:sz w:val="16"/>
                <w:szCs w:val="16"/>
                <w:color w:val="auto"/>
              </w:rPr>
            </w:pPr>
          </w:p>
        </w:tc>
        <w:tc>
          <w:tcPr>
            <w:tcW w:w="740" w:type="dxa"/>
            <w:vAlign w:val="bottom"/>
            <w:shd w:val="clear" w:color="auto" w:fill="1A6DBB"/>
          </w:tcPr>
          <w:p>
            <w:pPr>
              <w:jc w:val="right"/>
              <w:ind w:right="321"/>
              <w:spacing w:after="0"/>
              <w:rPr>
                <w:sz w:val="20"/>
                <w:szCs w:val="20"/>
                <w:color w:val="auto"/>
              </w:rPr>
            </w:pPr>
            <w:r>
              <w:rPr>
                <w:rFonts w:ascii="Arial" w:cs="Arial" w:eastAsia="Arial" w:hAnsi="Arial"/>
                <w:sz w:val="14"/>
                <w:szCs w:val="14"/>
                <w:color w:val="FFFFFF"/>
              </w:rPr>
              <w:t>2020</w:t>
            </w:r>
          </w:p>
        </w:tc>
      </w:tr>
      <w:tr>
        <w:trPr>
          <w:trHeight w:val="250"/>
        </w:trPr>
        <w:tc>
          <w:tcPr>
            <w:tcW w:w="834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Net cash provided by (used in) operating activities</w:t>
            </w:r>
          </w:p>
        </w:tc>
        <w:tc>
          <w:tcPr>
            <w:tcW w:w="600" w:type="dxa"/>
            <w:vAlign w:val="bottom"/>
            <w:tcBorders>
              <w:bottom w:val="single" w:sz="8" w:color="E8F0F8"/>
            </w:tcBorders>
            <w:shd w:val="clear" w:color="auto" w:fill="E8F0F8"/>
          </w:tcPr>
          <w:p>
            <w:pPr>
              <w:ind w:left="5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3,639.9</w:t>
            </w:r>
          </w:p>
        </w:tc>
        <w:tc>
          <w:tcPr>
            <w:tcW w:w="360" w:type="dxa"/>
            <w:vAlign w:val="bottom"/>
            <w:tcBorders>
              <w:bottom w:val="single" w:sz="8" w:color="E8F0F8"/>
            </w:tcBorders>
            <w:shd w:val="clear" w:color="auto" w:fill="E8F0F8"/>
          </w:tcPr>
          <w:p>
            <w:pPr>
              <w:spacing w:after="0"/>
              <w:rPr>
                <w:sz w:val="21"/>
                <w:szCs w:val="21"/>
                <w:color w:val="auto"/>
              </w:rPr>
            </w:pP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ind w:right="41"/>
              <w:spacing w:after="0"/>
              <w:rPr>
                <w:sz w:val="20"/>
                <w:szCs w:val="20"/>
                <w:color w:val="auto"/>
              </w:rPr>
            </w:pPr>
            <w:r>
              <w:rPr>
                <w:rFonts w:ascii="Arial" w:cs="Arial" w:eastAsia="Arial" w:hAnsi="Arial"/>
                <w:sz w:val="16"/>
                <w:szCs w:val="16"/>
                <w:color w:val="auto"/>
              </w:rPr>
              <w:t>4,229.8</w:t>
            </w:r>
          </w:p>
        </w:tc>
      </w:tr>
      <w:tr>
        <w:trPr>
          <w:trHeight w:val="250"/>
        </w:trPr>
        <w:tc>
          <w:tcPr>
            <w:tcW w:w="834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Net cash provided by (used in) investing activities</w:t>
            </w:r>
          </w:p>
        </w:tc>
        <w:tc>
          <w:tcPr>
            <w:tcW w:w="600" w:type="dxa"/>
            <w:vAlign w:val="bottom"/>
            <w:tcBorders>
              <w:bottom w:val="single" w:sz="8" w:color="BAD3EA"/>
            </w:tcBorders>
            <w:shd w:val="clear" w:color="auto" w:fill="BAD3EA"/>
          </w:tcPr>
          <w:p>
            <w:pPr>
              <w:spacing w:after="0"/>
              <w:rPr>
                <w:sz w:val="21"/>
                <w:szCs w:val="21"/>
                <w:color w:val="auto"/>
              </w:rPr>
            </w:pPr>
          </w:p>
        </w:tc>
        <w:tc>
          <w:tcPr>
            <w:tcW w:w="8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(563.7)</w:t>
            </w:r>
          </w:p>
        </w:tc>
        <w:tc>
          <w:tcPr>
            <w:tcW w:w="360" w:type="dxa"/>
            <w:vAlign w:val="bottom"/>
            <w:tcBorders>
              <w:bottom w:val="single" w:sz="8" w:color="BAD3EA"/>
            </w:tcBorders>
            <w:shd w:val="clear" w:color="auto" w:fill="BAD3EA"/>
          </w:tcPr>
          <w:p>
            <w:pPr>
              <w:spacing w:after="0"/>
              <w:rPr>
                <w:sz w:val="21"/>
                <w:szCs w:val="21"/>
                <w:color w:val="auto"/>
              </w:rPr>
            </w:pPr>
          </w:p>
        </w:tc>
        <w:tc>
          <w:tcPr>
            <w:tcW w:w="140" w:type="dxa"/>
            <w:vAlign w:val="bottom"/>
            <w:tcBorders>
              <w:bottom w:val="single" w:sz="8" w:color="BAD3EA"/>
            </w:tcBorders>
            <w:shd w:val="clear" w:color="auto" w:fill="BAD3EA"/>
          </w:tcPr>
          <w:p>
            <w:pPr>
              <w:spacing w:after="0"/>
              <w:rPr>
                <w:sz w:val="21"/>
                <w:szCs w:val="21"/>
                <w:color w:val="auto"/>
              </w:rPr>
            </w:pPr>
          </w:p>
        </w:tc>
        <w:tc>
          <w:tcPr>
            <w:tcW w:w="740" w:type="dxa"/>
            <w:vAlign w:val="bottom"/>
            <w:tcBorders>
              <w:bottom w:val="single" w:sz="8" w:color="BAD3EA"/>
            </w:tcBorders>
            <w:shd w:val="clear" w:color="auto" w:fill="BAD3EA"/>
          </w:tcPr>
          <w:p>
            <w:pPr>
              <w:jc w:val="right"/>
              <w:ind w:right="41"/>
              <w:spacing w:after="0"/>
              <w:rPr>
                <w:sz w:val="20"/>
                <w:szCs w:val="20"/>
                <w:color w:val="auto"/>
              </w:rPr>
            </w:pPr>
            <w:r>
              <w:rPr>
                <w:rFonts w:ascii="Arial" w:cs="Arial" w:eastAsia="Arial" w:hAnsi="Arial"/>
                <w:sz w:val="16"/>
                <w:szCs w:val="16"/>
                <w:color w:val="auto"/>
              </w:rPr>
              <w:t>(608.6)</w:t>
            </w:r>
          </w:p>
        </w:tc>
      </w:tr>
      <w:tr>
        <w:trPr>
          <w:trHeight w:val="275"/>
        </w:trPr>
        <w:tc>
          <w:tcPr>
            <w:tcW w:w="834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Net cash provided by (used in) financing activities</w:t>
            </w:r>
          </w:p>
        </w:tc>
        <w:tc>
          <w:tcPr>
            <w:tcW w:w="1440" w:type="dxa"/>
            <w:vAlign w:val="bottom"/>
            <w:tcBorders>
              <w:bottom w:val="single" w:sz="8" w:color="E8F0F8"/>
            </w:tcBorders>
            <w:gridSpan w:val="2"/>
            <w:shd w:val="clear" w:color="auto" w:fill="E8F0F8"/>
          </w:tcPr>
          <w:p>
            <w:pPr>
              <w:jc w:val="right"/>
              <w:ind w:right="140"/>
              <w:spacing w:after="0"/>
              <w:rPr>
                <w:sz w:val="20"/>
                <w:szCs w:val="20"/>
                <w:color w:val="auto"/>
              </w:rPr>
            </w:pPr>
            <w:r>
              <w:rPr>
                <w:rFonts w:ascii="Arial" w:cs="Arial" w:eastAsia="Arial" w:hAnsi="Arial"/>
                <w:sz w:val="16"/>
                <w:szCs w:val="16"/>
                <w:color w:val="auto"/>
              </w:rPr>
              <w:t>(2,086.2)</w:t>
            </w:r>
          </w:p>
        </w:tc>
        <w:tc>
          <w:tcPr>
            <w:tcW w:w="360" w:type="dxa"/>
            <w:vAlign w:val="bottom"/>
            <w:tcBorders>
              <w:bottom w:val="single" w:sz="8" w:color="E8F0F8"/>
            </w:tcBorders>
            <w:shd w:val="clear" w:color="auto" w:fill="E8F0F8"/>
          </w:tcPr>
          <w:p>
            <w:pPr>
              <w:spacing w:after="0"/>
              <w:rPr>
                <w:sz w:val="23"/>
                <w:szCs w:val="23"/>
                <w:color w:val="auto"/>
              </w:rPr>
            </w:pPr>
          </w:p>
        </w:tc>
        <w:tc>
          <w:tcPr>
            <w:tcW w:w="880" w:type="dxa"/>
            <w:vAlign w:val="bottom"/>
            <w:tcBorders>
              <w:bottom w:val="single" w:sz="8" w:color="E8F0F8"/>
            </w:tcBorders>
            <w:gridSpan w:val="2"/>
            <w:shd w:val="clear" w:color="auto" w:fill="E8F0F8"/>
          </w:tcPr>
          <w:p>
            <w:pPr>
              <w:jc w:val="right"/>
              <w:ind w:right="41"/>
              <w:spacing w:after="0"/>
              <w:rPr>
                <w:sz w:val="20"/>
                <w:szCs w:val="20"/>
                <w:color w:val="auto"/>
              </w:rPr>
            </w:pPr>
            <w:r>
              <w:rPr>
                <w:rFonts w:ascii="Arial" w:cs="Arial" w:eastAsia="Arial" w:hAnsi="Arial"/>
                <w:sz w:val="16"/>
                <w:szCs w:val="16"/>
                <w:color w:val="auto"/>
              </w:rPr>
              <w:t>(5,272.7)</w:t>
            </w:r>
          </w:p>
        </w:tc>
      </w:tr>
      <w:tr>
        <w:trPr>
          <w:trHeight w:val="243"/>
        </w:trPr>
        <w:tc>
          <w:tcPr>
            <w:tcW w:w="8340" w:type="dxa"/>
            <w:vAlign w:val="bottom"/>
            <w:tcBorders>
              <w:top w:val="single" w:sz="8" w:color="BAD3EA"/>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Net increase (decrease) in cash and cash equivalents</w:t>
            </w:r>
          </w:p>
        </w:tc>
        <w:tc>
          <w:tcPr>
            <w:tcW w:w="600" w:type="dxa"/>
            <w:vAlign w:val="bottom"/>
            <w:tcBorders>
              <w:top w:val="single" w:sz="8" w:color="auto"/>
              <w:bottom w:val="single" w:sz="8" w:color="BAD3EA"/>
            </w:tcBorders>
            <w:shd w:val="clear" w:color="auto" w:fill="BAD3EA"/>
          </w:tcPr>
          <w:p>
            <w:pPr>
              <w:spacing w:after="0"/>
              <w:rPr>
                <w:sz w:val="21"/>
                <w:szCs w:val="21"/>
                <w:color w:val="auto"/>
              </w:rPr>
            </w:pPr>
          </w:p>
        </w:tc>
        <w:tc>
          <w:tcPr>
            <w:tcW w:w="840" w:type="dxa"/>
            <w:vAlign w:val="bottom"/>
            <w:tcBorders>
              <w:top w:val="single" w:sz="8" w:color="auto"/>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$ 990.0</w:t>
            </w:r>
          </w:p>
        </w:tc>
        <w:tc>
          <w:tcPr>
            <w:tcW w:w="360" w:type="dxa"/>
            <w:vAlign w:val="bottom"/>
            <w:tcBorders>
              <w:top w:val="single" w:sz="8" w:color="auto"/>
              <w:bottom w:val="single" w:sz="8" w:color="BAD3EA"/>
            </w:tcBorders>
            <w:shd w:val="clear" w:color="auto" w:fill="BAD3EA"/>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BAD3EA"/>
            </w:tcBorders>
            <w:gridSpan w:val="2"/>
            <w:shd w:val="clear" w:color="auto" w:fill="BAD3EA"/>
          </w:tcPr>
          <w:p>
            <w:pPr>
              <w:jc w:val="right"/>
              <w:ind w:right="41"/>
              <w:spacing w:after="0"/>
              <w:rPr>
                <w:sz w:val="20"/>
                <w:szCs w:val="20"/>
                <w:color w:val="auto"/>
              </w:rPr>
            </w:pPr>
            <w:r>
              <w:rPr>
                <w:rFonts w:ascii="Arial" w:cs="Arial" w:eastAsia="Arial" w:hAnsi="Arial"/>
                <w:sz w:val="16"/>
                <w:szCs w:val="16"/>
                <w:color w:val="auto"/>
              </w:rPr>
              <w:t>(1,651.5)</w:t>
            </w:r>
          </w:p>
        </w:tc>
      </w:tr>
      <w:tr>
        <w:trPr>
          <w:trHeight w:val="250"/>
        </w:trPr>
        <w:tc>
          <w:tcPr>
            <w:tcW w:w="834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Net cash provided by (used in) operating activities</w:t>
            </w:r>
          </w:p>
        </w:tc>
        <w:tc>
          <w:tcPr>
            <w:tcW w:w="600" w:type="dxa"/>
            <w:vAlign w:val="bottom"/>
            <w:tcBorders>
              <w:bottom w:val="single" w:sz="8" w:color="E8F0F8"/>
            </w:tcBorders>
            <w:shd w:val="clear" w:color="auto" w:fill="E8F0F8"/>
          </w:tcPr>
          <w:p>
            <w:pPr>
              <w:ind w:left="5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3,639.9</w:t>
            </w:r>
          </w:p>
        </w:tc>
        <w:tc>
          <w:tcPr>
            <w:tcW w:w="360" w:type="dxa"/>
            <w:vAlign w:val="bottom"/>
            <w:tcBorders>
              <w:bottom w:val="single" w:sz="8" w:color="E8F0F8"/>
            </w:tcBorders>
            <w:shd w:val="clear" w:color="auto" w:fill="E8F0F8"/>
          </w:tcPr>
          <w:p>
            <w:pPr>
              <w:spacing w:after="0"/>
              <w:rPr>
                <w:sz w:val="21"/>
                <w:szCs w:val="21"/>
                <w:color w:val="auto"/>
              </w:rPr>
            </w:pP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ind w:right="41"/>
              <w:spacing w:after="0"/>
              <w:rPr>
                <w:sz w:val="20"/>
                <w:szCs w:val="20"/>
                <w:color w:val="auto"/>
              </w:rPr>
            </w:pPr>
            <w:r>
              <w:rPr>
                <w:rFonts w:ascii="Arial" w:cs="Arial" w:eastAsia="Arial" w:hAnsi="Arial"/>
                <w:sz w:val="16"/>
                <w:szCs w:val="16"/>
                <w:color w:val="auto"/>
              </w:rPr>
              <w:t>4,229.8</w:t>
            </w:r>
          </w:p>
        </w:tc>
      </w:tr>
      <w:tr>
        <w:trPr>
          <w:trHeight w:val="275"/>
        </w:trPr>
        <w:tc>
          <w:tcPr>
            <w:tcW w:w="834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Purchases of property, plant and equipment (capital expenditures)</w:t>
            </w:r>
          </w:p>
        </w:tc>
        <w:tc>
          <w:tcPr>
            <w:tcW w:w="600" w:type="dxa"/>
            <w:vAlign w:val="bottom"/>
            <w:tcBorders>
              <w:bottom w:val="single" w:sz="8" w:color="BAD3EA"/>
            </w:tcBorders>
            <w:shd w:val="clear" w:color="auto" w:fill="BAD3EA"/>
          </w:tcPr>
          <w:p>
            <w:pPr>
              <w:spacing w:after="0"/>
              <w:rPr>
                <w:sz w:val="23"/>
                <w:szCs w:val="23"/>
                <w:color w:val="auto"/>
              </w:rPr>
            </w:pPr>
          </w:p>
        </w:tc>
        <w:tc>
          <w:tcPr>
            <w:tcW w:w="840" w:type="dxa"/>
            <w:vAlign w:val="bottom"/>
            <w:tcBorders>
              <w:bottom w:val="single" w:sz="8" w:color="BAD3EA"/>
            </w:tcBorders>
            <w:shd w:val="clear" w:color="auto" w:fill="BAD3EA"/>
          </w:tcPr>
          <w:p>
            <w:pPr>
              <w:jc w:val="right"/>
              <w:ind w:right="140"/>
              <w:spacing w:after="0"/>
              <w:rPr>
                <w:sz w:val="20"/>
                <w:szCs w:val="20"/>
                <w:color w:val="auto"/>
              </w:rPr>
            </w:pPr>
            <w:r>
              <w:rPr>
                <w:rFonts w:ascii="Arial" w:cs="Arial" w:eastAsia="Arial" w:hAnsi="Arial"/>
                <w:sz w:val="16"/>
                <w:szCs w:val="16"/>
                <w:color w:val="auto"/>
              </w:rPr>
              <w:t>(258.1)</w:t>
            </w:r>
          </w:p>
        </w:tc>
        <w:tc>
          <w:tcPr>
            <w:tcW w:w="360" w:type="dxa"/>
            <w:vAlign w:val="bottom"/>
            <w:tcBorders>
              <w:bottom w:val="single" w:sz="8" w:color="BAD3EA"/>
            </w:tcBorders>
            <w:shd w:val="clear" w:color="auto" w:fill="BAD3EA"/>
          </w:tcPr>
          <w:p>
            <w:pPr>
              <w:spacing w:after="0"/>
              <w:rPr>
                <w:sz w:val="23"/>
                <w:szCs w:val="23"/>
                <w:color w:val="auto"/>
              </w:rPr>
            </w:pPr>
          </w:p>
        </w:tc>
        <w:tc>
          <w:tcPr>
            <w:tcW w:w="140" w:type="dxa"/>
            <w:vAlign w:val="bottom"/>
            <w:tcBorders>
              <w:bottom w:val="single" w:sz="8" w:color="BAD3EA"/>
            </w:tcBorders>
            <w:shd w:val="clear" w:color="auto" w:fill="BAD3EA"/>
          </w:tcPr>
          <w:p>
            <w:pPr>
              <w:spacing w:after="0"/>
              <w:rPr>
                <w:sz w:val="23"/>
                <w:szCs w:val="23"/>
                <w:color w:val="auto"/>
              </w:rPr>
            </w:pPr>
          </w:p>
        </w:tc>
        <w:tc>
          <w:tcPr>
            <w:tcW w:w="740" w:type="dxa"/>
            <w:vAlign w:val="bottom"/>
            <w:tcBorders>
              <w:bottom w:val="single" w:sz="8" w:color="BAD3EA"/>
            </w:tcBorders>
            <w:shd w:val="clear" w:color="auto" w:fill="BAD3EA"/>
          </w:tcPr>
          <w:p>
            <w:pPr>
              <w:jc w:val="right"/>
              <w:ind w:right="41"/>
              <w:spacing w:after="0"/>
              <w:rPr>
                <w:sz w:val="20"/>
                <w:szCs w:val="20"/>
                <w:color w:val="auto"/>
              </w:rPr>
            </w:pPr>
            <w:r>
              <w:rPr>
                <w:rFonts w:ascii="Arial" w:cs="Arial" w:eastAsia="Arial" w:hAnsi="Arial"/>
                <w:sz w:val="16"/>
                <w:szCs w:val="16"/>
                <w:color w:val="auto"/>
              </w:rPr>
              <w:t>(424.8)</w:t>
            </w:r>
          </w:p>
        </w:tc>
      </w:tr>
      <w:tr>
        <w:trPr>
          <w:trHeight w:val="243"/>
        </w:trPr>
        <w:tc>
          <w:tcPr>
            <w:tcW w:w="8340" w:type="dxa"/>
            <w:vAlign w:val="bottom"/>
            <w:tcBorders>
              <w:top w:val="single" w:sz="8" w:color="E8F0F8"/>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Free cash flow^</w:t>
            </w:r>
          </w:p>
        </w:tc>
        <w:tc>
          <w:tcPr>
            <w:tcW w:w="600" w:type="dxa"/>
            <w:vAlign w:val="bottom"/>
            <w:tcBorders>
              <w:top w:val="single" w:sz="8" w:color="auto"/>
              <w:bottom w:val="single" w:sz="8" w:color="E8F0F8"/>
            </w:tcBorders>
            <w:shd w:val="clear" w:color="auto" w:fill="E8F0F8"/>
          </w:tcPr>
          <w:p>
            <w:pPr>
              <w:ind w:left="50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E8F0F8"/>
            </w:tcBorders>
            <w:shd w:val="clear" w:color="auto" w:fill="E8F0F8"/>
          </w:tcPr>
          <w:p>
            <w:pPr>
              <w:jc w:val="right"/>
              <w:ind w:right="140"/>
              <w:spacing w:after="0"/>
              <w:rPr>
                <w:sz w:val="20"/>
                <w:szCs w:val="20"/>
                <w:color w:val="auto"/>
              </w:rPr>
            </w:pPr>
            <w:r>
              <w:rPr>
                <w:rFonts w:ascii="Arial" w:cs="Arial" w:eastAsia="Arial" w:hAnsi="Arial"/>
                <w:sz w:val="16"/>
                <w:szCs w:val="16"/>
                <w:color w:val="auto"/>
              </w:rPr>
              <w:t>3,381.8</w:t>
            </w:r>
          </w:p>
        </w:tc>
        <w:tc>
          <w:tcPr>
            <w:tcW w:w="360" w:type="dxa"/>
            <w:vAlign w:val="bottom"/>
            <w:tcBorders>
              <w:top w:val="single" w:sz="8" w:color="auto"/>
              <w:bottom w:val="single" w:sz="8" w:color="E8F0F8"/>
            </w:tcBorders>
            <w:shd w:val="clear" w:color="auto" w:fill="E8F0F8"/>
          </w:tcPr>
          <w:p>
            <w:pPr>
              <w:spacing w:after="0"/>
              <w:rPr>
                <w:sz w:val="21"/>
                <w:szCs w:val="21"/>
                <w:color w:val="auto"/>
              </w:rPr>
            </w:pPr>
          </w:p>
        </w:tc>
        <w:tc>
          <w:tcPr>
            <w:tcW w:w="140" w:type="dxa"/>
            <w:vAlign w:val="bottom"/>
            <w:tcBorders>
              <w:top w:val="single" w:sz="8" w:color="auto"/>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E8F0F8"/>
            </w:tcBorders>
            <w:shd w:val="clear" w:color="auto" w:fill="E8F0F8"/>
          </w:tcPr>
          <w:p>
            <w:pPr>
              <w:jc w:val="right"/>
              <w:ind w:right="41"/>
              <w:spacing w:after="0"/>
              <w:rPr>
                <w:sz w:val="20"/>
                <w:szCs w:val="20"/>
                <w:color w:val="auto"/>
              </w:rPr>
            </w:pPr>
            <w:r>
              <w:rPr>
                <w:rFonts w:ascii="Arial" w:cs="Arial" w:eastAsia="Arial" w:hAnsi="Arial"/>
                <w:sz w:val="16"/>
                <w:szCs w:val="16"/>
                <w:color w:val="auto"/>
              </w:rPr>
              <w:t>3,805.0</w:t>
            </w:r>
          </w:p>
        </w:tc>
      </w:tr>
      <w:tr>
        <w:trPr>
          <w:trHeight w:val="20"/>
        </w:trPr>
        <w:tc>
          <w:tcPr>
            <w:tcW w:w="8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-1447800</wp:posOffset>
            </wp:positionV>
            <wp:extent cx="16973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2" w:lineRule="exact"/>
        <w:rPr>
          <w:sz w:val="20"/>
          <w:szCs w:val="20"/>
          <w:color w:val="auto"/>
        </w:rPr>
      </w:pPr>
    </w:p>
    <w:p>
      <w:pPr>
        <w:ind w:left="440" w:hanging="324"/>
        <w:spacing w:after="0"/>
        <w:tabs>
          <w:tab w:leader="none" w:pos="4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Free cash flow is defined as net cash provided by (used in) operating activities in the period less capital expenditures made in the period.</w:t>
      </w:r>
    </w:p>
    <w:p>
      <w:pPr>
        <w:spacing w:after="0" w:line="82" w:lineRule="exact"/>
        <w:rPr>
          <w:sz w:val="20"/>
          <w:szCs w:val="20"/>
          <w:color w:val="auto"/>
        </w:rPr>
      </w:pPr>
    </w:p>
    <w:p>
      <w:pPr>
        <w:ind w:left="440" w:right="700" w:hanging="324"/>
        <w:spacing w:after="0" w:line="193" w:lineRule="auto"/>
        <w:tabs>
          <w:tab w:leader="none" w:pos="44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During the fourth quarter of 2020 we recognized an impairment charge of $115.0 million related to BIIB111 (timrepigene emparvovec) as a result of third-party manufacturing delays that impacted the timing and increased the costs associated with advancing BIIB111 through Phase 3 development.</w:t>
      </w:r>
    </w:p>
    <w:p>
      <w:pPr>
        <w:spacing w:after="0" w:line="53" w:lineRule="exact"/>
        <w:rPr>
          <w:rFonts w:ascii="Arial" w:cs="Arial" w:eastAsia="Arial" w:hAnsi="Arial"/>
          <w:sz w:val="24"/>
          <w:szCs w:val="24"/>
          <w:color w:val="auto"/>
          <w:vertAlign w:val="superscript"/>
        </w:rPr>
      </w:pPr>
    </w:p>
    <w:p>
      <w:pPr>
        <w:ind w:left="440" w:right="100"/>
        <w:spacing w:after="0" w:line="256" w:lineRule="auto"/>
        <w:rPr>
          <w:rFonts w:ascii="Arial" w:cs="Arial" w:eastAsia="Arial" w:hAnsi="Arial"/>
          <w:sz w:val="24"/>
          <w:szCs w:val="24"/>
          <w:color w:val="auto"/>
          <w:vertAlign w:val="superscript"/>
        </w:rPr>
      </w:pPr>
      <w:r>
        <w:rPr>
          <w:rFonts w:ascii="Arial" w:cs="Arial" w:eastAsia="Arial" w:hAnsi="Arial"/>
          <w:sz w:val="14"/>
          <w:szCs w:val="14"/>
          <w:color w:val="auto"/>
        </w:rPr>
        <w:t>In February 2021 we announced that we discontinued development of BIIB054 (cinpanemab) for the potential treatment of Parkinson’s disease as our Phase 2 SPARK study did not meet its primary or secondary endpoints. Although we made this determination in February 2021, it was based on conditions that existed as of December 31, 2020. As a result, we recognized an impairment charge of approximately $75.4 million during the fourth quarter of 2020 to reduce the fair value of the related in-process research and development (IPR&amp;D) intangible asset to zero.</w:t>
      </w:r>
    </w:p>
    <w:p>
      <w:pPr>
        <w:spacing w:after="0" w:line="42" w:lineRule="exact"/>
        <w:rPr>
          <w:rFonts w:ascii="Arial" w:cs="Arial" w:eastAsia="Arial" w:hAnsi="Arial"/>
          <w:sz w:val="24"/>
          <w:szCs w:val="24"/>
          <w:color w:val="auto"/>
          <w:vertAlign w:val="superscript"/>
        </w:rPr>
      </w:pPr>
    </w:p>
    <w:p>
      <w:pPr>
        <w:ind w:left="440" w:right="500"/>
        <w:spacing w:after="0" w:line="285" w:lineRule="auto"/>
        <w:rPr>
          <w:rFonts w:ascii="Arial" w:cs="Arial" w:eastAsia="Arial" w:hAnsi="Arial"/>
          <w:sz w:val="24"/>
          <w:szCs w:val="24"/>
          <w:color w:val="auto"/>
          <w:vertAlign w:val="superscript"/>
        </w:rPr>
      </w:pPr>
      <w:r>
        <w:rPr>
          <w:rFonts w:ascii="Arial" w:cs="Arial" w:eastAsia="Arial" w:hAnsi="Arial"/>
          <w:sz w:val="14"/>
          <w:szCs w:val="14"/>
          <w:color w:val="auto"/>
        </w:rPr>
        <w:t>During the year ended December 31, 2020, amortization and impairment of acquired intangible assets reflects the impact of the BIIB111 and BIIB054 impairment charges as well as a $19.3 million impairment charge related to one of our IPR&amp;D intangible assets.</w:t>
      </w:r>
    </w:p>
    <w:p>
      <w:pPr>
        <w:spacing w:after="0" w:line="22" w:lineRule="exact"/>
        <w:rPr>
          <w:rFonts w:ascii="Arial" w:cs="Arial" w:eastAsia="Arial" w:hAnsi="Arial"/>
          <w:sz w:val="24"/>
          <w:szCs w:val="24"/>
          <w:color w:val="auto"/>
          <w:vertAlign w:val="superscript"/>
        </w:rPr>
      </w:pPr>
    </w:p>
    <w:p>
      <w:pPr>
        <w:ind w:left="440" w:right="180"/>
        <w:spacing w:after="0" w:line="256" w:lineRule="auto"/>
        <w:rPr>
          <w:rFonts w:ascii="Arial" w:cs="Arial" w:eastAsia="Arial" w:hAnsi="Arial"/>
          <w:sz w:val="24"/>
          <w:szCs w:val="24"/>
          <w:color w:val="auto"/>
          <w:vertAlign w:val="superscript"/>
        </w:rPr>
      </w:pPr>
      <w:r>
        <w:rPr>
          <w:rFonts w:ascii="Arial" w:cs="Arial" w:eastAsia="Arial" w:hAnsi="Arial"/>
          <w:sz w:val="14"/>
          <w:szCs w:val="14"/>
          <w:color w:val="auto"/>
        </w:rPr>
        <w:t>During the second quarter of 2021 we announced that our Phase 3 STAR study of BIIB111 and our Phase 2/3 XIRIUS study of BIIB112 (cotoretigene toliparvovec) did not meet their primary endpoints. In the third quarter of 2021 we suspended further development on these programs based on the decision by management as part of its strategic review process. For the year ended December 31, 2021, we recognized an impairment charge of $365.0 million related to BIIB111 and an impairment charge of $220.0 million related to BIIB112, reducing the remaining book values of these IPR&amp;D intangible assets to zero.</w:t>
      </w:r>
    </w:p>
    <w:p>
      <w:pPr>
        <w:spacing w:after="0" w:line="42" w:lineRule="exact"/>
        <w:rPr>
          <w:sz w:val="20"/>
          <w:szCs w:val="20"/>
          <w:color w:val="auto"/>
        </w:rPr>
      </w:pPr>
    </w:p>
    <w:p>
      <w:pPr>
        <w:jc w:val="both"/>
        <w:ind w:left="440" w:right="60" w:hanging="324"/>
        <w:spacing w:after="0" w:line="213" w:lineRule="auto"/>
        <w:tabs>
          <w:tab w:leader="none" w:pos="440" w:val="left"/>
        </w:tabs>
        <w:numPr>
          <w:ilvl w:val="0"/>
          <w:numId w:val="153"/>
        </w:numPr>
        <w:rPr>
          <w:rFonts w:ascii="Arial" w:cs="Arial" w:eastAsia="Arial" w:hAnsi="Arial"/>
          <w:sz w:val="24"/>
          <w:szCs w:val="24"/>
          <w:color w:val="auto"/>
          <w:vertAlign w:val="superscript"/>
        </w:rPr>
      </w:pPr>
      <w:r>
        <w:rPr>
          <w:rFonts w:ascii="Arial" w:cs="Arial" w:eastAsia="Arial" w:hAnsi="Arial"/>
          <w:sz w:val="14"/>
          <w:szCs w:val="14"/>
          <w:color w:val="auto"/>
        </w:rPr>
        <w:t>Income tax expense for the twelve months ended December 31, 2020, included $90.3 million in income tax expense related to a net valuation allowance against certain deferred tax assets, due to the decisions of the U.S. District Court of the Northern District of West Virginia and the U.S. District Court of the District of Delaware that the asserted claims of our U.S. patent No. 8,399,514, which cover the treatment of MS with 480 mg of dimethyl fumarate per day as provided for in our TECFIDERA label, are invalid.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A6DBB"/>
        </w:rPr>
        <w:t>Use of Non-GAAP Financial Measures</w:t>
      </w:r>
    </w:p>
    <w:p>
      <w:pPr>
        <w:spacing w:after="0" w:line="108"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We supplement our GAAP consolidated financial statements and GAAP financial measures with other financial measures, such as adjusted net income, adjusted diluted earnings per share and free cash flow, which is defined as net cash flow from operations less capital expenditure.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80"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1. Acquisitions and divestitures</w:t>
      </w:r>
    </w:p>
    <w:p>
      <w:pPr>
        <w:spacing w:after="0" w:line="111"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We exclude transaction, integration and certain other costs related to the acquisition and divestiture of businesses, the acquisitions of assets and items associated with the initial consolidation or deconsolidation of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56515</wp:posOffset>
            </wp:positionV>
            <wp:extent cx="737235" cy="154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37235" cy="154305"/>
                    </a:xfrm>
                    <a:prstGeom prst="rect">
                      <a:avLst/>
                    </a:prstGeom>
                    <a:noFill/>
                  </pic:spPr>
                </pic:pic>
              </a:graphicData>
            </a:graphic>
          </wp:anchor>
        </w:drawing>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color w:val="1A6DBB"/>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-64770</wp:posOffset>
            </wp:positionV>
            <wp:extent cx="102870" cy="9398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FFFFFF"/>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8859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A6DBB"/>
        </w:rPr>
        <w:t xml:space="preserve">Appendix A </w:t>
      </w:r>
      <w:r>
        <w:rPr>
          <w:rFonts w:ascii="Arial" w:cs="Arial" w:eastAsia="Arial" w:hAnsi="Arial"/>
          <w:sz w:val="11"/>
          <w:szCs w:val="11"/>
          <w:color w:val="1A6DBB"/>
        </w:rPr>
        <w:t>(continued)</w:t>
      </w:r>
    </w:p>
    <w:p>
      <w:pPr>
        <w:spacing w:after="0" w:line="145" w:lineRule="exact"/>
        <w:rPr>
          <w:sz w:val="20"/>
          <w:szCs w:val="20"/>
          <w:color w:val="auto"/>
        </w:rPr>
      </w:pPr>
    </w:p>
    <w:p>
      <w:pPr>
        <w:ind w:left="120" w:right="520"/>
        <w:spacing w:after="0" w:line="286" w:lineRule="auto"/>
        <w:rPr>
          <w:sz w:val="20"/>
          <w:szCs w:val="20"/>
          <w:color w:val="auto"/>
        </w:rPr>
      </w:pPr>
      <w:r>
        <w:rPr>
          <w:rFonts w:ascii="Arial" w:cs="Arial" w:eastAsia="Arial" w:hAnsi="Arial"/>
          <w:sz w:val="16"/>
          <w:szCs w:val="16"/>
          <w:color w:val="auto"/>
        </w:rPr>
        <w:t>These adjustments include, but are not limited to, charges for IPR&amp;D and certain milestones, the amortization and impairment of intangible assets, charges or credits from the fair value remeasurement of our contingent consideration obligations and losses on assets and liabilities held for sale.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2. Restructuring, business transformation and other cost saving initiatives</w:t>
      </w:r>
    </w:p>
    <w:p>
      <w:pPr>
        <w:spacing w:after="0" w:line="11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3. (Gain) loss on equity security investments</w:t>
      </w:r>
    </w:p>
    <w:p>
      <w:pPr>
        <w:spacing w:after="0" w:line="111"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We exclude unrealized and realized gains and losses and discounts or premiums on our equity security investments as we do not believe that these components of income or expense have a direct correlation to our ongoing or future business operations.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A6DBB"/>
        </w:rPr>
        <w:t>4. Other items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evaluate other items of income and expense on an individual basis and consider both the quantitative and qualitative aspects of the item, including</w:t>
      </w:r>
    </w:p>
    <w:p>
      <w:pPr>
        <w:spacing w:after="0" w:line="21" w:lineRule="exact"/>
        <w:rPr>
          <w:sz w:val="20"/>
          <w:szCs w:val="20"/>
          <w:color w:val="auto"/>
        </w:rPr>
      </w:pPr>
    </w:p>
    <w:p>
      <w:pPr>
        <w:ind w:left="120" w:right="40" w:hanging="4"/>
        <w:spacing w:after="0" w:line="256" w:lineRule="auto"/>
        <w:tabs>
          <w:tab w:leader="none" w:pos="30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71120</wp:posOffset>
            </wp:positionV>
            <wp:extent cx="737235" cy="15430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37235" cy="154305"/>
                    </a:xfrm>
                    <a:prstGeom prst="rect">
                      <a:avLst/>
                    </a:prstGeom>
                    <a:noFill/>
                  </pic:spPr>
                </pic:pic>
              </a:graphicData>
            </a:graphic>
          </wp:anchor>
        </w:drawing>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2"/>
          <w:szCs w:val="12"/>
          <w:color w:val="1A6DBB"/>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-64770</wp:posOffset>
            </wp:positionV>
            <wp:extent cx="102870" cy="9398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4167505</wp:posOffset>
            </wp:positionV>
            <wp:extent cx="1543050" cy="5232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543050" cy="52324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lvl w:ilvl="1">
      <w:lvlJc w:val="left"/>
      <w:lvlText w:val="•"/>
      <w:numFmt w:val="bullet"/>
      <w:start w:val="1"/>
    </w:lvl>
  </w:abstractNum>
  <w:abstractNum w:abstractNumId="6">
    <w:nsid w:val="4962813B"/>
    <w:multiLevelType w:val="hybridMultilevel"/>
    <w:lvl w:ilvl="0">
      <w:lvlJc w:val="left"/>
      <w:lvlText w:val="•"/>
      <w:numFmt w:val="bullet"/>
      <w:start w:val="1"/>
    </w:lvl>
    <w:lvl w:ilvl="1">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decimal"/>
      <w:start w:val="1"/>
    </w:lvl>
    <w:lvl w:ilvl="1">
      <w:lvlJc w:val="left"/>
      <w:lvlText w:val="•"/>
      <w:numFmt w:val="bullet"/>
      <w:start w:val="1"/>
    </w:lvl>
  </w:abstractNum>
  <w:abstractNum w:abstractNumId="9">
    <w:nsid w:val="14330624"/>
    <w:multiLevelType w:val="hybridMultilevel"/>
    <w:lvl w:ilvl="0">
      <w:lvlJc w:val="left"/>
      <w:lvlText w:val="%1."/>
      <w:numFmt w:val="decimal"/>
      <w:start w:val="3"/>
    </w:lvl>
    <w:lvl w:ilvl="1">
      <w:lvlJc w:val="left"/>
      <w:lvlText w:val="•"/>
      <w:numFmt w:val="bullet"/>
      <w:start w:val="1"/>
    </w:lvl>
  </w:abstractNum>
  <w:abstractNum w:abstractNumId="10">
    <w:nsid w:val="7FFFCA11"/>
    <w:multiLevelType w:val="hybridMultilevel"/>
    <w:lvl w:ilvl="0">
      <w:lvlJc w:val="left"/>
      <w:lvlText w:val="\endash "/>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bullet"/>
      <w:start w:val="1"/>
    </w:lvl>
  </w:abstractNum>
  <w:abstractNum w:abstractNumId="13">
    <w:nsid w:val="100F59DC"/>
    <w:multiLevelType w:val="hybridMultilevel"/>
    <w:lvl w:ilvl="0">
      <w:lvlJc w:val="left"/>
      <w:lvlText w:val="1"/>
      <w:numFmt w:val="bullet"/>
      <w:start w:val="1"/>
    </w:lvl>
  </w:abstractNum>
  <w:abstractNum w:abstractNumId="14">
    <w:nsid w:val="7FB7E0AA"/>
    <w:multiLevelType w:val="hybridMultilevel"/>
    <w:lvl w:ilvl="0">
      <w:lvlJc w:val="left"/>
      <w:lvlText w:val="1"/>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2"/>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2"/>
      <w:numFmt w:val="bullet"/>
      <w:start w:val="1"/>
    </w:lvl>
  </w:abstractNum>
  <w:abstractNum w:abstractNumId="21">
    <w:nsid w:val="1716703B"/>
    <w:multiLevelType w:val="hybridMultilevel"/>
    <w:lvl w:ilvl="0">
      <w:lvlJc w:val="left"/>
      <w:lvlText w:val="3"/>
      <w:numFmt w:val="bullet"/>
      <w:start w:val="1"/>
    </w:lvl>
  </w:abstractNum>
  <w:abstractNum w:abstractNumId="22">
    <w:nsid w:val="14E17E33"/>
    <w:multiLevelType w:val="hybridMultilevel"/>
    <w:lvl w:ilvl="0">
      <w:lvlJc w:val="left"/>
      <w:lvlText w:val="\endash "/>
      <w:numFmt w:val="bullet"/>
      <w:start w:val="1"/>
    </w:lvl>
  </w:abstractNum>
  <w:abstractNum w:abstractNumId="23">
    <w:nsid w:val="3222E7CD"/>
    <w:multiLevelType w:val="hybridMultilevel"/>
    <w:lvl w:ilvl="0">
      <w:lvlJc w:val="left"/>
      <w:lvlText w:val="\endash "/>
      <w:numFmt w:val="bullet"/>
      <w:start w:val="1"/>
    </w:lvl>
  </w:abstractNum>
  <w:abstractNum w:abstractNumId="24">
    <w:nsid w:val="74DE0EE3"/>
    <w:multiLevelType w:val="hybridMultilevel"/>
    <w:lvl w:ilvl="0">
      <w:lvlJc w:val="left"/>
      <w:lvlText w:val="\endash "/>
      <w:numFmt w:val="bullet"/>
      <w:start w:val="1"/>
    </w:lvl>
  </w:abstractNum>
  <w:abstractNum w:abstractNumId="25">
    <w:nsid w:val="68EBC550"/>
    <w:multiLevelType w:val="hybridMultilevel"/>
    <w:lvl w:ilvl="0">
      <w:lvlJc w:val="left"/>
      <w:lvlText w:val="\endash "/>
      <w:numFmt w:val="bullet"/>
      <w:start w:val="1"/>
    </w:lvl>
  </w:abstractNum>
  <w:abstractNum w:abstractNumId="26">
    <w:nsid w:val="2DF6D648"/>
    <w:multiLevelType w:val="hybridMultilevel"/>
    <w:lvl w:ilvl="0">
      <w:lvlJc w:val="left"/>
      <w:lvlText w:val="\endash "/>
      <w:numFmt w:val="bullet"/>
      <w:start w:val="1"/>
    </w:lvl>
  </w:abstractNum>
  <w:abstractNum w:abstractNumId="27">
    <w:nsid w:val="46B7D447"/>
    <w:multiLevelType w:val="hybridMultilevel"/>
    <w:lvl w:ilvl="0">
      <w:lvlJc w:val="left"/>
      <w:lvlText w:val="\endash "/>
      <w:numFmt w:val="bullet"/>
      <w:start w:val="1"/>
    </w:lvl>
  </w:abstractNum>
  <w:abstractNum w:abstractNumId="28">
    <w:nsid w:val="4A2AC315"/>
    <w:multiLevelType w:val="hybridMultilevel"/>
    <w:lvl w:ilvl="0">
      <w:lvlJc w:val="left"/>
      <w:lvlText w:val="\endash "/>
      <w:numFmt w:val="bullet"/>
      <w:start w:val="1"/>
    </w:lvl>
  </w:abstractNum>
  <w:abstractNum w:abstractNumId="29">
    <w:nsid w:val="39EE015C"/>
    <w:multiLevelType w:val="hybridMultilevel"/>
    <w:lvl w:ilvl="0">
      <w:lvlJc w:val="left"/>
      <w:lvlText w:val="\endash "/>
      <w:numFmt w:val="bullet"/>
      <w:start w:val="1"/>
    </w:lvl>
  </w:abstractNum>
  <w:abstractNum w:abstractNumId="30">
    <w:nsid w:val="57FC4FBB"/>
    <w:multiLevelType w:val="hybridMultilevel"/>
    <w:lvl w:ilvl="0">
      <w:lvlJc w:val="left"/>
      <w:lvlText w:val="\endash "/>
      <w:numFmt w:val="bullet"/>
      <w:start w:val="1"/>
    </w:lvl>
  </w:abstractNum>
  <w:abstractNum w:abstractNumId="31">
    <w:nsid w:val="CC1016F"/>
    <w:multiLevelType w:val="hybridMultilevel"/>
    <w:lvl w:ilvl="0">
      <w:lvlJc w:val="left"/>
      <w:lvlText w:val="\endash "/>
      <w:numFmt w:val="bullet"/>
      <w:start w:val="1"/>
    </w:lvl>
  </w:abstractNum>
  <w:abstractNum w:abstractNumId="32">
    <w:nsid w:val="43F18422"/>
    <w:multiLevelType w:val="hybridMultilevel"/>
    <w:lvl w:ilvl="0">
      <w:lvlJc w:val="left"/>
      <w:lvlText w:val="\endash "/>
      <w:numFmt w:val="bullet"/>
      <w:start w:val="1"/>
    </w:lvl>
  </w:abstractNum>
  <w:abstractNum w:abstractNumId="33">
    <w:nsid w:val="60EF0119"/>
    <w:multiLevelType w:val="hybridMultilevel"/>
    <w:lvl w:ilvl="0">
      <w:lvlJc w:val="left"/>
      <w:lvlText w:val="\endash "/>
      <w:numFmt w:val="bullet"/>
      <w:start w:val="1"/>
    </w:lvl>
  </w:abstractNum>
  <w:abstractNum w:abstractNumId="34">
    <w:nsid w:val="26F324BA"/>
    <w:multiLevelType w:val="hybridMultilevel"/>
    <w:lvl w:ilvl="0">
      <w:lvlJc w:val="left"/>
      <w:lvlText w:val="\endash "/>
      <w:numFmt w:val="bullet"/>
      <w:start w:val="1"/>
    </w:lvl>
  </w:abstractNum>
  <w:abstractNum w:abstractNumId="35">
    <w:nsid w:val="7F01579B"/>
    <w:multiLevelType w:val="hybridMultilevel"/>
    <w:lvl w:ilvl="0">
      <w:lvlJc w:val="left"/>
      <w:lvlText w:val="\endash "/>
      <w:numFmt w:val="bullet"/>
      <w:start w:val="1"/>
    </w:lvl>
  </w:abstractNum>
  <w:abstractNum w:abstractNumId="36">
    <w:nsid w:val="49DA307D"/>
    <w:multiLevelType w:val="hybridMultilevel"/>
    <w:lvl w:ilvl="0">
      <w:lvlJc w:val="left"/>
      <w:lvlText w:val="\endash "/>
      <w:numFmt w:val="bullet"/>
      <w:start w:val="1"/>
    </w:lvl>
  </w:abstractNum>
  <w:abstractNum w:abstractNumId="37">
    <w:nsid w:val="7055A5F5"/>
    <w:multiLevelType w:val="hybridMultilevel"/>
    <w:lvl w:ilvl="0">
      <w:lvlJc w:val="left"/>
      <w:lvlText w:val="\endash "/>
      <w:numFmt w:val="bullet"/>
      <w:start w:val="1"/>
    </w:lvl>
  </w:abstractNum>
  <w:abstractNum w:abstractNumId="38">
    <w:nsid w:val="5FB8370B"/>
    <w:multiLevelType w:val="hybridMultilevel"/>
    <w:lvl w:ilvl="0">
      <w:lvlJc w:val="left"/>
      <w:lvlText w:val="\endash "/>
      <w:numFmt w:val="bullet"/>
      <w:start w:val="1"/>
    </w:lvl>
  </w:abstractNum>
  <w:abstractNum w:abstractNumId="39">
    <w:nsid w:val="50801EE1"/>
    <w:multiLevelType w:val="hybridMultilevel"/>
    <w:lvl w:ilvl="0">
      <w:lvlJc w:val="left"/>
      <w:lvlText w:val="\endash "/>
      <w:numFmt w:val="bullet"/>
      <w:start w:val="1"/>
    </w:lvl>
  </w:abstractNum>
  <w:abstractNum w:abstractNumId="40">
    <w:nsid w:val="488AC1A"/>
    <w:multiLevelType w:val="hybridMultilevel"/>
    <w:lvl w:ilvl="0">
      <w:lvlJc w:val="left"/>
      <w:lvlText w:val="\endash "/>
      <w:numFmt w:val="bullet"/>
      <w:start w:val="1"/>
    </w:lvl>
  </w:abstractNum>
  <w:abstractNum w:abstractNumId="41">
    <w:nsid w:val="5FB8011C"/>
    <w:multiLevelType w:val="hybridMultilevel"/>
    <w:lvl w:ilvl="0">
      <w:lvlJc w:val="left"/>
      <w:lvlText w:val="\endash "/>
      <w:numFmt w:val="bullet"/>
      <w:start w:val="1"/>
    </w:lvl>
  </w:abstractNum>
  <w:abstractNum w:abstractNumId="42">
    <w:nsid w:val="6AA78F7F"/>
    <w:multiLevelType w:val="hybridMultilevel"/>
    <w:lvl w:ilvl="0">
      <w:lvlJc w:val="left"/>
      <w:lvlText w:val="\endash "/>
      <w:numFmt w:val="bullet"/>
      <w:start w:val="1"/>
    </w:lvl>
  </w:abstractNum>
  <w:abstractNum w:abstractNumId="43">
    <w:nsid w:val="7672BD23"/>
    <w:multiLevelType w:val="hybridMultilevel"/>
    <w:lvl w:ilvl="0">
      <w:lvlJc w:val="left"/>
      <w:lvlText w:val="\endash "/>
      <w:numFmt w:val="bullet"/>
      <w:start w:val="1"/>
    </w:lvl>
  </w:abstractNum>
  <w:abstractNum w:abstractNumId="44">
    <w:nsid w:val="6FC75AF8"/>
    <w:multiLevelType w:val="hybridMultilevel"/>
    <w:lvl w:ilvl="0">
      <w:lvlJc w:val="left"/>
      <w:lvlText w:val="\endash "/>
      <w:numFmt w:val="bullet"/>
      <w:start w:val="1"/>
    </w:lvl>
  </w:abstractNum>
  <w:abstractNum w:abstractNumId="45">
    <w:nsid w:val="6A5F7029"/>
    <w:multiLevelType w:val="hybridMultilevel"/>
    <w:lvl w:ilvl="0">
      <w:lvlJc w:val="left"/>
      <w:lvlText w:val="\endash "/>
      <w:numFmt w:val="bullet"/>
      <w:start w:val="1"/>
    </w:lvl>
  </w:abstractNum>
  <w:abstractNum w:abstractNumId="46">
    <w:nsid w:val="7D5E18F8"/>
    <w:multiLevelType w:val="hybridMultilevel"/>
    <w:lvl w:ilvl="0">
      <w:lvlJc w:val="left"/>
      <w:lvlText w:val="\endash "/>
      <w:numFmt w:val="bullet"/>
      <w:start w:val="1"/>
    </w:lvl>
  </w:abstractNum>
  <w:abstractNum w:abstractNumId="47">
    <w:nsid w:val="5F3534A4"/>
    <w:multiLevelType w:val="hybridMultilevel"/>
    <w:lvl w:ilvl="0">
      <w:lvlJc w:val="left"/>
      <w:lvlText w:val="\endash "/>
      <w:numFmt w:val="bullet"/>
      <w:start w:val="1"/>
    </w:lvl>
  </w:abstractNum>
  <w:abstractNum w:abstractNumId="48">
    <w:nsid w:val="73A1821B"/>
    <w:multiLevelType w:val="hybridMultilevel"/>
    <w:lvl w:ilvl="0">
      <w:lvlJc w:val="left"/>
      <w:lvlText w:val="3"/>
      <w:numFmt w:val="bullet"/>
      <w:start w:val="1"/>
    </w:lvl>
  </w:abstractNum>
  <w:abstractNum w:abstractNumId="49">
    <w:nsid w:val="7DE67713"/>
    <w:multiLevelType w:val="hybridMultilevel"/>
    <w:lvl w:ilvl="0">
      <w:lvlJc w:val="left"/>
      <w:lvlText w:val="\endash "/>
      <w:numFmt w:val="bullet"/>
      <w:start w:val="1"/>
    </w:lvl>
  </w:abstractNum>
  <w:abstractNum w:abstractNumId="50">
    <w:nsid w:val="555C55B5"/>
    <w:multiLevelType w:val="hybridMultilevel"/>
    <w:lvl w:ilvl="0">
      <w:lvlJc w:val="left"/>
      <w:lvlText w:val="\endash "/>
      <w:numFmt w:val="bullet"/>
      <w:start w:val="1"/>
    </w:lvl>
  </w:abstractNum>
  <w:abstractNum w:abstractNumId="51">
    <w:nsid w:val="3FA62ACA"/>
    <w:multiLevelType w:val="hybridMultilevel"/>
    <w:lvl w:ilvl="0">
      <w:lvlJc w:val="left"/>
      <w:lvlText w:val="\endash "/>
      <w:numFmt w:val="bullet"/>
      <w:start w:val="1"/>
    </w:lvl>
  </w:abstractNum>
  <w:abstractNum w:abstractNumId="52">
    <w:nsid w:val="14FCE74E"/>
    <w:multiLevelType w:val="hybridMultilevel"/>
    <w:lvl w:ilvl="0">
      <w:lvlJc w:val="left"/>
      <w:lvlText w:val="3"/>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lowerRoman"/>
      <w:start w:val="2"/>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3"/>
      <w:numFmt w:val="bullet"/>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3"/>
      <w:numFmt w:val="bullet"/>
      <w:start w:val="1"/>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3"/>
      <w:numFmt w:val="bullet"/>
      <w:start w:val="1"/>
    </w:lvl>
  </w:abstractNum>
  <w:abstractNum w:abstractNumId="64">
    <w:nsid w:val="97E1B4E"/>
    <w:multiLevelType w:val="hybridMultilevel"/>
    <w:lvl w:ilvl="0">
      <w:lvlJc w:val="left"/>
      <w:lvlText w:val="3"/>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lvl w:ilvl="1">
      <w:lvlJc w:val="left"/>
      <w:lvlText w:val="4"/>
      <w:numFmt w:val="bullet"/>
      <w:start w:val="1"/>
    </w:lvl>
  </w:abstractNum>
  <w:abstractNum w:abstractNumId="67">
    <w:nsid w:val="53584BCB"/>
    <w:multiLevelType w:val="hybridMultilevel"/>
    <w:lvl w:ilvl="0">
      <w:lvlJc w:val="left"/>
      <w:lvlText w:val="(%1)"/>
      <w:numFmt w:val="decimal"/>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6"/>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6"/>
      <w:numFmt w:val="bullet"/>
      <w:start w:val="1"/>
    </w:lvl>
  </w:abstractNum>
  <w:abstractNum w:abstractNumId="74">
    <w:nsid w:val="3C5991AA"/>
    <w:multiLevelType w:val="hybridMultilevel"/>
    <w:lvl w:ilvl="0">
      <w:lvlJc w:val="left"/>
      <w:lvlText w:val="6"/>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6"/>
      <w:numFmt w:val="bullet"/>
      <w:start w:val="1"/>
    </w:lvl>
  </w:abstractNum>
  <w:abstractNum w:abstractNumId="77">
    <w:nsid w:val="39B7AAA2"/>
    <w:multiLevelType w:val="hybridMultilevel"/>
    <w:lvl w:ilvl="0">
      <w:lvlJc w:val="left"/>
      <w:lvlText w:val="(%1)"/>
      <w:numFmt w:val="decimal"/>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lvl w:ilvl="1">
      <w:lvlJc w:val="left"/>
      <w:lvlText w:val="6"/>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lvl w:ilvl="1">
      <w:lvlJc w:val="left"/>
      <w:lvlText w:val="6"/>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lvl w:ilvl="1">
      <w:lvlJc w:val="left"/>
      <w:lvlText w:val="6"/>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6"/>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6"/>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1)"/>
      <w:numFmt w:val="decimal"/>
      <w:start w:val="1"/>
    </w:lvl>
  </w:abstractNum>
  <w:abstractNum w:abstractNumId="104">
    <w:nsid w:val="5EC6AFD4"/>
    <w:multiLevelType w:val="hybridMultilevel"/>
    <w:lvl w:ilvl="0">
      <w:lvlJc w:val="left"/>
      <w:lvlText w:val="(%1)"/>
      <w:numFmt w:val="decimal"/>
      <w:start w:val="1"/>
    </w:lvl>
  </w:abstractNum>
  <w:abstractNum w:abstractNumId="105">
    <w:nsid w:val="19E21BB2"/>
    <w:multiLevelType w:val="hybridMultilevel"/>
    <w:lvl w:ilvl="0">
      <w:lvlJc w:val="left"/>
      <w:lvlText w:val="(%1)"/>
      <w:numFmt w:val="decimal"/>
      <w:start w:val="1"/>
    </w:lvl>
  </w:abstractNum>
  <w:abstractNum w:abstractNumId="106">
    <w:nsid w:val="75E0858A"/>
    <w:multiLevelType w:val="hybridMultilevel"/>
    <w:lvl w:ilvl="0">
      <w:lvlJc w:val="left"/>
      <w:lvlText w:val="6"/>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1)"/>
      <w:numFmt w:val="decimal"/>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6"/>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upperLetter"/>
      <w:start w:val="13"/>
    </w:lvl>
    <w:lvl w:ilvl="1">
      <w:lvlJc w:val="left"/>
      <w:lvlText w:val="%2"/>
      <w:numFmt w:val="upperLetter"/>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6"/>
      <w:numFmt w:val="bullet"/>
      <w:start w:val="1"/>
    </w:lvl>
  </w:abstractNum>
  <w:abstractNum w:abstractNumId="120">
    <w:nsid w:val="5551B9F3"/>
    <w:multiLevelType w:val="hybridMultilevel"/>
    <w:lvl w:ilvl="0">
      <w:lvlJc w:val="left"/>
      <w:lvlText w:val="(%1)"/>
      <w:numFmt w:val="decimal"/>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1)"/>
      <w:numFmt w:val="decimal"/>
      <w:start w:val="1"/>
    </w:lvl>
  </w:abstractNum>
  <w:abstractNum w:abstractNumId="123">
    <w:nsid w:val="24E99DD7"/>
    <w:multiLevelType w:val="hybridMultilevel"/>
    <w:lvl w:ilvl="0">
      <w:lvlJc w:val="left"/>
      <w:lvlText w:val="*"/>
      <w:numFmt w:val="bullet"/>
      <w:start w:val="1"/>
    </w:lvl>
    <w:lvl w:ilvl="1">
      <w:lvlJc w:val="left"/>
      <w:lvlText w:val="6"/>
      <w:numFmt w:val="bullet"/>
      <w:start w:val="1"/>
    </w:lvl>
  </w:abstractNum>
  <w:abstractNum w:abstractNumId="124">
    <w:nsid w:val="2A31B62D"/>
    <w:multiLevelType w:val="hybridMultilevel"/>
    <w:lvl w:ilvl="0">
      <w:lvlJc w:val="left"/>
      <w:lvlText w:val="(%1)"/>
      <w:numFmt w:val="decimal"/>
      <w:start w:val="1"/>
    </w:lvl>
  </w:abstractNum>
  <w:abstractNum w:abstractNumId="125">
    <w:nsid w:val="1849C29B"/>
    <w:multiLevelType w:val="hybridMultilevel"/>
    <w:lvl w:ilvl="0">
      <w:lvlJc w:val="left"/>
      <w:lvlText w:val="6"/>
      <w:numFmt w:val="bullet"/>
      <w:start w:val="1"/>
    </w:lvl>
  </w:abstractNum>
  <w:abstractNum w:abstractNumId="126">
    <w:nsid w:val="7DFF9D09"/>
    <w:multiLevelType w:val="hybridMultilevel"/>
    <w:lvl w:ilvl="0">
      <w:lvlJc w:val="left"/>
      <w:lvlText w:val="(%1)"/>
      <w:numFmt w:val="decimal"/>
      <w:start w:val="1"/>
    </w:lvl>
  </w:abstractNum>
  <w:abstractNum w:abstractNumId="127">
    <w:nsid w:val="754342"/>
    <w:multiLevelType w:val="hybridMultilevel"/>
    <w:lvl w:ilvl="0">
      <w:lvlJc w:val="left"/>
      <w:lvlText w:val="(%1)"/>
      <w:numFmt w:val="decimal"/>
      <w:start w:val="2"/>
    </w:lvl>
    <w:lvl w:ilvl="1">
      <w:lvlJc w:val="left"/>
      <w:lvlText w:val="6"/>
      <w:numFmt w:val="bullet"/>
      <w:start w:val="1"/>
    </w:lvl>
  </w:abstractNum>
  <w:abstractNum w:abstractNumId="128">
    <w:nsid w:val="69E7F3E5"/>
    <w:multiLevelType w:val="hybridMultilevel"/>
    <w:lvl w:ilvl="0">
      <w:lvlJc w:val="left"/>
      <w:lvlText w:val="(%1)"/>
      <w:numFmt w:val="decimal"/>
      <w:start w:val="6"/>
    </w:lvl>
  </w:abstractNum>
  <w:abstractNum w:abstractNumId="129">
    <w:nsid w:val="2A6DE806"/>
    <w:multiLevelType w:val="hybridMultilevel"/>
    <w:lvl w:ilvl="0">
      <w:lvlJc w:val="left"/>
      <w:lvlText w:val="(%1)"/>
      <w:numFmt w:val="decimal"/>
      <w:start w:val="1"/>
    </w:lvl>
  </w:abstractNum>
  <w:abstractNum w:abstractNumId="130">
    <w:nsid w:val="1816F8C4"/>
    <w:multiLevelType w:val="hybridMultilevel"/>
    <w:lvl w:ilvl="0">
      <w:lvlJc w:val="left"/>
      <w:lvlText w:val="6"/>
      <w:numFmt w:val="bullet"/>
      <w:start w:val="1"/>
    </w:lvl>
  </w:abstractNum>
  <w:abstractNum w:abstractNumId="131">
    <w:nsid w:val="37DF2233"/>
    <w:multiLevelType w:val="hybridMultilevel"/>
    <w:lvl w:ilvl="0">
      <w:lvlJc w:val="left"/>
      <w:lvlText w:val="(%1)"/>
      <w:numFmt w:val="decimal"/>
      <w:start w:val="3"/>
    </w:lvl>
  </w:abstractNum>
  <w:abstractNum w:abstractNumId="132">
    <w:nsid w:val="7AB49DAF"/>
    <w:multiLevelType w:val="hybridMultilevel"/>
    <w:lvl w:ilvl="0">
      <w:lvlJc w:val="left"/>
      <w:lvlText w:val="6"/>
      <w:numFmt w:val="bullet"/>
      <w:start w:val="1"/>
    </w:lvl>
  </w:abstractNum>
  <w:abstractNum w:abstractNumId="133">
    <w:nsid w:val="759F82CD"/>
    <w:multiLevelType w:val="hybridMultilevel"/>
    <w:lvl w:ilvl="0">
      <w:lvlJc w:val="left"/>
      <w:lvlText w:val="(%1)"/>
      <w:numFmt w:val="decimal"/>
      <w:start w:val="1"/>
    </w:lvl>
  </w:abstractNum>
  <w:abstractNum w:abstractNumId="134">
    <w:nsid w:val="61E74EA3"/>
    <w:multiLevelType w:val="hybridMultilevel"/>
    <w:lvl w:ilvl="0">
      <w:lvlJc w:val="left"/>
      <w:lvlText w:val="6"/>
      <w:numFmt w:val="bullet"/>
      <w:start w:val="1"/>
    </w:lvl>
  </w:abstractNum>
  <w:abstractNum w:abstractNumId="135">
    <w:nsid w:val="597B4D84"/>
    <w:multiLevelType w:val="hybridMultilevel"/>
    <w:lvl w:ilvl="0">
      <w:lvlJc w:val="left"/>
      <w:lvlText w:val="(%1)"/>
      <w:numFmt w:val="decimal"/>
      <w:start w:val="1"/>
    </w:lvl>
  </w:abstractNum>
  <w:abstractNum w:abstractNumId="136">
    <w:nsid w:val="F819E7F"/>
    <w:multiLevelType w:val="hybridMultilevel"/>
    <w:lvl w:ilvl="0">
      <w:lvlJc w:val="left"/>
      <w:lvlText w:val="(%1)"/>
      <w:numFmt w:val="decimal"/>
      <w:start w:val="2"/>
    </w:lvl>
  </w:abstractNum>
  <w:abstractNum w:abstractNumId="137">
    <w:nsid w:val="57C7D42D"/>
    <w:multiLevelType w:val="hybridMultilevel"/>
    <w:lvl w:ilvl="0">
      <w:lvlJc w:val="left"/>
      <w:lvlText w:val="(%1)"/>
      <w:numFmt w:val="decimal"/>
      <w:start w:val="1"/>
    </w:lvl>
  </w:abstractNum>
  <w:abstractNum w:abstractNumId="138">
    <w:nsid w:val="312167AD"/>
    <w:multiLevelType w:val="hybridMultilevel"/>
    <w:lvl w:ilvl="0">
      <w:lvlJc w:val="left"/>
      <w:lvlText w:val="(*)"/>
      <w:numFmt w:val="bullet"/>
      <w:start w:val="1"/>
    </w:lvl>
    <w:lvl w:ilvl="1">
      <w:lvlJc w:val="left"/>
      <w:lvlText w:val="6"/>
      <w:numFmt w:val="bullet"/>
      <w:start w:val="1"/>
    </w:lvl>
  </w:abstractNum>
  <w:abstractNum w:abstractNumId="139">
    <w:nsid w:val="631B64D4"/>
    <w:multiLevelType w:val="hybridMultilevel"/>
    <w:lvl w:ilvl="0">
      <w:lvlJc w:val="left"/>
      <w:lvlText w:val="(%1)"/>
      <w:numFmt w:val="decimal"/>
      <w:start w:val="5"/>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6"/>
      <w:numFmt w:val="bullet"/>
      <w:start w:val="1"/>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3"/>
    </w:lvl>
    <w:lvl w:ilvl="1">
      <w:lvlJc w:val="left"/>
      <w:lvlText w:val="6"/>
      <w:numFmt w:val="bullet"/>
      <w:start w:val="1"/>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7"/>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1)"/>
      <w:numFmt w:val="decimal"/>
      <w:start w:val="1"/>
    </w:lvl>
  </w:abstractNum>
  <w:abstractNum w:abstractNumId="148">
    <w:nsid w:val="746F2E30"/>
    <w:multiLevelType w:val="hybridMultilevel"/>
    <w:lvl w:ilvl="0">
      <w:lvlJc w:val="left"/>
      <w:lvlText w:val="7"/>
      <w:numFmt w:val="bullet"/>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A"/>
      <w:numFmt w:val="bullet"/>
      <w:start w:val="1"/>
    </w:lvl>
  </w:abstractNum>
  <w:abstractNum w:abstractNumId="152">
    <w:nsid w:val="14D53685"/>
    <w:multiLevelType w:val="hybridMultilevel"/>
    <w:lvl w:ilvl="0">
      <w:lvlJc w:val="left"/>
      <w:lvlText w:val="B"/>
      <w:numFmt w:val="bullet"/>
      <w:start w:val="1"/>
    </w:lvl>
  </w:abstractNum>
  <w:abstractNum w:abstractNumId="153">
    <w:nsid w:val="230F856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jpe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jpe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jpeg"/><Relationship Id="rId764" Type="http://schemas.openxmlformats.org/officeDocument/2006/relationships/image" Target="media/image757.png"/><Relationship Id="rId765" Type="http://schemas.openxmlformats.org/officeDocument/2006/relationships/image" Target="media/image7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2022-04-29T07:34:44Z</dcterms:created>
  <dcterms:modified xsi:type="dcterms:W3CDTF">2022-04-29T07:34:44Z</dcterms:modified>
</cp:coreProperties>
</file>