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Parini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BINNEY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BIIB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vest in three equal yearly installments beginning on the first anniversary of the grant date of September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Bryan Keighery, attorney-in-fact for Mr. Parini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1567" TargetMode="External"/><Relationship Id="rId5" Type="http://schemas.openxmlformats.org/officeDocument/2006/relationships/hyperlink" Target="http://www.sec.gov/cgi-bin/browse-edgar?action=getcompany&amp;CIK=0000875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3222</Characters>
  <CharactersWithSpaces>3744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